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71B9E2" w14:textId="600FC211" w:rsidR="00FA7254" w:rsidRPr="00AA6547" w:rsidRDefault="00565C91" w:rsidP="00FA7254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Obrazložitev Pravilnika o spremembah in dopolnitv</w:t>
      </w:r>
      <w:r w:rsidR="00D476C8">
        <w:rPr>
          <w:rFonts w:ascii="Arial" w:hAnsi="Arial" w:cs="Arial"/>
          <w:b/>
          <w:bCs/>
          <w:color w:val="000000"/>
          <w:sz w:val="22"/>
          <w:szCs w:val="22"/>
        </w:rPr>
        <w:t>i</w:t>
      </w: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Pravilnika o učinkoviti rabi energije v stavbah</w:t>
      </w:r>
    </w:p>
    <w:p w14:paraId="25F4C947" w14:textId="77777777" w:rsidR="00FA7254" w:rsidRDefault="00FA7254" w:rsidP="00FA7254">
      <w:pPr>
        <w:autoSpaceDE w:val="0"/>
        <w:autoSpaceDN w:val="0"/>
        <w:adjustRightInd w:val="0"/>
        <w:jc w:val="both"/>
        <w:rPr>
          <w:rFonts w:ascii="Helv" w:hAnsi="Helv" w:cs="Helv"/>
          <w:color w:val="000000"/>
          <w:sz w:val="20"/>
          <w:szCs w:val="20"/>
        </w:rPr>
      </w:pPr>
    </w:p>
    <w:p w14:paraId="4220DCA2" w14:textId="77777777" w:rsidR="00D476C8" w:rsidRPr="00D476C8" w:rsidRDefault="00D476C8" w:rsidP="001E1790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 w:rsidRPr="00D476C8">
        <w:rPr>
          <w:rFonts w:ascii="Arial" w:hAnsi="Arial" w:cs="Arial"/>
          <w:b/>
          <w:bCs/>
          <w:color w:val="000000"/>
          <w:sz w:val="22"/>
          <w:szCs w:val="22"/>
        </w:rPr>
        <w:t>K 1. členu</w:t>
      </w:r>
    </w:p>
    <w:p w14:paraId="3ADA68C9" w14:textId="7A4B9F08" w:rsidR="001E1790" w:rsidRDefault="001E1790" w:rsidP="001E1790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Doda</w:t>
      </w:r>
      <w:r w:rsidR="0027307E">
        <w:rPr>
          <w:rFonts w:ascii="Arial" w:hAnsi="Arial" w:cs="Arial"/>
          <w:color w:val="000000"/>
          <w:sz w:val="22"/>
          <w:szCs w:val="22"/>
        </w:rPr>
        <w:t xml:space="preserve">ten </w:t>
      </w:r>
      <w:r>
        <w:rPr>
          <w:rFonts w:ascii="Arial" w:hAnsi="Arial" w:cs="Arial"/>
          <w:color w:val="000000"/>
          <w:sz w:val="22"/>
          <w:szCs w:val="22"/>
        </w:rPr>
        <w:t xml:space="preserve">izraz </w:t>
      </w:r>
      <w:r w:rsidR="0027307E">
        <w:rPr>
          <w:rFonts w:ascii="Arial" w:hAnsi="Arial" w:cs="Arial"/>
          <w:color w:val="000000"/>
          <w:sz w:val="22"/>
          <w:szCs w:val="22"/>
        </w:rPr>
        <w:t>»</w:t>
      </w:r>
      <w:r>
        <w:rPr>
          <w:rFonts w:ascii="Arial" w:hAnsi="Arial" w:cs="Arial"/>
          <w:color w:val="000000"/>
          <w:sz w:val="22"/>
          <w:szCs w:val="22"/>
        </w:rPr>
        <w:t>javna stavba</w:t>
      </w:r>
      <w:r w:rsidR="0027307E">
        <w:rPr>
          <w:rFonts w:ascii="Arial" w:hAnsi="Arial" w:cs="Arial"/>
          <w:color w:val="000000"/>
          <w:sz w:val="22"/>
          <w:szCs w:val="22"/>
        </w:rPr>
        <w:t>«</w:t>
      </w:r>
      <w:r>
        <w:rPr>
          <w:rFonts w:ascii="Arial" w:hAnsi="Arial" w:cs="Arial"/>
          <w:color w:val="000000"/>
          <w:sz w:val="22"/>
          <w:szCs w:val="22"/>
        </w:rPr>
        <w:t xml:space="preserve"> v 2. členu pravilnika</w:t>
      </w:r>
      <w:r w:rsidR="0027307E">
        <w:rPr>
          <w:rFonts w:ascii="Arial" w:hAnsi="Arial" w:cs="Arial"/>
          <w:color w:val="000000"/>
          <w:sz w:val="22"/>
          <w:szCs w:val="22"/>
        </w:rPr>
        <w:t>:</w:t>
      </w:r>
    </w:p>
    <w:p w14:paraId="67F2AAA4" w14:textId="37F4D2B1" w:rsidR="001E1790" w:rsidRDefault="001E1790" w:rsidP="001E1790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V drugem členu se pod zaporedno točko 12. doda izraz javna stavba</w:t>
      </w:r>
      <w:r w:rsidR="0027307E">
        <w:rPr>
          <w:rFonts w:ascii="Arial" w:hAnsi="Arial" w:cs="Arial"/>
          <w:color w:val="000000"/>
          <w:sz w:val="22"/>
          <w:szCs w:val="22"/>
        </w:rPr>
        <w:t xml:space="preserve"> in tako</w:t>
      </w:r>
      <w:r>
        <w:rPr>
          <w:rFonts w:ascii="Arial" w:hAnsi="Arial" w:cs="Arial"/>
          <w:color w:val="000000"/>
          <w:sz w:val="22"/>
          <w:szCs w:val="22"/>
        </w:rPr>
        <w:t xml:space="preserve"> zagotovi transparentno rabo zahtev pravilnika</w:t>
      </w:r>
      <w:r w:rsidR="0027307E">
        <w:rPr>
          <w:rFonts w:ascii="Arial" w:hAnsi="Arial" w:cs="Arial"/>
          <w:color w:val="000000"/>
          <w:sz w:val="22"/>
          <w:szCs w:val="22"/>
        </w:rPr>
        <w:t xml:space="preserve">, ki se nanašajo na </w:t>
      </w:r>
      <w:r>
        <w:rPr>
          <w:rFonts w:ascii="Arial" w:hAnsi="Arial" w:cs="Arial"/>
          <w:color w:val="000000"/>
          <w:sz w:val="22"/>
          <w:szCs w:val="22"/>
        </w:rPr>
        <w:t xml:space="preserve">javne stavbe. </w:t>
      </w:r>
      <w:r w:rsidR="00A43DB8">
        <w:rPr>
          <w:rFonts w:ascii="Arial" w:hAnsi="Arial" w:cs="Arial"/>
          <w:color w:val="000000"/>
          <w:sz w:val="22"/>
          <w:szCs w:val="22"/>
        </w:rPr>
        <w:t>Izraz je potreben</w:t>
      </w:r>
      <w:r>
        <w:rPr>
          <w:rFonts w:ascii="Arial" w:hAnsi="Arial" w:cs="Arial"/>
          <w:color w:val="000000"/>
          <w:sz w:val="22"/>
          <w:szCs w:val="22"/>
        </w:rPr>
        <w:t xml:space="preserve">, </w:t>
      </w:r>
      <w:r w:rsidR="00A43DB8">
        <w:rPr>
          <w:rFonts w:ascii="Arial" w:hAnsi="Arial" w:cs="Arial"/>
          <w:color w:val="000000"/>
          <w:sz w:val="22"/>
          <w:szCs w:val="22"/>
        </w:rPr>
        <w:t>ker</w:t>
      </w:r>
      <w:r>
        <w:rPr>
          <w:rFonts w:ascii="Arial" w:hAnsi="Arial" w:cs="Arial"/>
          <w:color w:val="000000"/>
          <w:sz w:val="22"/>
          <w:szCs w:val="22"/>
        </w:rPr>
        <w:t xml:space="preserve"> so v pravilniku določene zahteve glede energijske učinkovitosti rabe energije in rabe obnovljivih virov energije za 10 % ostrejše</w:t>
      </w:r>
      <w:r w:rsidR="0027307E">
        <w:rPr>
          <w:rFonts w:ascii="Arial" w:hAnsi="Arial" w:cs="Arial"/>
          <w:color w:val="000000"/>
          <w:sz w:val="22"/>
          <w:szCs w:val="22"/>
        </w:rPr>
        <w:t xml:space="preserve"> (- 10 % rabe potrebne toplote za ogrevanje in hlajenje, - 10 % rabe skupne primarne energije in za + 10 % višji delež rabe obnovljivih virov energije)</w:t>
      </w:r>
      <w:r>
        <w:rPr>
          <w:rFonts w:ascii="Arial" w:hAnsi="Arial" w:cs="Arial"/>
          <w:color w:val="000000"/>
          <w:sz w:val="22"/>
          <w:szCs w:val="22"/>
        </w:rPr>
        <w:t xml:space="preserve">. </w:t>
      </w:r>
      <w:r w:rsidR="00A43DB8">
        <w:rPr>
          <w:rFonts w:ascii="Arial" w:hAnsi="Arial" w:cs="Arial"/>
          <w:color w:val="000000"/>
          <w:sz w:val="22"/>
          <w:szCs w:val="22"/>
        </w:rPr>
        <w:t>V</w:t>
      </w:r>
      <w:r>
        <w:rPr>
          <w:rFonts w:ascii="Arial" w:hAnsi="Arial" w:cs="Arial"/>
          <w:color w:val="000000"/>
          <w:sz w:val="22"/>
          <w:szCs w:val="22"/>
        </w:rPr>
        <w:t xml:space="preserve"> drugih predpisih </w:t>
      </w:r>
      <w:r w:rsidR="00A43DB8">
        <w:rPr>
          <w:rFonts w:ascii="Arial" w:hAnsi="Arial" w:cs="Arial"/>
          <w:color w:val="000000"/>
          <w:sz w:val="22"/>
          <w:szCs w:val="22"/>
        </w:rPr>
        <w:t xml:space="preserve">izraz </w:t>
      </w:r>
      <w:r>
        <w:rPr>
          <w:rFonts w:ascii="Arial" w:hAnsi="Arial" w:cs="Arial"/>
          <w:color w:val="000000"/>
          <w:sz w:val="22"/>
          <w:szCs w:val="22"/>
        </w:rPr>
        <w:t>ni določen javna stavba</w:t>
      </w:r>
      <w:r w:rsidR="0027307E">
        <w:rPr>
          <w:rFonts w:ascii="Arial" w:hAnsi="Arial" w:cs="Arial"/>
          <w:color w:val="000000"/>
          <w:sz w:val="22"/>
          <w:szCs w:val="22"/>
        </w:rPr>
        <w:t xml:space="preserve">, </w:t>
      </w:r>
      <w:r w:rsidR="00A43DB8">
        <w:rPr>
          <w:rFonts w:ascii="Arial" w:hAnsi="Arial" w:cs="Arial"/>
          <w:color w:val="000000"/>
          <w:sz w:val="22"/>
          <w:szCs w:val="22"/>
        </w:rPr>
        <w:t>in ga ne gre zamenjevati z</w:t>
      </w:r>
      <w:r w:rsidR="0027307E"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</w:rPr>
        <w:t>izraz</w:t>
      </w:r>
      <w:r w:rsidR="00A43DB8">
        <w:rPr>
          <w:rFonts w:ascii="Arial" w:hAnsi="Arial" w:cs="Arial"/>
          <w:color w:val="000000"/>
          <w:sz w:val="22"/>
          <w:szCs w:val="22"/>
        </w:rPr>
        <w:t>om</w:t>
      </w:r>
      <w:r>
        <w:rPr>
          <w:rFonts w:ascii="Arial" w:hAnsi="Arial" w:cs="Arial"/>
          <w:color w:val="000000"/>
          <w:sz w:val="22"/>
          <w:szCs w:val="22"/>
        </w:rPr>
        <w:t xml:space="preserve"> stavbe v javni rabi, ki ga določa Gradbeni zakon. </w:t>
      </w:r>
      <w:r w:rsidR="0027307E">
        <w:rPr>
          <w:rFonts w:ascii="Arial" w:hAnsi="Arial" w:cs="Arial"/>
          <w:color w:val="000000"/>
          <w:sz w:val="22"/>
          <w:szCs w:val="22"/>
        </w:rPr>
        <w:t xml:space="preserve">Predlog izraza </w:t>
      </w:r>
      <w:r w:rsidR="00A43DB8">
        <w:rPr>
          <w:rFonts w:ascii="Arial" w:hAnsi="Arial" w:cs="Arial"/>
          <w:color w:val="000000"/>
          <w:sz w:val="22"/>
          <w:szCs w:val="22"/>
        </w:rPr>
        <w:t xml:space="preserve">javna stavba </w:t>
      </w:r>
      <w:r w:rsidR="0027307E">
        <w:rPr>
          <w:rFonts w:ascii="Arial" w:hAnsi="Arial" w:cs="Arial"/>
          <w:color w:val="000000"/>
          <w:sz w:val="22"/>
          <w:szCs w:val="22"/>
        </w:rPr>
        <w:t xml:space="preserve">je </w:t>
      </w:r>
      <w:r>
        <w:rPr>
          <w:rFonts w:ascii="Arial" w:hAnsi="Arial" w:cs="Arial"/>
          <w:color w:val="000000"/>
          <w:sz w:val="22"/>
          <w:szCs w:val="22"/>
        </w:rPr>
        <w:t>povzet po</w:t>
      </w:r>
      <w:r w:rsidR="0027307E">
        <w:rPr>
          <w:rFonts w:ascii="Arial" w:hAnsi="Arial" w:cs="Arial"/>
          <w:color w:val="000000"/>
          <w:sz w:val="22"/>
          <w:szCs w:val="22"/>
        </w:rPr>
        <w:t xml:space="preserve"> predhodni </w:t>
      </w:r>
      <w:r w:rsidR="00A43DB8">
        <w:rPr>
          <w:rFonts w:ascii="Arial" w:hAnsi="Arial" w:cs="Arial"/>
          <w:color w:val="000000"/>
          <w:sz w:val="22"/>
          <w:szCs w:val="22"/>
        </w:rPr>
        <w:t>verziji</w:t>
      </w:r>
      <w:r w:rsidR="0027307E">
        <w:rPr>
          <w:rFonts w:ascii="Arial" w:hAnsi="Arial" w:cs="Arial"/>
          <w:color w:val="000000"/>
          <w:sz w:val="22"/>
          <w:szCs w:val="22"/>
        </w:rPr>
        <w:t xml:space="preserve"> </w:t>
      </w:r>
      <w:r w:rsidR="00A43DB8">
        <w:rPr>
          <w:rFonts w:ascii="Arial" w:hAnsi="Arial" w:cs="Arial"/>
          <w:color w:val="000000"/>
          <w:sz w:val="22"/>
          <w:szCs w:val="22"/>
        </w:rPr>
        <w:t>predpisa o učinkoviti rabe energije v stavbah</w:t>
      </w:r>
      <w:r w:rsidR="0027307E">
        <w:rPr>
          <w:rFonts w:ascii="Arial" w:hAnsi="Arial" w:cs="Arial"/>
          <w:color w:val="000000"/>
          <w:sz w:val="22"/>
          <w:szCs w:val="22"/>
        </w:rPr>
        <w:t xml:space="preserve"> </w:t>
      </w:r>
      <w:r w:rsidR="0068250B">
        <w:rPr>
          <w:rFonts w:ascii="Arial" w:hAnsi="Arial" w:cs="Arial"/>
          <w:color w:val="000000"/>
          <w:sz w:val="22"/>
          <w:szCs w:val="22"/>
        </w:rPr>
        <w:t>iz leta 2010</w:t>
      </w:r>
      <w:r w:rsidR="0027307E">
        <w:rPr>
          <w:rFonts w:ascii="Arial" w:hAnsi="Arial" w:cs="Arial"/>
          <w:color w:val="000000"/>
          <w:sz w:val="22"/>
          <w:szCs w:val="22"/>
        </w:rPr>
        <w:t>.</w:t>
      </w:r>
    </w:p>
    <w:p w14:paraId="63893FF9" w14:textId="01BD0DE5" w:rsidR="00FA7254" w:rsidRDefault="00FA7254" w:rsidP="001E1790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22"/>
          <w:szCs w:val="22"/>
        </w:rPr>
      </w:pPr>
    </w:p>
    <w:p w14:paraId="4CCAB1E7" w14:textId="554664F1" w:rsidR="00D476C8" w:rsidRPr="00D476C8" w:rsidRDefault="00D476C8" w:rsidP="001E1790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 w:rsidRPr="00D476C8">
        <w:rPr>
          <w:rFonts w:ascii="Arial" w:hAnsi="Arial" w:cs="Arial"/>
          <w:b/>
          <w:bCs/>
          <w:color w:val="000000"/>
          <w:sz w:val="22"/>
          <w:szCs w:val="22"/>
        </w:rPr>
        <w:t>K 2. členu</w:t>
      </w:r>
    </w:p>
    <w:p w14:paraId="236830F7" w14:textId="77777777" w:rsidR="00FA7254" w:rsidRDefault="001E1790" w:rsidP="001E1790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Sprememba</w:t>
      </w:r>
      <w:r w:rsidR="00FA7254">
        <w:rPr>
          <w:rFonts w:ascii="Arial" w:hAnsi="Arial" w:cs="Arial"/>
          <w:color w:val="000000"/>
          <w:sz w:val="22"/>
          <w:szCs w:val="22"/>
        </w:rPr>
        <w:t xml:space="preserve"> drugega </w:t>
      </w:r>
      <w:r w:rsidR="00FA7254" w:rsidRPr="003B7D0A">
        <w:rPr>
          <w:rFonts w:ascii="Arial" w:hAnsi="Arial" w:cs="Arial"/>
          <w:color w:val="000000"/>
          <w:sz w:val="22"/>
          <w:szCs w:val="22"/>
        </w:rPr>
        <w:t>odstav</w:t>
      </w:r>
      <w:r w:rsidR="00FA7254">
        <w:rPr>
          <w:rFonts w:ascii="Arial" w:hAnsi="Arial" w:cs="Arial"/>
          <w:color w:val="000000"/>
          <w:sz w:val="22"/>
          <w:szCs w:val="22"/>
        </w:rPr>
        <w:t>ka 21. člena</w:t>
      </w:r>
      <w:r>
        <w:rPr>
          <w:rFonts w:ascii="Arial" w:hAnsi="Arial" w:cs="Arial"/>
          <w:color w:val="000000"/>
          <w:sz w:val="22"/>
          <w:szCs w:val="22"/>
        </w:rPr>
        <w:t xml:space="preserve"> pravilnika</w:t>
      </w:r>
      <w:r w:rsidR="00FA7254" w:rsidRPr="003B7D0A">
        <w:rPr>
          <w:rFonts w:ascii="Arial" w:hAnsi="Arial" w:cs="Arial"/>
          <w:color w:val="000000"/>
          <w:sz w:val="22"/>
          <w:szCs w:val="22"/>
        </w:rPr>
        <w:t>:</w:t>
      </w:r>
    </w:p>
    <w:p w14:paraId="6F2B30B8" w14:textId="428376E0" w:rsidR="001E1790" w:rsidRDefault="00FA7254" w:rsidP="001E1790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22"/>
          <w:szCs w:val="22"/>
        </w:rPr>
      </w:pPr>
      <w:r w:rsidRPr="002300B6">
        <w:rPr>
          <w:rFonts w:ascii="Arial" w:hAnsi="Arial" w:cs="Arial"/>
          <w:color w:val="000000"/>
          <w:sz w:val="22"/>
          <w:szCs w:val="22"/>
        </w:rPr>
        <w:t xml:space="preserve">Drugi odstavek </w:t>
      </w:r>
      <w:r w:rsidR="0068250B">
        <w:rPr>
          <w:rFonts w:ascii="Arial" w:hAnsi="Arial" w:cs="Arial"/>
          <w:color w:val="000000"/>
          <w:sz w:val="22"/>
          <w:szCs w:val="22"/>
        </w:rPr>
        <w:t xml:space="preserve">21. člena pravilnika se </w:t>
      </w:r>
      <w:r w:rsidRPr="002300B6">
        <w:rPr>
          <w:rFonts w:ascii="Arial" w:hAnsi="Arial" w:cs="Arial"/>
          <w:color w:val="000000"/>
          <w:sz w:val="22"/>
          <w:szCs w:val="22"/>
        </w:rPr>
        <w:t xml:space="preserve">spreminja zato, </w:t>
      </w:r>
      <w:r>
        <w:rPr>
          <w:rFonts w:ascii="Arial" w:hAnsi="Arial" w:cs="Arial"/>
          <w:color w:val="000000"/>
          <w:sz w:val="22"/>
          <w:szCs w:val="22"/>
        </w:rPr>
        <w:t xml:space="preserve">ker so predvsem predstavniki cehovskih združenj, kar še posebej velja za </w:t>
      </w:r>
      <w:r w:rsidR="00890833">
        <w:rPr>
          <w:rFonts w:ascii="Arial" w:hAnsi="Arial" w:cs="Arial"/>
          <w:color w:val="000000"/>
          <w:sz w:val="22"/>
          <w:szCs w:val="22"/>
        </w:rPr>
        <w:t xml:space="preserve">člane </w:t>
      </w:r>
      <w:r>
        <w:rPr>
          <w:rFonts w:ascii="Arial" w:hAnsi="Arial" w:cs="Arial"/>
          <w:color w:val="000000"/>
          <w:sz w:val="22"/>
          <w:szCs w:val="22"/>
        </w:rPr>
        <w:t>IZS</w:t>
      </w:r>
      <w:r w:rsidR="001E1790">
        <w:rPr>
          <w:rFonts w:ascii="Arial" w:hAnsi="Arial" w:cs="Arial"/>
          <w:color w:val="000000"/>
          <w:sz w:val="22"/>
          <w:szCs w:val="22"/>
        </w:rPr>
        <w:t xml:space="preserve"> in ZAPS mnenja, da na trgu še </w:t>
      </w:r>
      <w:r w:rsidR="00890833">
        <w:rPr>
          <w:rFonts w:ascii="Arial" w:hAnsi="Arial" w:cs="Arial"/>
          <w:color w:val="000000"/>
          <w:sz w:val="22"/>
          <w:szCs w:val="22"/>
        </w:rPr>
        <w:t xml:space="preserve">vedno </w:t>
      </w:r>
      <w:r w:rsidR="001E1790">
        <w:rPr>
          <w:rFonts w:ascii="Arial" w:hAnsi="Arial" w:cs="Arial"/>
          <w:color w:val="000000"/>
          <w:sz w:val="22"/>
          <w:szCs w:val="22"/>
        </w:rPr>
        <w:t>ni na razpolago</w:t>
      </w:r>
      <w:r w:rsidR="00890833">
        <w:rPr>
          <w:rFonts w:ascii="Arial" w:hAnsi="Arial" w:cs="Arial"/>
          <w:color w:val="000000"/>
          <w:sz w:val="22"/>
          <w:szCs w:val="22"/>
        </w:rPr>
        <w:t xml:space="preserve"> splošno dostopno</w:t>
      </w:r>
      <w:r w:rsidR="001E1790">
        <w:rPr>
          <w:rFonts w:ascii="Arial" w:hAnsi="Arial" w:cs="Arial"/>
          <w:color w:val="000000"/>
          <w:sz w:val="22"/>
          <w:szCs w:val="22"/>
        </w:rPr>
        <w:t xml:space="preserve"> programsko orodje za določanje energijskih lastnosti stavb po </w:t>
      </w:r>
      <w:proofErr w:type="spellStart"/>
      <w:r w:rsidR="001E1790">
        <w:rPr>
          <w:rFonts w:ascii="Arial" w:hAnsi="Arial" w:cs="Arial"/>
          <w:color w:val="000000"/>
          <w:sz w:val="22"/>
          <w:szCs w:val="22"/>
        </w:rPr>
        <w:t>nestacionarni</w:t>
      </w:r>
      <w:proofErr w:type="spellEnd"/>
      <w:r w:rsidR="001E1790">
        <w:rPr>
          <w:rFonts w:ascii="Arial" w:hAnsi="Arial" w:cs="Arial"/>
          <w:color w:val="000000"/>
          <w:sz w:val="22"/>
          <w:szCs w:val="22"/>
        </w:rPr>
        <w:t xml:space="preserve"> (urni) metodi, ki j</w:t>
      </w:r>
      <w:r w:rsidR="00890833">
        <w:rPr>
          <w:rFonts w:ascii="Arial" w:hAnsi="Arial" w:cs="Arial"/>
          <w:color w:val="000000"/>
          <w:sz w:val="22"/>
          <w:szCs w:val="22"/>
        </w:rPr>
        <w:t>o</w:t>
      </w:r>
      <w:r w:rsidR="001E1790">
        <w:rPr>
          <w:rFonts w:ascii="Arial" w:hAnsi="Arial" w:cs="Arial"/>
          <w:color w:val="000000"/>
          <w:sz w:val="22"/>
          <w:szCs w:val="22"/>
        </w:rPr>
        <w:t xml:space="preserve"> za določanje energijskih lastnosti stavb določ</w:t>
      </w:r>
      <w:r w:rsidR="00890833">
        <w:rPr>
          <w:rFonts w:ascii="Arial" w:hAnsi="Arial" w:cs="Arial"/>
          <w:color w:val="000000"/>
          <w:sz w:val="22"/>
          <w:szCs w:val="22"/>
        </w:rPr>
        <w:t xml:space="preserve">a </w:t>
      </w:r>
      <w:r w:rsidR="001E1790">
        <w:rPr>
          <w:rFonts w:ascii="Arial" w:hAnsi="Arial" w:cs="Arial"/>
          <w:color w:val="000000"/>
          <w:sz w:val="22"/>
          <w:szCs w:val="22"/>
        </w:rPr>
        <w:t>pravilnik</w:t>
      </w:r>
      <w:r w:rsidR="00890833">
        <w:rPr>
          <w:rFonts w:ascii="Arial" w:hAnsi="Arial" w:cs="Arial"/>
          <w:color w:val="000000"/>
          <w:sz w:val="22"/>
          <w:szCs w:val="22"/>
        </w:rPr>
        <w:t>, oziroma EPB tehnični standardi določeni s mandatom EK M/480</w:t>
      </w:r>
      <w:r w:rsidR="001E1790">
        <w:rPr>
          <w:rFonts w:ascii="Arial" w:hAnsi="Arial" w:cs="Arial"/>
          <w:color w:val="000000"/>
          <w:sz w:val="22"/>
          <w:szCs w:val="22"/>
        </w:rPr>
        <w:t xml:space="preserve">. </w:t>
      </w:r>
    </w:p>
    <w:p w14:paraId="66F8FD80" w14:textId="2A4D9E9C" w:rsidR="00890833" w:rsidRDefault="0068250B" w:rsidP="001E1790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S spremembo pravilnika </w:t>
      </w:r>
      <w:r w:rsidR="00890833">
        <w:rPr>
          <w:rFonts w:ascii="Arial" w:hAnsi="Arial" w:cs="Arial"/>
          <w:color w:val="000000"/>
          <w:sz w:val="22"/>
          <w:szCs w:val="22"/>
        </w:rPr>
        <w:t xml:space="preserve">se za </w:t>
      </w:r>
      <w:r>
        <w:rPr>
          <w:rFonts w:ascii="Arial" w:hAnsi="Arial" w:cs="Arial"/>
          <w:color w:val="000000"/>
          <w:sz w:val="22"/>
          <w:szCs w:val="22"/>
        </w:rPr>
        <w:t xml:space="preserve">energetsko zahtevne stavbe za določanje energijskih lastnosti stavb za </w:t>
      </w:r>
      <w:r w:rsidR="00535EDD">
        <w:rPr>
          <w:rFonts w:ascii="Arial" w:hAnsi="Arial" w:cs="Arial"/>
          <w:color w:val="000000"/>
          <w:sz w:val="22"/>
          <w:szCs w:val="22"/>
        </w:rPr>
        <w:t>dve leti</w:t>
      </w:r>
      <w:r w:rsidR="00890833">
        <w:rPr>
          <w:rFonts w:ascii="Arial" w:hAnsi="Arial" w:cs="Arial"/>
          <w:color w:val="000000"/>
          <w:sz w:val="22"/>
          <w:szCs w:val="22"/>
        </w:rPr>
        <w:t xml:space="preserve"> podaljšuje </w:t>
      </w:r>
      <w:r w:rsidR="00FA7254">
        <w:rPr>
          <w:rFonts w:ascii="Arial" w:hAnsi="Arial" w:cs="Arial"/>
          <w:color w:val="000000"/>
          <w:sz w:val="22"/>
          <w:szCs w:val="22"/>
        </w:rPr>
        <w:t>prehodn</w:t>
      </w:r>
      <w:r>
        <w:rPr>
          <w:rFonts w:ascii="Arial" w:hAnsi="Arial" w:cs="Arial"/>
          <w:color w:val="000000"/>
          <w:sz w:val="22"/>
          <w:szCs w:val="22"/>
        </w:rPr>
        <w:t xml:space="preserve">o obdobje </w:t>
      </w:r>
      <w:r w:rsidR="00FA7254">
        <w:rPr>
          <w:rFonts w:ascii="Arial" w:hAnsi="Arial" w:cs="Arial"/>
          <w:color w:val="000000"/>
          <w:sz w:val="22"/>
          <w:szCs w:val="22"/>
        </w:rPr>
        <w:t>uporabe stacionarne – mesečne metode</w:t>
      </w:r>
      <w:r w:rsidR="00890833">
        <w:rPr>
          <w:rFonts w:ascii="Arial" w:hAnsi="Arial" w:cs="Arial"/>
          <w:color w:val="000000"/>
          <w:sz w:val="22"/>
          <w:szCs w:val="22"/>
        </w:rPr>
        <w:t>.</w:t>
      </w:r>
    </w:p>
    <w:p w14:paraId="7921FEAC" w14:textId="25EAC0B4" w:rsidR="00890833" w:rsidRDefault="0068250B" w:rsidP="001E1790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Tako bo </w:t>
      </w:r>
      <w:r w:rsidR="00890833">
        <w:rPr>
          <w:rFonts w:ascii="Arial" w:hAnsi="Arial" w:cs="Arial"/>
          <w:color w:val="000000"/>
          <w:sz w:val="22"/>
          <w:szCs w:val="22"/>
        </w:rPr>
        <w:t xml:space="preserve">na razpolago tudi </w:t>
      </w:r>
      <w:r w:rsidR="00FA7254">
        <w:rPr>
          <w:rFonts w:ascii="Arial" w:hAnsi="Arial" w:cs="Arial"/>
          <w:color w:val="000000"/>
          <w:sz w:val="22"/>
          <w:szCs w:val="22"/>
        </w:rPr>
        <w:t xml:space="preserve">čas, ki ga potrebujejo predvsem projektanti, da si pridobijo potrebno </w:t>
      </w:r>
      <w:r w:rsidR="00FA7254" w:rsidRPr="002300B6">
        <w:rPr>
          <w:rFonts w:ascii="Arial" w:hAnsi="Arial" w:cs="Arial"/>
          <w:color w:val="000000"/>
          <w:sz w:val="22"/>
          <w:szCs w:val="22"/>
        </w:rPr>
        <w:t>programsko opremo</w:t>
      </w:r>
      <w:r w:rsidR="00FA7254">
        <w:rPr>
          <w:rFonts w:ascii="Arial" w:hAnsi="Arial" w:cs="Arial"/>
          <w:color w:val="000000"/>
          <w:sz w:val="22"/>
          <w:szCs w:val="22"/>
        </w:rPr>
        <w:t xml:space="preserve"> za določanje kazalnikov energijske učinkovitosti </w:t>
      </w:r>
      <w:r w:rsidR="00FA7254" w:rsidRPr="002300B6">
        <w:rPr>
          <w:rFonts w:ascii="Arial" w:hAnsi="Arial" w:cs="Arial"/>
          <w:color w:val="000000"/>
          <w:sz w:val="22"/>
          <w:szCs w:val="22"/>
        </w:rPr>
        <w:t>energetsko</w:t>
      </w:r>
      <w:r w:rsidR="00FA7254">
        <w:rPr>
          <w:rFonts w:ascii="Arial" w:hAnsi="Arial" w:cs="Arial"/>
          <w:color w:val="000000"/>
          <w:sz w:val="22"/>
          <w:szCs w:val="22"/>
        </w:rPr>
        <w:t xml:space="preserve"> zahtevnih stavb po </w:t>
      </w:r>
      <w:proofErr w:type="spellStart"/>
      <w:r w:rsidR="00890833">
        <w:rPr>
          <w:rFonts w:ascii="Arial" w:hAnsi="Arial" w:cs="Arial"/>
          <w:color w:val="000000"/>
          <w:sz w:val="22"/>
          <w:szCs w:val="22"/>
        </w:rPr>
        <w:t>nestacionarni</w:t>
      </w:r>
      <w:proofErr w:type="spellEnd"/>
      <w:r w:rsidR="00890833">
        <w:rPr>
          <w:rFonts w:ascii="Arial" w:hAnsi="Arial" w:cs="Arial"/>
          <w:color w:val="000000"/>
          <w:sz w:val="22"/>
          <w:szCs w:val="22"/>
        </w:rPr>
        <w:t xml:space="preserve"> (</w:t>
      </w:r>
      <w:r w:rsidR="00FA7254">
        <w:rPr>
          <w:rFonts w:ascii="Arial" w:hAnsi="Arial" w:cs="Arial"/>
          <w:color w:val="000000"/>
          <w:sz w:val="22"/>
          <w:szCs w:val="22"/>
        </w:rPr>
        <w:t>urni</w:t>
      </w:r>
      <w:r w:rsidR="00890833">
        <w:rPr>
          <w:rFonts w:ascii="Arial" w:hAnsi="Arial" w:cs="Arial"/>
          <w:color w:val="000000"/>
          <w:sz w:val="22"/>
          <w:szCs w:val="22"/>
        </w:rPr>
        <w:t>)</w:t>
      </w:r>
      <w:r w:rsidR="00FA7254">
        <w:rPr>
          <w:rFonts w:ascii="Arial" w:hAnsi="Arial" w:cs="Arial"/>
          <w:color w:val="000000"/>
          <w:sz w:val="22"/>
          <w:szCs w:val="22"/>
        </w:rPr>
        <w:t xml:space="preserve"> metodi </w:t>
      </w:r>
      <w:r w:rsidR="00890833">
        <w:rPr>
          <w:rFonts w:ascii="Arial" w:hAnsi="Arial" w:cs="Arial"/>
          <w:color w:val="000000"/>
          <w:sz w:val="22"/>
          <w:szCs w:val="22"/>
        </w:rPr>
        <w:t>in pridobijo tudi potrebna znanja za</w:t>
      </w:r>
      <w:r>
        <w:rPr>
          <w:rFonts w:ascii="Arial" w:hAnsi="Arial" w:cs="Arial"/>
          <w:color w:val="000000"/>
          <w:sz w:val="22"/>
          <w:szCs w:val="22"/>
        </w:rPr>
        <w:t xml:space="preserve"> uporabo tega programskega orodja po </w:t>
      </w:r>
      <w:r w:rsidR="00890833">
        <w:rPr>
          <w:rFonts w:ascii="Arial" w:hAnsi="Arial" w:cs="Arial"/>
          <w:color w:val="000000"/>
          <w:sz w:val="22"/>
          <w:szCs w:val="22"/>
        </w:rPr>
        <w:t>novih EPB tehničnih standardih.</w:t>
      </w:r>
    </w:p>
    <w:p w14:paraId="28341142" w14:textId="6437C6D6" w:rsidR="00FA7254" w:rsidRDefault="00FA7254" w:rsidP="001E1790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22"/>
          <w:szCs w:val="22"/>
        </w:rPr>
      </w:pPr>
      <w:r w:rsidRPr="002300B6">
        <w:rPr>
          <w:rFonts w:ascii="Arial" w:hAnsi="Arial" w:cs="Arial"/>
          <w:color w:val="000000"/>
          <w:sz w:val="22"/>
          <w:szCs w:val="22"/>
        </w:rPr>
        <w:t xml:space="preserve">S </w:t>
      </w:r>
      <w:r>
        <w:rPr>
          <w:rFonts w:ascii="Arial" w:hAnsi="Arial" w:cs="Arial"/>
          <w:color w:val="000000"/>
          <w:sz w:val="22"/>
          <w:szCs w:val="22"/>
        </w:rPr>
        <w:t xml:space="preserve">to </w:t>
      </w:r>
      <w:r w:rsidRPr="002300B6">
        <w:rPr>
          <w:rFonts w:ascii="Arial" w:hAnsi="Arial" w:cs="Arial"/>
          <w:color w:val="000000"/>
          <w:sz w:val="22"/>
          <w:szCs w:val="22"/>
        </w:rPr>
        <w:t xml:space="preserve">spremembo </w:t>
      </w:r>
      <w:r>
        <w:rPr>
          <w:rFonts w:ascii="Arial" w:hAnsi="Arial" w:cs="Arial"/>
          <w:color w:val="000000"/>
          <w:sz w:val="22"/>
          <w:szCs w:val="22"/>
        </w:rPr>
        <w:t xml:space="preserve">pravilnika se ne posega </w:t>
      </w:r>
      <w:r w:rsidRPr="002300B6">
        <w:rPr>
          <w:rFonts w:ascii="Arial" w:hAnsi="Arial" w:cs="Arial"/>
          <w:color w:val="000000"/>
          <w:sz w:val="22"/>
          <w:szCs w:val="22"/>
        </w:rPr>
        <w:t xml:space="preserve">v </w:t>
      </w:r>
      <w:r>
        <w:rPr>
          <w:rFonts w:ascii="Arial" w:hAnsi="Arial" w:cs="Arial"/>
          <w:color w:val="000000"/>
          <w:sz w:val="22"/>
          <w:szCs w:val="22"/>
        </w:rPr>
        <w:t>določbe glede zahtevane energijske učinkovitosti stavb niti zahtevanega deleža OVE, oziroma zahteve za načrtovanje in gradnjo skoraj nič energijskih stavb.</w:t>
      </w:r>
      <w:r w:rsidR="0068250B">
        <w:rPr>
          <w:rFonts w:ascii="Arial" w:hAnsi="Arial" w:cs="Arial"/>
          <w:color w:val="000000"/>
          <w:sz w:val="22"/>
          <w:szCs w:val="22"/>
        </w:rPr>
        <w:t xml:space="preserve"> </w:t>
      </w:r>
    </w:p>
    <w:p w14:paraId="4AD3E2DF" w14:textId="77777777" w:rsidR="00D476C8" w:rsidRDefault="00D476C8" w:rsidP="001E1790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22"/>
          <w:szCs w:val="22"/>
        </w:rPr>
      </w:pPr>
    </w:p>
    <w:p w14:paraId="7086E5B8" w14:textId="0D92108B" w:rsidR="00F10BF0" w:rsidRDefault="00D476C8" w:rsidP="00FA7254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K 3. členu</w:t>
      </w:r>
    </w:p>
    <w:p w14:paraId="37916217" w14:textId="5F6CCBAB" w:rsidR="00D476C8" w:rsidRDefault="00D476C8" w:rsidP="00FA7254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53B329B8" w14:textId="46E134AE" w:rsidR="000F5133" w:rsidRPr="000F5133" w:rsidRDefault="000F5133" w:rsidP="000F5133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22"/>
          <w:szCs w:val="22"/>
        </w:rPr>
      </w:pPr>
      <w:r w:rsidRPr="000F5133">
        <w:rPr>
          <w:rFonts w:ascii="Arial" w:hAnsi="Arial" w:cs="Arial"/>
          <w:color w:val="000000"/>
          <w:sz w:val="22"/>
          <w:szCs w:val="22"/>
        </w:rPr>
        <w:t>P</w:t>
      </w:r>
      <w:r>
        <w:rPr>
          <w:rFonts w:ascii="Arial" w:hAnsi="Arial" w:cs="Arial"/>
          <w:color w:val="000000"/>
          <w:sz w:val="22"/>
          <w:szCs w:val="22"/>
        </w:rPr>
        <w:t xml:space="preserve">ravilnik </w:t>
      </w:r>
      <w:r w:rsidRPr="000F5133">
        <w:rPr>
          <w:rFonts w:ascii="Arial" w:hAnsi="Arial" w:cs="Arial"/>
          <w:color w:val="000000"/>
          <w:sz w:val="22"/>
          <w:szCs w:val="22"/>
        </w:rPr>
        <w:t>začne veljati naslednji dan po objavi v Uradnem listu Republike Slovenije.</w:t>
      </w:r>
      <w:r>
        <w:rPr>
          <w:rFonts w:ascii="Arial" w:hAnsi="Arial" w:cs="Arial"/>
          <w:color w:val="000000"/>
          <w:sz w:val="22"/>
          <w:szCs w:val="22"/>
        </w:rPr>
        <w:t xml:space="preserve"> Krajši </w:t>
      </w:r>
      <w:proofErr w:type="spellStart"/>
      <w:r w:rsidRPr="000F5133">
        <w:rPr>
          <w:rFonts w:ascii="Arial" w:hAnsi="Arial" w:cs="Arial"/>
          <w:i/>
          <w:iCs/>
          <w:color w:val="000000"/>
          <w:sz w:val="22"/>
          <w:szCs w:val="22"/>
        </w:rPr>
        <w:t>vacatio</w:t>
      </w:r>
      <w:proofErr w:type="spellEnd"/>
      <w:r w:rsidRPr="000F5133">
        <w:rPr>
          <w:rFonts w:ascii="Arial" w:hAnsi="Arial" w:cs="Arial"/>
          <w:i/>
          <w:iCs/>
          <w:color w:val="000000"/>
          <w:sz w:val="22"/>
          <w:szCs w:val="22"/>
        </w:rPr>
        <w:t xml:space="preserve"> </w:t>
      </w:r>
      <w:proofErr w:type="spellStart"/>
      <w:r w:rsidRPr="000F5133">
        <w:rPr>
          <w:rFonts w:ascii="Arial" w:hAnsi="Arial" w:cs="Arial"/>
          <w:i/>
          <w:iCs/>
          <w:color w:val="000000"/>
          <w:sz w:val="22"/>
          <w:szCs w:val="22"/>
        </w:rPr>
        <w:t>legis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je predpisan z razlogom, ker </w:t>
      </w:r>
      <w:r w:rsidRPr="000F5133">
        <w:rPr>
          <w:rFonts w:ascii="Arial" w:hAnsi="Arial" w:cs="Arial"/>
          <w:color w:val="000000"/>
          <w:sz w:val="22"/>
          <w:szCs w:val="22"/>
        </w:rPr>
        <w:t xml:space="preserve">mora biti </w:t>
      </w:r>
      <w:r w:rsidR="00763B0E">
        <w:rPr>
          <w:rFonts w:ascii="Arial" w:hAnsi="Arial" w:cs="Arial"/>
          <w:color w:val="000000"/>
          <w:sz w:val="22"/>
          <w:szCs w:val="22"/>
        </w:rPr>
        <w:t xml:space="preserve">pravilnik </w:t>
      </w:r>
      <w:r w:rsidRPr="000F5133">
        <w:rPr>
          <w:rFonts w:ascii="Arial" w:hAnsi="Arial" w:cs="Arial"/>
          <w:color w:val="000000"/>
          <w:sz w:val="22"/>
          <w:szCs w:val="22"/>
        </w:rPr>
        <w:t xml:space="preserve">sprejet in objavljen v letošnjem letu, </w:t>
      </w:r>
      <w:r w:rsidR="00763B0E">
        <w:rPr>
          <w:rFonts w:ascii="Arial" w:hAnsi="Arial" w:cs="Arial"/>
          <w:color w:val="000000"/>
          <w:sz w:val="22"/>
          <w:szCs w:val="22"/>
        </w:rPr>
        <w:t>saj</w:t>
      </w:r>
      <w:r w:rsidRPr="000F5133">
        <w:rPr>
          <w:rFonts w:ascii="Arial" w:hAnsi="Arial" w:cs="Arial"/>
          <w:color w:val="000000"/>
          <w:sz w:val="22"/>
          <w:szCs w:val="22"/>
        </w:rPr>
        <w:t xml:space="preserve"> je 21.</w:t>
      </w:r>
      <w:r w:rsidR="00763B0E">
        <w:rPr>
          <w:rFonts w:ascii="Arial" w:hAnsi="Arial" w:cs="Arial"/>
          <w:color w:val="000000"/>
          <w:sz w:val="22"/>
          <w:szCs w:val="22"/>
        </w:rPr>
        <w:t> </w:t>
      </w:r>
      <w:r w:rsidRPr="000F5133">
        <w:rPr>
          <w:rFonts w:ascii="Arial" w:hAnsi="Arial" w:cs="Arial"/>
          <w:color w:val="000000"/>
          <w:sz w:val="22"/>
          <w:szCs w:val="22"/>
        </w:rPr>
        <w:t xml:space="preserve">člen prehodna določba, ki bo sicer </w:t>
      </w:r>
      <w:r w:rsidR="00763B0E">
        <w:rPr>
          <w:rFonts w:ascii="Arial" w:hAnsi="Arial" w:cs="Arial"/>
          <w:color w:val="000000"/>
          <w:sz w:val="22"/>
          <w:szCs w:val="22"/>
        </w:rPr>
        <w:t xml:space="preserve">vsebinsko </w:t>
      </w:r>
      <w:r w:rsidRPr="000F5133">
        <w:rPr>
          <w:rFonts w:ascii="Arial" w:hAnsi="Arial" w:cs="Arial"/>
          <w:color w:val="000000"/>
          <w:sz w:val="22"/>
          <w:szCs w:val="22"/>
        </w:rPr>
        <w:t xml:space="preserve">konzumirana 1. </w:t>
      </w:r>
      <w:r w:rsidR="00763B0E">
        <w:rPr>
          <w:rFonts w:ascii="Arial" w:hAnsi="Arial" w:cs="Arial"/>
          <w:color w:val="000000"/>
          <w:sz w:val="22"/>
          <w:szCs w:val="22"/>
        </w:rPr>
        <w:t>januarja</w:t>
      </w:r>
      <w:r w:rsidRPr="000F5133">
        <w:rPr>
          <w:rFonts w:ascii="Arial" w:hAnsi="Arial" w:cs="Arial"/>
          <w:color w:val="000000"/>
          <w:sz w:val="22"/>
          <w:szCs w:val="22"/>
        </w:rPr>
        <w:t xml:space="preserve"> 2024 in </w:t>
      </w:r>
      <w:r w:rsidR="00763B0E">
        <w:rPr>
          <w:rFonts w:ascii="Arial" w:hAnsi="Arial" w:cs="Arial"/>
          <w:color w:val="000000"/>
          <w:sz w:val="22"/>
          <w:szCs w:val="22"/>
        </w:rPr>
        <w:t xml:space="preserve">zaprta za noveliranje. </w:t>
      </w:r>
    </w:p>
    <w:p w14:paraId="0227AE65" w14:textId="77777777" w:rsidR="00F10BF0" w:rsidRPr="000F5133" w:rsidRDefault="00F10BF0" w:rsidP="000F5133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22"/>
          <w:szCs w:val="22"/>
        </w:rPr>
      </w:pPr>
    </w:p>
    <w:p w14:paraId="475A178E" w14:textId="06D0F940" w:rsidR="00FA7254" w:rsidRDefault="00FA7254" w:rsidP="00FA7254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 w:rsidRPr="00AA6547">
        <w:rPr>
          <w:rFonts w:ascii="Arial" w:hAnsi="Arial" w:cs="Arial"/>
          <w:b/>
          <w:bCs/>
          <w:color w:val="000000"/>
          <w:sz w:val="22"/>
          <w:szCs w:val="22"/>
        </w:rPr>
        <w:t>Člen</w:t>
      </w:r>
      <w:r w:rsidR="0068250B">
        <w:rPr>
          <w:rFonts w:ascii="Arial" w:hAnsi="Arial" w:cs="Arial"/>
          <w:b/>
          <w:bCs/>
          <w:color w:val="000000"/>
          <w:sz w:val="22"/>
          <w:szCs w:val="22"/>
        </w:rPr>
        <w:t>i</w:t>
      </w:r>
      <w:r w:rsidRPr="00AA6547">
        <w:rPr>
          <w:rFonts w:ascii="Arial" w:hAnsi="Arial" w:cs="Arial"/>
          <w:b/>
          <w:bCs/>
          <w:color w:val="000000"/>
          <w:sz w:val="22"/>
          <w:szCs w:val="22"/>
        </w:rPr>
        <w:t xml:space="preserve"> v katere se posega</w:t>
      </w:r>
      <w:r w:rsidR="0068250B">
        <w:rPr>
          <w:rFonts w:ascii="Arial" w:hAnsi="Arial" w:cs="Arial"/>
          <w:b/>
          <w:bCs/>
          <w:color w:val="000000"/>
          <w:sz w:val="22"/>
          <w:szCs w:val="22"/>
        </w:rPr>
        <w:t xml:space="preserve"> s spremembami in dopolnitv</w:t>
      </w:r>
      <w:r w:rsidR="00D476C8">
        <w:rPr>
          <w:rFonts w:ascii="Arial" w:hAnsi="Arial" w:cs="Arial"/>
          <w:b/>
          <w:bCs/>
          <w:color w:val="000000"/>
          <w:sz w:val="22"/>
          <w:szCs w:val="22"/>
        </w:rPr>
        <w:t>ijo</w:t>
      </w:r>
      <w:r w:rsidR="0068250B">
        <w:rPr>
          <w:rFonts w:ascii="Arial" w:hAnsi="Arial" w:cs="Arial"/>
          <w:b/>
          <w:bCs/>
          <w:color w:val="000000"/>
          <w:sz w:val="22"/>
          <w:szCs w:val="22"/>
        </w:rPr>
        <w:t xml:space="preserve"> pravilnika</w:t>
      </w:r>
      <w:r w:rsidRPr="00AA6547">
        <w:rPr>
          <w:rFonts w:ascii="Arial" w:hAnsi="Arial" w:cs="Arial"/>
          <w:b/>
          <w:bCs/>
          <w:color w:val="000000"/>
          <w:sz w:val="22"/>
          <w:szCs w:val="22"/>
        </w:rPr>
        <w:t>:</w:t>
      </w:r>
    </w:p>
    <w:p w14:paraId="66468BA3" w14:textId="77777777" w:rsidR="00934AE2" w:rsidRDefault="00934AE2" w:rsidP="00FA7254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3B67D005" w14:textId="3CB8B40B" w:rsidR="00934AE2" w:rsidRPr="00934AE2" w:rsidRDefault="00934AE2" w:rsidP="00934AE2">
      <w:pPr>
        <w:autoSpaceDE w:val="0"/>
        <w:autoSpaceDN w:val="0"/>
        <w:adjustRightInd w:val="0"/>
        <w:jc w:val="center"/>
        <w:rPr>
          <w:rFonts w:ascii="Arial" w:hAnsi="Arial" w:cs="Arial"/>
          <w:bCs/>
          <w:color w:val="000000"/>
          <w:sz w:val="22"/>
          <w:szCs w:val="22"/>
        </w:rPr>
      </w:pPr>
      <w:r w:rsidRPr="00934AE2">
        <w:rPr>
          <w:rFonts w:ascii="Arial" w:hAnsi="Arial" w:cs="Arial"/>
          <w:bCs/>
          <w:color w:val="000000"/>
          <w:sz w:val="22"/>
          <w:szCs w:val="22"/>
        </w:rPr>
        <w:t>2. člen</w:t>
      </w:r>
    </w:p>
    <w:p w14:paraId="18A4278F" w14:textId="77777777" w:rsidR="00934AE2" w:rsidRDefault="00934AE2" w:rsidP="00934AE2">
      <w:pPr>
        <w:autoSpaceDE w:val="0"/>
        <w:autoSpaceDN w:val="0"/>
        <w:adjustRightInd w:val="0"/>
        <w:jc w:val="center"/>
        <w:rPr>
          <w:rFonts w:ascii="Arial" w:hAnsi="Arial" w:cs="Arial"/>
          <w:bCs/>
          <w:color w:val="000000"/>
          <w:sz w:val="22"/>
          <w:szCs w:val="22"/>
        </w:rPr>
      </w:pPr>
      <w:r w:rsidRPr="00934AE2">
        <w:rPr>
          <w:rFonts w:ascii="Arial" w:hAnsi="Arial" w:cs="Arial"/>
          <w:bCs/>
          <w:color w:val="000000"/>
          <w:sz w:val="22"/>
          <w:szCs w:val="22"/>
        </w:rPr>
        <w:t>(izrazi)</w:t>
      </w:r>
    </w:p>
    <w:p w14:paraId="5834EA19" w14:textId="77777777" w:rsidR="00841B5A" w:rsidRDefault="00841B5A" w:rsidP="00841B5A">
      <w:pPr>
        <w:pStyle w:val="odstavek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(1) Izrazi, uporabljeni v tem pravilniku, pomenijo:</w:t>
      </w:r>
    </w:p>
    <w:p w14:paraId="0105AEC8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lastRenderedPageBreak/>
        <w:t>1.</w:t>
      </w:r>
      <w:r>
        <w:rPr>
          <w:color w:val="000000"/>
          <w:sz w:val="14"/>
          <w:szCs w:val="14"/>
        </w:rPr>
        <w:t>      </w:t>
      </w:r>
      <w:r>
        <w:rPr>
          <w:rFonts w:ascii="Arial" w:hAnsi="Arial" w:cs="Arial"/>
          <w:color w:val="000000"/>
          <w:sz w:val="22"/>
          <w:szCs w:val="22"/>
        </w:rPr>
        <w:t>adaptivni modeli parametrov notranjega okolja so algoritmi, s katerimi se spremenljivke notranjega okolja v stavbi prilagodijo letnim časom ali specifičnim lastnostim uporabnikov stavb;</w:t>
      </w:r>
    </w:p>
    <w:p w14:paraId="520EDF22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2.</w:t>
      </w:r>
      <w:r>
        <w:rPr>
          <w:color w:val="000000"/>
          <w:sz w:val="14"/>
          <w:szCs w:val="14"/>
        </w:rPr>
        <w:t>      </w:t>
      </w:r>
      <w:r>
        <w:rPr>
          <w:rFonts w:ascii="Arial" w:hAnsi="Arial" w:cs="Arial"/>
          <w:color w:val="000000"/>
          <w:sz w:val="22"/>
          <w:szCs w:val="22"/>
        </w:rPr>
        <w:t xml:space="preserve">celovita energetska prenova stavbe pomeni izvedbo del in ukrepov, s katerimi se zagotovi energetska prenova toplotnega ovoja stavbe in TSS tako, da so dosežene zahteve tega pravilnika oziroma zahteve za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sNES</w:t>
      </w:r>
      <w:proofErr w:type="spellEnd"/>
      <w:r>
        <w:rPr>
          <w:rFonts w:ascii="Arial" w:hAnsi="Arial" w:cs="Arial"/>
          <w:color w:val="000000"/>
          <w:sz w:val="22"/>
          <w:szCs w:val="22"/>
        </w:rPr>
        <w:t>;</w:t>
      </w:r>
    </w:p>
    <w:p w14:paraId="1F930933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3.</w:t>
      </w:r>
      <w:r>
        <w:rPr>
          <w:color w:val="000000"/>
          <w:sz w:val="14"/>
          <w:szCs w:val="14"/>
        </w:rPr>
        <w:t>      </w:t>
      </w:r>
      <w:r>
        <w:rPr>
          <w:rFonts w:ascii="Arial" w:hAnsi="Arial" w:cs="Arial"/>
          <w:color w:val="000000"/>
          <w:sz w:val="22"/>
          <w:szCs w:val="22"/>
        </w:rPr>
        <w:t>delna energetska prenova stavbe pomeni izvedbo posameznih ukrepov na ovoju stavbe ali TSS, da se poveča energijska učinkovitost stavbe tako, da so dosežene zahteve tega pravilnika oziroma zahteve delnih kazalnikov;</w:t>
      </w:r>
    </w:p>
    <w:p w14:paraId="66D4B368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4.</w:t>
      </w:r>
      <w:r>
        <w:rPr>
          <w:color w:val="000000"/>
          <w:sz w:val="14"/>
          <w:szCs w:val="14"/>
        </w:rPr>
        <w:t>      </w:t>
      </w:r>
      <w:r>
        <w:rPr>
          <w:rFonts w:ascii="Arial" w:hAnsi="Arial" w:cs="Arial"/>
          <w:color w:val="000000"/>
          <w:sz w:val="22"/>
          <w:szCs w:val="22"/>
        </w:rPr>
        <w:t>elementi stavbe so gradniki toplotnega ovoja stavbe (npr. fasada, okna, streha) in gradniki TSS (npr. inštalacije, generator toplote, sprejemnik sončne energije);</w:t>
      </w:r>
    </w:p>
    <w:p w14:paraId="08F37A5F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5.</w:t>
      </w:r>
      <w:r>
        <w:rPr>
          <w:color w:val="000000"/>
          <w:sz w:val="14"/>
          <w:szCs w:val="14"/>
        </w:rPr>
        <w:t>      </w:t>
      </w:r>
      <w:r>
        <w:rPr>
          <w:rFonts w:ascii="Arial" w:hAnsi="Arial" w:cs="Arial"/>
          <w:color w:val="000000"/>
          <w:sz w:val="22"/>
          <w:szCs w:val="22"/>
        </w:rPr>
        <w:t>energetska cona (v nadaljnjem besedilu: cona) je del stavbe z enim ali več prostori, v katerih se zagotavlja enako stanje notranjega okolja, imajo skupne TSS, veljajo enaki pogoji rabe in jo je treba z vidika energijske učinkovitosti stavbe presoditi ločeno od drugih delov stavbe;</w:t>
      </w:r>
    </w:p>
    <w:p w14:paraId="7FAA3CF7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6.</w:t>
      </w:r>
      <w:r>
        <w:rPr>
          <w:color w:val="000000"/>
          <w:sz w:val="14"/>
          <w:szCs w:val="14"/>
        </w:rPr>
        <w:t>      </w:t>
      </w:r>
      <w:r>
        <w:rPr>
          <w:rFonts w:ascii="Arial" w:hAnsi="Arial" w:cs="Arial"/>
          <w:color w:val="000000"/>
          <w:sz w:val="22"/>
          <w:szCs w:val="22"/>
        </w:rPr>
        <w:t xml:space="preserve">energetsko manj zahtevne stavbe so stavbe s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kondicionirano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površino, večjo ali enako 50 m</w:t>
      </w:r>
      <w:r>
        <w:rPr>
          <w:rFonts w:ascii="Arial" w:hAnsi="Arial" w:cs="Arial"/>
          <w:color w:val="000000"/>
          <w:sz w:val="16"/>
          <w:szCs w:val="16"/>
          <w:vertAlign w:val="superscript"/>
        </w:rPr>
        <w:t>2</w:t>
      </w:r>
      <w:r>
        <w:rPr>
          <w:rFonts w:ascii="Arial" w:hAnsi="Arial" w:cs="Arial"/>
          <w:color w:val="000000"/>
          <w:sz w:val="22"/>
          <w:szCs w:val="22"/>
        </w:rPr>
        <w:t> in manjšo od 500 m</w:t>
      </w:r>
      <w:r>
        <w:rPr>
          <w:rFonts w:ascii="Arial" w:hAnsi="Arial" w:cs="Arial"/>
          <w:color w:val="000000"/>
          <w:sz w:val="16"/>
          <w:szCs w:val="16"/>
          <w:vertAlign w:val="superscript"/>
        </w:rPr>
        <w:t>2</w:t>
      </w:r>
      <w:r>
        <w:rPr>
          <w:rFonts w:ascii="Arial" w:hAnsi="Arial" w:cs="Arial"/>
          <w:color w:val="000000"/>
          <w:sz w:val="22"/>
          <w:szCs w:val="22"/>
        </w:rPr>
        <w:t xml:space="preserve">, med energetsko manj zahtevne stavbe spadajo tudi večstanovanjske stavbe in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nestanovanjske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stavbe z uporabno površino, večjo ali enako 500 m</w:t>
      </w:r>
      <w:r>
        <w:rPr>
          <w:rFonts w:ascii="Arial" w:hAnsi="Arial" w:cs="Arial"/>
          <w:color w:val="000000"/>
          <w:sz w:val="16"/>
          <w:szCs w:val="16"/>
          <w:vertAlign w:val="superscript"/>
        </w:rPr>
        <w:t>2</w:t>
      </w:r>
      <w:r>
        <w:rPr>
          <w:rFonts w:ascii="Arial" w:hAnsi="Arial" w:cs="Arial"/>
          <w:color w:val="000000"/>
          <w:sz w:val="22"/>
          <w:szCs w:val="22"/>
        </w:rPr>
        <w:t>, če imajo posamezni deli stavb samostojne in neodvisne TSS;</w:t>
      </w:r>
    </w:p>
    <w:p w14:paraId="40F1C13F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7.</w:t>
      </w:r>
      <w:r>
        <w:rPr>
          <w:color w:val="000000"/>
          <w:sz w:val="14"/>
          <w:szCs w:val="14"/>
        </w:rPr>
        <w:t>      </w:t>
      </w:r>
      <w:r>
        <w:rPr>
          <w:rFonts w:ascii="Arial" w:hAnsi="Arial" w:cs="Arial"/>
          <w:color w:val="000000"/>
          <w:sz w:val="22"/>
          <w:szCs w:val="22"/>
        </w:rPr>
        <w:t xml:space="preserve">energetsko nezahtevne stavbe so stavbe s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kondicionirano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površino, manjšo od 50 m</w:t>
      </w:r>
      <w:r>
        <w:rPr>
          <w:rFonts w:ascii="Arial" w:hAnsi="Arial" w:cs="Arial"/>
          <w:color w:val="000000"/>
          <w:sz w:val="16"/>
          <w:szCs w:val="16"/>
          <w:vertAlign w:val="superscript"/>
        </w:rPr>
        <w:t>2</w:t>
      </w:r>
      <w:r>
        <w:rPr>
          <w:rFonts w:ascii="Arial" w:hAnsi="Arial" w:cs="Arial"/>
          <w:color w:val="000000"/>
          <w:sz w:val="22"/>
          <w:szCs w:val="22"/>
        </w:rPr>
        <w:t>;</w:t>
      </w:r>
    </w:p>
    <w:p w14:paraId="158F6EEC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8.</w:t>
      </w:r>
      <w:r>
        <w:rPr>
          <w:color w:val="000000"/>
          <w:sz w:val="14"/>
          <w:szCs w:val="14"/>
        </w:rPr>
        <w:t>      </w:t>
      </w:r>
      <w:r>
        <w:rPr>
          <w:rFonts w:ascii="Arial" w:hAnsi="Arial" w:cs="Arial"/>
          <w:color w:val="000000"/>
          <w:sz w:val="22"/>
          <w:szCs w:val="22"/>
        </w:rPr>
        <w:t xml:space="preserve">energetsko zahtevne stavbe so stavbe, ki ne spadajo v energetsko nezahtevne ali manj zahtevne stavbe in za katere se energijske lastnosti stavbe določijo z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nestacionarnim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modeliranjem;</w:t>
      </w:r>
    </w:p>
    <w:p w14:paraId="3A9F0FD4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9.</w:t>
      </w:r>
      <w:r>
        <w:rPr>
          <w:color w:val="000000"/>
          <w:sz w:val="14"/>
          <w:szCs w:val="14"/>
        </w:rPr>
        <w:t>      </w:t>
      </w:r>
      <w:r>
        <w:rPr>
          <w:rFonts w:ascii="Arial" w:hAnsi="Arial" w:cs="Arial"/>
          <w:color w:val="000000"/>
          <w:sz w:val="22"/>
          <w:szCs w:val="22"/>
        </w:rPr>
        <w:t xml:space="preserve">energijska učinkovitost stavbe je z izračunanimi kazalniki energijske učinkovitosti stavbe opredeljena količina potrebne energije za zagotavljanje notranjega ugodja s toplotnim ovojem in TSS (ogrevanje, hlajenje, prezračevanje in klimatizacija, vključno z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navlaževanjem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ali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razvlaževanjem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zraka, pripravo TSV in razsvetljavo) in potrebno skupno primarno energijo za delovanje teh sistemov;</w:t>
      </w:r>
    </w:p>
    <w:p w14:paraId="032F056C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10.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>energetski sistemi v, na, ob stavbi ali v neposredni bližini stavbe so energetski sistemi, s katerimi se stavba oskrbuje z energenti. Za energetske sisteme v neposredni bližini stavbe se štejejo tudi sistemi daljinskega ogrevanja, sistemi daljinskega hlajenja, energetski sistemi za proizvodnjo električne energije, ki so priključeni na isto transformatorsko postajo kot stavba, ipd.;</w:t>
      </w:r>
    </w:p>
    <w:p w14:paraId="3DEFA5B3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11.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>faktor oblike stavbe je razmerje med zunanjo površino toplotnega ovoja stavbe in bruto prostornino stavbe znotraj toplotnega ovoja stavbe;</w:t>
      </w:r>
    </w:p>
    <w:p w14:paraId="2DB496FA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12.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>kakovost notranjega okolja (IEQ) je z razredi od I do IV po standardu SIST EN 16798 - 1 opredeljena kakovost notranjega okolja, ki vključuje tudi spremenljivke, pomembne za toplotno ugodje, kakovost notranjega zraka in osvetlitev;</w:t>
      </w:r>
    </w:p>
    <w:p w14:paraId="0410C23A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13.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>kazalnik energijske učinkovitosti stavbe je podatek, s katerim se podaja energijska učinkovitost stavbe;</w:t>
      </w:r>
    </w:p>
    <w:p w14:paraId="11F7D08A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14.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>kazalnik pripravljenosti na pametne sisteme (v nadaljnjem besedilu: SRI) pomeni kazalnik, ki podaja informacije o razvrstitvi stavbe ali njenega posameznega dela glede na pripravljenost na pametne sisteme v skladu s slovenskimi predpisi in 8. členom Direktive 2010/31/EU;</w:t>
      </w:r>
    </w:p>
    <w:p w14:paraId="6B07EAB6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15.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>končna (dovedena) energija je energija, dovedena v stavbo ali proizvedena na ali v stavbi, ki je potrebna za delovanje TSS;</w:t>
      </w:r>
    </w:p>
    <w:p w14:paraId="29C44B3E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16.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>kompenzacijski faktor je številčna konstanta, s katero neizpolnjevanje enega kazalnika energijske učinkovitosti stavbe zaradi arhitekturne zasnove ali tehnične neizvedljivosti posameznega ukrepa nadomestimo z ostrejšo zahtevo drugega kazalnika energijske učinkovitosti stavbe;</w:t>
      </w:r>
    </w:p>
    <w:p w14:paraId="6A875E91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17.</w:t>
      </w:r>
      <w:r>
        <w:rPr>
          <w:color w:val="000000"/>
          <w:sz w:val="14"/>
          <w:szCs w:val="14"/>
        </w:rPr>
        <w:t>   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kondicionirana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površina stavbe je površina stavbe znotraj toplotnega ovoja stavbe, kjer je treba s TSS zagotoviti zahtevano ali načrtovano notranje ugodje za bivanje ali delo in je opredeljena v SIST EN ISO 52000-1;</w:t>
      </w:r>
    </w:p>
    <w:p w14:paraId="6643C0BB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lastRenderedPageBreak/>
        <w:t>18.</w:t>
      </w:r>
      <w:r>
        <w:rPr>
          <w:color w:val="000000"/>
          <w:sz w:val="14"/>
          <w:szCs w:val="14"/>
        </w:rPr>
        <w:t>   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kondicionirana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prostornina stavbe je prostornina stavbe, ki je znotraj toplotnega ovoja stavbe;</w:t>
      </w:r>
    </w:p>
    <w:p w14:paraId="5045C0E4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19.</w:t>
      </w:r>
      <w:r>
        <w:rPr>
          <w:color w:val="000000"/>
          <w:sz w:val="14"/>
          <w:szCs w:val="14"/>
        </w:rPr>
        <w:t>   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kondicionirana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stavba je stavba ali njen posamezni del, v kateri je treba s TSS zagotavljati primerne notranje pogoje, je stavba ali njen posamezni del, v katerem je treba s TSS zagotoviti parametre notranjega okolja vsaj razreda kakovosti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IEQ</w:t>
      </w:r>
      <w:r>
        <w:rPr>
          <w:rFonts w:ascii="Arial" w:hAnsi="Arial" w:cs="Arial"/>
          <w:color w:val="000000"/>
          <w:sz w:val="22"/>
          <w:szCs w:val="22"/>
          <w:vertAlign w:val="subscript"/>
        </w:rPr>
        <w:t>II</w:t>
      </w:r>
      <w:r>
        <w:rPr>
          <w:rFonts w:ascii="Arial" w:hAnsi="Arial" w:cs="Arial"/>
          <w:color w:val="000000"/>
          <w:sz w:val="22"/>
          <w:szCs w:val="22"/>
        </w:rPr>
        <w:t>,ki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so opredeljeni z upoštevanjem načina in pogojev uporabe stavbe;</w:t>
      </w:r>
    </w:p>
    <w:p w14:paraId="1F05C771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20.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>korekcijski faktor je številčna konstanta, s katero se prilagodi minimalna zahteva kazalnika energijske učinkovitosti stroškovni upravičenosti ali tehnični izvedljivosti, doseganjem energetskih in okoljskih ciljev;</w:t>
      </w:r>
    </w:p>
    <w:p w14:paraId="3BC10102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21.</w:t>
      </w:r>
      <w:r>
        <w:rPr>
          <w:color w:val="000000"/>
          <w:sz w:val="14"/>
          <w:szCs w:val="14"/>
        </w:rPr>
        <w:t>   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nestacionarno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modeliranje je način izračuna energijskih tokov, ki temelji na časovno spreminjajočih robnih pogojih in časovno spreminjajočem načinu uporabe stavbe;</w:t>
      </w:r>
    </w:p>
    <w:p w14:paraId="76508416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22.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>notranja bremena so toplotni in snovni tokovi, ki jih oddajajo notranji viri v stavbi in vplivajo na rabo energije TSS;</w:t>
      </w:r>
    </w:p>
    <w:p w14:paraId="09E84272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23.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>občutena temperatura je temperatura notranjega okolja, opredeljena kot rezultanta temperature zraka in srednje sevalne temperature; je temperatura, pri kateri se določi potrebna toplota za ogrevanje in hlajenje;</w:t>
      </w:r>
    </w:p>
    <w:p w14:paraId="2E49CC08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24.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>oddaljeni energetski sistemi so energetski sistemi, ki niso razvrščeni med TSS v, na, ob stavbi ali v njeni neposredni bližini;</w:t>
      </w:r>
    </w:p>
    <w:p w14:paraId="602526B8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25.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>ovoj stavbe so deli stavbe, ki ločujejo notranjost stavbe in zunanje okolje;</w:t>
      </w:r>
    </w:p>
    <w:p w14:paraId="0C4B5C8E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26.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>pogoji notranjega okolja je stanje spremenljivk notranjega okolja, ki jih je treba zagotoviti v stavbi s TSS in zaradi katerih se porablja energija;</w:t>
      </w:r>
    </w:p>
    <w:p w14:paraId="422A62CA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27.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 xml:space="preserve">poenostavljeno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nestacionarno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modeliranje je metoda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nestacionarnega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modeliranja, v kateri se dinamični prenos toplote skozi sestavne elemente toplotnega ovoja stavbe vrednoti poenostavljeno;</w:t>
      </w:r>
    </w:p>
    <w:p w14:paraId="6F1CC9DA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28.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>postopna energetska prenova stavb je izvedba posameznih ukrepov, s katerimi se zagotavlja večja energijska učinkovitost stavbe v več fazah;</w:t>
      </w:r>
    </w:p>
    <w:p w14:paraId="3E78B4AB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29.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>potrebna energija za stavbo je potrebna energija za zagotavljanje potrebnih pogojev notranjega okolja brez upoštevanja energijske učinkovitosti TSS in vrste energentov za njihovo delovanje;</w:t>
      </w:r>
    </w:p>
    <w:p w14:paraId="37B7E35B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30.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>primarna energija je energija obnovljivih in neobnovljivih naravnih virov pred katerokoli energijsko pretvorbo:</w:t>
      </w:r>
    </w:p>
    <w:p w14:paraId="2499EEBB" w14:textId="77777777" w:rsidR="00841B5A" w:rsidRDefault="00841B5A" w:rsidP="00841B5A">
      <w:pPr>
        <w:pStyle w:val="alineazatevilnotoko"/>
        <w:shd w:val="clear" w:color="auto" w:fill="FFFFFF"/>
        <w:spacing w:before="0" w:beforeAutospacing="0" w:after="0" w:afterAutospacing="0"/>
        <w:ind w:left="567" w:hanging="142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-</w:t>
      </w:r>
      <w:r>
        <w:rPr>
          <w:color w:val="000000"/>
          <w:sz w:val="14"/>
          <w:szCs w:val="14"/>
        </w:rPr>
        <w:t>  </w:t>
      </w:r>
      <w:r>
        <w:rPr>
          <w:rFonts w:ascii="Arial" w:hAnsi="Arial" w:cs="Arial"/>
          <w:color w:val="000000"/>
          <w:sz w:val="22"/>
          <w:szCs w:val="22"/>
        </w:rPr>
        <w:t>skupna primarna energija za delovanje TSS (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E</w:t>
      </w:r>
      <w:r>
        <w:rPr>
          <w:rFonts w:ascii="Arial" w:hAnsi="Arial" w:cs="Arial"/>
          <w:color w:val="000000"/>
          <w:sz w:val="22"/>
          <w:szCs w:val="22"/>
          <w:vertAlign w:val="subscript"/>
        </w:rPr>
        <w:t>Ptot,an</w:t>
      </w:r>
      <w:proofErr w:type="spellEnd"/>
      <w:r>
        <w:rPr>
          <w:rFonts w:ascii="Arial" w:hAnsi="Arial" w:cs="Arial"/>
          <w:color w:val="000000"/>
          <w:sz w:val="22"/>
          <w:szCs w:val="22"/>
        </w:rPr>
        <w:t>) na leto je skupna primarna energija obnovljivega in neobnovljivega dela energentov, ki je potrebna za delovanje TSS v enem letu;</w:t>
      </w:r>
    </w:p>
    <w:p w14:paraId="40683926" w14:textId="77777777" w:rsidR="00841B5A" w:rsidRDefault="00841B5A" w:rsidP="00841B5A">
      <w:pPr>
        <w:pStyle w:val="alineazatevilnotoko"/>
        <w:shd w:val="clear" w:color="auto" w:fill="FFFFFF"/>
        <w:spacing w:before="0" w:beforeAutospacing="0" w:after="0" w:afterAutospacing="0"/>
        <w:ind w:left="567" w:hanging="142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-</w:t>
      </w:r>
      <w:r>
        <w:rPr>
          <w:color w:val="000000"/>
          <w:sz w:val="14"/>
          <w:szCs w:val="14"/>
        </w:rPr>
        <w:t>  </w:t>
      </w:r>
      <w:r>
        <w:rPr>
          <w:rFonts w:ascii="Arial" w:hAnsi="Arial" w:cs="Arial"/>
          <w:color w:val="000000"/>
          <w:sz w:val="22"/>
          <w:szCs w:val="22"/>
        </w:rPr>
        <w:t>neobnovljiva primarna energija za delovanje TSS (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E</w:t>
      </w:r>
      <w:r>
        <w:rPr>
          <w:rFonts w:ascii="Arial" w:hAnsi="Arial" w:cs="Arial"/>
          <w:color w:val="000000"/>
          <w:sz w:val="22"/>
          <w:szCs w:val="22"/>
          <w:vertAlign w:val="subscript"/>
        </w:rPr>
        <w:t>Pnren,an</w:t>
      </w:r>
      <w:proofErr w:type="spellEnd"/>
      <w:r>
        <w:rPr>
          <w:rFonts w:ascii="Arial" w:hAnsi="Arial" w:cs="Arial"/>
          <w:color w:val="000000"/>
          <w:sz w:val="22"/>
          <w:szCs w:val="22"/>
        </w:rPr>
        <w:t>) na leto je primarna energija neobnovljivih energentov ali neobnovljivega dela energentov, ki je potrebna za delovanje TSS v enem letu;</w:t>
      </w:r>
    </w:p>
    <w:p w14:paraId="79655000" w14:textId="77777777" w:rsidR="00841B5A" w:rsidRDefault="00841B5A" w:rsidP="00841B5A">
      <w:pPr>
        <w:pStyle w:val="alineazatevilnotoko"/>
        <w:shd w:val="clear" w:color="auto" w:fill="FFFFFF"/>
        <w:spacing w:before="0" w:beforeAutospacing="0" w:after="0" w:afterAutospacing="0"/>
        <w:ind w:left="567" w:hanging="142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-</w:t>
      </w:r>
      <w:r>
        <w:rPr>
          <w:color w:val="000000"/>
          <w:sz w:val="14"/>
          <w:szCs w:val="14"/>
        </w:rPr>
        <w:t>  </w:t>
      </w:r>
      <w:r>
        <w:rPr>
          <w:rFonts w:ascii="Arial" w:hAnsi="Arial" w:cs="Arial"/>
          <w:color w:val="000000"/>
          <w:sz w:val="22"/>
          <w:szCs w:val="22"/>
        </w:rPr>
        <w:t>obnovljiva primarna energija za delovanje TSS (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E</w:t>
      </w:r>
      <w:r>
        <w:rPr>
          <w:rFonts w:ascii="Arial" w:hAnsi="Arial" w:cs="Arial"/>
          <w:color w:val="000000"/>
          <w:sz w:val="22"/>
          <w:szCs w:val="22"/>
          <w:vertAlign w:val="subscript"/>
        </w:rPr>
        <w:t>Pren,an</w:t>
      </w:r>
      <w:proofErr w:type="spellEnd"/>
      <w:r>
        <w:rPr>
          <w:rFonts w:ascii="Arial" w:hAnsi="Arial" w:cs="Arial"/>
          <w:color w:val="000000"/>
          <w:sz w:val="22"/>
          <w:szCs w:val="22"/>
        </w:rPr>
        <w:t>) na leto je primarna energija obnovljivih ali obnovljivega dela energentov, ki je potrebna za delovanje TSS v enem letu;</w:t>
      </w:r>
    </w:p>
    <w:p w14:paraId="3EBB111A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31.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>razmernik OVE (v nadaljnjem besedilu: ROVE) je v odstotkih izraženo razmerje med potrebno obnovljivo primarno energijo energentov, proizvedenih v, na, ob stavbi ali v njeni neposredni bližini ali dovedenih v stavbo iz oddaljenih sistemov, glede na skupno potrebno primarno energijo za delovanje TSS v enem letu;</w:t>
      </w:r>
    </w:p>
    <w:p w14:paraId="298BEB16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32.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>razmernik odvedene toplote za hlajenje (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</w:t>
      </w:r>
      <w:r>
        <w:rPr>
          <w:rFonts w:ascii="Arial" w:hAnsi="Arial" w:cs="Arial"/>
          <w:color w:val="000000"/>
          <w:sz w:val="22"/>
          <w:szCs w:val="22"/>
          <w:vertAlign w:val="subscript"/>
        </w:rPr>
        <w:t>nd</w:t>
      </w:r>
      <w:proofErr w:type="spellEnd"/>
      <w:r>
        <w:rPr>
          <w:rFonts w:ascii="Arial" w:hAnsi="Arial" w:cs="Arial"/>
          <w:color w:val="000000"/>
          <w:sz w:val="22"/>
          <w:szCs w:val="22"/>
        </w:rPr>
        <w:t>) je razmernik med potrebno odvedeno toploto za hlajenje obravnavane stavbe in potrebno odvedeno toploto za hlajenje referenčne stavbe;</w:t>
      </w:r>
    </w:p>
    <w:p w14:paraId="77C68042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33.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>razmernik dovedene toplote za ogrevanje (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H</w:t>
      </w:r>
      <w:r>
        <w:rPr>
          <w:rFonts w:ascii="Arial" w:hAnsi="Arial" w:cs="Arial"/>
          <w:color w:val="000000"/>
          <w:sz w:val="22"/>
          <w:szCs w:val="22"/>
          <w:vertAlign w:val="subscript"/>
        </w:rPr>
        <w:t>nd</w:t>
      </w:r>
      <w:proofErr w:type="spellEnd"/>
      <w:r>
        <w:rPr>
          <w:rFonts w:ascii="Arial" w:hAnsi="Arial" w:cs="Arial"/>
          <w:color w:val="000000"/>
          <w:sz w:val="22"/>
          <w:szCs w:val="22"/>
        </w:rPr>
        <w:t>) je razmerje med potrebno dovedeno toploto za ogrevanje obravnavane stavbe in potrebno dovedeno toploto za ogrevanje referenčne stavbe;</w:t>
      </w:r>
    </w:p>
    <w:p w14:paraId="153358F1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34.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 xml:space="preserve">referenčna stavba je navidezna stavba, ki ima enako arhitekturno zasnovo, zgrajena na isti lokaciji in z enako orientacijo, enakim senčenjem, enako klasifikacijo in načinom uporabe stavbe, enako razporeditvijo in klasifikacijo energetskih con, enakimi notranjimi bremeni, </w:t>
      </w:r>
      <w:r>
        <w:rPr>
          <w:rFonts w:ascii="Arial" w:hAnsi="Arial" w:cs="Arial"/>
          <w:color w:val="000000"/>
          <w:sz w:val="22"/>
          <w:szCs w:val="22"/>
        </w:rPr>
        <w:lastRenderedPageBreak/>
        <w:t>enakim toplotnim ovojem stavbe, ki ga sestavljajo referenčni gradniki in ima vgrajene referenčne TSS;</w:t>
      </w:r>
    </w:p>
    <w:p w14:paraId="6DE7DDDB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35.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>referenčne lastnosti gradnikov ovoja stavbe so toplotno-tehnične lastnosti gradnikov toplotnega ovoja stavbe, ki ustrezajo minimalnim zahtevam, določene s tem pravilnikom ali pa so opredeljene kot referenčne vrednosti glede na stanje tehnike;</w:t>
      </w:r>
    </w:p>
    <w:p w14:paraId="7336FF42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36.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>referenčni TSS so TSS, s katerimi je treba določiti energijsko učinkovitost referenčne stavbe;</w:t>
      </w:r>
    </w:p>
    <w:p w14:paraId="1FEB8BFA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37.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>specifični koeficient transmisijskih toplotnih izgub pomeni povprečno toplotno prehodnost toplotnega ovoja stavbe, vključno z linijskimi in točkovnimi toplotnimi prehodnostmi toplotnih mostov;</w:t>
      </w:r>
    </w:p>
    <w:p w14:paraId="2A65B92F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38.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 xml:space="preserve">stacionarno modeliranje je način izračuna energijskih tokov, ki temelji na časovno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nespreminjajočih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robnih pogojih in časovno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nespreminjajočem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načinu uporabe stavbe;</w:t>
      </w:r>
    </w:p>
    <w:p w14:paraId="1B7DFEDE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39.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>stavba je stavba s toplotnim ovojem, znotraj katerega se s TSS v celoti ali deloma zagotavljajo pogoji notranjega okolja;</w:t>
      </w:r>
    </w:p>
    <w:p w14:paraId="4BA7465E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40.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>stopnja stroškovne učinkovitosti delnega ukrepa učinkovite rabe energije je razmerje med finančnimi prihranki v predvideni dobi učinka ukrepa in stroški za izvedbo ukrepa;</w:t>
      </w:r>
    </w:p>
    <w:p w14:paraId="6B435512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41.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 xml:space="preserve">TSS so vgrajene inštalacije in tehnološke naprave v stavbi, potrebne za ogrevanje, hlajenje, prezračevanje in klimatizacijo, vključno z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navlaževanjem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in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razvlaževanjem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zraka, pripravo TSV, vgrajeno razsvetljavo prostorov ali kombinacijo teh sistemov, avtomatizacijo in nadzor stavbe, sistemi za proizvodnjo energentov v, na, ob stavbi ali v njeni neposredni bližini, s katerimi se zagotavlja predpisan ali načrtovan razred kakovosti notranjega okolja in jih je treba vključiti v presojo energijske učinkovitosti stavbe;</w:t>
      </w:r>
    </w:p>
    <w:p w14:paraId="112373FA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42.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 xml:space="preserve">toplotni ovoj stavbe je ovoj stavbe ali dela stavbe, ki ločuje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kondicioniran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del stavbe od okolice ali od sosednjih prostorov stavbe ali druge stavbe, če je razlika v temperaturi zraka med njima večja od 4 K ali je določen glede na pravila razdelitve stavb na toplotne cone skladno s SIST EN ISO 52000-1;</w:t>
      </w:r>
    </w:p>
    <w:p w14:paraId="1824E89B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43.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>toplotna prehodnost gradnikov toplotnega ovoja stavbe je toplotni tok, ki prehaja na površini 1 m</w:t>
      </w:r>
      <w:r>
        <w:rPr>
          <w:rFonts w:ascii="Arial" w:hAnsi="Arial" w:cs="Arial"/>
          <w:color w:val="000000"/>
          <w:sz w:val="16"/>
          <w:szCs w:val="16"/>
          <w:vertAlign w:val="superscript"/>
        </w:rPr>
        <w:t>2</w:t>
      </w:r>
      <w:r>
        <w:rPr>
          <w:rFonts w:ascii="Arial" w:hAnsi="Arial" w:cs="Arial"/>
          <w:color w:val="000000"/>
          <w:sz w:val="22"/>
          <w:szCs w:val="22"/>
        </w:rPr>
        <w:t> toplotnega ovoja stavbe pri razliki v temperaturi notranjega in zunanjega okolja 1 K;</w:t>
      </w:r>
    </w:p>
    <w:p w14:paraId="5AFC5148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44.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>ugodje v notranjem okolju je občuteno stanje notranjega okolja, ki zagotavlja prijetno, zdravo bivanje in učinkovito delo ter se zagotavlja s stanjem spremenljivk notranjega okolja, opredeljenimi s predpisi, smernicami, standardi in projektno nalogo;</w:t>
      </w:r>
    </w:p>
    <w:p w14:paraId="1CC7223B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45.</w:t>
      </w:r>
      <w:r>
        <w:rPr>
          <w:color w:val="000000"/>
          <w:sz w:val="14"/>
          <w:szCs w:val="14"/>
        </w:rPr>
        <w:t>   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utežena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energija je dovedena energija energentov za delovanje TSS, pri čemer se dovedena energija uteži s faktorjem, ki ga opredeljuje ta pravilnik;</w:t>
      </w:r>
    </w:p>
    <w:p w14:paraId="1E78FA91" w14:textId="77777777" w:rsidR="00841B5A" w:rsidRDefault="00841B5A" w:rsidP="00841B5A">
      <w:pPr>
        <w:pStyle w:val="tevilnatoka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46.</w:t>
      </w:r>
      <w:r>
        <w:rPr>
          <w:color w:val="000000"/>
          <w:sz w:val="14"/>
          <w:szCs w:val="14"/>
        </w:rPr>
        <w:t>   </w:t>
      </w:r>
      <w:r>
        <w:rPr>
          <w:rFonts w:ascii="Arial" w:hAnsi="Arial" w:cs="Arial"/>
          <w:color w:val="000000"/>
          <w:sz w:val="22"/>
          <w:szCs w:val="22"/>
        </w:rPr>
        <w:t>zunanji podnebni pogoji so meteorološke spremenljivke zunanjega okolja iz nacionalne podatkovne baze meteoroloških spremenljivk, ki vplivajo na energijsko učinkovitost stavbe in so opredeljeni z dnevnimi povprečji v posameznem mesecu v letu ali z urnimi vrednostmi meteoroloških spremenljivk.</w:t>
      </w:r>
    </w:p>
    <w:p w14:paraId="22314AF1" w14:textId="77777777" w:rsidR="00841B5A" w:rsidRDefault="00841B5A" w:rsidP="00841B5A">
      <w:pPr>
        <w:pStyle w:val="odstavek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(2) Drugi izrazi, uporabljeni v tem pravilniku, pomenijo enako, kot to določajo predpisi s področja graditve objektov, energetike in gradbenih proizvodov ter slovenski standardi, ki obravnavajo učinkovito rabo energije v stavbah in so navedeni na seznamu referenčnih dokumentov v tehnični smernici.</w:t>
      </w:r>
    </w:p>
    <w:p w14:paraId="6C8E6752" w14:textId="77777777" w:rsidR="00934AE2" w:rsidRDefault="00934AE2" w:rsidP="00934AE2">
      <w:pPr>
        <w:autoSpaceDE w:val="0"/>
        <w:autoSpaceDN w:val="0"/>
        <w:adjustRightInd w:val="0"/>
        <w:jc w:val="center"/>
        <w:rPr>
          <w:rFonts w:ascii="Arial" w:hAnsi="Arial" w:cs="Arial"/>
          <w:bCs/>
          <w:color w:val="000000"/>
          <w:sz w:val="22"/>
          <w:szCs w:val="22"/>
        </w:rPr>
      </w:pPr>
    </w:p>
    <w:p w14:paraId="5A883A64" w14:textId="536D48A7" w:rsidR="00890833" w:rsidRDefault="00890833" w:rsidP="00934AE2">
      <w:pPr>
        <w:pStyle w:val="Telobesedila3"/>
        <w:spacing w:before="240"/>
        <w:jc w:val="center"/>
        <w:rPr>
          <w:bCs/>
        </w:rPr>
      </w:pPr>
      <w:r>
        <w:rPr>
          <w:bCs/>
        </w:rPr>
        <w:t>PREHODN</w:t>
      </w:r>
      <w:r w:rsidR="000F5133">
        <w:rPr>
          <w:bCs/>
        </w:rPr>
        <w:t xml:space="preserve">A </w:t>
      </w:r>
      <w:r>
        <w:rPr>
          <w:bCs/>
        </w:rPr>
        <w:t>DOLOČB</w:t>
      </w:r>
      <w:r w:rsidR="000F5133">
        <w:rPr>
          <w:bCs/>
        </w:rPr>
        <w:t>A</w:t>
      </w:r>
    </w:p>
    <w:p w14:paraId="3734FE0C" w14:textId="14DFD381" w:rsidR="00890833" w:rsidRDefault="00890833" w:rsidP="00934AE2">
      <w:pPr>
        <w:pStyle w:val="len"/>
        <w:shd w:val="clear" w:color="auto" w:fill="FFFFFF"/>
        <w:spacing w:before="24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21. člen</w:t>
      </w:r>
    </w:p>
    <w:p w14:paraId="0702E589" w14:textId="77777777" w:rsidR="00890833" w:rsidRDefault="00890833" w:rsidP="00890833">
      <w:pPr>
        <w:pStyle w:val="lennaslov0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(izračun energijske učinkovitosti stavb v prehodnem obdobju)</w:t>
      </w:r>
    </w:p>
    <w:p w14:paraId="152C5DB6" w14:textId="77777777" w:rsidR="00890833" w:rsidRDefault="00890833" w:rsidP="00890833">
      <w:pPr>
        <w:pStyle w:val="odstavek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(1) Kazalniki energijske učinkovitosti energetsko manj zahtevnih in energetsko zahtevnih stavb se lahko do 31. januarja 2023 določajo po računski metodi, ki je določena v Pravilniku o učinkoviti rabi energije v stavbah (Uradni list RS, št. 52/10 in 61/17 – GZ) in pripadajoči </w:t>
      </w:r>
      <w:r>
        <w:rPr>
          <w:rFonts w:ascii="Arial" w:hAnsi="Arial" w:cs="Arial"/>
          <w:sz w:val="22"/>
          <w:szCs w:val="22"/>
        </w:rPr>
        <w:lastRenderedPageBreak/>
        <w:t>tehnični smernici TSG-1-004: 2010 Učinkovita raba energije, izkazujejo pa se na način, ki je naveden v tem pravilniku.</w:t>
      </w:r>
    </w:p>
    <w:p w14:paraId="6213D7A5" w14:textId="478741BC" w:rsidR="00890833" w:rsidRDefault="00890833" w:rsidP="00890833">
      <w:pPr>
        <w:pStyle w:val="odstavek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(2) Za določanje kazalnikov energijske učinkovitosti energetsko zahtevnih stavb se lahko </w:t>
      </w:r>
      <w:r w:rsidRPr="000F5133">
        <w:rPr>
          <w:rFonts w:ascii="Arial" w:hAnsi="Arial" w:cs="Arial"/>
          <w:bCs/>
          <w:color w:val="000000"/>
          <w:sz w:val="22"/>
          <w:szCs w:val="22"/>
        </w:rPr>
        <w:t>do 31. decembra 2023 ne glede na</w:t>
      </w:r>
      <w:r>
        <w:rPr>
          <w:rFonts w:ascii="Arial" w:hAnsi="Arial" w:cs="Arial"/>
          <w:sz w:val="22"/>
          <w:szCs w:val="22"/>
        </w:rPr>
        <w:t xml:space="preserve"> določbo osmega odstavka 8. člena uporabi stacionarno modeliranje in robni pogoji, ki veljajo za energetsko manj zahtevane stavbe.</w:t>
      </w:r>
    </w:p>
    <w:p w14:paraId="2E44CE8D" w14:textId="77777777" w:rsidR="00890833" w:rsidRPr="00AA6547" w:rsidRDefault="00890833" w:rsidP="00FA7254">
      <w:pPr>
        <w:pStyle w:val="lennaslov"/>
        <w:spacing w:after="120"/>
        <w:jc w:val="both"/>
        <w:rPr>
          <w:b w:val="0"/>
          <w:bCs/>
        </w:rPr>
      </w:pPr>
    </w:p>
    <w:p w14:paraId="20B4C97F" w14:textId="77777777" w:rsidR="00FA7254" w:rsidRDefault="00FA7254" w:rsidP="00FA7254"/>
    <w:p w14:paraId="52A2D18C" w14:textId="77777777" w:rsidR="001E05C7" w:rsidRDefault="001E05C7"/>
    <w:sectPr w:rsidR="001E05C7" w:rsidSect="004A14E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7254"/>
    <w:rsid w:val="00096630"/>
    <w:rsid w:val="000E0140"/>
    <w:rsid w:val="000F5133"/>
    <w:rsid w:val="001E05C7"/>
    <w:rsid w:val="001E1790"/>
    <w:rsid w:val="0027307E"/>
    <w:rsid w:val="00481BB1"/>
    <w:rsid w:val="00535EDD"/>
    <w:rsid w:val="00565C91"/>
    <w:rsid w:val="0068250B"/>
    <w:rsid w:val="00763B0E"/>
    <w:rsid w:val="00841B5A"/>
    <w:rsid w:val="00890833"/>
    <w:rsid w:val="00934AE2"/>
    <w:rsid w:val="00A20D07"/>
    <w:rsid w:val="00A43DB8"/>
    <w:rsid w:val="00D476C8"/>
    <w:rsid w:val="00F10BF0"/>
    <w:rsid w:val="00FA72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1E2C70"/>
  <w15:chartTrackingRefBased/>
  <w15:docId w15:val="{CD82FEE4-862B-49AE-89AA-A33BD263E3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A72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lennaslov">
    <w:name w:val="Člen_naslov"/>
    <w:basedOn w:val="Navaden"/>
    <w:link w:val="lennaslovChar"/>
    <w:qFormat/>
    <w:rsid w:val="00FA7254"/>
    <w:pPr>
      <w:suppressAutoHyphens/>
      <w:overflowPunct w:val="0"/>
      <w:autoSpaceDE w:val="0"/>
      <w:autoSpaceDN w:val="0"/>
      <w:adjustRightInd w:val="0"/>
      <w:jc w:val="center"/>
      <w:textAlignment w:val="baseline"/>
    </w:pPr>
    <w:rPr>
      <w:rFonts w:ascii="Arial" w:hAnsi="Arial" w:cs="Arial"/>
      <w:b/>
      <w:sz w:val="22"/>
      <w:szCs w:val="22"/>
    </w:rPr>
  </w:style>
  <w:style w:type="paragraph" w:styleId="Telobesedila3">
    <w:name w:val="Body Text 3"/>
    <w:basedOn w:val="Navaden"/>
    <w:link w:val="Telobesedila3Znak"/>
    <w:rsid w:val="00FA7254"/>
    <w:pPr>
      <w:jc w:val="both"/>
    </w:pPr>
    <w:rPr>
      <w:rFonts w:ascii="Arial" w:hAnsi="Arial"/>
      <w:position w:val="-4"/>
      <w:sz w:val="22"/>
      <w:szCs w:val="20"/>
      <w:lang w:eastAsia="en-US"/>
    </w:rPr>
  </w:style>
  <w:style w:type="character" w:customStyle="1" w:styleId="Telobesedila3Znak">
    <w:name w:val="Telo besedila 3 Znak"/>
    <w:basedOn w:val="Privzetapisavaodstavka"/>
    <w:link w:val="Telobesedila3"/>
    <w:rsid w:val="00FA7254"/>
    <w:rPr>
      <w:rFonts w:ascii="Arial" w:eastAsia="Times New Roman" w:hAnsi="Arial" w:cs="Times New Roman"/>
      <w:position w:val="-4"/>
      <w:szCs w:val="20"/>
    </w:rPr>
  </w:style>
  <w:style w:type="character" w:customStyle="1" w:styleId="lennaslovChar">
    <w:name w:val="Člen_naslov Char"/>
    <w:basedOn w:val="Privzetapisavaodstavka"/>
    <w:link w:val="lennaslov"/>
    <w:rsid w:val="00FA7254"/>
    <w:rPr>
      <w:rFonts w:ascii="Arial" w:eastAsia="Times New Roman" w:hAnsi="Arial" w:cs="Arial"/>
      <w:b/>
      <w:lang w:eastAsia="sl-SI"/>
    </w:rPr>
  </w:style>
  <w:style w:type="paragraph" w:customStyle="1" w:styleId="len">
    <w:name w:val="len"/>
    <w:basedOn w:val="Navaden"/>
    <w:rsid w:val="00890833"/>
    <w:pPr>
      <w:spacing w:before="100" w:beforeAutospacing="1" w:after="100" w:afterAutospacing="1"/>
    </w:pPr>
  </w:style>
  <w:style w:type="paragraph" w:customStyle="1" w:styleId="lennaslov0">
    <w:name w:val="lennaslov"/>
    <w:basedOn w:val="Navaden"/>
    <w:rsid w:val="00890833"/>
    <w:pPr>
      <w:spacing w:before="100" w:beforeAutospacing="1" w:after="100" w:afterAutospacing="1"/>
    </w:pPr>
  </w:style>
  <w:style w:type="paragraph" w:customStyle="1" w:styleId="odstavek">
    <w:name w:val="odstavek"/>
    <w:basedOn w:val="Navaden"/>
    <w:rsid w:val="00890833"/>
    <w:pPr>
      <w:spacing w:before="100" w:beforeAutospacing="1" w:after="100" w:afterAutospacing="1"/>
    </w:pPr>
  </w:style>
  <w:style w:type="paragraph" w:customStyle="1" w:styleId="tevilnatoka">
    <w:name w:val="tevilnatoka"/>
    <w:basedOn w:val="Navaden"/>
    <w:rsid w:val="00841B5A"/>
    <w:pPr>
      <w:spacing w:before="100" w:beforeAutospacing="1" w:after="100" w:afterAutospacing="1"/>
    </w:pPr>
  </w:style>
  <w:style w:type="paragraph" w:customStyle="1" w:styleId="alineazatevilnotoko">
    <w:name w:val="alineazatevilnotoko"/>
    <w:basedOn w:val="Navaden"/>
    <w:rsid w:val="00841B5A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07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9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9DEE129-AB63-457A-AD10-8E502C0EDE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2094</Words>
  <Characters>11938</Characters>
  <Application>Microsoft Office Word</Application>
  <DocSecurity>0</DocSecurity>
  <Lines>99</Lines>
  <Paragraphs>28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14004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Saša Galonja</dc:creator>
  <cp:keywords/>
  <dc:description/>
  <cp:lastModifiedBy>Saša Galonja</cp:lastModifiedBy>
  <cp:revision>2</cp:revision>
  <dcterms:created xsi:type="dcterms:W3CDTF">2023-11-24T11:19:00Z</dcterms:created>
  <dcterms:modified xsi:type="dcterms:W3CDTF">2023-11-24T11:19:00Z</dcterms:modified>
</cp:coreProperties>
</file>