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8B054" w14:textId="53617E7A" w:rsidR="005B3690" w:rsidRPr="005B3690" w:rsidRDefault="0070534B">
      <w:pPr>
        <w:spacing w:before="240" w:after="240"/>
        <w:jc w:val="both"/>
        <w:rPr>
          <w:sz w:val="20"/>
          <w:szCs w:val="20"/>
        </w:rPr>
      </w:pPr>
      <w:r w:rsidRPr="005B3690">
        <w:rPr>
          <w:sz w:val="20"/>
          <w:szCs w:val="20"/>
        </w:rPr>
        <w:t>Na podlagi tretjega odstavka 7. člena Zakona o dolgotrajni oskrbi (Uradni list RS, št. 84/23) minister, pristojen za dolgotrajno oskrbo (v nadaljnjem besedilu: minister) izdaja</w:t>
      </w:r>
    </w:p>
    <w:p w14:paraId="00000002" w14:textId="6A97CAD8" w:rsidR="007B6707" w:rsidRPr="005B3690" w:rsidRDefault="005B3690" w:rsidP="005B3690">
      <w:pPr>
        <w:jc w:val="center"/>
        <w:rPr>
          <w:b/>
          <w:bCs/>
          <w:sz w:val="20"/>
          <w:szCs w:val="20"/>
        </w:rPr>
      </w:pPr>
      <w:r w:rsidRPr="005B3690">
        <w:rPr>
          <w:b/>
          <w:bCs/>
          <w:sz w:val="20"/>
          <w:szCs w:val="20"/>
        </w:rPr>
        <w:t>PRAVILNIK</w:t>
      </w:r>
    </w:p>
    <w:p w14:paraId="00000004" w14:textId="5E3DE0BD" w:rsidR="007B6707" w:rsidRPr="005B3690" w:rsidRDefault="0070534B" w:rsidP="005B3690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o načinu spremljanja meril pri določitvi javne mreže izvajalcev dolgotrajne oskrbe na ravni statistične regije</w:t>
      </w:r>
    </w:p>
    <w:p w14:paraId="00000005" w14:textId="77777777" w:rsidR="007B6707" w:rsidRPr="005B3690" w:rsidRDefault="0070534B">
      <w:pPr>
        <w:spacing w:before="240" w:after="240"/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1. člen</w:t>
      </w:r>
    </w:p>
    <w:p w14:paraId="00000006" w14:textId="77777777" w:rsidR="007B6707" w:rsidRPr="005B3690" w:rsidRDefault="0070534B">
      <w:pPr>
        <w:spacing w:before="240" w:after="240"/>
        <w:jc w:val="center"/>
        <w:rPr>
          <w:sz w:val="20"/>
          <w:szCs w:val="20"/>
        </w:rPr>
      </w:pPr>
      <w:r w:rsidRPr="005B3690">
        <w:rPr>
          <w:b/>
          <w:sz w:val="20"/>
          <w:szCs w:val="20"/>
        </w:rPr>
        <w:t>(vsebina)</w:t>
      </w:r>
      <w:r w:rsidRPr="005B3690">
        <w:rPr>
          <w:sz w:val="20"/>
          <w:szCs w:val="20"/>
        </w:rPr>
        <w:t xml:space="preserve"> </w:t>
      </w:r>
    </w:p>
    <w:p w14:paraId="00000008" w14:textId="094D3D4A" w:rsidR="007B6707" w:rsidRPr="005B3690" w:rsidRDefault="0070534B" w:rsidP="005B3690">
      <w:pPr>
        <w:spacing w:before="240" w:after="240"/>
        <w:ind w:firstLine="720"/>
        <w:jc w:val="both"/>
        <w:rPr>
          <w:sz w:val="20"/>
          <w:szCs w:val="20"/>
        </w:rPr>
      </w:pPr>
      <w:r w:rsidRPr="005B3690">
        <w:rPr>
          <w:sz w:val="20"/>
          <w:szCs w:val="20"/>
        </w:rPr>
        <w:t>(1) Ta pravilnik določa način spremljanja meril, ki se uporabljajo pri določitvi mreže izvajalcev dolgotrajne oskrbe (v nadaljnjem besedilu: izvajalci DO) z nacionalnim programom.</w:t>
      </w:r>
    </w:p>
    <w:p w14:paraId="00000009" w14:textId="77777777" w:rsidR="007B6707" w:rsidRPr="005B3690" w:rsidRDefault="0070534B" w:rsidP="005B3690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2. člen</w:t>
      </w:r>
    </w:p>
    <w:p w14:paraId="0000000A" w14:textId="77777777" w:rsidR="007B6707" w:rsidRPr="005B3690" w:rsidRDefault="0070534B" w:rsidP="005B3690">
      <w:pPr>
        <w:jc w:val="center"/>
        <w:rPr>
          <w:sz w:val="20"/>
          <w:szCs w:val="20"/>
        </w:rPr>
      </w:pPr>
      <w:r w:rsidRPr="005B3690">
        <w:rPr>
          <w:b/>
          <w:sz w:val="20"/>
          <w:szCs w:val="20"/>
        </w:rPr>
        <w:t>(opredelitev meril)</w:t>
      </w:r>
      <w:r w:rsidRPr="005B3690">
        <w:rPr>
          <w:sz w:val="20"/>
          <w:szCs w:val="20"/>
        </w:rPr>
        <w:t xml:space="preserve"> </w:t>
      </w:r>
    </w:p>
    <w:p w14:paraId="0000000B" w14:textId="3E58A248" w:rsidR="007B6707" w:rsidRPr="005B3690" w:rsidRDefault="0070534B">
      <w:pPr>
        <w:spacing w:before="240" w:after="240"/>
        <w:ind w:firstLine="720"/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</w:rPr>
        <w:t xml:space="preserve">(1) </w:t>
      </w:r>
      <w:r w:rsidRPr="005B3690">
        <w:rPr>
          <w:sz w:val="20"/>
          <w:szCs w:val="20"/>
          <w:highlight w:val="white"/>
        </w:rPr>
        <w:t>Merila iz drugega odstavka 7. člena Zakona o dolgotrajni oskrbi (</w:t>
      </w:r>
      <w:r w:rsidRPr="005B3690">
        <w:rPr>
          <w:sz w:val="20"/>
          <w:szCs w:val="20"/>
        </w:rPr>
        <w:t xml:space="preserve">Uradni list RS, št. 84/23; </w:t>
      </w:r>
      <w:r w:rsidRPr="005B3690">
        <w:rPr>
          <w:sz w:val="20"/>
          <w:szCs w:val="20"/>
          <w:highlight w:val="white"/>
        </w:rPr>
        <w:t>v nadaljnjem besedilu:</w:t>
      </w:r>
      <w:r w:rsidR="00E761BE">
        <w:rPr>
          <w:sz w:val="20"/>
          <w:szCs w:val="20"/>
          <w:highlight w:val="white"/>
        </w:rPr>
        <w:t xml:space="preserve"> zakon</w:t>
      </w:r>
      <w:r w:rsidRPr="005B3690">
        <w:rPr>
          <w:sz w:val="20"/>
          <w:szCs w:val="20"/>
          <w:highlight w:val="white"/>
        </w:rPr>
        <w:t xml:space="preserve">) se za potrebe določitve javne mreže izvajalcev DO spremljajo z analizo kazalnikov, opredeljenih v tem členu, in sicer na ravni celotne države in na ravni posamezne statistične regije. </w:t>
      </w:r>
    </w:p>
    <w:p w14:paraId="0000000C" w14:textId="77777777" w:rsidR="007B6707" w:rsidRPr="005B3690" w:rsidRDefault="0070534B">
      <w:pPr>
        <w:spacing w:before="240" w:after="240"/>
        <w:ind w:firstLine="720"/>
        <w:jc w:val="both"/>
        <w:rPr>
          <w:sz w:val="20"/>
          <w:szCs w:val="20"/>
        </w:rPr>
      </w:pPr>
      <w:r w:rsidRPr="005B3690">
        <w:rPr>
          <w:sz w:val="20"/>
          <w:szCs w:val="20"/>
          <w:highlight w:val="white"/>
        </w:rPr>
        <w:t>(2) Kot kazalnik števila prebivalcev se uporablja skupno število prebivalcev in število prebivalcev</w:t>
      </w:r>
      <w:r w:rsidRPr="005B3690">
        <w:rPr>
          <w:sz w:val="20"/>
          <w:szCs w:val="20"/>
        </w:rPr>
        <w:t xml:space="preserve"> po starostnih skupinah pod 65, 65–80 in nad 80 let.</w:t>
      </w:r>
    </w:p>
    <w:p w14:paraId="0000000D" w14:textId="77777777" w:rsidR="007B6707" w:rsidRPr="005B3690" w:rsidRDefault="0070534B" w:rsidP="00E761BE">
      <w:pPr>
        <w:ind w:firstLine="720"/>
        <w:jc w:val="both"/>
        <w:rPr>
          <w:sz w:val="20"/>
          <w:szCs w:val="20"/>
        </w:rPr>
      </w:pPr>
      <w:r w:rsidRPr="005B3690">
        <w:rPr>
          <w:sz w:val="20"/>
          <w:szCs w:val="20"/>
        </w:rPr>
        <w:t xml:space="preserve">(3) Za merilo števila prebivalcev, ki potrebujejo dolgotrajno oskrbo (v nadaljnjem besedilu: DO) </w:t>
      </w:r>
      <w:r w:rsidRPr="005B3690">
        <w:rPr>
          <w:sz w:val="20"/>
          <w:szCs w:val="20"/>
          <w:highlight w:val="white"/>
        </w:rPr>
        <w:t>po starostnih skupinah pod 65, 65–80 in nad 80 let</w:t>
      </w:r>
      <w:r w:rsidRPr="005B3690">
        <w:rPr>
          <w:sz w:val="20"/>
          <w:szCs w:val="20"/>
        </w:rPr>
        <w:t>, se uporabljajo naslednja merila:</w:t>
      </w:r>
    </w:p>
    <w:p w14:paraId="0000000E" w14:textId="4C5CD066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(a)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uporabnikov celodnevne DO v instituciji ter število kandidatov za sprejem v celodnevno DO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v instituciji glede na kategorijo DO;</w:t>
      </w:r>
    </w:p>
    <w:p w14:paraId="0000000F" w14:textId="231C965C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(b)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uporabnikov dnevne DO pri izvajalcu DO ter število kandidatov za sprejem v dnevno DO pri izvajalcu DO glede na kategorijo DO;</w:t>
      </w:r>
    </w:p>
    <w:p w14:paraId="00000010" w14:textId="7BEB7DF6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(c)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uporabnikov DO na domu ter število kandidatov za sprejem v DO na domu glede na kategorijo DO;</w:t>
      </w:r>
    </w:p>
    <w:p w14:paraId="00000011" w14:textId="2B8E2ACB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(d)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uporabnikov oskrbovalca družinskega člana glede na kategorijo DO;</w:t>
      </w:r>
    </w:p>
    <w:p w14:paraId="00000012" w14:textId="4F300623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(e)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prejemnikov denarnega prejemka glede na kategorijo DO;</w:t>
      </w:r>
    </w:p>
    <w:p w14:paraId="00000013" w14:textId="72B4178D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(f)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vlog za DO;</w:t>
      </w:r>
    </w:p>
    <w:p w14:paraId="00000014" w14:textId="1EDDBBE1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(g)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uporabnikov socialnovarstvene storitve pomoč družini na domu;</w:t>
      </w:r>
    </w:p>
    <w:p w14:paraId="00000015" w14:textId="422B3780" w:rsidR="007B6707" w:rsidRPr="005B3690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(h)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 xml:space="preserve">število uporabnikov storitev institucionalnega varstva v varstveno delovnih centrih, centrih za usposabljanje delo in varstvo, domovih za starejše ter </w:t>
      </w:r>
      <w:r w:rsidRPr="005B3690">
        <w:rPr>
          <w:sz w:val="20"/>
          <w:szCs w:val="20"/>
          <w:highlight w:val="white"/>
        </w:rPr>
        <w:t>posebnih socialnovarstvenih zavodih;</w:t>
      </w:r>
    </w:p>
    <w:p w14:paraId="00000017" w14:textId="66BB4020" w:rsidR="007B6707" w:rsidRDefault="0070534B" w:rsidP="00E761BE">
      <w:pPr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(i)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prejemnikov denarnega nadomestila po zakonu, ki ureja socialno vključevanje invalidov.</w:t>
      </w:r>
    </w:p>
    <w:p w14:paraId="3897E936" w14:textId="77777777" w:rsidR="00E761BE" w:rsidRPr="005B3690" w:rsidRDefault="00E761BE" w:rsidP="00E761BE">
      <w:pPr>
        <w:rPr>
          <w:sz w:val="20"/>
          <w:szCs w:val="20"/>
          <w:highlight w:val="white"/>
        </w:rPr>
      </w:pPr>
    </w:p>
    <w:p w14:paraId="00000018" w14:textId="06E3AB60" w:rsidR="007B6707" w:rsidRPr="005B3690" w:rsidRDefault="005B3690" w:rsidP="00E761BE">
      <w:pPr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ab/>
      </w:r>
      <w:r w:rsidR="0070534B" w:rsidRPr="005B3690">
        <w:rPr>
          <w:sz w:val="20"/>
          <w:szCs w:val="20"/>
          <w:highlight w:val="white"/>
        </w:rPr>
        <w:t>(4) Za merilo značaja naselij in gostote poselitve se uporabljajo naslednji kazalniki:</w:t>
      </w:r>
    </w:p>
    <w:p w14:paraId="00000019" w14:textId="0172AA89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(a)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število prebivalcev na km</w:t>
      </w:r>
      <w:r w:rsidRPr="005B3690">
        <w:rPr>
          <w:sz w:val="20"/>
          <w:szCs w:val="20"/>
          <w:highlight w:val="white"/>
          <w:vertAlign w:val="superscript"/>
        </w:rPr>
        <w:t>2</w:t>
      </w:r>
      <w:r w:rsidRPr="005B3690">
        <w:rPr>
          <w:sz w:val="20"/>
          <w:szCs w:val="20"/>
          <w:highlight w:val="white"/>
        </w:rPr>
        <w:t>;</w:t>
      </w:r>
    </w:p>
    <w:p w14:paraId="0000001A" w14:textId="6209C597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t>(b)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>delež prebivalcev po posameznih tipih naselij glede na gostoto poselitve;</w:t>
      </w:r>
    </w:p>
    <w:p w14:paraId="0000001B" w14:textId="61E1266C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(c)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indeks staranja;</w:t>
      </w:r>
    </w:p>
    <w:p w14:paraId="0000001C" w14:textId="16A32D18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(d)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koeficient starostne odvisnosti;</w:t>
      </w:r>
    </w:p>
    <w:p w14:paraId="0000001D" w14:textId="79CAAC81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(e)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izobrazbena struktura prebivalstva;</w:t>
      </w:r>
    </w:p>
    <w:p w14:paraId="0000001E" w14:textId="736247F1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(f)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pričakovana življenjsko dobo v starosti 65 let ali več;</w:t>
      </w:r>
    </w:p>
    <w:p w14:paraId="0000001F" w14:textId="149460AA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(g)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pričakovana leta zdravega življenja v starosti 65 let ali več;</w:t>
      </w:r>
    </w:p>
    <w:p w14:paraId="00000020" w14:textId="264722D9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(h)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delež prebivalcev nad 65 let s kroničnimi boleznimi;</w:t>
      </w:r>
    </w:p>
    <w:p w14:paraId="00000021" w14:textId="2C94C2FF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(i)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naravni prirast na 1.000 prebivalcev;</w:t>
      </w:r>
    </w:p>
    <w:p w14:paraId="00000022" w14:textId="55493C03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t>(j)</w:t>
      </w:r>
      <w:r w:rsidR="005B3690">
        <w:rPr>
          <w:sz w:val="20"/>
          <w:szCs w:val="20"/>
        </w:rPr>
        <w:t xml:space="preserve"> </w:t>
      </w:r>
      <w:r w:rsidR="00E761BE">
        <w:rPr>
          <w:sz w:val="20"/>
          <w:szCs w:val="20"/>
        </w:rPr>
        <w:t xml:space="preserve">stopnja </w:t>
      </w:r>
      <w:r w:rsidRPr="005B3690">
        <w:rPr>
          <w:sz w:val="20"/>
          <w:szCs w:val="20"/>
        </w:rPr>
        <w:t>prezgodnj</w:t>
      </w:r>
      <w:r w:rsidR="00E761BE">
        <w:rPr>
          <w:sz w:val="20"/>
          <w:szCs w:val="20"/>
        </w:rPr>
        <w:t>e</w:t>
      </w:r>
      <w:r w:rsidRPr="005B3690">
        <w:rPr>
          <w:sz w:val="20"/>
          <w:szCs w:val="20"/>
        </w:rPr>
        <w:t xml:space="preserve"> umrljivost</w:t>
      </w:r>
      <w:r w:rsidR="00E761BE">
        <w:rPr>
          <w:sz w:val="20"/>
          <w:szCs w:val="20"/>
        </w:rPr>
        <w:t>i</w:t>
      </w:r>
      <w:r w:rsidRPr="005B3690">
        <w:rPr>
          <w:sz w:val="20"/>
          <w:szCs w:val="20"/>
        </w:rPr>
        <w:t>;</w:t>
      </w:r>
    </w:p>
    <w:p w14:paraId="00000023" w14:textId="1C0CBA28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t>(k)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 xml:space="preserve">delež umrlih (zaradi </w:t>
      </w:r>
      <w:proofErr w:type="spellStart"/>
      <w:r w:rsidRPr="005B3690">
        <w:rPr>
          <w:sz w:val="20"/>
          <w:szCs w:val="20"/>
        </w:rPr>
        <w:t>neoplazem</w:t>
      </w:r>
      <w:proofErr w:type="spellEnd"/>
      <w:r w:rsidRPr="005B3690">
        <w:rPr>
          <w:sz w:val="20"/>
          <w:szCs w:val="20"/>
        </w:rPr>
        <w:t>, bolezni obtočil in nezgod);</w:t>
      </w:r>
    </w:p>
    <w:p w14:paraId="00000024" w14:textId="3AA41A7D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lastRenderedPageBreak/>
        <w:t>(l)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>delež vseh smrti zaradi alkoholu pripisljivih vzrokov;</w:t>
      </w:r>
    </w:p>
    <w:p w14:paraId="00000025" w14:textId="4A6A2174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  <w:highlight w:val="white"/>
        </w:rPr>
        <w:t>(m)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>količnik samomorilnosti;</w:t>
      </w:r>
    </w:p>
    <w:p w14:paraId="00000026" w14:textId="597E1CE5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  <w:highlight w:val="white"/>
        </w:rPr>
        <w:t>(n)</w:t>
      </w:r>
      <w:r w:rsidR="005B3690">
        <w:rPr>
          <w:sz w:val="20"/>
          <w:szCs w:val="20"/>
        </w:rPr>
        <w:t xml:space="preserve"> </w:t>
      </w:r>
      <w:r w:rsidRPr="005B3690">
        <w:rPr>
          <w:sz w:val="20"/>
          <w:szCs w:val="20"/>
        </w:rPr>
        <w:t>koeficient razvitosti občin;</w:t>
      </w:r>
    </w:p>
    <w:p w14:paraId="00000027" w14:textId="16EF292D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(o)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stopnja brezposelnosti;</w:t>
      </w:r>
    </w:p>
    <w:p w14:paraId="00000029" w14:textId="36DA9170" w:rsidR="007B6707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(p)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indeks delovne migracije.</w:t>
      </w:r>
    </w:p>
    <w:p w14:paraId="7A0A40D6" w14:textId="77777777" w:rsidR="00E761BE" w:rsidRPr="005B3690" w:rsidRDefault="00E761BE" w:rsidP="00E761BE">
      <w:pPr>
        <w:jc w:val="both"/>
        <w:rPr>
          <w:sz w:val="20"/>
          <w:szCs w:val="20"/>
          <w:highlight w:val="white"/>
        </w:rPr>
      </w:pPr>
    </w:p>
    <w:p w14:paraId="0000002A" w14:textId="673226E3" w:rsidR="007B6707" w:rsidRPr="005B3690" w:rsidRDefault="005B3690" w:rsidP="00E761BE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0534B" w:rsidRPr="005B3690">
        <w:rPr>
          <w:sz w:val="20"/>
          <w:szCs w:val="20"/>
        </w:rPr>
        <w:t>(5) Za merilo dostopnosti do različnih načinov opravljanja DO se uporabljajo naslednji kazalniki:</w:t>
      </w:r>
    </w:p>
    <w:p w14:paraId="0000002B" w14:textId="1A476193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(a)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skupno število zasedenih posteljnih zmogljivosti za DO v instituciji in število razpoložljivih posteljnih zmogljivosti za DO v instituciji;</w:t>
      </w:r>
    </w:p>
    <w:p w14:paraId="0000002C" w14:textId="5F4469AB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(b)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skupno število mest za DO v obliki dnevne DO pri izvajalcih DO in število razpoložljivih mest v obliki dnevne DO pri izvajalcih DO;</w:t>
      </w:r>
    </w:p>
    <w:p w14:paraId="0000002D" w14:textId="02730808" w:rsidR="007B6707" w:rsidRPr="005B3690" w:rsidRDefault="0070534B" w:rsidP="00E761BE">
      <w:pPr>
        <w:jc w:val="both"/>
        <w:rPr>
          <w:sz w:val="20"/>
          <w:szCs w:val="20"/>
          <w:highlight w:val="white"/>
        </w:rPr>
      </w:pPr>
      <w:r w:rsidRPr="005B3690">
        <w:rPr>
          <w:sz w:val="20"/>
          <w:szCs w:val="20"/>
          <w:highlight w:val="white"/>
        </w:rPr>
        <w:t>(c)</w:t>
      </w:r>
      <w:r w:rsidR="005B3690">
        <w:rPr>
          <w:sz w:val="20"/>
          <w:szCs w:val="20"/>
          <w:highlight w:val="white"/>
        </w:rPr>
        <w:t xml:space="preserve"> </w:t>
      </w:r>
      <w:r w:rsidRPr="005B3690">
        <w:rPr>
          <w:sz w:val="20"/>
          <w:szCs w:val="20"/>
          <w:highlight w:val="white"/>
        </w:rPr>
        <w:t>skupno število mest za DO na domu in število razpoložljivih mest za DO na domu;</w:t>
      </w:r>
    </w:p>
    <w:p w14:paraId="0000002F" w14:textId="44FD872C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t>(d)</w:t>
      </w:r>
      <w:r w:rsidR="005B3690">
        <w:rPr>
          <w:rFonts w:eastAsia="Times New Roman"/>
          <w:sz w:val="20"/>
          <w:szCs w:val="20"/>
        </w:rPr>
        <w:t xml:space="preserve"> </w:t>
      </w:r>
      <w:r w:rsidRPr="005B3690">
        <w:rPr>
          <w:sz w:val="20"/>
          <w:szCs w:val="20"/>
        </w:rPr>
        <w:t>število in struktura kadrov po spolu, starosti in stopnji ter smeri izobrazbe  pri izvajalcih DO v javni mreži;</w:t>
      </w:r>
    </w:p>
    <w:p w14:paraId="00000030" w14:textId="33B775B9" w:rsidR="007B6707" w:rsidRPr="005B3690" w:rsidRDefault="0070534B" w:rsidP="00E761BE">
      <w:pPr>
        <w:jc w:val="both"/>
        <w:rPr>
          <w:sz w:val="20"/>
          <w:szCs w:val="20"/>
        </w:rPr>
      </w:pPr>
      <w:r w:rsidRPr="005B3690">
        <w:rPr>
          <w:sz w:val="20"/>
          <w:szCs w:val="20"/>
        </w:rPr>
        <w:t>(e)</w:t>
      </w:r>
      <w:r w:rsidR="005B3690">
        <w:rPr>
          <w:rFonts w:eastAsia="Times New Roman"/>
          <w:sz w:val="20"/>
          <w:szCs w:val="20"/>
        </w:rPr>
        <w:t xml:space="preserve"> </w:t>
      </w:r>
      <w:r w:rsidRPr="005B3690">
        <w:rPr>
          <w:sz w:val="20"/>
          <w:szCs w:val="20"/>
        </w:rPr>
        <w:t>število in struktura dijakov ter študentov, ki se izobražujejo za skrbstvene poklice in tistih, ki so dokončali izobrazbo v določenem letu.</w:t>
      </w:r>
    </w:p>
    <w:p w14:paraId="00000031" w14:textId="79881D46" w:rsidR="007B6707" w:rsidRPr="005B3690" w:rsidRDefault="00E761BE" w:rsidP="00E761BE">
      <w:pPr>
        <w:spacing w:before="240" w:after="240"/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ab/>
      </w:r>
      <w:r w:rsidR="0070534B" w:rsidRPr="005B3690">
        <w:rPr>
          <w:sz w:val="20"/>
          <w:szCs w:val="20"/>
          <w:highlight w:val="white"/>
        </w:rPr>
        <w:t>(6)</w:t>
      </w:r>
      <w:r>
        <w:rPr>
          <w:sz w:val="20"/>
          <w:szCs w:val="20"/>
          <w:highlight w:val="white"/>
        </w:rPr>
        <w:t xml:space="preserve"> </w:t>
      </w:r>
      <w:r w:rsidR="0070534B" w:rsidRPr="005B3690">
        <w:rPr>
          <w:sz w:val="20"/>
          <w:szCs w:val="20"/>
          <w:highlight w:val="white"/>
        </w:rPr>
        <w:t>Poleg kazalnikov, navedenih v 2., 3., 4 in 5. odstavku tega člena, se pri določitvi javne mreže izvajalcev DO upošteva tudi obstoj ter dostopnost do storitev v zdravstvenem, socialnem in nevladnem sektorju.</w:t>
      </w:r>
    </w:p>
    <w:p w14:paraId="00000032" w14:textId="77777777" w:rsidR="007B6707" w:rsidRPr="005B3690" w:rsidRDefault="0070534B" w:rsidP="00E761BE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3. člen</w:t>
      </w:r>
    </w:p>
    <w:p w14:paraId="00000033" w14:textId="77777777" w:rsidR="007B6707" w:rsidRPr="005B3690" w:rsidRDefault="0070534B" w:rsidP="00E761BE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(način spremljanja meril in potreb prebivalstva)</w:t>
      </w:r>
    </w:p>
    <w:p w14:paraId="00000034" w14:textId="31405D19" w:rsidR="007B6707" w:rsidRPr="005B3690" w:rsidRDefault="005B3690">
      <w:pPr>
        <w:spacing w:before="240" w:after="24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0534B" w:rsidRPr="005B3690">
        <w:rPr>
          <w:sz w:val="20"/>
          <w:szCs w:val="20"/>
        </w:rPr>
        <w:t xml:space="preserve">(1) Analizo kazalnikov iz </w:t>
      </w:r>
      <w:r w:rsidR="0070534B" w:rsidRPr="005B3690">
        <w:rPr>
          <w:sz w:val="20"/>
          <w:szCs w:val="20"/>
          <w:highlight w:val="white"/>
        </w:rPr>
        <w:t>2., 3., 4 in 5. odstavka prejšnjega člena</w:t>
      </w:r>
      <w:r w:rsidR="0070534B" w:rsidRPr="005B3690">
        <w:rPr>
          <w:sz w:val="20"/>
          <w:szCs w:val="20"/>
        </w:rPr>
        <w:t xml:space="preserve"> izvede Inštitut Republike Slovenije za socialno varstvo (v nadaljnjem besedilu: IRSSV) vsaki dve leti.</w:t>
      </w:r>
    </w:p>
    <w:p w14:paraId="00000035" w14:textId="066558B6" w:rsidR="007B6707" w:rsidRPr="005B3690" w:rsidRDefault="005B3690">
      <w:pPr>
        <w:spacing w:before="240" w:after="24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0534B" w:rsidRPr="005B3690">
        <w:rPr>
          <w:sz w:val="20"/>
          <w:szCs w:val="20"/>
        </w:rPr>
        <w:t xml:space="preserve">(2) IRSSV pred sprejetjem nacionalnega programa za naslednje obdobje izvede podrobnejšo analizo potreb prebivalstva po DO na ravni statističnih regij, ki predstavlja podlago za nacionalni program v skladu s 1. odstavkom 7. člena </w:t>
      </w:r>
      <w:r w:rsidR="00E761BE">
        <w:rPr>
          <w:sz w:val="20"/>
          <w:szCs w:val="20"/>
        </w:rPr>
        <w:t>zakona</w:t>
      </w:r>
      <w:r w:rsidR="0070534B" w:rsidRPr="005B3690">
        <w:rPr>
          <w:sz w:val="20"/>
          <w:szCs w:val="20"/>
        </w:rPr>
        <w:t>.</w:t>
      </w:r>
    </w:p>
    <w:p w14:paraId="00000036" w14:textId="71E6091F" w:rsidR="007B6707" w:rsidRPr="005B3690" w:rsidRDefault="005B3690">
      <w:pPr>
        <w:spacing w:before="240" w:after="24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0534B" w:rsidRPr="005B3690">
        <w:rPr>
          <w:sz w:val="20"/>
          <w:szCs w:val="20"/>
        </w:rPr>
        <w:t xml:space="preserve">(3) Poročila z rezultati analiz iz 1. in 2. odstavka tega člena IRSSV javno objavi na svojem spletnem mestu. </w:t>
      </w:r>
    </w:p>
    <w:p w14:paraId="00000037" w14:textId="77777777" w:rsidR="007B6707" w:rsidRPr="000D7CA4" w:rsidRDefault="0070534B">
      <w:pPr>
        <w:jc w:val="center"/>
        <w:rPr>
          <w:bCs/>
          <w:sz w:val="20"/>
          <w:szCs w:val="20"/>
        </w:rPr>
      </w:pPr>
      <w:r w:rsidRPr="000D7CA4">
        <w:rPr>
          <w:bCs/>
          <w:sz w:val="20"/>
          <w:szCs w:val="20"/>
        </w:rPr>
        <w:t>KONČNA DOLOČBA</w:t>
      </w:r>
    </w:p>
    <w:p w14:paraId="00000038" w14:textId="77777777" w:rsidR="007B6707" w:rsidRPr="005B3690" w:rsidRDefault="007B6707">
      <w:pPr>
        <w:jc w:val="center"/>
        <w:rPr>
          <w:b/>
          <w:sz w:val="20"/>
          <w:szCs w:val="20"/>
        </w:rPr>
      </w:pPr>
    </w:p>
    <w:p w14:paraId="00000039" w14:textId="77777777" w:rsidR="007B6707" w:rsidRPr="005B3690" w:rsidRDefault="0070534B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4. člen</w:t>
      </w:r>
    </w:p>
    <w:p w14:paraId="0000003B" w14:textId="00982ED4" w:rsidR="007B6707" w:rsidRPr="000D7CA4" w:rsidRDefault="0070534B">
      <w:pPr>
        <w:jc w:val="center"/>
        <w:rPr>
          <w:b/>
          <w:sz w:val="20"/>
          <w:szCs w:val="20"/>
        </w:rPr>
      </w:pPr>
      <w:r w:rsidRPr="005B3690">
        <w:rPr>
          <w:b/>
          <w:sz w:val="20"/>
          <w:szCs w:val="20"/>
        </w:rPr>
        <w:t>(končna določba)</w:t>
      </w:r>
    </w:p>
    <w:p w14:paraId="0000003C" w14:textId="77777777" w:rsidR="007B6707" w:rsidRPr="005B3690" w:rsidRDefault="0070534B">
      <w:pPr>
        <w:spacing w:before="240" w:after="240"/>
        <w:ind w:firstLine="720"/>
        <w:jc w:val="both"/>
        <w:rPr>
          <w:sz w:val="20"/>
          <w:szCs w:val="20"/>
        </w:rPr>
      </w:pPr>
      <w:r w:rsidRPr="005B3690">
        <w:rPr>
          <w:sz w:val="20"/>
          <w:szCs w:val="20"/>
        </w:rPr>
        <w:t>Ta pravilnik začne veljati petnajsti dan po objavi v Uradnem listu Republike Slovenije.</w:t>
      </w:r>
    </w:p>
    <w:p w14:paraId="0000003E" w14:textId="77777777" w:rsidR="007B6707" w:rsidRPr="005B3690" w:rsidRDefault="007B6707">
      <w:pPr>
        <w:jc w:val="both"/>
        <w:rPr>
          <w:sz w:val="20"/>
          <w:szCs w:val="20"/>
        </w:rPr>
      </w:pPr>
    </w:p>
    <w:p w14:paraId="0000003F" w14:textId="09D0A327" w:rsidR="007B6707" w:rsidRPr="005B3690" w:rsidRDefault="0070534B">
      <w:pPr>
        <w:rPr>
          <w:sz w:val="20"/>
          <w:szCs w:val="20"/>
        </w:rPr>
      </w:pPr>
      <w:r w:rsidRPr="005B3690">
        <w:rPr>
          <w:sz w:val="20"/>
          <w:szCs w:val="20"/>
        </w:rPr>
        <w:t>Št. 007</w:t>
      </w:r>
      <w:r w:rsidR="005B3690">
        <w:rPr>
          <w:sz w:val="20"/>
          <w:szCs w:val="20"/>
        </w:rPr>
        <w:t>2-8/2023/1</w:t>
      </w:r>
    </w:p>
    <w:p w14:paraId="00000040" w14:textId="7FAAFE8C" w:rsidR="007B6707" w:rsidRPr="005B3690" w:rsidRDefault="0070534B">
      <w:pPr>
        <w:rPr>
          <w:sz w:val="20"/>
          <w:szCs w:val="20"/>
        </w:rPr>
      </w:pPr>
      <w:r w:rsidRPr="005B3690">
        <w:rPr>
          <w:sz w:val="20"/>
          <w:szCs w:val="20"/>
        </w:rPr>
        <w:t xml:space="preserve">Ljubljana, dne </w:t>
      </w:r>
      <w:r w:rsidR="00E761BE">
        <w:rPr>
          <w:sz w:val="20"/>
          <w:szCs w:val="20"/>
        </w:rPr>
        <w:t>1</w:t>
      </w:r>
      <w:r w:rsidRPr="005B3690">
        <w:rPr>
          <w:sz w:val="20"/>
          <w:szCs w:val="20"/>
        </w:rPr>
        <w:t xml:space="preserve">. </w:t>
      </w:r>
      <w:r w:rsidR="00E761BE">
        <w:rPr>
          <w:sz w:val="20"/>
          <w:szCs w:val="20"/>
        </w:rPr>
        <w:t>december</w:t>
      </w:r>
      <w:r w:rsidRPr="005B3690">
        <w:rPr>
          <w:sz w:val="20"/>
          <w:szCs w:val="20"/>
        </w:rPr>
        <w:t xml:space="preserve"> 2023</w:t>
      </w:r>
    </w:p>
    <w:p w14:paraId="00000041" w14:textId="1FE079D1" w:rsidR="007B6707" w:rsidRPr="005B3690" w:rsidRDefault="0070534B">
      <w:pPr>
        <w:rPr>
          <w:sz w:val="20"/>
          <w:szCs w:val="20"/>
        </w:rPr>
      </w:pPr>
      <w:r w:rsidRPr="005B3690">
        <w:rPr>
          <w:sz w:val="20"/>
          <w:szCs w:val="20"/>
        </w:rPr>
        <w:t>EVA 2023-2720-</w:t>
      </w:r>
      <w:r w:rsidR="005B3690">
        <w:rPr>
          <w:sz w:val="20"/>
          <w:szCs w:val="20"/>
        </w:rPr>
        <w:t>0021</w:t>
      </w:r>
    </w:p>
    <w:p w14:paraId="00000042" w14:textId="77777777" w:rsidR="007B6707" w:rsidRPr="005B3690" w:rsidRDefault="007B6707">
      <w:pPr>
        <w:jc w:val="center"/>
        <w:rPr>
          <w:sz w:val="20"/>
          <w:szCs w:val="20"/>
        </w:rPr>
      </w:pPr>
    </w:p>
    <w:p w14:paraId="00000043" w14:textId="77777777" w:rsidR="007B6707" w:rsidRPr="005B3690" w:rsidRDefault="0070534B">
      <w:pPr>
        <w:ind w:left="5760" w:firstLine="720"/>
        <w:rPr>
          <w:sz w:val="20"/>
          <w:szCs w:val="20"/>
        </w:rPr>
      </w:pPr>
      <w:r w:rsidRPr="005B3690">
        <w:rPr>
          <w:sz w:val="20"/>
          <w:szCs w:val="20"/>
        </w:rPr>
        <w:t>Simon Maljevac</w:t>
      </w:r>
    </w:p>
    <w:p w14:paraId="00000044" w14:textId="77777777" w:rsidR="007B6707" w:rsidRPr="005B3690" w:rsidRDefault="0070534B">
      <w:pPr>
        <w:ind w:left="5040" w:firstLine="720"/>
        <w:rPr>
          <w:sz w:val="20"/>
          <w:szCs w:val="20"/>
        </w:rPr>
      </w:pPr>
      <w:r w:rsidRPr="005B3690">
        <w:rPr>
          <w:sz w:val="20"/>
          <w:szCs w:val="20"/>
        </w:rPr>
        <w:t xml:space="preserve">                  minister</w:t>
      </w:r>
    </w:p>
    <w:p w14:paraId="00000045" w14:textId="2777FF5E" w:rsidR="007B6707" w:rsidRPr="005B3690" w:rsidRDefault="0070534B">
      <w:pPr>
        <w:jc w:val="center"/>
        <w:rPr>
          <w:sz w:val="20"/>
          <w:szCs w:val="20"/>
        </w:rPr>
      </w:pPr>
      <w:r w:rsidRPr="005B3690">
        <w:rPr>
          <w:sz w:val="20"/>
          <w:szCs w:val="20"/>
        </w:rPr>
        <w:t xml:space="preserve">                                                                                        </w:t>
      </w:r>
      <w:r w:rsidR="00E761BE">
        <w:rPr>
          <w:sz w:val="20"/>
          <w:szCs w:val="20"/>
        </w:rPr>
        <w:t xml:space="preserve">      </w:t>
      </w:r>
      <w:r w:rsidRPr="005B3690">
        <w:rPr>
          <w:sz w:val="20"/>
          <w:szCs w:val="20"/>
        </w:rPr>
        <w:t xml:space="preserve"> za solidarno prihodnost</w:t>
      </w:r>
    </w:p>
    <w:p w14:paraId="00000046" w14:textId="77777777" w:rsidR="007B6707" w:rsidRDefault="007B6707">
      <w:pPr>
        <w:jc w:val="center"/>
        <w:rPr>
          <w:b/>
        </w:rPr>
      </w:pPr>
    </w:p>
    <w:sectPr w:rsidR="007B6707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6707"/>
    <w:rsid w:val="000D7CA4"/>
    <w:rsid w:val="00570AE6"/>
    <w:rsid w:val="005B3690"/>
    <w:rsid w:val="0070534B"/>
    <w:rsid w:val="007B6707"/>
    <w:rsid w:val="00E76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D1573"/>
  <w15:docId w15:val="{0B3FD913-A454-43D9-AC0F-C338FC0CD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711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Jacović</dc:creator>
  <cp:lastModifiedBy>MSP</cp:lastModifiedBy>
  <cp:revision>5</cp:revision>
  <dcterms:created xsi:type="dcterms:W3CDTF">2023-12-01T10:40:00Z</dcterms:created>
  <dcterms:modified xsi:type="dcterms:W3CDTF">2023-12-01T10:59:00Z</dcterms:modified>
</cp:coreProperties>
</file>