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0CFA" w:rsidRDefault="00C10CFA" w:rsidP="00C10CFA">
      <w:pPr>
        <w:autoSpaceDE w:val="0"/>
        <w:autoSpaceDN w:val="0"/>
        <w:adjustRightInd w:val="0"/>
        <w:jc w:val="right"/>
        <w:rPr>
          <w:rFonts w:cs="Arial"/>
          <w:b/>
          <w:szCs w:val="20"/>
          <w:lang w:eastAsia="sl-SI"/>
        </w:rPr>
      </w:pPr>
      <w:r>
        <w:rPr>
          <w:rFonts w:cs="Arial"/>
          <w:b/>
          <w:szCs w:val="20"/>
          <w:lang w:eastAsia="sl-SI"/>
        </w:rPr>
        <w:t>PREDLOG</w:t>
      </w:r>
    </w:p>
    <w:p w:rsidR="00C10CFA" w:rsidRDefault="00C10CFA" w:rsidP="00C10CFA">
      <w:pPr>
        <w:autoSpaceDE w:val="0"/>
        <w:autoSpaceDN w:val="0"/>
        <w:adjustRightInd w:val="0"/>
        <w:jc w:val="right"/>
        <w:rPr>
          <w:rFonts w:cs="Arial"/>
          <w:b/>
          <w:szCs w:val="20"/>
          <w:lang w:eastAsia="sl-SI"/>
        </w:rPr>
      </w:pPr>
      <w:r>
        <w:rPr>
          <w:rFonts w:cs="Arial"/>
          <w:b/>
          <w:szCs w:val="20"/>
          <w:lang w:eastAsia="sl-SI"/>
        </w:rPr>
        <w:t xml:space="preserve">EVA </w:t>
      </w:r>
      <w:r w:rsidRPr="00C10CFA">
        <w:rPr>
          <w:rFonts w:cs="Arial"/>
          <w:b/>
          <w:szCs w:val="20"/>
          <w:lang w:eastAsia="sl-SI"/>
        </w:rPr>
        <w:t>2023-1611-0065</w:t>
      </w:r>
    </w:p>
    <w:p w:rsidR="00C10CFA" w:rsidRDefault="00C10CFA" w:rsidP="00C10CFA">
      <w:pPr>
        <w:autoSpaceDE w:val="0"/>
        <w:autoSpaceDN w:val="0"/>
        <w:adjustRightInd w:val="0"/>
        <w:jc w:val="right"/>
        <w:rPr>
          <w:rFonts w:cs="Arial"/>
          <w:b/>
          <w:szCs w:val="20"/>
          <w:lang w:eastAsia="sl-SI"/>
        </w:rPr>
      </w:pPr>
      <w:r>
        <w:rPr>
          <w:rFonts w:cs="Arial"/>
          <w:b/>
          <w:szCs w:val="20"/>
          <w:lang w:eastAsia="sl-SI"/>
        </w:rPr>
        <w:t>SKRAJŠANI POSTOPEK</w:t>
      </w:r>
    </w:p>
    <w:p w:rsidR="00C10CFA" w:rsidRDefault="00C10CFA" w:rsidP="00C10CFA">
      <w:pPr>
        <w:autoSpaceDE w:val="0"/>
        <w:autoSpaceDN w:val="0"/>
        <w:adjustRightInd w:val="0"/>
        <w:jc w:val="right"/>
        <w:rPr>
          <w:rFonts w:cs="Arial"/>
          <w:b/>
          <w:szCs w:val="20"/>
          <w:lang w:eastAsia="sl-SI"/>
        </w:rPr>
      </w:pPr>
    </w:p>
    <w:p w:rsidR="00C10CFA" w:rsidRDefault="00C10CFA" w:rsidP="00C10CFA">
      <w:pPr>
        <w:autoSpaceDE w:val="0"/>
        <w:autoSpaceDN w:val="0"/>
        <w:adjustRightInd w:val="0"/>
        <w:jc w:val="right"/>
        <w:rPr>
          <w:rFonts w:cs="Arial"/>
          <w:b/>
          <w:szCs w:val="20"/>
          <w:lang w:eastAsia="sl-SI"/>
        </w:rPr>
      </w:pPr>
    </w:p>
    <w:p w:rsidR="00C10CFA" w:rsidRDefault="00C10CFA" w:rsidP="00C10CFA">
      <w:pPr>
        <w:autoSpaceDE w:val="0"/>
        <w:autoSpaceDN w:val="0"/>
        <w:adjustRightInd w:val="0"/>
        <w:jc w:val="right"/>
        <w:rPr>
          <w:rFonts w:cs="Arial"/>
          <w:b/>
          <w:szCs w:val="20"/>
          <w:lang w:eastAsia="sl-SI"/>
        </w:rPr>
      </w:pPr>
    </w:p>
    <w:p w:rsidR="00C10CFA" w:rsidRPr="00457F65" w:rsidRDefault="00C10CFA" w:rsidP="00C10CFA">
      <w:pPr>
        <w:jc w:val="center"/>
        <w:rPr>
          <w:rFonts w:cs="Arial"/>
          <w:b/>
          <w:szCs w:val="20"/>
        </w:rPr>
      </w:pPr>
      <w:r w:rsidRPr="00457F65">
        <w:rPr>
          <w:rFonts w:cs="Arial"/>
          <w:b/>
          <w:szCs w:val="20"/>
        </w:rPr>
        <w:t xml:space="preserve">ZAKON </w:t>
      </w:r>
      <w:r w:rsidRPr="00457F65">
        <w:rPr>
          <w:rFonts w:cs="Arial"/>
          <w:b/>
          <w:bCs/>
          <w:szCs w:val="20"/>
        </w:rPr>
        <w:t xml:space="preserve">O SPREMEMBAH </w:t>
      </w:r>
      <w:r>
        <w:rPr>
          <w:rFonts w:cs="Arial"/>
          <w:b/>
          <w:bCs/>
          <w:szCs w:val="20"/>
        </w:rPr>
        <w:t xml:space="preserve">IN DOPOLNITVAH </w:t>
      </w:r>
      <w:r w:rsidRPr="00457F65">
        <w:rPr>
          <w:rFonts w:cs="Arial"/>
          <w:b/>
          <w:bCs/>
          <w:szCs w:val="20"/>
        </w:rPr>
        <w:t>ZAKONA O REŠEVANJU IN PRISILNEM PRENEHANJU BANK</w:t>
      </w:r>
    </w:p>
    <w:p w:rsidR="00C10CFA" w:rsidRDefault="00C10CFA" w:rsidP="00C10CFA">
      <w:pPr>
        <w:jc w:val="center"/>
        <w:rPr>
          <w:rFonts w:cs="Arial"/>
          <w:b/>
          <w:szCs w:val="20"/>
          <w:highlight w:val="cyan"/>
        </w:rPr>
      </w:pPr>
    </w:p>
    <w:p w:rsidR="00C10CFA" w:rsidRPr="00354BA8" w:rsidRDefault="00C10CFA" w:rsidP="00C10CFA">
      <w:pPr>
        <w:rPr>
          <w:rFonts w:cs="Arial"/>
          <w:szCs w:val="20"/>
        </w:rPr>
      </w:pPr>
    </w:p>
    <w:p w:rsidR="00C10CFA" w:rsidRPr="00B803E3" w:rsidRDefault="00C10CFA" w:rsidP="00C10CFA">
      <w:pPr>
        <w:rPr>
          <w:rFonts w:cs="Arial"/>
          <w:b/>
          <w:szCs w:val="20"/>
        </w:rPr>
      </w:pPr>
      <w:r w:rsidRPr="00B803E3">
        <w:rPr>
          <w:rFonts w:cs="Arial"/>
          <w:b/>
          <w:szCs w:val="20"/>
        </w:rPr>
        <w:t>I. UVOD</w:t>
      </w:r>
    </w:p>
    <w:p w:rsidR="00C10CFA" w:rsidRPr="00B803E3" w:rsidRDefault="00C10CFA" w:rsidP="00C10CFA">
      <w:pPr>
        <w:rPr>
          <w:rFonts w:cs="Arial"/>
          <w:b/>
          <w:szCs w:val="20"/>
        </w:rPr>
      </w:pPr>
    </w:p>
    <w:p w:rsidR="00C10CFA" w:rsidRPr="00B803E3" w:rsidRDefault="00C10CFA" w:rsidP="00C10CFA">
      <w:pPr>
        <w:numPr>
          <w:ilvl w:val="0"/>
          <w:numId w:val="13"/>
        </w:numPr>
        <w:rPr>
          <w:rFonts w:cs="Arial"/>
          <w:b/>
          <w:szCs w:val="20"/>
        </w:rPr>
      </w:pPr>
      <w:r w:rsidRPr="00B803E3">
        <w:rPr>
          <w:rFonts w:cs="Arial"/>
          <w:b/>
          <w:szCs w:val="20"/>
        </w:rPr>
        <w:t>OCENA STANJA IN RAZLOGI ZA SPREJEM PREDLOGA ZAKONA</w:t>
      </w:r>
    </w:p>
    <w:p w:rsidR="00C10CFA" w:rsidRPr="00B803E3" w:rsidRDefault="00C10CFA" w:rsidP="00C10CFA">
      <w:pPr>
        <w:rPr>
          <w:rFonts w:cs="Arial"/>
          <w:szCs w:val="20"/>
          <w:highlight w:val="yellow"/>
        </w:rPr>
      </w:pPr>
    </w:p>
    <w:p w:rsidR="00C10CFA" w:rsidRPr="00FA5B6F" w:rsidRDefault="00C10CFA" w:rsidP="006462D0">
      <w:pPr>
        <w:jc w:val="both"/>
        <w:rPr>
          <w:rFonts w:cs="Arial"/>
          <w:szCs w:val="20"/>
        </w:rPr>
      </w:pPr>
      <w:r w:rsidRPr="001A7F66">
        <w:rPr>
          <w:rFonts w:cs="Arial"/>
          <w:szCs w:val="20"/>
        </w:rPr>
        <w:t>Direktiva 2014/</w:t>
      </w:r>
      <w:r>
        <w:rPr>
          <w:rFonts w:cs="Arial"/>
          <w:szCs w:val="20"/>
        </w:rPr>
        <w:t>5</w:t>
      </w:r>
      <w:r w:rsidRPr="001A7F66">
        <w:rPr>
          <w:rFonts w:cs="Arial"/>
          <w:szCs w:val="20"/>
        </w:rPr>
        <w:t>9/EU Evropskega parlamenta in Sveta</w:t>
      </w:r>
      <w:r>
        <w:rPr>
          <w:rFonts w:cs="Arial"/>
          <w:szCs w:val="20"/>
        </w:rPr>
        <w:t xml:space="preserve"> o vzpostavitvi okvira za sanacijo ter reševanje kreditnih institucij in investicijskih podjetij z dne 15. maja 2014 </w:t>
      </w:r>
      <w:r w:rsidRPr="007C7691">
        <w:rPr>
          <w:rFonts w:eastAsia="Calibri" w:cs="Arial"/>
          <w:color w:val="000000"/>
          <w:szCs w:val="20"/>
        </w:rPr>
        <w:t xml:space="preserve">(UL L št. 173 z dne 12. </w:t>
      </w:r>
      <w:r>
        <w:rPr>
          <w:rFonts w:eastAsia="Calibri" w:cs="Arial"/>
          <w:color w:val="000000"/>
          <w:szCs w:val="20"/>
        </w:rPr>
        <w:t>6.</w:t>
      </w:r>
      <w:r w:rsidRPr="007C7691">
        <w:rPr>
          <w:rFonts w:eastAsia="Calibri" w:cs="Arial"/>
          <w:color w:val="000000"/>
          <w:szCs w:val="20"/>
        </w:rPr>
        <w:t xml:space="preserve"> 2014, str.</w:t>
      </w:r>
      <w:r>
        <w:rPr>
          <w:rFonts w:eastAsia="Calibri" w:cs="Arial"/>
          <w:color w:val="000000"/>
          <w:szCs w:val="20"/>
        </w:rPr>
        <w:t> </w:t>
      </w:r>
      <w:r w:rsidRPr="007C7691">
        <w:rPr>
          <w:rFonts w:eastAsia="Calibri" w:cs="Arial"/>
          <w:color w:val="000000"/>
          <w:szCs w:val="20"/>
        </w:rPr>
        <w:t>190</w:t>
      </w:r>
      <w:r>
        <w:rPr>
          <w:rFonts w:eastAsia="Calibri" w:cs="Arial"/>
          <w:color w:val="000000"/>
          <w:szCs w:val="20"/>
        </w:rPr>
        <w:t>)</w:t>
      </w:r>
      <w:r w:rsidRPr="007C2D32">
        <w:rPr>
          <w:rFonts w:eastAsia="Calibri" w:cs="Arial"/>
          <w:color w:val="000000"/>
          <w:szCs w:val="20"/>
        </w:rPr>
        <w:t xml:space="preserve">, </w:t>
      </w:r>
      <w:r w:rsidRPr="007C2D32">
        <w:rPr>
          <w:szCs w:val="20"/>
        </w:rPr>
        <w:t>spremenjena z Direktivo 2019/2162/EU Evropskega parlamenta in Sveta z dne 27. novembra 2019 o izdajanju kritih obveznic in javnem nadzoru kritih obveznic ter o spremembi direktiv 2009/65/ES in 2014/59/EU (UL L št. 328 z dne 18. 12. 2019, str. 29), popravljena s Popravkom (UL L št. 283 z dne 31. 8. 2020, str. 2)</w:t>
      </w:r>
      <w:r>
        <w:rPr>
          <w:szCs w:val="20"/>
        </w:rPr>
        <w:t>, (</w:t>
      </w:r>
      <w:r w:rsidRPr="007C7691">
        <w:rPr>
          <w:rFonts w:eastAsia="Calibri" w:cs="Arial"/>
          <w:color w:val="000000"/>
          <w:szCs w:val="20"/>
        </w:rPr>
        <w:t>v nadaljnjem besedilu: Direktiva 2014/</w:t>
      </w:r>
      <w:r>
        <w:rPr>
          <w:rFonts w:eastAsia="Calibri" w:cs="Arial"/>
          <w:color w:val="000000"/>
          <w:szCs w:val="20"/>
        </w:rPr>
        <w:t>5</w:t>
      </w:r>
      <w:r w:rsidRPr="007C7691">
        <w:rPr>
          <w:rFonts w:eastAsia="Calibri" w:cs="Arial"/>
          <w:color w:val="000000"/>
          <w:szCs w:val="20"/>
        </w:rPr>
        <w:t>9/EU)</w:t>
      </w:r>
      <w:r w:rsidR="004A7F7E">
        <w:rPr>
          <w:rFonts w:eastAsia="Calibri" w:cs="Arial"/>
          <w:color w:val="000000"/>
          <w:szCs w:val="20"/>
        </w:rPr>
        <w:t>,</w:t>
      </w:r>
      <w:r w:rsidRPr="008742DB">
        <w:rPr>
          <w:rFonts w:cs="Arial"/>
          <w:szCs w:val="20"/>
        </w:rPr>
        <w:t xml:space="preserve"> je bila v </w:t>
      </w:r>
      <w:r>
        <w:rPr>
          <w:rFonts w:cs="Arial"/>
          <w:szCs w:val="20"/>
        </w:rPr>
        <w:t xml:space="preserve">nacionalni </w:t>
      </w:r>
      <w:r w:rsidRPr="008742DB">
        <w:rPr>
          <w:rFonts w:cs="Arial"/>
          <w:szCs w:val="20"/>
        </w:rPr>
        <w:t>pravni red prenesena z Zakonom o reševanju in prisilnem prenehanju bank (</w:t>
      </w:r>
      <w:r w:rsidRPr="00A67FCE">
        <w:rPr>
          <w:rFonts w:cs="Arial"/>
          <w:szCs w:val="20"/>
        </w:rPr>
        <w:t xml:space="preserve">Uradni list </w:t>
      </w:r>
      <w:r>
        <w:rPr>
          <w:rFonts w:cs="Arial"/>
          <w:szCs w:val="20"/>
        </w:rPr>
        <w:t xml:space="preserve">RS, št. </w:t>
      </w:r>
      <w:r w:rsidRPr="008742DB">
        <w:rPr>
          <w:rFonts w:cs="Arial"/>
          <w:szCs w:val="20"/>
        </w:rPr>
        <w:t>92/21</w:t>
      </w:r>
      <w:r>
        <w:rPr>
          <w:rFonts w:cs="Arial"/>
          <w:szCs w:val="20"/>
        </w:rPr>
        <w:t xml:space="preserve">; </w:t>
      </w:r>
      <w:r w:rsidRPr="008742DB">
        <w:rPr>
          <w:rFonts w:cs="Arial"/>
          <w:szCs w:val="20"/>
        </w:rPr>
        <w:t>v nadaljnjem besedilu: ZRPPB-1).</w:t>
      </w:r>
      <w:r>
        <w:rPr>
          <w:rFonts w:cs="Arial"/>
          <w:szCs w:val="20"/>
        </w:rPr>
        <w:t xml:space="preserve"> </w:t>
      </w:r>
      <w:r w:rsidRPr="00FA5B6F">
        <w:rPr>
          <w:rFonts w:cs="Arial"/>
          <w:szCs w:val="20"/>
        </w:rPr>
        <w:t>ZRPPB-1 ureja:</w:t>
      </w:r>
    </w:p>
    <w:p w:rsidR="00C10CFA" w:rsidRPr="00A67FCE" w:rsidRDefault="00C10CFA" w:rsidP="004A7F7E">
      <w:pPr>
        <w:pStyle w:val="Odstavekseznama"/>
        <w:numPr>
          <w:ilvl w:val="0"/>
          <w:numId w:val="14"/>
        </w:numPr>
        <w:spacing w:after="0" w:line="260" w:lineRule="exact"/>
        <w:rPr>
          <w:rFonts w:cs="Arial"/>
          <w:sz w:val="20"/>
          <w:szCs w:val="20"/>
        </w:rPr>
      </w:pPr>
      <w:r w:rsidRPr="00A67FCE">
        <w:rPr>
          <w:rFonts w:cs="Arial"/>
          <w:sz w:val="20"/>
          <w:szCs w:val="20"/>
        </w:rPr>
        <w:t>pristojnosti in postopke, ki jih vodi Banka Slovenije pri izvajanju nalog in pooblastil organa za reševanje bank;</w:t>
      </w:r>
    </w:p>
    <w:p w:rsidR="00C10CFA" w:rsidRPr="00A67FCE" w:rsidRDefault="00C10CFA">
      <w:pPr>
        <w:pStyle w:val="Odstavekseznama"/>
        <w:numPr>
          <w:ilvl w:val="0"/>
          <w:numId w:val="14"/>
        </w:numPr>
        <w:spacing w:after="0" w:line="260" w:lineRule="exact"/>
        <w:rPr>
          <w:rFonts w:cs="Arial"/>
          <w:sz w:val="20"/>
          <w:szCs w:val="20"/>
        </w:rPr>
      </w:pPr>
      <w:r w:rsidRPr="00A67FCE">
        <w:rPr>
          <w:rFonts w:cs="Arial"/>
          <w:sz w:val="20"/>
          <w:szCs w:val="20"/>
        </w:rPr>
        <w:t>načrtovanje reševanja bank;</w:t>
      </w:r>
    </w:p>
    <w:p w:rsidR="00C10CFA" w:rsidRPr="00A67FCE" w:rsidRDefault="00C10CFA">
      <w:pPr>
        <w:pStyle w:val="Odstavekseznama"/>
        <w:numPr>
          <w:ilvl w:val="0"/>
          <w:numId w:val="14"/>
        </w:numPr>
        <w:spacing w:after="0" w:line="260" w:lineRule="exact"/>
        <w:rPr>
          <w:rFonts w:cs="Arial"/>
          <w:sz w:val="20"/>
          <w:szCs w:val="20"/>
        </w:rPr>
      </w:pPr>
      <w:r w:rsidRPr="00A67FCE">
        <w:rPr>
          <w:rFonts w:cs="Arial"/>
          <w:sz w:val="20"/>
          <w:szCs w:val="20"/>
        </w:rPr>
        <w:t>postopek reševanja in pooblastila v zvezi z uporabo ukrepov za reševanje;</w:t>
      </w:r>
    </w:p>
    <w:p w:rsidR="00C10CFA" w:rsidRPr="00A67FCE" w:rsidRDefault="00C10CFA">
      <w:pPr>
        <w:pStyle w:val="Odstavekseznama"/>
        <w:numPr>
          <w:ilvl w:val="0"/>
          <w:numId w:val="14"/>
        </w:numPr>
        <w:spacing w:after="0" w:line="260" w:lineRule="exact"/>
        <w:rPr>
          <w:rFonts w:cs="Arial"/>
          <w:sz w:val="20"/>
          <w:szCs w:val="20"/>
        </w:rPr>
      </w:pPr>
      <w:r w:rsidRPr="00A67FCE">
        <w:rPr>
          <w:rFonts w:cs="Arial"/>
          <w:sz w:val="20"/>
          <w:szCs w:val="20"/>
        </w:rPr>
        <w:t>postopke prisilnega prenehanja bank.</w:t>
      </w:r>
    </w:p>
    <w:p w:rsidR="00C10CFA" w:rsidRDefault="00C10CFA" w:rsidP="006462D0">
      <w:pPr>
        <w:jc w:val="both"/>
        <w:rPr>
          <w:rFonts w:cs="Arial"/>
          <w:color w:val="FF0000"/>
          <w:szCs w:val="20"/>
        </w:rPr>
      </w:pPr>
    </w:p>
    <w:p w:rsidR="00C10CFA" w:rsidRDefault="00C10CFA" w:rsidP="006462D0">
      <w:pPr>
        <w:jc w:val="both"/>
        <w:rPr>
          <w:rFonts w:cs="Arial"/>
          <w:szCs w:val="20"/>
        </w:rPr>
      </w:pPr>
      <w:r w:rsidRPr="00CD176C">
        <w:rPr>
          <w:rFonts w:cs="Arial"/>
          <w:szCs w:val="20"/>
        </w:rPr>
        <w:t xml:space="preserve">V času po sprejetju </w:t>
      </w:r>
      <w:r w:rsidRPr="00CD176C">
        <w:rPr>
          <w:rFonts w:eastAsia="Calibri" w:cs="Arial"/>
          <w:color w:val="000000"/>
          <w:szCs w:val="20"/>
        </w:rPr>
        <w:t>Direktive 2014/59/EU sta bila sprejeta dva predpisa Evropske unije (v nadaljnjem besedilu</w:t>
      </w:r>
      <w:r>
        <w:rPr>
          <w:rFonts w:eastAsia="Calibri" w:cs="Arial"/>
          <w:color w:val="000000"/>
          <w:szCs w:val="20"/>
        </w:rPr>
        <w:t>: EU</w:t>
      </w:r>
      <w:r w:rsidRPr="00CD176C">
        <w:rPr>
          <w:rFonts w:eastAsia="Calibri" w:cs="Arial"/>
          <w:color w:val="000000"/>
          <w:szCs w:val="20"/>
        </w:rPr>
        <w:t>), ki sta posegla tudi v njene določbe, in sicer:</w:t>
      </w:r>
    </w:p>
    <w:p w:rsidR="00C10CFA" w:rsidRPr="00CD176C" w:rsidRDefault="00C10CFA" w:rsidP="006462D0">
      <w:pPr>
        <w:jc w:val="both"/>
        <w:rPr>
          <w:rFonts w:cs="Arial"/>
          <w:szCs w:val="20"/>
        </w:rPr>
      </w:pPr>
    </w:p>
    <w:p w:rsidR="00C10CFA" w:rsidRPr="00CD176C" w:rsidRDefault="00C10CFA" w:rsidP="00C10CFA">
      <w:pPr>
        <w:pStyle w:val="Odstavekseznama"/>
        <w:numPr>
          <w:ilvl w:val="0"/>
          <w:numId w:val="15"/>
        </w:numPr>
        <w:spacing w:after="0" w:line="260" w:lineRule="exact"/>
        <w:rPr>
          <w:rFonts w:cs="Arial"/>
          <w:sz w:val="20"/>
          <w:szCs w:val="20"/>
        </w:rPr>
      </w:pPr>
      <w:r w:rsidRPr="00CD176C">
        <w:rPr>
          <w:rFonts w:cs="Arial"/>
          <w:sz w:val="20"/>
          <w:szCs w:val="20"/>
        </w:rPr>
        <w:t>Direktiva (EU) 2019/879 Evropskega parlamenta in Sveta z dne 20. maja 2019 o spremembi Direktive 2014/59/EU glede sposobnosti kreditnih institucij in investicijskih podjetij za pokrivanje izgub in dokapitalizacijo ter Direktive 98/26/ES (UL L št. 328 z dne 18. 12. 2019, str. 29), zadnjič popravljena s Popravkom (UL L št 92 z dne 30. 3. 2023, str. 33), (v nadaljnjem besedilu: Direktiva 2019/879/EU), ter</w:t>
      </w:r>
    </w:p>
    <w:p w:rsidR="00C10CFA" w:rsidRPr="00CD176C" w:rsidRDefault="00C10CFA" w:rsidP="00C10CFA">
      <w:pPr>
        <w:pStyle w:val="Odstavekseznama"/>
        <w:numPr>
          <w:ilvl w:val="0"/>
          <w:numId w:val="15"/>
        </w:numPr>
        <w:spacing w:after="0" w:line="260" w:lineRule="exact"/>
        <w:rPr>
          <w:rFonts w:cs="Arial"/>
          <w:sz w:val="20"/>
          <w:szCs w:val="20"/>
        </w:rPr>
      </w:pPr>
      <w:r w:rsidRPr="00CD176C">
        <w:rPr>
          <w:rFonts w:cs="Arial"/>
          <w:sz w:val="20"/>
          <w:szCs w:val="20"/>
        </w:rPr>
        <w:t>Uredba (EU) 2022/2036 Evropskega parlamenta in Sveta z dne 19. oktobra 2022 o spremembi Uredbe (EU) št. 575/2013 in Direktive 2014/59/EU v zvezi z bonitetno obravnavo globalnih sistemsko pomembnih institucij s strategijo reševanja z več vstopnimi točkami in metodami za posredni vpis instrumentov, primernih za izpolnjevanje minimalne zahteve glede kapitala in kvalificiranih obveznosti (UL L št. 275 z dne 25. 10. 2022, str. 1; v nadaljnjem besedilu: Uredba</w:t>
      </w:r>
      <w:r>
        <w:rPr>
          <w:rFonts w:cs="Arial"/>
          <w:sz w:val="20"/>
          <w:szCs w:val="20"/>
        </w:rPr>
        <w:t xml:space="preserve"> </w:t>
      </w:r>
      <w:r w:rsidRPr="00CD176C">
        <w:rPr>
          <w:rFonts w:cs="Arial"/>
          <w:sz w:val="20"/>
          <w:szCs w:val="20"/>
        </w:rPr>
        <w:t>20</w:t>
      </w:r>
      <w:r>
        <w:rPr>
          <w:rFonts w:cs="Arial"/>
          <w:sz w:val="20"/>
          <w:szCs w:val="20"/>
        </w:rPr>
        <w:t>22</w:t>
      </w:r>
      <w:r w:rsidRPr="00CD176C">
        <w:rPr>
          <w:rFonts w:cs="Arial"/>
          <w:sz w:val="20"/>
          <w:szCs w:val="20"/>
        </w:rPr>
        <w:t>/20</w:t>
      </w:r>
      <w:r>
        <w:rPr>
          <w:rFonts w:cs="Arial"/>
          <w:sz w:val="20"/>
          <w:szCs w:val="20"/>
        </w:rPr>
        <w:t>36/EU</w:t>
      </w:r>
      <w:r w:rsidRPr="00CD176C">
        <w:rPr>
          <w:rFonts w:cs="Arial"/>
          <w:sz w:val="20"/>
          <w:szCs w:val="20"/>
        </w:rPr>
        <w:t>).</w:t>
      </w:r>
    </w:p>
    <w:p w:rsidR="00C10CFA" w:rsidRPr="00CD176C" w:rsidRDefault="00C10CFA" w:rsidP="00C10CFA">
      <w:pPr>
        <w:rPr>
          <w:rFonts w:eastAsia="Calibri" w:cs="Arial"/>
          <w:color w:val="000000"/>
          <w:szCs w:val="20"/>
        </w:rPr>
      </w:pPr>
    </w:p>
    <w:p w:rsidR="00C10CFA" w:rsidRDefault="00C10CFA" w:rsidP="00C10CFA">
      <w:pPr>
        <w:jc w:val="both"/>
        <w:rPr>
          <w:rFonts w:cs="Arial"/>
          <w:szCs w:val="20"/>
        </w:rPr>
      </w:pPr>
      <w:r w:rsidRPr="00CD176C">
        <w:rPr>
          <w:rFonts w:cs="Arial"/>
          <w:szCs w:val="20"/>
        </w:rPr>
        <w:t>Uredba 20</w:t>
      </w:r>
      <w:r>
        <w:rPr>
          <w:rFonts w:cs="Arial"/>
          <w:szCs w:val="20"/>
        </w:rPr>
        <w:t>22</w:t>
      </w:r>
      <w:r w:rsidRPr="00CD176C">
        <w:rPr>
          <w:rFonts w:cs="Arial"/>
          <w:szCs w:val="20"/>
        </w:rPr>
        <w:t>/20</w:t>
      </w:r>
      <w:r>
        <w:rPr>
          <w:rFonts w:cs="Arial"/>
          <w:szCs w:val="20"/>
        </w:rPr>
        <w:t>36/EU</w:t>
      </w:r>
      <w:r w:rsidRPr="00CD176C">
        <w:rPr>
          <w:rFonts w:cs="Arial"/>
          <w:szCs w:val="20"/>
        </w:rPr>
        <w:t xml:space="preserve"> je</w:t>
      </w:r>
      <w:r>
        <w:rPr>
          <w:rFonts w:cs="Arial"/>
          <w:szCs w:val="20"/>
        </w:rPr>
        <w:t xml:space="preserve"> del širšega zakonodajnega okvira za zmanjšanje tveganj, ki lahko ogrozijo finančno stabilnost. V ta namen je že Direktiva </w:t>
      </w:r>
      <w:r w:rsidRPr="001E6C53">
        <w:rPr>
          <w:rFonts w:cs="Arial"/>
          <w:szCs w:val="20"/>
        </w:rPr>
        <w:t>2014/59/EU</w:t>
      </w:r>
      <w:r>
        <w:rPr>
          <w:rFonts w:cs="Arial"/>
          <w:szCs w:val="20"/>
        </w:rPr>
        <w:t xml:space="preserve"> uvedla zahtevo, da morajo banke stalno zagotavljati minimalno zahtevo glede kapitala in kvalificiranih obveznosti (angl. </w:t>
      </w:r>
      <w:r w:rsidRPr="000627FC">
        <w:rPr>
          <w:rFonts w:cs="Arial"/>
          <w:i/>
          <w:iCs/>
          <w:szCs w:val="20"/>
        </w:rPr>
        <w:t xml:space="preserve">Minimum </w:t>
      </w:r>
      <w:proofErr w:type="spellStart"/>
      <w:r w:rsidRPr="000627FC">
        <w:rPr>
          <w:rFonts w:cs="Arial"/>
          <w:i/>
          <w:iCs/>
          <w:szCs w:val="20"/>
        </w:rPr>
        <w:t>Requirement</w:t>
      </w:r>
      <w:proofErr w:type="spellEnd"/>
      <w:r w:rsidRPr="000627FC">
        <w:rPr>
          <w:rFonts w:cs="Arial"/>
          <w:i/>
          <w:iCs/>
          <w:szCs w:val="20"/>
        </w:rPr>
        <w:t xml:space="preserve"> </w:t>
      </w:r>
      <w:proofErr w:type="spellStart"/>
      <w:r w:rsidRPr="000627FC">
        <w:rPr>
          <w:rFonts w:cs="Arial"/>
          <w:i/>
          <w:iCs/>
          <w:szCs w:val="20"/>
        </w:rPr>
        <w:t>for</w:t>
      </w:r>
      <w:proofErr w:type="spellEnd"/>
      <w:r w:rsidRPr="000627FC">
        <w:rPr>
          <w:rFonts w:cs="Arial"/>
          <w:i/>
          <w:iCs/>
          <w:szCs w:val="20"/>
        </w:rPr>
        <w:t xml:space="preserve"> </w:t>
      </w:r>
      <w:proofErr w:type="spellStart"/>
      <w:r w:rsidRPr="000627FC">
        <w:rPr>
          <w:rFonts w:cs="Arial"/>
          <w:i/>
          <w:iCs/>
          <w:szCs w:val="20"/>
        </w:rPr>
        <w:t>Own</w:t>
      </w:r>
      <w:proofErr w:type="spellEnd"/>
      <w:r w:rsidRPr="000627FC">
        <w:rPr>
          <w:rFonts w:cs="Arial"/>
          <w:i/>
          <w:iCs/>
          <w:szCs w:val="20"/>
        </w:rPr>
        <w:t xml:space="preserve"> </w:t>
      </w:r>
      <w:proofErr w:type="spellStart"/>
      <w:r w:rsidRPr="000627FC">
        <w:rPr>
          <w:rFonts w:cs="Arial"/>
          <w:i/>
          <w:iCs/>
          <w:szCs w:val="20"/>
        </w:rPr>
        <w:t>Funds</w:t>
      </w:r>
      <w:proofErr w:type="spellEnd"/>
      <w:r w:rsidRPr="000627FC">
        <w:rPr>
          <w:rFonts w:cs="Arial"/>
          <w:i/>
          <w:iCs/>
          <w:szCs w:val="20"/>
        </w:rPr>
        <w:t xml:space="preserve"> </w:t>
      </w:r>
      <w:proofErr w:type="spellStart"/>
      <w:r w:rsidRPr="000627FC">
        <w:rPr>
          <w:rFonts w:cs="Arial"/>
          <w:i/>
          <w:iCs/>
          <w:szCs w:val="20"/>
        </w:rPr>
        <w:t>and</w:t>
      </w:r>
      <w:proofErr w:type="spellEnd"/>
      <w:r w:rsidRPr="000627FC">
        <w:rPr>
          <w:rFonts w:cs="Arial"/>
          <w:i/>
          <w:iCs/>
          <w:szCs w:val="20"/>
        </w:rPr>
        <w:t xml:space="preserve"> </w:t>
      </w:r>
      <w:proofErr w:type="spellStart"/>
      <w:r w:rsidRPr="000627FC">
        <w:rPr>
          <w:rFonts w:cs="Arial"/>
          <w:i/>
          <w:iCs/>
          <w:szCs w:val="20"/>
        </w:rPr>
        <w:t>Eligible</w:t>
      </w:r>
      <w:proofErr w:type="spellEnd"/>
      <w:r w:rsidRPr="000627FC">
        <w:rPr>
          <w:rFonts w:cs="Arial"/>
          <w:i/>
          <w:iCs/>
          <w:szCs w:val="20"/>
        </w:rPr>
        <w:t xml:space="preserve"> </w:t>
      </w:r>
      <w:proofErr w:type="spellStart"/>
      <w:r w:rsidRPr="000627FC">
        <w:rPr>
          <w:rFonts w:cs="Arial"/>
          <w:i/>
          <w:iCs/>
          <w:szCs w:val="20"/>
        </w:rPr>
        <w:t>Liabilities</w:t>
      </w:r>
      <w:proofErr w:type="spellEnd"/>
      <w:r>
        <w:rPr>
          <w:rFonts w:cs="Arial"/>
          <w:szCs w:val="20"/>
        </w:rPr>
        <w:t xml:space="preserve">, zahteva MREL), s katero se zagotavlja, da lahko banka v primeru težav, zaradi katerih gre v nadzorovani postopek reševanja, sredstva za pokritje izgub in dokapitalizacijo zagotovi s temi sredstvi. Z naknadnimi spremembami </w:t>
      </w:r>
      <w:r>
        <w:rPr>
          <w:rFonts w:cs="Arial"/>
          <w:szCs w:val="20"/>
        </w:rPr>
        <w:lastRenderedPageBreak/>
        <w:t xml:space="preserve">ustreznih predpisov EU so se določila tudi pravila za oblikovanje in </w:t>
      </w:r>
      <w:r w:rsidRPr="000627FC">
        <w:rPr>
          <w:rFonts w:cs="Arial"/>
          <w:szCs w:val="20"/>
        </w:rPr>
        <w:t>uporab</w:t>
      </w:r>
      <w:r>
        <w:rPr>
          <w:rFonts w:cs="Arial"/>
          <w:szCs w:val="20"/>
        </w:rPr>
        <w:t>o</w:t>
      </w:r>
      <w:r w:rsidRPr="000627FC">
        <w:rPr>
          <w:rFonts w:cs="Arial"/>
          <w:szCs w:val="20"/>
        </w:rPr>
        <w:t xml:space="preserve"> </w:t>
      </w:r>
      <w:r>
        <w:rPr>
          <w:rFonts w:cs="Arial"/>
          <w:szCs w:val="20"/>
        </w:rPr>
        <w:t xml:space="preserve">zahteve </w:t>
      </w:r>
      <w:r w:rsidRPr="000627FC">
        <w:rPr>
          <w:rFonts w:cs="Arial"/>
          <w:szCs w:val="20"/>
        </w:rPr>
        <w:t>MREL na ravni</w:t>
      </w:r>
      <w:r>
        <w:rPr>
          <w:rFonts w:cs="Arial"/>
          <w:szCs w:val="20"/>
        </w:rPr>
        <w:t xml:space="preserve"> </w:t>
      </w:r>
      <w:r w:rsidRPr="000627FC">
        <w:rPr>
          <w:rFonts w:cs="Arial"/>
          <w:szCs w:val="20"/>
        </w:rPr>
        <w:t xml:space="preserve">podrejenih družb v bančnih skupinah, in sicer z uvedbo </w:t>
      </w:r>
      <w:r>
        <w:rPr>
          <w:rFonts w:cs="Arial"/>
          <w:szCs w:val="20"/>
        </w:rPr>
        <w:t>izraz</w:t>
      </w:r>
      <w:r w:rsidRPr="000627FC">
        <w:rPr>
          <w:rFonts w:cs="Arial"/>
          <w:szCs w:val="20"/>
        </w:rPr>
        <w:t xml:space="preserve">a </w:t>
      </w:r>
      <w:r>
        <w:rPr>
          <w:rFonts w:cs="Arial"/>
          <w:szCs w:val="20"/>
        </w:rPr>
        <w:t>»</w:t>
      </w:r>
      <w:r w:rsidRPr="000627FC">
        <w:rPr>
          <w:rFonts w:cs="Arial"/>
          <w:szCs w:val="20"/>
        </w:rPr>
        <w:t>notranja</w:t>
      </w:r>
      <w:r>
        <w:rPr>
          <w:rFonts w:cs="Arial"/>
          <w:szCs w:val="20"/>
        </w:rPr>
        <w:t xml:space="preserve"> </w:t>
      </w:r>
      <w:r w:rsidRPr="000627FC">
        <w:rPr>
          <w:rFonts w:cs="Arial"/>
          <w:szCs w:val="20"/>
        </w:rPr>
        <w:t>MREL</w:t>
      </w:r>
      <w:r>
        <w:rPr>
          <w:rFonts w:cs="Arial"/>
          <w:szCs w:val="20"/>
        </w:rPr>
        <w:t>«. S temi spremembami se</w:t>
      </w:r>
      <w:r w:rsidRPr="00030BE0">
        <w:rPr>
          <w:rFonts w:cs="Arial"/>
          <w:szCs w:val="20"/>
        </w:rPr>
        <w:t xml:space="preserve"> je zagotovi</w:t>
      </w:r>
      <w:r>
        <w:rPr>
          <w:rFonts w:cs="Arial"/>
          <w:szCs w:val="20"/>
        </w:rPr>
        <w:t>lo</w:t>
      </w:r>
      <w:r w:rsidRPr="00030BE0">
        <w:rPr>
          <w:rFonts w:cs="Arial"/>
          <w:szCs w:val="20"/>
        </w:rPr>
        <w:t>, da so med subjekti v skupini vzpostavljene notranje ureditve za prenos izgub s subjektov v skupini na subjekt v postopku reševanja, tj. običajno nadrejeno družbo, ne da bi se za subjekte v skupini začelo formalno reševanje, kar bi lahko povzročilo motnje na trgu. Za izvajanje tega mehanizma morajo subjekti v skupini na podlagi odločitve organov za reševanje izdati kvalificirane obveznosti, ki jih mora subjekt v postopku reševanja prevzeti neposredno ali posredno.</w:t>
      </w:r>
      <w:r w:rsidRPr="00030BE0">
        <w:rPr>
          <w:rFonts w:cs="Arial"/>
          <w:szCs w:val="20"/>
        </w:rPr>
        <w:cr/>
      </w:r>
    </w:p>
    <w:p w:rsidR="00C10CFA" w:rsidRDefault="00C10CFA" w:rsidP="00C10CFA">
      <w:pPr>
        <w:tabs>
          <w:tab w:val="num" w:pos="720"/>
        </w:tabs>
        <w:jc w:val="both"/>
        <w:rPr>
          <w:rFonts w:cs="Arial"/>
          <w:szCs w:val="20"/>
        </w:rPr>
      </w:pPr>
      <w:r w:rsidRPr="003646E4">
        <w:rPr>
          <w:rFonts w:cs="Arial"/>
          <w:szCs w:val="20"/>
        </w:rPr>
        <w:t>Z Uredbo 2022</w:t>
      </w:r>
      <w:r w:rsidRPr="00CD176C">
        <w:rPr>
          <w:rFonts w:cs="Arial"/>
          <w:szCs w:val="20"/>
        </w:rPr>
        <w:t>/20</w:t>
      </w:r>
      <w:r>
        <w:rPr>
          <w:rFonts w:cs="Arial"/>
          <w:szCs w:val="20"/>
        </w:rPr>
        <w:t>36/EU</w:t>
      </w:r>
      <w:r w:rsidRPr="00CD176C">
        <w:rPr>
          <w:rFonts w:cs="Arial"/>
          <w:szCs w:val="20"/>
        </w:rPr>
        <w:t xml:space="preserve"> </w:t>
      </w:r>
      <w:r>
        <w:rPr>
          <w:rFonts w:cs="Arial"/>
          <w:szCs w:val="20"/>
        </w:rPr>
        <w:t>je bila pravna ureditev glede oblikovanja in zagotavljanja zahteve MREL dodatno spremenjena</w:t>
      </w:r>
      <w:r w:rsidRPr="00C903DD">
        <w:rPr>
          <w:rFonts w:cs="Arial"/>
          <w:szCs w:val="20"/>
        </w:rPr>
        <w:t>,</w:t>
      </w:r>
      <w:r>
        <w:rPr>
          <w:rFonts w:cs="Arial"/>
          <w:szCs w:val="20"/>
        </w:rPr>
        <w:t xml:space="preserve"> s ciljem, da se še izboljša </w:t>
      </w:r>
      <w:r w:rsidRPr="00036402">
        <w:rPr>
          <w:rFonts w:cs="Arial"/>
          <w:szCs w:val="20"/>
        </w:rPr>
        <w:t>rešljivost ban</w:t>
      </w:r>
      <w:r>
        <w:rPr>
          <w:rFonts w:cs="Arial"/>
          <w:szCs w:val="20"/>
        </w:rPr>
        <w:t xml:space="preserve">k oziroma bančnih skupin ob upoštevanju načela, da </w:t>
      </w:r>
      <w:r w:rsidRPr="00517F4A">
        <w:rPr>
          <w:rFonts w:cs="Arial"/>
          <w:szCs w:val="20"/>
        </w:rPr>
        <w:t xml:space="preserve">se pokrivanje izgub in dokapitalizacija bank izvedeta z zasebnimi sredstvi, </w:t>
      </w:r>
      <w:r>
        <w:rPr>
          <w:rFonts w:cs="Arial"/>
          <w:szCs w:val="20"/>
        </w:rPr>
        <w:t>če</w:t>
      </w:r>
      <w:r w:rsidRPr="00517F4A">
        <w:rPr>
          <w:rFonts w:cs="Arial"/>
          <w:szCs w:val="20"/>
        </w:rPr>
        <w:t xml:space="preserve"> niso več sposobne uspešno poslovati in se zanje uporabi postopek reševanja.</w:t>
      </w:r>
      <w:r>
        <w:rPr>
          <w:rFonts w:cs="Arial"/>
          <w:szCs w:val="20"/>
        </w:rPr>
        <w:t xml:space="preserve"> </w:t>
      </w:r>
      <w:r w:rsidRPr="00517F4A">
        <w:rPr>
          <w:rFonts w:cs="Arial"/>
          <w:szCs w:val="20"/>
        </w:rPr>
        <w:t xml:space="preserve">Z </w:t>
      </w:r>
      <w:r w:rsidRPr="003646E4">
        <w:rPr>
          <w:rFonts w:cs="Arial"/>
          <w:szCs w:val="20"/>
        </w:rPr>
        <w:t>Uredbo 2022/2036/</w:t>
      </w:r>
      <w:r>
        <w:rPr>
          <w:rFonts w:cs="Arial"/>
          <w:szCs w:val="20"/>
        </w:rPr>
        <w:t>EU</w:t>
      </w:r>
      <w:r w:rsidRPr="00517F4A">
        <w:rPr>
          <w:rFonts w:cs="Arial"/>
          <w:szCs w:val="20"/>
        </w:rPr>
        <w:t xml:space="preserve"> </w:t>
      </w:r>
      <w:r>
        <w:rPr>
          <w:rFonts w:cs="Arial"/>
          <w:szCs w:val="20"/>
        </w:rPr>
        <w:t xml:space="preserve">se tako </w:t>
      </w:r>
      <w:r w:rsidRPr="00036402">
        <w:rPr>
          <w:rFonts w:cs="Arial"/>
          <w:szCs w:val="20"/>
        </w:rPr>
        <w:t xml:space="preserve">spreminja </w:t>
      </w:r>
      <w:r>
        <w:rPr>
          <w:rFonts w:cs="Arial"/>
          <w:szCs w:val="20"/>
        </w:rPr>
        <w:t xml:space="preserve">pravni </w:t>
      </w:r>
      <w:r w:rsidRPr="00036402">
        <w:rPr>
          <w:rFonts w:cs="Arial"/>
          <w:szCs w:val="20"/>
        </w:rPr>
        <w:t>okvir za reševanje bank</w:t>
      </w:r>
      <w:r>
        <w:rPr>
          <w:rFonts w:cs="Arial"/>
          <w:szCs w:val="20"/>
        </w:rPr>
        <w:t>,</w:t>
      </w:r>
      <w:r w:rsidRPr="00036402">
        <w:rPr>
          <w:rFonts w:cs="Arial"/>
          <w:szCs w:val="20"/>
        </w:rPr>
        <w:t xml:space="preserve"> z</w:t>
      </w:r>
      <w:r>
        <w:rPr>
          <w:rFonts w:cs="Arial"/>
          <w:szCs w:val="20"/>
        </w:rPr>
        <w:t xml:space="preserve">lasti z </w:t>
      </w:r>
      <w:r w:rsidRPr="00036402">
        <w:rPr>
          <w:rFonts w:cs="Arial"/>
          <w:szCs w:val="20"/>
        </w:rPr>
        <w:t>vključitvijo posebne obravnave posrednega vpisa instrumentov, ki so primerni za notranjo MREL</w:t>
      </w:r>
      <w:r>
        <w:rPr>
          <w:rFonts w:cs="Arial"/>
          <w:szCs w:val="20"/>
        </w:rPr>
        <w:t xml:space="preserve">. Uvaja se </w:t>
      </w:r>
      <w:r w:rsidRPr="00036402">
        <w:rPr>
          <w:rFonts w:cs="Arial"/>
          <w:szCs w:val="20"/>
        </w:rPr>
        <w:t>revidiran</w:t>
      </w:r>
      <w:r>
        <w:rPr>
          <w:rFonts w:cs="Arial"/>
          <w:szCs w:val="20"/>
        </w:rPr>
        <w:t>i</w:t>
      </w:r>
      <w:r w:rsidRPr="00036402">
        <w:rPr>
          <w:rFonts w:cs="Arial"/>
          <w:szCs w:val="20"/>
        </w:rPr>
        <w:t xml:space="preserve"> sistem odbitkov, da se zlasti prepreči dvojno štetje </w:t>
      </w:r>
      <w:r w:rsidRPr="00DB70D2">
        <w:rPr>
          <w:rFonts w:cs="Arial"/>
          <w:szCs w:val="20"/>
        </w:rPr>
        <w:t xml:space="preserve">instrumentov, ki so primerni za izpolnjevanje zahteve </w:t>
      </w:r>
      <w:r w:rsidRPr="00036402">
        <w:rPr>
          <w:rFonts w:cs="Arial"/>
          <w:szCs w:val="20"/>
        </w:rPr>
        <w:t xml:space="preserve">MREL na ravni vmesnih subjektov, s čimer se zagotovi, da bančne skupine EU vedno ohranjajo trdno sposobnost pokrivanja izgub v skladu z njihovo </w:t>
      </w:r>
      <w:r w:rsidRPr="00DB70D2">
        <w:rPr>
          <w:rFonts w:cs="Arial"/>
          <w:szCs w:val="20"/>
        </w:rPr>
        <w:t>zahtevo</w:t>
      </w:r>
      <w:r w:rsidRPr="00036402">
        <w:rPr>
          <w:rFonts w:cs="Arial"/>
          <w:szCs w:val="20"/>
        </w:rPr>
        <w:t xml:space="preserve"> MREL</w:t>
      </w:r>
      <w:r w:rsidRPr="00DB70D2">
        <w:rPr>
          <w:rFonts w:cs="Arial"/>
          <w:szCs w:val="20"/>
        </w:rPr>
        <w:t>, ki jim jo določi pristojni organ za reševanje</w:t>
      </w:r>
      <w:r w:rsidRPr="00036402">
        <w:rPr>
          <w:rFonts w:cs="Arial"/>
          <w:szCs w:val="20"/>
        </w:rPr>
        <w:t xml:space="preserve">. </w:t>
      </w:r>
      <w:r w:rsidRPr="00C903DD">
        <w:rPr>
          <w:rFonts w:cs="Arial"/>
          <w:szCs w:val="20"/>
        </w:rPr>
        <w:t xml:space="preserve">Na podlagi tehnične ocene </w:t>
      </w:r>
      <w:r w:rsidRPr="003646E4">
        <w:rPr>
          <w:rFonts w:cs="Arial"/>
          <w:szCs w:val="20"/>
        </w:rPr>
        <w:t>Evropskega bančnega organa (EBA) in v skladu s pooblastilom iz 45.f člena Direktive 2014/59/EU je z Uredbo 2022/2036/EU</w:t>
      </w:r>
      <w:r>
        <w:rPr>
          <w:rFonts w:cs="Arial"/>
          <w:szCs w:val="20"/>
        </w:rPr>
        <w:t xml:space="preserve"> </w:t>
      </w:r>
      <w:r w:rsidRPr="00C903DD">
        <w:rPr>
          <w:rFonts w:cs="Arial"/>
          <w:szCs w:val="20"/>
        </w:rPr>
        <w:t xml:space="preserve">uveden mehanizem odbitkov za posredne vpise notranje MREL prek vmesnih subjektov v verigi lastništva (tj. med končno podrejeno družbo in subjektom v postopku reševanja), </w:t>
      </w:r>
      <w:r>
        <w:rPr>
          <w:rFonts w:cs="Arial"/>
          <w:szCs w:val="20"/>
        </w:rPr>
        <w:t xml:space="preserve">s čimer </w:t>
      </w:r>
      <w:r w:rsidRPr="00C903DD">
        <w:rPr>
          <w:rFonts w:cs="Arial"/>
          <w:szCs w:val="20"/>
        </w:rPr>
        <w:t>se zagotovi učinkovita uporaba notranjih prenosov izgub. V skladu s tem mehanizmom morajo</w:t>
      </w:r>
      <w:r>
        <w:rPr>
          <w:rFonts w:cs="Arial"/>
          <w:szCs w:val="20"/>
        </w:rPr>
        <w:t xml:space="preserve"> </w:t>
      </w:r>
      <w:r w:rsidRPr="00C903DD">
        <w:rPr>
          <w:rFonts w:cs="Arial"/>
          <w:szCs w:val="20"/>
        </w:rPr>
        <w:t>vmesni subjekti</w:t>
      </w:r>
      <w:r>
        <w:rPr>
          <w:rFonts w:cs="Arial"/>
          <w:szCs w:val="20"/>
        </w:rPr>
        <w:t xml:space="preserve"> v okviru bančne skupine</w:t>
      </w:r>
      <w:r w:rsidRPr="00C903DD">
        <w:rPr>
          <w:rFonts w:cs="Arial"/>
          <w:szCs w:val="20"/>
        </w:rPr>
        <w:t xml:space="preserve"> od svoje zmogljivosti za </w:t>
      </w:r>
      <w:r>
        <w:rPr>
          <w:rFonts w:cs="Arial"/>
          <w:szCs w:val="20"/>
        </w:rPr>
        <w:t xml:space="preserve">zagotavljanje </w:t>
      </w:r>
      <w:r w:rsidRPr="00C903DD">
        <w:rPr>
          <w:rFonts w:cs="Arial"/>
          <w:szCs w:val="20"/>
        </w:rPr>
        <w:t>notranj</w:t>
      </w:r>
      <w:r>
        <w:rPr>
          <w:rFonts w:cs="Arial"/>
          <w:szCs w:val="20"/>
        </w:rPr>
        <w:t>e</w:t>
      </w:r>
      <w:r w:rsidRPr="00C903DD">
        <w:rPr>
          <w:rFonts w:cs="Arial"/>
          <w:szCs w:val="20"/>
        </w:rPr>
        <w:t xml:space="preserve"> MREL odbiti deleže instrumentov, primernih za </w:t>
      </w:r>
      <w:r w:rsidRPr="003646E4">
        <w:rPr>
          <w:rFonts w:cs="Arial"/>
          <w:szCs w:val="20"/>
        </w:rPr>
        <w:t>izpolnjevanje notranje MREL, ki so jih izdali drugi subjekti, ki so del iste bančne skupine v postopku reševanja. Uredba 2022/2036/EU določa</w:t>
      </w:r>
      <w:r w:rsidRPr="00C903DD">
        <w:rPr>
          <w:rFonts w:cs="Arial"/>
          <w:szCs w:val="20"/>
        </w:rPr>
        <w:t xml:space="preserve"> tudi, da so vmesni subjekti, ki izpolnjujejo notranj</w:t>
      </w:r>
      <w:r>
        <w:rPr>
          <w:rFonts w:cs="Arial"/>
          <w:szCs w:val="20"/>
        </w:rPr>
        <w:t>o</w:t>
      </w:r>
      <w:r w:rsidRPr="00C903DD">
        <w:rPr>
          <w:rFonts w:cs="Arial"/>
          <w:szCs w:val="20"/>
        </w:rPr>
        <w:t xml:space="preserve"> MREL na konsolidirani podlagi, izvzeti iz obveznosti odbitka svojih deležev v instrumentih, ki jih izdajo subjekti, vključeni v konsolidacijo. </w:t>
      </w:r>
    </w:p>
    <w:p w:rsidR="00C10CFA" w:rsidRDefault="00C10CFA" w:rsidP="00C10CFA">
      <w:pPr>
        <w:tabs>
          <w:tab w:val="num" w:pos="720"/>
        </w:tabs>
        <w:jc w:val="both"/>
        <w:rPr>
          <w:rFonts w:cs="Arial"/>
          <w:szCs w:val="20"/>
        </w:rPr>
      </w:pPr>
    </w:p>
    <w:p w:rsidR="00C10CFA" w:rsidRDefault="00C10CFA" w:rsidP="00C10CFA">
      <w:pPr>
        <w:tabs>
          <w:tab w:val="num" w:pos="720"/>
        </w:tabs>
        <w:jc w:val="both"/>
        <w:rPr>
          <w:rFonts w:cs="Arial"/>
          <w:szCs w:val="20"/>
        </w:rPr>
      </w:pPr>
      <w:r>
        <w:rPr>
          <w:rFonts w:cs="Arial"/>
          <w:szCs w:val="20"/>
        </w:rPr>
        <w:t xml:space="preserve">Druga pomembna sprememba se nanaša na </w:t>
      </w:r>
      <w:r w:rsidRPr="00036402">
        <w:rPr>
          <w:rFonts w:cs="Arial"/>
          <w:szCs w:val="20"/>
        </w:rPr>
        <w:t xml:space="preserve">obravnavo </w:t>
      </w:r>
      <w:r>
        <w:rPr>
          <w:rFonts w:cs="Arial"/>
          <w:szCs w:val="20"/>
        </w:rPr>
        <w:t xml:space="preserve">bančnih </w:t>
      </w:r>
      <w:r w:rsidRPr="00036402">
        <w:rPr>
          <w:rFonts w:cs="Arial"/>
          <w:szCs w:val="20"/>
        </w:rPr>
        <w:t xml:space="preserve">skupin s strategijo reševanja z več vstopnimi točkami v </w:t>
      </w:r>
      <w:r>
        <w:rPr>
          <w:rFonts w:cs="Arial"/>
          <w:szCs w:val="20"/>
        </w:rPr>
        <w:t>primerjavi</w:t>
      </w:r>
      <w:r w:rsidRPr="00036402">
        <w:rPr>
          <w:rFonts w:cs="Arial"/>
          <w:szCs w:val="20"/>
        </w:rPr>
        <w:t xml:space="preserve"> s strategijo reševanja z eno vstopno točko, zlasti </w:t>
      </w:r>
      <w:r>
        <w:rPr>
          <w:rFonts w:cs="Arial"/>
          <w:szCs w:val="20"/>
        </w:rPr>
        <w:t>na področju</w:t>
      </w:r>
      <w:r w:rsidRPr="00036402">
        <w:rPr>
          <w:rFonts w:cs="Arial"/>
          <w:szCs w:val="20"/>
        </w:rPr>
        <w:t xml:space="preserve"> uskladitv</w:t>
      </w:r>
      <w:r>
        <w:rPr>
          <w:rFonts w:cs="Arial"/>
          <w:szCs w:val="20"/>
        </w:rPr>
        <w:t>e s pravno</w:t>
      </w:r>
      <w:r w:rsidRPr="00036402">
        <w:rPr>
          <w:rFonts w:cs="Arial"/>
          <w:szCs w:val="20"/>
        </w:rPr>
        <w:t xml:space="preserve"> ureditvijo, </w:t>
      </w:r>
      <w:r>
        <w:rPr>
          <w:rFonts w:cs="Arial"/>
          <w:szCs w:val="20"/>
        </w:rPr>
        <w:t>ki ureja zahtevi MREL sorodno zahtevo, to je zahtevo TLAC</w:t>
      </w:r>
      <w:r>
        <w:rPr>
          <w:rStyle w:val="Sprotnaopomba-sklic"/>
          <w:szCs w:val="20"/>
        </w:rPr>
        <w:footnoteReference w:id="1"/>
      </w:r>
      <w:r>
        <w:rPr>
          <w:rFonts w:cs="Arial"/>
          <w:szCs w:val="20"/>
        </w:rPr>
        <w:t>,</w:t>
      </w:r>
      <w:r w:rsidRPr="00036402">
        <w:rPr>
          <w:rFonts w:cs="Arial"/>
          <w:szCs w:val="20"/>
        </w:rPr>
        <w:t xml:space="preserve"> in upoštevanj</w:t>
      </w:r>
      <w:r>
        <w:rPr>
          <w:rFonts w:cs="Arial"/>
          <w:szCs w:val="20"/>
        </w:rPr>
        <w:t>a</w:t>
      </w:r>
      <w:r w:rsidRPr="00036402">
        <w:rPr>
          <w:rFonts w:cs="Arial"/>
          <w:szCs w:val="20"/>
        </w:rPr>
        <w:t xml:space="preserve"> subjektov iz tretjih držav znotraj tak</w:t>
      </w:r>
      <w:r>
        <w:rPr>
          <w:rFonts w:cs="Arial"/>
          <w:szCs w:val="20"/>
        </w:rPr>
        <w:t>šn</w:t>
      </w:r>
      <w:r w:rsidRPr="00036402">
        <w:rPr>
          <w:rFonts w:cs="Arial"/>
          <w:szCs w:val="20"/>
        </w:rPr>
        <w:t xml:space="preserve">ih </w:t>
      </w:r>
      <w:r>
        <w:rPr>
          <w:rFonts w:cs="Arial"/>
          <w:szCs w:val="20"/>
        </w:rPr>
        <w:t xml:space="preserve">bančnih </w:t>
      </w:r>
      <w:r w:rsidRPr="00036402">
        <w:rPr>
          <w:rFonts w:cs="Arial"/>
          <w:szCs w:val="20"/>
        </w:rPr>
        <w:t>skupin</w:t>
      </w:r>
      <w:r>
        <w:rPr>
          <w:rFonts w:cs="Arial"/>
          <w:szCs w:val="20"/>
        </w:rPr>
        <w:t>,</w:t>
      </w:r>
      <w:r w:rsidRPr="00036402">
        <w:rPr>
          <w:rFonts w:cs="Arial"/>
          <w:szCs w:val="20"/>
        </w:rPr>
        <w:t xml:space="preserve"> </w:t>
      </w:r>
      <w:r>
        <w:rPr>
          <w:rFonts w:cs="Arial"/>
          <w:szCs w:val="20"/>
        </w:rPr>
        <w:t>če</w:t>
      </w:r>
      <w:r w:rsidRPr="00036402">
        <w:rPr>
          <w:rFonts w:cs="Arial"/>
          <w:szCs w:val="20"/>
        </w:rPr>
        <w:t xml:space="preserve"> </w:t>
      </w:r>
      <w:r>
        <w:rPr>
          <w:rFonts w:cs="Arial"/>
          <w:szCs w:val="20"/>
        </w:rPr>
        <w:t xml:space="preserve">pravna </w:t>
      </w:r>
      <w:r w:rsidRPr="00036402">
        <w:rPr>
          <w:rFonts w:cs="Arial"/>
          <w:szCs w:val="20"/>
        </w:rPr>
        <w:t xml:space="preserve">ureditev tretje države </w:t>
      </w:r>
      <w:r>
        <w:rPr>
          <w:rFonts w:cs="Arial"/>
          <w:szCs w:val="20"/>
        </w:rPr>
        <w:t xml:space="preserve">glede postopkov </w:t>
      </w:r>
      <w:r w:rsidRPr="00036402">
        <w:rPr>
          <w:rFonts w:cs="Arial"/>
          <w:szCs w:val="20"/>
        </w:rPr>
        <w:t>reševanj</w:t>
      </w:r>
      <w:r>
        <w:rPr>
          <w:rFonts w:cs="Arial"/>
          <w:szCs w:val="20"/>
        </w:rPr>
        <w:t>a bank</w:t>
      </w:r>
      <w:r w:rsidRPr="00036402">
        <w:rPr>
          <w:rFonts w:cs="Arial"/>
          <w:szCs w:val="20"/>
        </w:rPr>
        <w:t xml:space="preserve"> ni enakovredna ureditvi, ki velja v </w:t>
      </w:r>
      <w:r>
        <w:rPr>
          <w:rFonts w:cs="Arial"/>
          <w:szCs w:val="20"/>
        </w:rPr>
        <w:t>E</w:t>
      </w:r>
      <w:r w:rsidRPr="00036402">
        <w:rPr>
          <w:rFonts w:cs="Arial"/>
          <w:szCs w:val="20"/>
        </w:rPr>
        <w:t xml:space="preserve">U. </w:t>
      </w:r>
    </w:p>
    <w:p w:rsidR="00C10CFA" w:rsidRPr="00036402" w:rsidRDefault="00C10CFA" w:rsidP="00C10CFA">
      <w:pPr>
        <w:tabs>
          <w:tab w:val="num" w:pos="720"/>
        </w:tabs>
        <w:rPr>
          <w:rFonts w:cs="Arial"/>
          <w:szCs w:val="20"/>
        </w:rPr>
      </w:pPr>
    </w:p>
    <w:p w:rsidR="00C10CFA" w:rsidRDefault="00C10CFA" w:rsidP="00C10CFA">
      <w:pPr>
        <w:jc w:val="both"/>
        <w:rPr>
          <w:rFonts w:cs="Arial"/>
          <w:szCs w:val="20"/>
        </w:rPr>
      </w:pPr>
      <w:r>
        <w:rPr>
          <w:rFonts w:cs="Arial"/>
          <w:szCs w:val="20"/>
        </w:rPr>
        <w:t xml:space="preserve">Ker </w:t>
      </w:r>
      <w:r w:rsidRPr="003646E4">
        <w:rPr>
          <w:rFonts w:cs="Arial"/>
          <w:szCs w:val="20"/>
        </w:rPr>
        <w:t>Uredba 2022/2036/EU za</w:t>
      </w:r>
      <w:r>
        <w:rPr>
          <w:rFonts w:cs="Arial"/>
          <w:szCs w:val="20"/>
        </w:rPr>
        <w:t xml:space="preserve"> dosego navedenih sprememb posega tudi v 45.d, 45.f, 45.h in 129. člen </w:t>
      </w:r>
      <w:r w:rsidRPr="00FA7DB2">
        <w:rPr>
          <w:rFonts w:cs="Arial"/>
          <w:szCs w:val="20"/>
        </w:rPr>
        <w:t>Direktiv</w:t>
      </w:r>
      <w:r>
        <w:rPr>
          <w:rFonts w:cs="Arial"/>
          <w:szCs w:val="20"/>
        </w:rPr>
        <w:t>e</w:t>
      </w:r>
      <w:r w:rsidRPr="00FA7DB2">
        <w:rPr>
          <w:rFonts w:cs="Arial"/>
          <w:szCs w:val="20"/>
        </w:rPr>
        <w:t xml:space="preserve"> 2014/59/EU</w:t>
      </w:r>
      <w:r>
        <w:rPr>
          <w:rFonts w:cs="Arial"/>
          <w:szCs w:val="20"/>
        </w:rPr>
        <w:t xml:space="preserve">, je treba temu ustrezno spremeniti tudi ZRPPB-1, zato se s predlogom zakona s spremembami in dopolnitvami ZRPPB-1 določbe </w:t>
      </w:r>
      <w:r w:rsidRPr="00FA7DB2">
        <w:rPr>
          <w:rFonts w:cs="Arial"/>
          <w:szCs w:val="20"/>
        </w:rPr>
        <w:t>Direktiv</w:t>
      </w:r>
      <w:r>
        <w:rPr>
          <w:rFonts w:cs="Arial"/>
          <w:szCs w:val="20"/>
        </w:rPr>
        <w:t>e</w:t>
      </w:r>
      <w:r w:rsidRPr="00FA7DB2">
        <w:rPr>
          <w:rFonts w:cs="Arial"/>
          <w:szCs w:val="20"/>
        </w:rPr>
        <w:t xml:space="preserve"> 2014/59/EU</w:t>
      </w:r>
      <w:r>
        <w:rPr>
          <w:rFonts w:cs="Arial"/>
          <w:szCs w:val="20"/>
        </w:rPr>
        <w:t xml:space="preserve">, kot so bile spremenjene z </w:t>
      </w:r>
      <w:r w:rsidRPr="003646E4">
        <w:rPr>
          <w:rFonts w:cs="Arial"/>
          <w:szCs w:val="20"/>
        </w:rPr>
        <w:t>Uredbo 2022/2036/EU, prenesejo</w:t>
      </w:r>
      <w:r>
        <w:rPr>
          <w:rFonts w:cs="Arial"/>
          <w:szCs w:val="20"/>
        </w:rPr>
        <w:t xml:space="preserve"> v nacionalni pravni red.</w:t>
      </w:r>
    </w:p>
    <w:p w:rsidR="00C10CFA" w:rsidRDefault="00C10CFA" w:rsidP="00C10CFA">
      <w:pPr>
        <w:jc w:val="both"/>
        <w:rPr>
          <w:rFonts w:cs="Arial"/>
          <w:szCs w:val="20"/>
        </w:rPr>
      </w:pPr>
    </w:p>
    <w:p w:rsidR="00C10CFA" w:rsidRDefault="00C10CFA" w:rsidP="00C10CFA">
      <w:pPr>
        <w:jc w:val="both"/>
        <w:rPr>
          <w:rFonts w:cs="Arial"/>
          <w:szCs w:val="20"/>
        </w:rPr>
      </w:pPr>
      <w:r w:rsidRPr="007C7691">
        <w:rPr>
          <w:rFonts w:eastAsia="Calibri" w:cs="Arial"/>
          <w:color w:val="000000"/>
          <w:szCs w:val="20"/>
        </w:rPr>
        <w:t>Direktiva 2014/</w:t>
      </w:r>
      <w:r>
        <w:rPr>
          <w:rFonts w:eastAsia="Calibri" w:cs="Arial"/>
          <w:color w:val="000000"/>
          <w:szCs w:val="20"/>
        </w:rPr>
        <w:t>5</w:t>
      </w:r>
      <w:r w:rsidRPr="007C7691">
        <w:rPr>
          <w:rFonts w:eastAsia="Calibri" w:cs="Arial"/>
          <w:color w:val="000000"/>
          <w:szCs w:val="20"/>
        </w:rPr>
        <w:t>9/EU</w:t>
      </w:r>
      <w:r>
        <w:rPr>
          <w:rFonts w:cs="Arial"/>
          <w:szCs w:val="20"/>
        </w:rPr>
        <w:t xml:space="preserve"> in Direktiva 2019/879/EU sta bili v pravni red Republike Slovenije preneseni z </w:t>
      </w:r>
      <w:r w:rsidRPr="008742DB">
        <w:rPr>
          <w:rFonts w:cs="Arial"/>
          <w:szCs w:val="20"/>
        </w:rPr>
        <w:t>ZRPPB-1</w:t>
      </w:r>
      <w:r>
        <w:rPr>
          <w:rFonts w:cs="Arial"/>
          <w:szCs w:val="20"/>
        </w:rPr>
        <w:t>, pri čemer se za prenos običajno uporablja uradni slovenski prevod angleške različice pravnega akta</w:t>
      </w:r>
      <w:r w:rsidRPr="006B352F">
        <w:rPr>
          <w:rFonts w:cs="Arial"/>
          <w:szCs w:val="20"/>
        </w:rPr>
        <w:t xml:space="preserve"> </w:t>
      </w:r>
      <w:r>
        <w:rPr>
          <w:rFonts w:cs="Arial"/>
          <w:szCs w:val="20"/>
        </w:rPr>
        <w:t xml:space="preserve">EU. Med izvajanjem ZRPPB-1 je bilo ugotovljeno, da je zaradi netočnega prevoda nekaterih določb </w:t>
      </w:r>
      <w:r w:rsidRPr="007C7691">
        <w:rPr>
          <w:rFonts w:eastAsia="Calibri" w:cs="Arial"/>
          <w:color w:val="000000"/>
          <w:szCs w:val="20"/>
        </w:rPr>
        <w:t>Direktiv</w:t>
      </w:r>
      <w:r>
        <w:rPr>
          <w:rFonts w:eastAsia="Calibri" w:cs="Arial"/>
          <w:color w:val="000000"/>
          <w:szCs w:val="20"/>
        </w:rPr>
        <w:t>e</w:t>
      </w:r>
      <w:r w:rsidRPr="007C7691">
        <w:rPr>
          <w:rFonts w:eastAsia="Calibri" w:cs="Arial"/>
          <w:color w:val="000000"/>
          <w:szCs w:val="20"/>
        </w:rPr>
        <w:t xml:space="preserve"> 2014/</w:t>
      </w:r>
      <w:r>
        <w:rPr>
          <w:rFonts w:eastAsia="Calibri" w:cs="Arial"/>
          <w:color w:val="000000"/>
          <w:szCs w:val="20"/>
        </w:rPr>
        <w:t>5</w:t>
      </w:r>
      <w:r w:rsidRPr="007C7691">
        <w:rPr>
          <w:rFonts w:eastAsia="Calibri" w:cs="Arial"/>
          <w:color w:val="000000"/>
          <w:szCs w:val="20"/>
        </w:rPr>
        <w:t>9/EU</w:t>
      </w:r>
      <w:r>
        <w:rPr>
          <w:rFonts w:cs="Arial"/>
          <w:szCs w:val="20"/>
        </w:rPr>
        <w:t xml:space="preserve"> in Direktive 2019/879/EU prišlo tudi do neskladja nekaterih določb ZRPPB-1 z navedenima direktivama.</w:t>
      </w:r>
    </w:p>
    <w:p w:rsidR="00C10CFA" w:rsidRDefault="00C10CFA" w:rsidP="00C10CFA">
      <w:pPr>
        <w:jc w:val="both"/>
        <w:rPr>
          <w:rFonts w:cs="Arial"/>
          <w:szCs w:val="20"/>
        </w:rPr>
      </w:pPr>
    </w:p>
    <w:p w:rsidR="00C10CFA" w:rsidRDefault="00C10CFA" w:rsidP="00C10CFA">
      <w:pPr>
        <w:jc w:val="both"/>
        <w:rPr>
          <w:rFonts w:cs="Arial"/>
          <w:szCs w:val="20"/>
        </w:rPr>
      </w:pPr>
    </w:p>
    <w:p w:rsidR="00C10CFA" w:rsidRDefault="00C10CFA" w:rsidP="00C10CFA">
      <w:pPr>
        <w:rPr>
          <w:rFonts w:cs="Arial"/>
          <w:szCs w:val="20"/>
        </w:rPr>
      </w:pPr>
      <w:r>
        <w:rPr>
          <w:rFonts w:cs="Arial"/>
          <w:szCs w:val="20"/>
        </w:rPr>
        <w:t>Netočnosti pri prevodu so bile medtem že odpravljene na naslednji način:</w:t>
      </w:r>
    </w:p>
    <w:p w:rsidR="00C10CFA" w:rsidRPr="00C10060" w:rsidRDefault="00C10CFA" w:rsidP="00C10CFA">
      <w:pPr>
        <w:pStyle w:val="Odstavekseznama"/>
        <w:numPr>
          <w:ilvl w:val="0"/>
          <w:numId w:val="16"/>
        </w:numPr>
        <w:spacing w:after="0" w:line="260" w:lineRule="exact"/>
        <w:rPr>
          <w:rFonts w:cs="Arial"/>
          <w:sz w:val="20"/>
          <w:szCs w:val="20"/>
        </w:rPr>
      </w:pPr>
      <w:r>
        <w:rPr>
          <w:rFonts w:cs="Arial"/>
          <w:sz w:val="20"/>
          <w:szCs w:val="20"/>
        </w:rPr>
        <w:lastRenderedPageBreak/>
        <w:t>s</w:t>
      </w:r>
      <w:r w:rsidRPr="00A01659">
        <w:rPr>
          <w:rFonts w:cs="Arial"/>
          <w:sz w:val="20"/>
          <w:szCs w:val="20"/>
        </w:rPr>
        <w:t xml:space="preserve"> Popravkom Direktive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w:t>
      </w:r>
      <w:r>
        <w:rPr>
          <w:rFonts w:cs="Arial"/>
          <w:sz w:val="20"/>
          <w:szCs w:val="20"/>
        </w:rPr>
        <w:t xml:space="preserve">L L št. 92 </w:t>
      </w:r>
      <w:r w:rsidRPr="00A01659">
        <w:rPr>
          <w:rFonts w:cs="Arial"/>
          <w:sz w:val="20"/>
          <w:szCs w:val="20"/>
        </w:rPr>
        <w:t xml:space="preserve">z dne </w:t>
      </w:r>
      <w:r>
        <w:rPr>
          <w:rFonts w:cs="Arial"/>
          <w:sz w:val="20"/>
          <w:szCs w:val="20"/>
        </w:rPr>
        <w:t>30</w:t>
      </w:r>
      <w:r w:rsidRPr="00A01659">
        <w:rPr>
          <w:rFonts w:cs="Arial"/>
          <w:sz w:val="20"/>
          <w:szCs w:val="20"/>
        </w:rPr>
        <w:t xml:space="preserve">. </w:t>
      </w:r>
      <w:r>
        <w:rPr>
          <w:rFonts w:cs="Arial"/>
          <w:sz w:val="20"/>
          <w:szCs w:val="20"/>
        </w:rPr>
        <w:t>3. 2023, str. 33</w:t>
      </w:r>
      <w:r w:rsidRPr="00A01659">
        <w:rPr>
          <w:rFonts w:cs="Arial"/>
          <w:sz w:val="20"/>
          <w:szCs w:val="20"/>
        </w:rPr>
        <w:t>)</w:t>
      </w:r>
      <w:r>
        <w:rPr>
          <w:rFonts w:cs="Arial"/>
          <w:sz w:val="20"/>
          <w:szCs w:val="20"/>
        </w:rPr>
        <w:t xml:space="preserve"> se je odpravila netočnost pri prevodu </w:t>
      </w:r>
      <w:r w:rsidRPr="00C10060">
        <w:rPr>
          <w:rFonts w:cs="Arial"/>
          <w:b/>
          <w:bCs/>
          <w:sz w:val="20"/>
          <w:szCs w:val="20"/>
        </w:rPr>
        <w:t xml:space="preserve">prvega odstavka 71. člena </w:t>
      </w:r>
      <w:r w:rsidRPr="00C10060">
        <w:rPr>
          <w:rFonts w:eastAsia="Calibri" w:cs="Arial"/>
          <w:b/>
          <w:bCs/>
          <w:color w:val="000000"/>
          <w:sz w:val="20"/>
          <w:szCs w:val="20"/>
          <w:lang w:eastAsia="en-US"/>
        </w:rPr>
        <w:t>Direktive 2014/59/EU</w:t>
      </w:r>
      <w:r>
        <w:rPr>
          <w:rFonts w:eastAsia="Calibri" w:cs="Arial"/>
          <w:color w:val="000000"/>
          <w:sz w:val="20"/>
          <w:szCs w:val="20"/>
          <w:lang w:eastAsia="en-US"/>
        </w:rPr>
        <w:t>, ki ureja</w:t>
      </w:r>
      <w:r w:rsidRPr="00A01659">
        <w:t xml:space="preserve"> </w:t>
      </w:r>
      <w:r>
        <w:rPr>
          <w:rFonts w:eastAsia="Calibri" w:cs="Arial"/>
          <w:color w:val="000000"/>
          <w:sz w:val="20"/>
          <w:szCs w:val="20"/>
          <w:lang w:eastAsia="en-US"/>
        </w:rPr>
        <w:t>p</w:t>
      </w:r>
      <w:r w:rsidRPr="00A01659">
        <w:rPr>
          <w:rFonts w:eastAsia="Calibri" w:cs="Arial"/>
          <w:color w:val="000000"/>
          <w:sz w:val="20"/>
          <w:szCs w:val="20"/>
          <w:lang w:eastAsia="en-US"/>
        </w:rPr>
        <w:t>ooblastilo za začasno mirovanje pravic do odpovedi</w:t>
      </w:r>
      <w:r>
        <w:rPr>
          <w:rFonts w:eastAsia="Calibri" w:cs="Arial"/>
          <w:color w:val="000000"/>
          <w:sz w:val="20"/>
          <w:szCs w:val="20"/>
          <w:lang w:eastAsia="en-US"/>
        </w:rPr>
        <w:t>;</w:t>
      </w:r>
    </w:p>
    <w:p w:rsidR="00C10CFA" w:rsidRPr="00C10060" w:rsidRDefault="00C10CFA" w:rsidP="00C10CFA">
      <w:pPr>
        <w:pStyle w:val="Odstavekseznama"/>
        <w:numPr>
          <w:ilvl w:val="0"/>
          <w:numId w:val="16"/>
        </w:numPr>
        <w:spacing w:after="0" w:line="260" w:lineRule="exact"/>
        <w:rPr>
          <w:rFonts w:cs="Arial"/>
          <w:sz w:val="20"/>
          <w:szCs w:val="20"/>
        </w:rPr>
      </w:pPr>
      <w:r>
        <w:rPr>
          <w:rFonts w:cs="Arial"/>
          <w:sz w:val="20"/>
          <w:szCs w:val="20"/>
        </w:rPr>
        <w:t>s</w:t>
      </w:r>
      <w:r w:rsidRPr="00C10060">
        <w:rPr>
          <w:rFonts w:cs="Arial"/>
          <w:sz w:val="20"/>
          <w:szCs w:val="20"/>
        </w:rPr>
        <w:t xml:space="preserve"> Popravkom Direktive (EU) 2019/879 Evropskega parlamenta in Sveta z dne 20. maja 2019 o spremembi Direktive 2014/59/EU glede sposobnosti kreditnih institucij in investicijskih podjetij za pokrivanje izgub in dokapitalizacijo ter Direktive 98/26/ES</w:t>
      </w:r>
      <w:r>
        <w:rPr>
          <w:rFonts w:cs="Arial"/>
          <w:sz w:val="20"/>
          <w:szCs w:val="20"/>
        </w:rPr>
        <w:t xml:space="preserve"> </w:t>
      </w:r>
      <w:r w:rsidRPr="00A01659">
        <w:rPr>
          <w:rFonts w:cs="Arial"/>
          <w:sz w:val="20"/>
          <w:szCs w:val="20"/>
        </w:rPr>
        <w:t>(U</w:t>
      </w:r>
      <w:r>
        <w:rPr>
          <w:rFonts w:cs="Arial"/>
          <w:sz w:val="20"/>
          <w:szCs w:val="20"/>
        </w:rPr>
        <w:t xml:space="preserve">L L št. 92 </w:t>
      </w:r>
      <w:r w:rsidRPr="00A01659">
        <w:rPr>
          <w:rFonts w:cs="Arial"/>
          <w:sz w:val="20"/>
          <w:szCs w:val="20"/>
        </w:rPr>
        <w:t xml:space="preserve">z dne </w:t>
      </w:r>
      <w:r>
        <w:rPr>
          <w:rFonts w:cs="Arial"/>
          <w:sz w:val="20"/>
          <w:szCs w:val="20"/>
        </w:rPr>
        <w:t>30</w:t>
      </w:r>
      <w:r w:rsidRPr="00A01659">
        <w:rPr>
          <w:rFonts w:cs="Arial"/>
          <w:sz w:val="20"/>
          <w:szCs w:val="20"/>
        </w:rPr>
        <w:t xml:space="preserve">. </w:t>
      </w:r>
      <w:r>
        <w:rPr>
          <w:rFonts w:cs="Arial"/>
          <w:sz w:val="20"/>
          <w:szCs w:val="20"/>
        </w:rPr>
        <w:t>3. 2023, str. 33</w:t>
      </w:r>
      <w:r w:rsidRPr="00A01659">
        <w:rPr>
          <w:rFonts w:cs="Arial"/>
          <w:sz w:val="20"/>
          <w:szCs w:val="20"/>
        </w:rPr>
        <w:t>)</w:t>
      </w:r>
      <w:r>
        <w:rPr>
          <w:rFonts w:cs="Arial"/>
          <w:sz w:val="20"/>
          <w:szCs w:val="20"/>
        </w:rPr>
        <w:t xml:space="preserve"> se je odpravila netočnost pri prevodu </w:t>
      </w:r>
      <w:r w:rsidR="004A7F7E">
        <w:rPr>
          <w:rFonts w:cs="Arial"/>
          <w:b/>
          <w:bCs/>
          <w:sz w:val="20"/>
          <w:szCs w:val="20"/>
        </w:rPr>
        <w:t>triintridesetega</w:t>
      </w:r>
      <w:r w:rsidRPr="00333FCD">
        <w:rPr>
          <w:rFonts w:cs="Arial"/>
          <w:b/>
          <w:bCs/>
          <w:sz w:val="20"/>
          <w:szCs w:val="20"/>
        </w:rPr>
        <w:t xml:space="preserve"> </w:t>
      </w:r>
      <w:r>
        <w:rPr>
          <w:rFonts w:cs="Arial"/>
          <w:b/>
          <w:bCs/>
          <w:sz w:val="20"/>
          <w:szCs w:val="20"/>
        </w:rPr>
        <w:t>odstavka 1. člena</w:t>
      </w:r>
      <w:r w:rsidR="00D73DA5">
        <w:rPr>
          <w:rFonts w:cs="Arial"/>
          <w:b/>
          <w:bCs/>
          <w:sz w:val="20"/>
          <w:szCs w:val="20"/>
        </w:rPr>
        <w:t xml:space="preserve"> Direktive 2019/879/EU</w:t>
      </w:r>
      <w:r>
        <w:rPr>
          <w:rFonts w:cs="Arial"/>
          <w:b/>
          <w:bCs/>
          <w:sz w:val="20"/>
          <w:szCs w:val="20"/>
        </w:rPr>
        <w:t xml:space="preserve">, in sicer v delu, ki se nanaša na </w:t>
      </w:r>
      <w:r w:rsidRPr="00C10060">
        <w:rPr>
          <w:rFonts w:cs="Arial"/>
          <w:b/>
          <w:bCs/>
          <w:sz w:val="20"/>
          <w:szCs w:val="20"/>
        </w:rPr>
        <w:t>točk</w:t>
      </w:r>
      <w:r>
        <w:rPr>
          <w:rFonts w:cs="Arial"/>
          <w:b/>
          <w:bCs/>
          <w:sz w:val="20"/>
          <w:szCs w:val="20"/>
        </w:rPr>
        <w:t>o</w:t>
      </w:r>
      <w:r w:rsidRPr="00C10060">
        <w:rPr>
          <w:rFonts w:cs="Arial"/>
          <w:b/>
          <w:bCs/>
          <w:sz w:val="20"/>
          <w:szCs w:val="20"/>
        </w:rPr>
        <w:t xml:space="preserve"> (a) tretjega odstavka </w:t>
      </w:r>
      <w:r>
        <w:rPr>
          <w:rFonts w:cs="Arial"/>
          <w:b/>
          <w:bCs/>
          <w:sz w:val="20"/>
          <w:szCs w:val="20"/>
        </w:rPr>
        <w:t xml:space="preserve">novega </w:t>
      </w:r>
      <w:r w:rsidRPr="00C10060">
        <w:rPr>
          <w:rFonts w:cs="Arial"/>
          <w:b/>
          <w:bCs/>
          <w:sz w:val="20"/>
          <w:szCs w:val="20"/>
        </w:rPr>
        <w:t>71.a člena Direktive 20</w:t>
      </w:r>
      <w:r w:rsidR="00D73DA5">
        <w:rPr>
          <w:rFonts w:cs="Arial"/>
          <w:b/>
          <w:bCs/>
          <w:sz w:val="20"/>
          <w:szCs w:val="20"/>
        </w:rPr>
        <w:t>14</w:t>
      </w:r>
      <w:r w:rsidRPr="00C10060">
        <w:rPr>
          <w:rFonts w:cs="Arial"/>
          <w:b/>
          <w:bCs/>
          <w:sz w:val="20"/>
          <w:szCs w:val="20"/>
        </w:rPr>
        <w:t>/</w:t>
      </w:r>
      <w:r w:rsidR="00D73DA5">
        <w:rPr>
          <w:rFonts w:cs="Arial"/>
          <w:b/>
          <w:bCs/>
          <w:sz w:val="20"/>
          <w:szCs w:val="20"/>
        </w:rPr>
        <w:t>5</w:t>
      </w:r>
      <w:r w:rsidRPr="00C10060">
        <w:rPr>
          <w:rFonts w:cs="Arial"/>
          <w:b/>
          <w:bCs/>
          <w:sz w:val="20"/>
          <w:szCs w:val="20"/>
        </w:rPr>
        <w:t>9/EU</w:t>
      </w:r>
      <w:r>
        <w:rPr>
          <w:rFonts w:cs="Arial"/>
          <w:sz w:val="20"/>
          <w:szCs w:val="20"/>
        </w:rPr>
        <w:t>, ki ureja p</w:t>
      </w:r>
      <w:r w:rsidRPr="00C10060">
        <w:rPr>
          <w:rFonts w:cs="Arial"/>
          <w:sz w:val="20"/>
          <w:szCs w:val="20"/>
        </w:rPr>
        <w:t>ogodbeno priznanje pooblastil za mirovanje v primeru reševanja</w:t>
      </w:r>
      <w:r>
        <w:rPr>
          <w:rFonts w:cs="Arial"/>
          <w:sz w:val="20"/>
          <w:szCs w:val="20"/>
        </w:rPr>
        <w:t>.</w:t>
      </w:r>
    </w:p>
    <w:p w:rsidR="00C10CFA" w:rsidRDefault="00C10CFA" w:rsidP="00C10CFA">
      <w:pPr>
        <w:rPr>
          <w:rFonts w:cs="Arial"/>
          <w:b/>
          <w:bCs/>
          <w:szCs w:val="20"/>
        </w:rPr>
      </w:pPr>
    </w:p>
    <w:p w:rsidR="00C10CFA" w:rsidRDefault="00C10CFA" w:rsidP="00C10CFA">
      <w:pPr>
        <w:jc w:val="both"/>
        <w:rPr>
          <w:rFonts w:eastAsia="Calibri" w:cs="Arial"/>
          <w:color w:val="000000"/>
          <w:szCs w:val="20"/>
        </w:rPr>
      </w:pPr>
      <w:r>
        <w:rPr>
          <w:rFonts w:cs="Arial"/>
          <w:szCs w:val="20"/>
        </w:rPr>
        <w:t>P</w:t>
      </w:r>
      <w:r w:rsidRPr="00A70100">
        <w:rPr>
          <w:rFonts w:cs="Arial"/>
          <w:szCs w:val="20"/>
        </w:rPr>
        <w:t>rv</w:t>
      </w:r>
      <w:r>
        <w:rPr>
          <w:rFonts w:cs="Arial"/>
          <w:szCs w:val="20"/>
        </w:rPr>
        <w:t>i</w:t>
      </w:r>
      <w:r w:rsidRPr="00A70100">
        <w:rPr>
          <w:rFonts w:cs="Arial"/>
          <w:szCs w:val="20"/>
        </w:rPr>
        <w:t xml:space="preserve"> odstav</w:t>
      </w:r>
      <w:r>
        <w:rPr>
          <w:rFonts w:cs="Arial"/>
          <w:szCs w:val="20"/>
        </w:rPr>
        <w:t>e</w:t>
      </w:r>
      <w:r w:rsidRPr="00A70100">
        <w:rPr>
          <w:rFonts w:cs="Arial"/>
          <w:szCs w:val="20"/>
        </w:rPr>
        <w:t xml:space="preserve">k 71. člena </w:t>
      </w:r>
      <w:r w:rsidRPr="00A70100">
        <w:rPr>
          <w:rFonts w:eastAsia="Calibri" w:cs="Arial"/>
          <w:color w:val="000000"/>
          <w:szCs w:val="20"/>
        </w:rPr>
        <w:t>Direktive 2014/59/EU</w:t>
      </w:r>
      <w:r>
        <w:rPr>
          <w:rFonts w:eastAsia="Calibri" w:cs="Arial"/>
          <w:color w:val="000000"/>
          <w:szCs w:val="20"/>
        </w:rPr>
        <w:t xml:space="preserve"> in </w:t>
      </w:r>
      <w:r w:rsidR="003C17D0">
        <w:rPr>
          <w:rFonts w:eastAsia="Calibri" w:cs="Arial"/>
          <w:color w:val="000000"/>
          <w:szCs w:val="20"/>
        </w:rPr>
        <w:t>triintrideseti</w:t>
      </w:r>
      <w:r>
        <w:rPr>
          <w:rFonts w:eastAsia="Calibri" w:cs="Arial"/>
          <w:color w:val="000000"/>
          <w:szCs w:val="20"/>
        </w:rPr>
        <w:t xml:space="preserve"> odstavek 1. člena </w:t>
      </w:r>
      <w:r w:rsidRPr="00A70100">
        <w:rPr>
          <w:rFonts w:cs="Arial"/>
          <w:szCs w:val="20"/>
        </w:rPr>
        <w:t>Direktive 2019/879/EU</w:t>
      </w:r>
      <w:r w:rsidR="003C17D0">
        <w:rPr>
          <w:rFonts w:cs="Arial"/>
          <w:szCs w:val="20"/>
        </w:rPr>
        <w:t>, ki določa vsebino 71.a člena Direktive 2014/59/EU,</w:t>
      </w:r>
      <w:r w:rsidRPr="00A70100">
        <w:rPr>
          <w:rFonts w:eastAsia="Calibri" w:cs="Arial"/>
          <w:color w:val="000000"/>
          <w:szCs w:val="20"/>
        </w:rPr>
        <w:t xml:space="preserve"> </w:t>
      </w:r>
      <w:r>
        <w:rPr>
          <w:rFonts w:eastAsia="Calibri" w:cs="Arial"/>
          <w:color w:val="000000"/>
          <w:szCs w:val="20"/>
        </w:rPr>
        <w:t xml:space="preserve">sta v nacionalni pravni red prenesena s 151. in 152. členom ZRPPB-1. S predlaganim zakonom se zato navedeni členi uskladijo z besedilom navedenih direktiv, </w:t>
      </w:r>
      <w:r>
        <w:rPr>
          <w:rFonts w:cs="Arial"/>
          <w:szCs w:val="20"/>
        </w:rPr>
        <w:t xml:space="preserve">saj bi zdaj veljavna ureditev v tem delu lahko vplivala </w:t>
      </w:r>
      <w:r w:rsidRPr="004C6832">
        <w:rPr>
          <w:rFonts w:cs="Arial"/>
          <w:szCs w:val="20"/>
        </w:rPr>
        <w:t>na pravno varnost udeležencev pravnih poslov</w:t>
      </w:r>
      <w:r>
        <w:rPr>
          <w:rFonts w:eastAsia="Calibri" w:cs="Arial"/>
          <w:color w:val="000000"/>
          <w:szCs w:val="20"/>
        </w:rPr>
        <w:t>.</w:t>
      </w:r>
    </w:p>
    <w:p w:rsidR="00C10CFA" w:rsidRDefault="00C10CFA" w:rsidP="00C10CFA">
      <w:pPr>
        <w:jc w:val="both"/>
        <w:rPr>
          <w:rFonts w:eastAsia="Calibri" w:cs="Arial"/>
          <w:color w:val="000000"/>
          <w:szCs w:val="20"/>
        </w:rPr>
      </w:pPr>
    </w:p>
    <w:p w:rsidR="00C10CFA" w:rsidRDefault="00C10CFA" w:rsidP="00C10CFA">
      <w:pPr>
        <w:jc w:val="both"/>
        <w:rPr>
          <w:rFonts w:cs="Arial"/>
          <w:szCs w:val="20"/>
        </w:rPr>
      </w:pPr>
      <w:r>
        <w:rPr>
          <w:rFonts w:eastAsia="Calibri" w:cs="Arial"/>
          <w:color w:val="000000"/>
          <w:szCs w:val="20"/>
        </w:rPr>
        <w:t xml:space="preserve">Poleg tega se s predlogom zakona spreminjajo še 31., 113. in 118. člen ZRPPB-1, saj je bilo v okviru izvajanja ZRPPB-1, zlasti pri izvedbi postopkov reševanja banke </w:t>
      </w:r>
      <w:proofErr w:type="spellStart"/>
      <w:r>
        <w:rPr>
          <w:rFonts w:eastAsia="Calibri" w:cs="Arial"/>
          <w:color w:val="000000"/>
          <w:szCs w:val="20"/>
        </w:rPr>
        <w:t>Sberbank</w:t>
      </w:r>
      <w:proofErr w:type="spellEnd"/>
      <w:r>
        <w:rPr>
          <w:rFonts w:eastAsia="Calibri" w:cs="Arial"/>
          <w:color w:val="000000"/>
          <w:szCs w:val="20"/>
        </w:rPr>
        <w:t xml:space="preserve">, d. d., ugotovljeno, da gre za napačen oziroma pomanjkljiv prenos </w:t>
      </w:r>
      <w:r w:rsidRPr="00C10060">
        <w:rPr>
          <w:rFonts w:cs="Arial"/>
          <w:szCs w:val="20"/>
        </w:rPr>
        <w:t>Direktive 2014/59/EU</w:t>
      </w:r>
      <w:r>
        <w:rPr>
          <w:rFonts w:cs="Arial"/>
          <w:szCs w:val="20"/>
        </w:rPr>
        <w:t>, kar je treba odpraviti.</w:t>
      </w:r>
      <w:r>
        <w:rPr>
          <w:rFonts w:eastAsia="Calibri" w:cs="Arial"/>
          <w:color w:val="000000"/>
          <w:szCs w:val="20"/>
        </w:rPr>
        <w:t xml:space="preserve"> </w:t>
      </w:r>
    </w:p>
    <w:p w:rsidR="00C10CFA" w:rsidRPr="006C46C0" w:rsidRDefault="00C10CFA" w:rsidP="00C10CFA">
      <w:pPr>
        <w:rPr>
          <w:rFonts w:cs="Arial"/>
          <w:szCs w:val="20"/>
        </w:rPr>
      </w:pPr>
    </w:p>
    <w:p w:rsidR="00C10CFA" w:rsidRPr="00442EEC" w:rsidRDefault="00C10CFA" w:rsidP="00C10CFA">
      <w:pPr>
        <w:numPr>
          <w:ilvl w:val="0"/>
          <w:numId w:val="10"/>
        </w:numPr>
        <w:rPr>
          <w:rFonts w:cs="Arial"/>
          <w:b/>
          <w:szCs w:val="20"/>
        </w:rPr>
      </w:pPr>
      <w:r w:rsidRPr="00442EEC">
        <w:rPr>
          <w:rFonts w:cs="Arial"/>
          <w:b/>
          <w:szCs w:val="20"/>
        </w:rPr>
        <w:t>CILJI, NAČELA IN POGLAVITNE REŠITVE PREDLOGA ZAKONA</w:t>
      </w:r>
    </w:p>
    <w:p w:rsidR="00C10CFA" w:rsidRPr="00FF5156" w:rsidRDefault="00C10CFA" w:rsidP="00C10CFA">
      <w:pPr>
        <w:rPr>
          <w:rFonts w:cs="Arial"/>
          <w:szCs w:val="20"/>
        </w:rPr>
      </w:pPr>
    </w:p>
    <w:p w:rsidR="00C10CFA" w:rsidRPr="00FF5156" w:rsidRDefault="00C10CFA" w:rsidP="00C10CFA">
      <w:pPr>
        <w:rPr>
          <w:rFonts w:cs="Arial"/>
          <w:b/>
          <w:szCs w:val="20"/>
        </w:rPr>
      </w:pPr>
      <w:r w:rsidRPr="00FF5156">
        <w:rPr>
          <w:rFonts w:cs="Arial"/>
          <w:b/>
          <w:szCs w:val="20"/>
        </w:rPr>
        <w:t>2.1 Cilji</w:t>
      </w:r>
    </w:p>
    <w:p w:rsidR="00C10CFA" w:rsidRDefault="00C10CFA" w:rsidP="00C10CFA">
      <w:pPr>
        <w:jc w:val="both"/>
        <w:rPr>
          <w:rFonts w:cs="Arial"/>
          <w:szCs w:val="20"/>
        </w:rPr>
      </w:pPr>
      <w:r>
        <w:rPr>
          <w:rFonts w:cs="Arial"/>
          <w:szCs w:val="20"/>
        </w:rPr>
        <w:t xml:space="preserve">Cilj predloga zakona je prenos </w:t>
      </w:r>
      <w:r w:rsidRPr="0040097D">
        <w:rPr>
          <w:rFonts w:cs="Arial"/>
          <w:szCs w:val="20"/>
        </w:rPr>
        <w:t>Uredbe 2022/2036/</w:t>
      </w:r>
      <w:r>
        <w:rPr>
          <w:rFonts w:cs="Arial"/>
          <w:szCs w:val="20"/>
        </w:rPr>
        <w:t xml:space="preserve">EU v delu, ki spreminja Direktivo </w:t>
      </w:r>
      <w:r w:rsidRPr="00FF5156">
        <w:rPr>
          <w:rFonts w:cs="Arial"/>
          <w:szCs w:val="20"/>
        </w:rPr>
        <w:t>2014/</w:t>
      </w:r>
      <w:r>
        <w:rPr>
          <w:rFonts w:cs="Arial"/>
          <w:szCs w:val="20"/>
        </w:rPr>
        <w:t>59/EU, v pravni red Republike Slovenije.</w:t>
      </w:r>
    </w:p>
    <w:p w:rsidR="00C10CFA" w:rsidRPr="00FF5156" w:rsidRDefault="00C10CFA" w:rsidP="00C10CFA">
      <w:pPr>
        <w:jc w:val="both"/>
        <w:rPr>
          <w:rFonts w:cs="Arial"/>
          <w:szCs w:val="20"/>
        </w:rPr>
      </w:pPr>
      <w:r>
        <w:rPr>
          <w:rFonts w:cs="Arial"/>
          <w:szCs w:val="20"/>
        </w:rPr>
        <w:t xml:space="preserve">Podredni cilj predloga zakona je povečati pravno varnost, kar bo doseženo z </w:t>
      </w:r>
      <w:r w:rsidRPr="00FF5156">
        <w:rPr>
          <w:rFonts w:cs="Arial"/>
          <w:szCs w:val="20"/>
        </w:rPr>
        <w:t>odprav</w:t>
      </w:r>
      <w:r>
        <w:rPr>
          <w:rFonts w:cs="Arial"/>
          <w:szCs w:val="20"/>
        </w:rPr>
        <w:t>o</w:t>
      </w:r>
      <w:r w:rsidRPr="00FF5156">
        <w:rPr>
          <w:rFonts w:cs="Arial"/>
          <w:szCs w:val="20"/>
        </w:rPr>
        <w:t xml:space="preserve"> pomanjkljivosti pri prenosu</w:t>
      </w:r>
      <w:r>
        <w:rPr>
          <w:rFonts w:cs="Arial"/>
          <w:szCs w:val="20"/>
        </w:rPr>
        <w:t xml:space="preserve"> 71. člena D</w:t>
      </w:r>
      <w:r w:rsidRPr="00FF5156">
        <w:rPr>
          <w:rFonts w:cs="Arial"/>
          <w:szCs w:val="20"/>
        </w:rPr>
        <w:t>irektive 2014/</w:t>
      </w:r>
      <w:r>
        <w:rPr>
          <w:rFonts w:cs="Arial"/>
          <w:szCs w:val="20"/>
        </w:rPr>
        <w:t xml:space="preserve">59/EU </w:t>
      </w:r>
      <w:r w:rsidR="003C17D0">
        <w:rPr>
          <w:rFonts w:cs="Arial"/>
          <w:szCs w:val="20"/>
        </w:rPr>
        <w:t>ter</w:t>
      </w:r>
      <w:r>
        <w:rPr>
          <w:rFonts w:cs="Arial"/>
          <w:szCs w:val="20"/>
        </w:rPr>
        <w:t xml:space="preserve"> </w:t>
      </w:r>
      <w:r w:rsidR="003C17D0">
        <w:rPr>
          <w:rFonts w:eastAsia="Calibri" w:cs="Arial"/>
          <w:color w:val="000000"/>
          <w:szCs w:val="20"/>
        </w:rPr>
        <w:t xml:space="preserve">triintridesetega </w:t>
      </w:r>
      <w:r>
        <w:rPr>
          <w:rFonts w:eastAsia="Calibri" w:cs="Arial"/>
          <w:color w:val="000000"/>
          <w:szCs w:val="20"/>
        </w:rPr>
        <w:t xml:space="preserve">odstavka 1. člena </w:t>
      </w:r>
      <w:r w:rsidRPr="00A70100">
        <w:rPr>
          <w:rFonts w:cs="Arial"/>
          <w:szCs w:val="20"/>
        </w:rPr>
        <w:t>Direktive 2019/879/EU</w:t>
      </w:r>
      <w:r w:rsidR="003C17D0">
        <w:rPr>
          <w:rFonts w:cs="Arial"/>
          <w:szCs w:val="20"/>
        </w:rPr>
        <w:t>, in sicer v delu, ki se nanaša na točko (a) tretjega odstavka 71.a člena Direktive 2014/59/EU,</w:t>
      </w:r>
      <w:r w:rsidRPr="00A70100">
        <w:rPr>
          <w:rFonts w:eastAsia="Calibri" w:cs="Arial"/>
          <w:color w:val="000000"/>
          <w:szCs w:val="20"/>
        </w:rPr>
        <w:t xml:space="preserve"> </w:t>
      </w:r>
      <w:r>
        <w:rPr>
          <w:rFonts w:cs="Arial"/>
          <w:szCs w:val="20"/>
        </w:rPr>
        <w:t xml:space="preserve">v nacionalni pravni red, nastalih zaradi netočnega prevoda angleške različice navedenih direktiv, ter s spremembo </w:t>
      </w:r>
      <w:r>
        <w:rPr>
          <w:rFonts w:eastAsia="Calibri" w:cs="Arial"/>
          <w:color w:val="000000"/>
          <w:szCs w:val="20"/>
        </w:rPr>
        <w:t xml:space="preserve">31., 113. in 118. člena ZRPPB-1, ki tudi ne odražajo pravilnega prenosa Direktive </w:t>
      </w:r>
      <w:r w:rsidRPr="00FF5156">
        <w:rPr>
          <w:rFonts w:cs="Arial"/>
          <w:szCs w:val="20"/>
        </w:rPr>
        <w:t>2014/</w:t>
      </w:r>
      <w:r>
        <w:rPr>
          <w:rFonts w:cs="Arial"/>
          <w:szCs w:val="20"/>
        </w:rPr>
        <w:t>59/EU.</w:t>
      </w:r>
    </w:p>
    <w:p w:rsidR="00C10CFA" w:rsidRPr="00FF5156" w:rsidRDefault="00C10CFA" w:rsidP="00C10CFA">
      <w:pPr>
        <w:jc w:val="both"/>
        <w:rPr>
          <w:rFonts w:cs="Arial"/>
          <w:szCs w:val="20"/>
        </w:rPr>
      </w:pPr>
    </w:p>
    <w:p w:rsidR="00C10CFA" w:rsidRPr="00FF5156" w:rsidRDefault="00C10CFA" w:rsidP="00C10CFA">
      <w:pPr>
        <w:jc w:val="both"/>
        <w:rPr>
          <w:rFonts w:cs="Arial"/>
          <w:b/>
          <w:szCs w:val="20"/>
        </w:rPr>
      </w:pPr>
      <w:r w:rsidRPr="00FF5156">
        <w:rPr>
          <w:rFonts w:cs="Arial"/>
          <w:b/>
          <w:szCs w:val="20"/>
        </w:rPr>
        <w:t>2.2 Načela</w:t>
      </w:r>
    </w:p>
    <w:p w:rsidR="00C10CFA" w:rsidRPr="001D2175" w:rsidRDefault="00C10CFA" w:rsidP="00C10CFA">
      <w:pPr>
        <w:jc w:val="both"/>
        <w:rPr>
          <w:rFonts w:cs="Arial"/>
          <w:color w:val="808080" w:themeColor="background1" w:themeShade="80"/>
          <w:szCs w:val="20"/>
        </w:rPr>
      </w:pPr>
      <w:r w:rsidRPr="004D5B64">
        <w:rPr>
          <w:rFonts w:cs="Arial"/>
          <w:szCs w:val="20"/>
        </w:rPr>
        <w:t xml:space="preserve">Pri pripravi predloga zakona je bilo upoštevano </w:t>
      </w:r>
      <w:r w:rsidRPr="004D5B64">
        <w:rPr>
          <w:rFonts w:cs="Arial"/>
          <w:b/>
          <w:szCs w:val="20"/>
        </w:rPr>
        <w:t>načelo zagotavljanja jasnosti in preglednosti pravne ureditve</w:t>
      </w:r>
      <w:r w:rsidRPr="001D2175">
        <w:rPr>
          <w:rFonts w:cs="Arial"/>
          <w:color w:val="808080" w:themeColor="background1" w:themeShade="80"/>
          <w:szCs w:val="20"/>
        </w:rPr>
        <w:t xml:space="preserve">. </w:t>
      </w:r>
      <w:r>
        <w:rPr>
          <w:rFonts w:cs="Arial"/>
          <w:szCs w:val="20"/>
        </w:rPr>
        <w:t>Čeprav</w:t>
      </w:r>
      <w:r w:rsidRPr="004D5B64">
        <w:rPr>
          <w:rFonts w:cs="Arial"/>
          <w:szCs w:val="20"/>
        </w:rPr>
        <w:t xml:space="preserve"> se </w:t>
      </w:r>
      <w:r w:rsidRPr="0040097D">
        <w:rPr>
          <w:rFonts w:cs="Arial"/>
          <w:szCs w:val="20"/>
        </w:rPr>
        <w:t>Uredba 2022/2036/EU</w:t>
      </w:r>
      <w:r w:rsidRPr="004D5B64">
        <w:rPr>
          <w:rFonts w:cs="Arial"/>
          <w:szCs w:val="20"/>
        </w:rPr>
        <w:t xml:space="preserve"> uporablja neposredno, </w:t>
      </w:r>
      <w:r>
        <w:rPr>
          <w:rFonts w:cs="Arial"/>
          <w:szCs w:val="20"/>
        </w:rPr>
        <w:t>obenem</w:t>
      </w:r>
      <w:r w:rsidRPr="004D5B64">
        <w:rPr>
          <w:rFonts w:cs="Arial"/>
          <w:szCs w:val="20"/>
        </w:rPr>
        <w:t xml:space="preserve"> spreminja Direktivo 2014/59/EU, ki </w:t>
      </w:r>
      <w:r>
        <w:rPr>
          <w:rFonts w:cs="Arial"/>
          <w:szCs w:val="20"/>
        </w:rPr>
        <w:t xml:space="preserve">je bila v nacionalni pravni red </w:t>
      </w:r>
      <w:r w:rsidRPr="004D5B64">
        <w:rPr>
          <w:rFonts w:cs="Arial"/>
          <w:szCs w:val="20"/>
        </w:rPr>
        <w:t>pren</w:t>
      </w:r>
      <w:r>
        <w:rPr>
          <w:rFonts w:cs="Arial"/>
          <w:szCs w:val="20"/>
        </w:rPr>
        <w:t>esen</w:t>
      </w:r>
      <w:r w:rsidRPr="004D5B64">
        <w:rPr>
          <w:rFonts w:cs="Arial"/>
          <w:szCs w:val="20"/>
        </w:rPr>
        <w:t xml:space="preserve">a </w:t>
      </w:r>
      <w:r>
        <w:rPr>
          <w:rFonts w:cs="Arial"/>
          <w:szCs w:val="20"/>
        </w:rPr>
        <w:t>z ZRPPB-1. To pomeni, da je treba ZRPPB-1 temu ustrezno spremeniti. To n</w:t>
      </w:r>
      <w:r w:rsidRPr="000E56A4">
        <w:rPr>
          <w:rFonts w:cs="Arial"/>
          <w:szCs w:val="20"/>
        </w:rPr>
        <w:t>ačelo se uresničuje tudi z odpravo ugotovljene pomanjkljivosti</w:t>
      </w:r>
      <w:r>
        <w:rPr>
          <w:rFonts w:cs="Arial"/>
          <w:szCs w:val="20"/>
        </w:rPr>
        <w:t xml:space="preserve"> pri</w:t>
      </w:r>
      <w:r w:rsidRPr="000E56A4">
        <w:rPr>
          <w:rFonts w:cs="Arial"/>
          <w:szCs w:val="20"/>
        </w:rPr>
        <w:t xml:space="preserve"> prenos</w:t>
      </w:r>
      <w:r>
        <w:rPr>
          <w:rFonts w:cs="Arial"/>
          <w:szCs w:val="20"/>
        </w:rPr>
        <w:t>u</w:t>
      </w:r>
      <w:r w:rsidRPr="000E56A4">
        <w:rPr>
          <w:rFonts w:cs="Arial"/>
          <w:szCs w:val="20"/>
        </w:rPr>
        <w:t xml:space="preserve"> </w:t>
      </w:r>
      <w:r>
        <w:rPr>
          <w:rFonts w:cs="Arial"/>
          <w:szCs w:val="20"/>
        </w:rPr>
        <w:t>71. člena D</w:t>
      </w:r>
      <w:r w:rsidRPr="00FF5156">
        <w:rPr>
          <w:rFonts w:cs="Arial"/>
          <w:szCs w:val="20"/>
        </w:rPr>
        <w:t>irektive 2014/</w:t>
      </w:r>
      <w:r>
        <w:rPr>
          <w:rFonts w:cs="Arial"/>
          <w:szCs w:val="20"/>
        </w:rPr>
        <w:t xml:space="preserve">59/EU in </w:t>
      </w:r>
      <w:r w:rsidR="003C17D0">
        <w:rPr>
          <w:rFonts w:eastAsia="Calibri" w:cs="Arial"/>
          <w:color w:val="000000"/>
          <w:szCs w:val="20"/>
        </w:rPr>
        <w:t>triintridesetega</w:t>
      </w:r>
      <w:r>
        <w:rPr>
          <w:rFonts w:eastAsia="Calibri" w:cs="Arial"/>
          <w:color w:val="000000"/>
          <w:szCs w:val="20"/>
        </w:rPr>
        <w:t xml:space="preserve"> odstavka 1. člena </w:t>
      </w:r>
      <w:r w:rsidRPr="00A70100">
        <w:rPr>
          <w:rFonts w:cs="Arial"/>
          <w:szCs w:val="20"/>
        </w:rPr>
        <w:t>Direktive 2019/879/EU</w:t>
      </w:r>
      <w:r>
        <w:rPr>
          <w:rFonts w:cs="Arial"/>
          <w:szCs w:val="20"/>
        </w:rPr>
        <w:t xml:space="preserve"> </w:t>
      </w:r>
      <w:r w:rsidR="003C17D0">
        <w:rPr>
          <w:rFonts w:cs="Arial"/>
          <w:szCs w:val="20"/>
        </w:rPr>
        <w:t xml:space="preserve">v delu, ki se nanaša na točko (a) tretjega odstavka 71.a člena Direktive 2014/59/EU, </w:t>
      </w:r>
      <w:r>
        <w:rPr>
          <w:rFonts w:cs="Arial"/>
          <w:szCs w:val="20"/>
        </w:rPr>
        <w:t xml:space="preserve">saj bi zdajšnja interpretacija ZRPPB-1 lahko vplivala </w:t>
      </w:r>
      <w:r w:rsidRPr="004C6832">
        <w:rPr>
          <w:rFonts w:cs="Arial"/>
          <w:szCs w:val="20"/>
        </w:rPr>
        <w:t>na pravno varnost udeležencev pravnih poslov, vključno s pravno varnostjo oziroma izvršljivostjo dogovorov o izravnavi</w:t>
      </w:r>
      <w:r>
        <w:rPr>
          <w:rFonts w:cs="Arial"/>
          <w:szCs w:val="20"/>
        </w:rPr>
        <w:t>.</w:t>
      </w:r>
    </w:p>
    <w:p w:rsidR="00C10CFA" w:rsidRDefault="00C10CFA" w:rsidP="00C10CFA">
      <w:pPr>
        <w:jc w:val="both"/>
        <w:rPr>
          <w:rFonts w:cs="Arial"/>
          <w:b/>
          <w:szCs w:val="20"/>
        </w:rPr>
      </w:pPr>
    </w:p>
    <w:p w:rsidR="00C10CFA" w:rsidRPr="00FF5156" w:rsidRDefault="00C10CFA" w:rsidP="00C10CFA">
      <w:pPr>
        <w:jc w:val="both"/>
        <w:rPr>
          <w:rFonts w:cs="Arial"/>
          <w:szCs w:val="20"/>
        </w:rPr>
      </w:pPr>
      <w:r w:rsidRPr="00FF5156">
        <w:rPr>
          <w:rFonts w:cs="Arial"/>
          <w:b/>
          <w:szCs w:val="20"/>
        </w:rPr>
        <w:t xml:space="preserve">2.3 </w:t>
      </w:r>
      <w:r w:rsidRPr="00265FA6">
        <w:rPr>
          <w:rFonts w:cs="Arial"/>
          <w:b/>
          <w:szCs w:val="20"/>
        </w:rPr>
        <w:t>Poglavitne rešitve</w:t>
      </w:r>
    </w:p>
    <w:p w:rsidR="00C10CFA" w:rsidRDefault="00C10CFA" w:rsidP="00C10CFA">
      <w:pPr>
        <w:jc w:val="both"/>
        <w:rPr>
          <w:rFonts w:cs="Arial"/>
          <w:szCs w:val="20"/>
        </w:rPr>
      </w:pPr>
      <w:r>
        <w:rPr>
          <w:rFonts w:cs="Arial"/>
          <w:szCs w:val="20"/>
        </w:rPr>
        <w:t xml:space="preserve">Predlagane spremembe se nanašajo na </w:t>
      </w:r>
      <w:r w:rsidRPr="00635A30">
        <w:rPr>
          <w:rFonts w:cs="Arial"/>
          <w:szCs w:val="20"/>
        </w:rPr>
        <w:t xml:space="preserve">določitev minimalne zahteve </w:t>
      </w:r>
      <w:r>
        <w:rPr>
          <w:rFonts w:cs="Arial"/>
          <w:szCs w:val="20"/>
        </w:rPr>
        <w:t>MREL</w:t>
      </w:r>
      <w:r w:rsidRPr="00635A30">
        <w:rPr>
          <w:rFonts w:cs="Arial"/>
          <w:szCs w:val="20"/>
        </w:rPr>
        <w:t xml:space="preserve"> za subjekte v postopku reševanja v okviru </w:t>
      </w:r>
      <w:r>
        <w:rPr>
          <w:rFonts w:cs="Arial"/>
          <w:szCs w:val="20"/>
        </w:rPr>
        <w:t>globalne sistemsko pomembne banke</w:t>
      </w:r>
      <w:r w:rsidRPr="00635A30">
        <w:rPr>
          <w:rFonts w:cs="Arial"/>
          <w:szCs w:val="20"/>
        </w:rPr>
        <w:t xml:space="preserve"> in pomembne podrejene družbe</w:t>
      </w:r>
      <w:r>
        <w:rPr>
          <w:rFonts w:cs="Arial"/>
          <w:szCs w:val="20"/>
        </w:rPr>
        <w:t xml:space="preserve">. </w:t>
      </w:r>
      <w:r w:rsidRPr="00701F98">
        <w:rPr>
          <w:rFonts w:cs="Arial"/>
          <w:szCs w:val="20"/>
        </w:rPr>
        <w:t xml:space="preserve">Z dopolnitvijo </w:t>
      </w:r>
      <w:r>
        <w:rPr>
          <w:rFonts w:cs="Arial"/>
          <w:szCs w:val="20"/>
        </w:rPr>
        <w:t xml:space="preserve">četrtega </w:t>
      </w:r>
      <w:r w:rsidRPr="00701F98">
        <w:rPr>
          <w:rFonts w:cs="Arial"/>
          <w:szCs w:val="20"/>
        </w:rPr>
        <w:t>odstavka 56.</w:t>
      </w:r>
      <w:r>
        <w:rPr>
          <w:rFonts w:cs="Arial"/>
          <w:szCs w:val="20"/>
        </w:rPr>
        <w:t xml:space="preserve"> člena ter četrtega in petega odstavka 61.</w:t>
      </w:r>
      <w:r w:rsidRPr="00701F98">
        <w:rPr>
          <w:rFonts w:cs="Arial"/>
          <w:szCs w:val="20"/>
        </w:rPr>
        <w:t xml:space="preserve"> člena</w:t>
      </w:r>
      <w:r>
        <w:rPr>
          <w:rFonts w:cs="Arial"/>
          <w:szCs w:val="20"/>
        </w:rPr>
        <w:t xml:space="preserve"> ZRPPB-1</w:t>
      </w:r>
      <w:r w:rsidRPr="00701F98">
        <w:rPr>
          <w:rFonts w:cs="Arial"/>
          <w:szCs w:val="20"/>
        </w:rPr>
        <w:t xml:space="preserve"> s</w:t>
      </w:r>
      <w:r>
        <w:rPr>
          <w:rFonts w:cs="Arial"/>
          <w:szCs w:val="20"/>
        </w:rPr>
        <w:t xml:space="preserve">e zagotovi skladnost s standardom (zahtevo) TLAC, zato se pri izračunu zahteve </w:t>
      </w:r>
      <w:r>
        <w:rPr>
          <w:rFonts w:cs="Arial"/>
          <w:szCs w:val="20"/>
        </w:rPr>
        <w:lastRenderedPageBreak/>
        <w:t xml:space="preserve">MREL v primeru </w:t>
      </w:r>
      <w:r w:rsidRPr="00A2366D">
        <w:rPr>
          <w:rFonts w:cs="Arial"/>
          <w:szCs w:val="20"/>
        </w:rPr>
        <w:t xml:space="preserve">globalno sistemsko pomembnih </w:t>
      </w:r>
      <w:r>
        <w:rPr>
          <w:rFonts w:cs="Arial"/>
          <w:szCs w:val="20"/>
        </w:rPr>
        <w:t>bank</w:t>
      </w:r>
      <w:r w:rsidRPr="00A2366D">
        <w:rPr>
          <w:rFonts w:cs="Arial"/>
          <w:szCs w:val="20"/>
        </w:rPr>
        <w:t xml:space="preserve"> s strategijo reševanja z več vstopnimi točkami</w:t>
      </w:r>
      <w:r>
        <w:rPr>
          <w:rFonts w:cs="Arial"/>
          <w:szCs w:val="20"/>
        </w:rPr>
        <w:t xml:space="preserve"> upoštevajo vsi subjekti iz tretjih držav, ki so del </w:t>
      </w:r>
      <w:r w:rsidRPr="00A2366D">
        <w:rPr>
          <w:rFonts w:cs="Arial"/>
          <w:szCs w:val="20"/>
        </w:rPr>
        <w:t xml:space="preserve">globalno sistemsko pomembnih </w:t>
      </w:r>
      <w:r>
        <w:rPr>
          <w:rFonts w:cs="Arial"/>
          <w:szCs w:val="20"/>
        </w:rPr>
        <w:t xml:space="preserve">bank, in bi bili subjekti v postopku reševanja, če bi imeli sedež v EU, ter skladnost s spremembami Uredbe </w:t>
      </w:r>
      <w:r w:rsidRPr="0040097D">
        <w:rPr>
          <w:rFonts w:cs="Arial"/>
          <w:szCs w:val="20"/>
        </w:rPr>
        <w:t>575/2013/EU</w:t>
      </w:r>
      <w:r>
        <w:rPr>
          <w:rFonts w:cs="Arial"/>
          <w:szCs w:val="20"/>
        </w:rPr>
        <w:t xml:space="preserve"> </w:t>
      </w:r>
      <w:r w:rsidRPr="00314277">
        <w:rPr>
          <w:rFonts w:cs="Arial"/>
          <w:szCs w:val="20"/>
        </w:rPr>
        <w:t xml:space="preserve">v zvezi z bonitetno obravnavo globalno sistemsko pomembnih institucij s strategijo reševanja z več vstopnimi točkami in metodami za posredni vpis instrumentov, primernih za izpolnjevanje minimalne zahteve </w:t>
      </w:r>
      <w:r>
        <w:rPr>
          <w:rFonts w:cs="Arial"/>
          <w:szCs w:val="20"/>
        </w:rPr>
        <w:t>MREL.</w:t>
      </w:r>
    </w:p>
    <w:p w:rsidR="00C10CFA" w:rsidRPr="00701F98" w:rsidRDefault="00C10CFA" w:rsidP="00C10CFA">
      <w:pPr>
        <w:jc w:val="both"/>
        <w:rPr>
          <w:rFonts w:cs="Arial"/>
          <w:szCs w:val="20"/>
        </w:rPr>
      </w:pPr>
    </w:p>
    <w:p w:rsidR="00C10CFA" w:rsidRPr="004C6832" w:rsidRDefault="00C10CFA" w:rsidP="00C10CFA">
      <w:pPr>
        <w:jc w:val="both"/>
        <w:rPr>
          <w:rFonts w:cs="Arial"/>
          <w:szCs w:val="20"/>
        </w:rPr>
      </w:pPr>
      <w:r w:rsidRPr="005E4A4D">
        <w:rPr>
          <w:rFonts w:cs="Arial"/>
          <w:szCs w:val="20"/>
        </w:rPr>
        <w:t xml:space="preserve">Predlog zakona </w:t>
      </w:r>
      <w:r>
        <w:rPr>
          <w:rFonts w:cs="Arial"/>
          <w:szCs w:val="20"/>
        </w:rPr>
        <w:t xml:space="preserve">spreminja tudi 151. in 152. člen ZRPPB-1, in sicer zaradi popravka slovenskega prevoda ustreznih členov angleške različice </w:t>
      </w:r>
      <w:r w:rsidRPr="000E56A4">
        <w:rPr>
          <w:rFonts w:cs="Arial"/>
          <w:szCs w:val="20"/>
        </w:rPr>
        <w:t>Direktive 2014/59/EU</w:t>
      </w:r>
      <w:r>
        <w:rPr>
          <w:rFonts w:cs="Arial"/>
          <w:szCs w:val="20"/>
        </w:rPr>
        <w:t xml:space="preserve"> in Direktive </w:t>
      </w:r>
      <w:r w:rsidRPr="00A70100">
        <w:rPr>
          <w:rFonts w:cs="Arial"/>
          <w:szCs w:val="20"/>
        </w:rPr>
        <w:t>2019/879/EU</w:t>
      </w:r>
      <w:r>
        <w:rPr>
          <w:rFonts w:cs="Arial"/>
          <w:szCs w:val="20"/>
        </w:rPr>
        <w:t>.</w:t>
      </w:r>
      <w:r w:rsidRPr="005E4A4D">
        <w:rPr>
          <w:rFonts w:cs="Arial"/>
          <w:szCs w:val="20"/>
        </w:rPr>
        <w:t xml:space="preserve"> </w:t>
      </w:r>
      <w:r>
        <w:rPr>
          <w:rFonts w:cs="Arial"/>
          <w:szCs w:val="20"/>
        </w:rPr>
        <w:t xml:space="preserve">Spremembe 13., 113. in 118. člena ZRPPB-1 so potrebne zaradi naknadno ugotovljenih napak pri prenosu </w:t>
      </w:r>
      <w:r w:rsidRPr="000E56A4">
        <w:rPr>
          <w:rFonts w:cs="Arial"/>
          <w:szCs w:val="20"/>
        </w:rPr>
        <w:t>Direktive 2014/59/EU</w:t>
      </w:r>
      <w:r>
        <w:rPr>
          <w:rFonts w:cs="Arial"/>
          <w:szCs w:val="20"/>
        </w:rPr>
        <w:t>.</w:t>
      </w:r>
    </w:p>
    <w:p w:rsidR="00C10CFA" w:rsidRPr="00FF5156" w:rsidRDefault="00C10CFA" w:rsidP="00C10CFA">
      <w:pPr>
        <w:rPr>
          <w:rFonts w:cs="Arial"/>
          <w:vanish/>
          <w:szCs w:val="20"/>
          <w:highlight w:val="yellow"/>
        </w:rPr>
      </w:pPr>
    </w:p>
    <w:p w:rsidR="00C10CFA" w:rsidRPr="00B94DC2" w:rsidRDefault="00C10CFA" w:rsidP="00C10CFA">
      <w:pPr>
        <w:rPr>
          <w:rFonts w:cs="Arial"/>
          <w:szCs w:val="20"/>
        </w:rPr>
      </w:pPr>
    </w:p>
    <w:p w:rsidR="00C10CFA" w:rsidRPr="00FF5156" w:rsidRDefault="00C10CFA" w:rsidP="00C10CFA">
      <w:pPr>
        <w:numPr>
          <w:ilvl w:val="0"/>
          <w:numId w:val="10"/>
        </w:numPr>
        <w:jc w:val="both"/>
        <w:rPr>
          <w:rFonts w:cs="Arial"/>
          <w:b/>
          <w:szCs w:val="20"/>
        </w:rPr>
      </w:pPr>
      <w:r w:rsidRPr="00FF5156">
        <w:rPr>
          <w:rFonts w:cs="Arial"/>
          <w:b/>
          <w:szCs w:val="20"/>
        </w:rPr>
        <w:t>OCENA FINANČNIH POSLEDIC PREDLOGA ZAKONA ZA DRŽAVNI PRORAČUN IN DRUGA JAVNA FINANČNA SREDSTVA</w:t>
      </w:r>
    </w:p>
    <w:p w:rsidR="00C10CFA" w:rsidRPr="00FF5156" w:rsidRDefault="00C10CFA" w:rsidP="00C10CFA">
      <w:pPr>
        <w:rPr>
          <w:rFonts w:cs="Arial"/>
          <w:b/>
          <w:szCs w:val="20"/>
        </w:rPr>
      </w:pPr>
    </w:p>
    <w:p w:rsidR="00C10CFA" w:rsidRPr="00FF5156" w:rsidRDefault="00C10CFA" w:rsidP="00C10CFA">
      <w:pPr>
        <w:rPr>
          <w:rFonts w:cs="Arial"/>
          <w:szCs w:val="20"/>
        </w:rPr>
      </w:pPr>
      <w:r w:rsidRPr="00FF5156">
        <w:rPr>
          <w:rFonts w:cs="Arial"/>
          <w:szCs w:val="20"/>
        </w:rPr>
        <w:t>Predlog zakona nima finančnih posledic za državni proračun in druga javna finančna sredstva.</w:t>
      </w:r>
    </w:p>
    <w:p w:rsidR="00C10CFA" w:rsidRPr="00FF5156" w:rsidRDefault="00C10CFA" w:rsidP="00C10CFA">
      <w:pPr>
        <w:rPr>
          <w:rFonts w:cs="Arial"/>
          <w:szCs w:val="20"/>
          <w:highlight w:val="yellow"/>
        </w:rPr>
      </w:pPr>
    </w:p>
    <w:p w:rsidR="00C10CFA" w:rsidRPr="00FF5156" w:rsidRDefault="00C10CFA" w:rsidP="00C10CFA">
      <w:pPr>
        <w:numPr>
          <w:ilvl w:val="0"/>
          <w:numId w:val="10"/>
        </w:numPr>
        <w:jc w:val="both"/>
        <w:rPr>
          <w:rFonts w:cs="Arial"/>
          <w:b/>
          <w:szCs w:val="20"/>
        </w:rPr>
      </w:pPr>
      <w:r w:rsidRPr="00FF5156">
        <w:rPr>
          <w:rFonts w:cs="Arial"/>
          <w:b/>
          <w:szCs w:val="20"/>
        </w:rPr>
        <w:t>NAVEDBA, DA SO SREDSTVA ZA IZVAJANJE ZAKONA V DRŽAVNEM PRORAČUNU ZAGOTOVLJENA, ČE PREDLOG ZAKONA PREDVIDEVA PORABO PRORAČUNSKIH SREDSTEV V OBDOBJU, ZA KATEREGA JE BIL DRŽAVNI PRORAČUN ŽE SPREJET</w:t>
      </w:r>
    </w:p>
    <w:p w:rsidR="00C10CFA" w:rsidRPr="00FF5156" w:rsidRDefault="00C10CFA" w:rsidP="00C10CFA">
      <w:pPr>
        <w:rPr>
          <w:rFonts w:cs="Arial"/>
          <w:szCs w:val="20"/>
        </w:rPr>
      </w:pPr>
    </w:p>
    <w:p w:rsidR="00C10CFA" w:rsidRPr="00FF5156" w:rsidRDefault="00C10CFA" w:rsidP="00C10CFA">
      <w:pPr>
        <w:rPr>
          <w:rFonts w:cs="Arial"/>
          <w:szCs w:val="20"/>
        </w:rPr>
      </w:pPr>
      <w:r w:rsidRPr="00FF5156">
        <w:rPr>
          <w:rFonts w:cs="Arial"/>
          <w:szCs w:val="20"/>
        </w:rPr>
        <w:t>Predlog zakona ne predvideva porabe proračunskih sredstev v obdobju, za katero je bil proračun že sprejet.</w:t>
      </w:r>
    </w:p>
    <w:p w:rsidR="00C10CFA" w:rsidRPr="00FF5156" w:rsidRDefault="00C10CFA" w:rsidP="00C10CFA">
      <w:pPr>
        <w:rPr>
          <w:rFonts w:cs="Arial"/>
          <w:szCs w:val="20"/>
          <w:highlight w:val="yellow"/>
        </w:rPr>
      </w:pPr>
    </w:p>
    <w:p w:rsidR="00C10CFA" w:rsidRPr="00FF5156" w:rsidRDefault="00C10CFA" w:rsidP="00C10CFA">
      <w:pPr>
        <w:rPr>
          <w:rFonts w:cs="Arial"/>
          <w:szCs w:val="20"/>
          <w:highlight w:val="yellow"/>
        </w:rPr>
      </w:pPr>
    </w:p>
    <w:p w:rsidR="00C10CFA" w:rsidRPr="004F6FC5" w:rsidRDefault="00C10CFA" w:rsidP="00C10CFA">
      <w:pPr>
        <w:numPr>
          <w:ilvl w:val="0"/>
          <w:numId w:val="10"/>
        </w:numPr>
        <w:jc w:val="both"/>
        <w:rPr>
          <w:rFonts w:cs="Arial"/>
          <w:b/>
          <w:szCs w:val="20"/>
        </w:rPr>
      </w:pPr>
      <w:r w:rsidRPr="004F6FC5">
        <w:rPr>
          <w:rFonts w:cs="Arial"/>
          <w:b/>
          <w:szCs w:val="20"/>
        </w:rPr>
        <w:t>PRIKAZ UREDITVE V DRUGIH PRAVNIH SISTEMIH IN PRILAGOJENOSTI PREDLAGANE UREDITVE PRAVU EVROPSKE UNIJE</w:t>
      </w:r>
    </w:p>
    <w:p w:rsidR="00C10CFA" w:rsidRPr="004F6FC5" w:rsidRDefault="00C10CFA" w:rsidP="00C10CFA">
      <w:pPr>
        <w:rPr>
          <w:rFonts w:cs="Arial"/>
          <w:szCs w:val="20"/>
        </w:rPr>
      </w:pPr>
    </w:p>
    <w:p w:rsidR="00C10CFA" w:rsidRPr="004F6FC5" w:rsidRDefault="00C10CFA" w:rsidP="00C10CFA">
      <w:pPr>
        <w:jc w:val="both"/>
        <w:rPr>
          <w:rFonts w:cs="Arial"/>
          <w:szCs w:val="20"/>
        </w:rPr>
      </w:pPr>
      <w:r w:rsidRPr="004F6FC5">
        <w:rPr>
          <w:rFonts w:cs="Arial"/>
          <w:szCs w:val="20"/>
        </w:rPr>
        <w:t xml:space="preserve">Zakon je prilagojen pravu Evropske unije, saj v </w:t>
      </w:r>
      <w:r>
        <w:rPr>
          <w:rFonts w:cs="Arial"/>
          <w:szCs w:val="20"/>
        </w:rPr>
        <w:t>nacionalni pravni red</w:t>
      </w:r>
      <w:r w:rsidRPr="004F6FC5">
        <w:rPr>
          <w:rFonts w:cs="Arial"/>
          <w:szCs w:val="20"/>
        </w:rPr>
        <w:t xml:space="preserve"> </w:t>
      </w:r>
      <w:r w:rsidRPr="0040097D">
        <w:rPr>
          <w:rFonts w:cs="Arial"/>
          <w:szCs w:val="20"/>
        </w:rPr>
        <w:t>prenaša Uredbo 2022/2036/EU v delu, ki spreminja določbe Direktive 2014/59/EU, kot so bile spremenjene z Uredbo 2022/2036/</w:t>
      </w:r>
      <w:r>
        <w:rPr>
          <w:rFonts w:cs="Arial"/>
          <w:szCs w:val="20"/>
        </w:rPr>
        <w:t>EU</w:t>
      </w:r>
      <w:r w:rsidRPr="004F6FC5">
        <w:rPr>
          <w:rFonts w:cs="Arial"/>
          <w:szCs w:val="20"/>
        </w:rPr>
        <w:t xml:space="preserve">. </w:t>
      </w:r>
    </w:p>
    <w:p w:rsidR="00C10CFA" w:rsidRPr="004F6FC5" w:rsidRDefault="00C10CFA" w:rsidP="00C10CFA">
      <w:pPr>
        <w:jc w:val="both"/>
        <w:rPr>
          <w:rFonts w:cs="Arial"/>
          <w:szCs w:val="20"/>
        </w:rPr>
      </w:pPr>
      <w:r w:rsidRPr="004F6FC5">
        <w:rPr>
          <w:rFonts w:cs="Arial"/>
          <w:b/>
          <w:szCs w:val="20"/>
        </w:rPr>
        <w:t>Luksemburg</w:t>
      </w:r>
    </w:p>
    <w:p w:rsidR="00C10CFA" w:rsidRPr="004F6FC5" w:rsidRDefault="00C10CFA" w:rsidP="00C10CFA">
      <w:pPr>
        <w:jc w:val="both"/>
        <w:rPr>
          <w:rFonts w:cs="Arial"/>
          <w:szCs w:val="20"/>
        </w:rPr>
      </w:pPr>
      <w:r w:rsidRPr="004F6FC5">
        <w:rPr>
          <w:rFonts w:cs="Arial"/>
          <w:szCs w:val="20"/>
        </w:rPr>
        <w:t xml:space="preserve">Luksemburg je </w:t>
      </w:r>
      <w:r>
        <w:rPr>
          <w:rFonts w:cs="Arial"/>
          <w:szCs w:val="20"/>
        </w:rPr>
        <w:t>D</w:t>
      </w:r>
      <w:r w:rsidRPr="004F6FC5">
        <w:rPr>
          <w:rFonts w:cs="Arial"/>
          <w:szCs w:val="20"/>
        </w:rPr>
        <w:t xml:space="preserve">irektivo </w:t>
      </w:r>
      <w:r w:rsidRPr="00FF5156">
        <w:rPr>
          <w:rFonts w:cs="Arial"/>
          <w:szCs w:val="20"/>
        </w:rPr>
        <w:t>2014/</w:t>
      </w:r>
      <w:r>
        <w:rPr>
          <w:rFonts w:cs="Arial"/>
          <w:szCs w:val="20"/>
        </w:rPr>
        <w:t>59/EU</w:t>
      </w:r>
      <w:r w:rsidRPr="004F6FC5">
        <w:rPr>
          <w:rFonts w:cs="Arial"/>
          <w:szCs w:val="20"/>
        </w:rPr>
        <w:t xml:space="preserve"> v nacionalni pravni red prenesel </w:t>
      </w:r>
      <w:r>
        <w:rPr>
          <w:rFonts w:cs="Arial"/>
          <w:szCs w:val="20"/>
        </w:rPr>
        <w:t>z</w:t>
      </w:r>
      <w:r w:rsidRPr="004F6FC5">
        <w:rPr>
          <w:rFonts w:cs="Arial"/>
          <w:szCs w:val="20"/>
        </w:rPr>
        <w:t xml:space="preserve"> zakon</w:t>
      </w:r>
      <w:r>
        <w:rPr>
          <w:rFonts w:cs="Arial"/>
          <w:szCs w:val="20"/>
        </w:rPr>
        <w:t>om</w:t>
      </w:r>
      <w:r w:rsidRPr="004F6FC5">
        <w:rPr>
          <w:rFonts w:cs="Arial"/>
          <w:szCs w:val="20"/>
        </w:rPr>
        <w:t>, ki ureja reševanje in prisilno likvidacijo kreditnih institucij, sprejet</w:t>
      </w:r>
      <w:r>
        <w:rPr>
          <w:rFonts w:cs="Arial"/>
          <w:szCs w:val="20"/>
        </w:rPr>
        <w:t>im</w:t>
      </w:r>
      <w:r w:rsidRPr="004F6FC5">
        <w:rPr>
          <w:rFonts w:cs="Arial"/>
          <w:szCs w:val="20"/>
        </w:rPr>
        <w:t xml:space="preserve"> v letu 2015. Ureditev reševanja bank je v Luksemburgu enaka kot v Republiki Sloveniji, saj gre za področje, ki je predmet harmonizacije. </w:t>
      </w:r>
      <w:r>
        <w:rPr>
          <w:rFonts w:cs="Arial"/>
          <w:szCs w:val="20"/>
        </w:rPr>
        <w:t>Drugače kot v</w:t>
      </w:r>
      <w:r w:rsidRPr="004F6FC5">
        <w:rPr>
          <w:rFonts w:cs="Arial"/>
          <w:szCs w:val="20"/>
        </w:rPr>
        <w:t xml:space="preserve"> pravn</w:t>
      </w:r>
      <w:r>
        <w:rPr>
          <w:rFonts w:cs="Arial"/>
          <w:szCs w:val="20"/>
        </w:rPr>
        <w:t>i</w:t>
      </w:r>
      <w:r w:rsidRPr="004F6FC5">
        <w:rPr>
          <w:rFonts w:cs="Arial"/>
          <w:szCs w:val="20"/>
        </w:rPr>
        <w:t xml:space="preserve"> ureditv</w:t>
      </w:r>
      <w:r>
        <w:rPr>
          <w:rFonts w:cs="Arial"/>
          <w:szCs w:val="20"/>
        </w:rPr>
        <w:t>i</w:t>
      </w:r>
      <w:r w:rsidRPr="004F6FC5">
        <w:rPr>
          <w:rFonts w:cs="Arial"/>
          <w:szCs w:val="20"/>
        </w:rPr>
        <w:t xml:space="preserve"> v Republiki Sloveniji, kjer področni zakon hkrati ureja tudi postopek prisilnega prenehanja banke, Luksemburg za prisilno prenehanje bank uporablja splošn</w:t>
      </w:r>
      <w:r>
        <w:rPr>
          <w:rFonts w:cs="Arial"/>
          <w:szCs w:val="20"/>
        </w:rPr>
        <w:t>i</w:t>
      </w:r>
      <w:r w:rsidRPr="004F6FC5">
        <w:rPr>
          <w:rFonts w:cs="Arial"/>
          <w:szCs w:val="20"/>
        </w:rPr>
        <w:t xml:space="preserve"> zakon, ki ureja postopek prisilne poravnave oziroma stečaja gospodarskih subjektov.</w:t>
      </w:r>
    </w:p>
    <w:p w:rsidR="00C10CFA" w:rsidRPr="004F6FC5" w:rsidRDefault="00C10CFA" w:rsidP="00C10CFA">
      <w:pPr>
        <w:jc w:val="both"/>
        <w:rPr>
          <w:rFonts w:cs="Arial"/>
          <w:szCs w:val="20"/>
        </w:rPr>
      </w:pPr>
      <w:r w:rsidRPr="004F6FC5">
        <w:rPr>
          <w:rFonts w:cs="Arial"/>
          <w:b/>
          <w:szCs w:val="20"/>
        </w:rPr>
        <w:t>Avstrija</w:t>
      </w:r>
    </w:p>
    <w:p w:rsidR="00C10CFA" w:rsidRPr="004F6FC5" w:rsidRDefault="00C10CFA" w:rsidP="00C10CFA">
      <w:pPr>
        <w:jc w:val="both"/>
        <w:rPr>
          <w:rFonts w:cs="Arial"/>
          <w:szCs w:val="20"/>
        </w:rPr>
      </w:pPr>
      <w:r w:rsidRPr="004F6FC5">
        <w:rPr>
          <w:rFonts w:cs="Arial"/>
          <w:szCs w:val="20"/>
        </w:rPr>
        <w:t xml:space="preserve">Avstrija </w:t>
      </w:r>
      <w:r>
        <w:rPr>
          <w:rFonts w:cs="Arial"/>
          <w:szCs w:val="20"/>
        </w:rPr>
        <w:t xml:space="preserve">ima področje reševanja in prisilnega prenehanja bank urejeno v </w:t>
      </w:r>
      <w:r w:rsidRPr="004F6FC5">
        <w:rPr>
          <w:rFonts w:cs="Arial"/>
          <w:szCs w:val="20"/>
        </w:rPr>
        <w:t>več področnih zakon</w:t>
      </w:r>
      <w:r>
        <w:rPr>
          <w:rFonts w:cs="Arial"/>
          <w:szCs w:val="20"/>
        </w:rPr>
        <w:t>ih</w:t>
      </w:r>
      <w:r w:rsidRPr="004F6FC5">
        <w:rPr>
          <w:rFonts w:cs="Arial"/>
          <w:szCs w:val="20"/>
        </w:rPr>
        <w:t>, med drugim v zakon</w:t>
      </w:r>
      <w:r>
        <w:rPr>
          <w:rFonts w:cs="Arial"/>
          <w:szCs w:val="20"/>
        </w:rPr>
        <w:t>u</w:t>
      </w:r>
      <w:r w:rsidRPr="004F6FC5">
        <w:rPr>
          <w:rFonts w:cs="Arial"/>
          <w:szCs w:val="20"/>
        </w:rPr>
        <w:t>, ki ureja bančništvo, zakon</w:t>
      </w:r>
      <w:r>
        <w:rPr>
          <w:rFonts w:cs="Arial"/>
          <w:szCs w:val="20"/>
        </w:rPr>
        <w:t>u</w:t>
      </w:r>
      <w:r w:rsidRPr="004F6FC5">
        <w:rPr>
          <w:rFonts w:cs="Arial"/>
          <w:szCs w:val="20"/>
        </w:rPr>
        <w:t>, ki ureja borzo, zakon</w:t>
      </w:r>
      <w:r>
        <w:rPr>
          <w:rFonts w:cs="Arial"/>
          <w:szCs w:val="20"/>
        </w:rPr>
        <w:t>u</w:t>
      </w:r>
      <w:r w:rsidRPr="004F6FC5">
        <w:rPr>
          <w:rFonts w:cs="Arial"/>
          <w:szCs w:val="20"/>
        </w:rPr>
        <w:t>, ki ureja preprečevanje pranja denarja in financiranja terorizma, zakon</w:t>
      </w:r>
      <w:r>
        <w:rPr>
          <w:rFonts w:cs="Arial"/>
          <w:szCs w:val="20"/>
        </w:rPr>
        <w:t>u</w:t>
      </w:r>
      <w:r w:rsidRPr="004F6FC5">
        <w:rPr>
          <w:rFonts w:cs="Arial"/>
          <w:szCs w:val="20"/>
        </w:rPr>
        <w:t>, ki ureja prestrukturiranje in likvidacijske postopke</w:t>
      </w:r>
      <w:r>
        <w:rPr>
          <w:rFonts w:cs="Arial"/>
          <w:szCs w:val="20"/>
        </w:rPr>
        <w:t>,</w:t>
      </w:r>
      <w:r w:rsidRPr="004F6FC5">
        <w:rPr>
          <w:rFonts w:cs="Arial"/>
          <w:szCs w:val="20"/>
        </w:rPr>
        <w:t xml:space="preserve"> ter zakon</w:t>
      </w:r>
      <w:r>
        <w:rPr>
          <w:rFonts w:cs="Arial"/>
          <w:szCs w:val="20"/>
        </w:rPr>
        <w:t>u</w:t>
      </w:r>
      <w:r w:rsidRPr="004F6FC5">
        <w:rPr>
          <w:rFonts w:cs="Arial"/>
          <w:szCs w:val="20"/>
        </w:rPr>
        <w:t xml:space="preserve">, ki ureja trg vrednostnih papirjev. </w:t>
      </w:r>
      <w:r>
        <w:rPr>
          <w:rFonts w:cs="Arial"/>
          <w:szCs w:val="20"/>
        </w:rPr>
        <w:t>N</w:t>
      </w:r>
      <w:r w:rsidRPr="004F6FC5">
        <w:rPr>
          <w:rFonts w:cs="Arial"/>
          <w:szCs w:val="20"/>
        </w:rPr>
        <w:t>ačin</w:t>
      </w:r>
      <w:r>
        <w:rPr>
          <w:rFonts w:cs="Arial"/>
          <w:szCs w:val="20"/>
        </w:rPr>
        <w:t>a</w:t>
      </w:r>
      <w:r w:rsidRPr="004F6FC5">
        <w:rPr>
          <w:rFonts w:cs="Arial"/>
          <w:szCs w:val="20"/>
        </w:rPr>
        <w:t xml:space="preserve"> ureditve posebej ne navaja</w:t>
      </w:r>
      <w:r>
        <w:rPr>
          <w:rFonts w:cs="Arial"/>
          <w:szCs w:val="20"/>
        </w:rPr>
        <w:t>mo</w:t>
      </w:r>
      <w:r w:rsidRPr="004F6FC5">
        <w:rPr>
          <w:rFonts w:cs="Arial"/>
          <w:szCs w:val="20"/>
        </w:rPr>
        <w:t>, saj gre za ureditev, ki je primerljiva z ureditvijo v Republiki Sloveniji.</w:t>
      </w:r>
    </w:p>
    <w:p w:rsidR="00C10CFA" w:rsidRPr="004F6FC5" w:rsidRDefault="00C10CFA" w:rsidP="00C10CFA">
      <w:pPr>
        <w:jc w:val="both"/>
        <w:rPr>
          <w:rFonts w:cs="Arial"/>
          <w:szCs w:val="20"/>
        </w:rPr>
      </w:pPr>
      <w:r w:rsidRPr="004F6FC5">
        <w:rPr>
          <w:rFonts w:cs="Arial"/>
          <w:b/>
          <w:szCs w:val="20"/>
        </w:rPr>
        <w:t>Slovaška</w:t>
      </w:r>
    </w:p>
    <w:p w:rsidR="00C10CFA" w:rsidRPr="004F6FC5" w:rsidRDefault="00C10CFA" w:rsidP="00C10CFA">
      <w:pPr>
        <w:jc w:val="both"/>
        <w:rPr>
          <w:rFonts w:cs="Arial"/>
          <w:szCs w:val="20"/>
        </w:rPr>
      </w:pPr>
      <w:r>
        <w:rPr>
          <w:rFonts w:cs="Arial"/>
          <w:szCs w:val="20"/>
        </w:rPr>
        <w:t xml:space="preserve">Tudi </w:t>
      </w:r>
      <w:r w:rsidRPr="004F6FC5">
        <w:rPr>
          <w:rFonts w:cs="Arial"/>
          <w:szCs w:val="20"/>
        </w:rPr>
        <w:t xml:space="preserve">Slovaška je </w:t>
      </w:r>
      <w:r>
        <w:rPr>
          <w:rFonts w:cs="Arial"/>
          <w:szCs w:val="20"/>
        </w:rPr>
        <w:t>D</w:t>
      </w:r>
      <w:r w:rsidRPr="004F6FC5">
        <w:rPr>
          <w:rFonts w:cs="Arial"/>
          <w:szCs w:val="20"/>
        </w:rPr>
        <w:t xml:space="preserve">irektivo </w:t>
      </w:r>
      <w:r w:rsidRPr="00FF5156">
        <w:rPr>
          <w:rFonts w:cs="Arial"/>
          <w:szCs w:val="20"/>
        </w:rPr>
        <w:t>2014/</w:t>
      </w:r>
      <w:r>
        <w:rPr>
          <w:rFonts w:cs="Arial"/>
          <w:szCs w:val="20"/>
        </w:rPr>
        <w:t>59/EU</w:t>
      </w:r>
      <w:r w:rsidRPr="004F6FC5">
        <w:rPr>
          <w:rFonts w:cs="Arial"/>
          <w:szCs w:val="20"/>
        </w:rPr>
        <w:t xml:space="preserve"> v nacionalni pravni red prenesl</w:t>
      </w:r>
      <w:r>
        <w:rPr>
          <w:rFonts w:cs="Arial"/>
          <w:szCs w:val="20"/>
        </w:rPr>
        <w:t>a</w:t>
      </w:r>
      <w:r w:rsidRPr="004F6FC5">
        <w:rPr>
          <w:rFonts w:cs="Arial"/>
          <w:szCs w:val="20"/>
        </w:rPr>
        <w:t xml:space="preserve"> </w:t>
      </w:r>
      <w:r>
        <w:rPr>
          <w:rFonts w:cs="Arial"/>
          <w:szCs w:val="20"/>
        </w:rPr>
        <w:t>z</w:t>
      </w:r>
      <w:r w:rsidRPr="004F6FC5">
        <w:rPr>
          <w:rFonts w:cs="Arial"/>
          <w:szCs w:val="20"/>
        </w:rPr>
        <w:t xml:space="preserve"> zakon</w:t>
      </w:r>
      <w:r>
        <w:rPr>
          <w:rFonts w:cs="Arial"/>
          <w:szCs w:val="20"/>
        </w:rPr>
        <w:t>om</w:t>
      </w:r>
      <w:r w:rsidRPr="004F6FC5">
        <w:rPr>
          <w:rFonts w:cs="Arial"/>
          <w:szCs w:val="20"/>
        </w:rPr>
        <w:t xml:space="preserve">, ki ureja reševanje bank. Ker tudi Slovaška pri tem zgolj sledi določbam navedene direktive in ima področje reševanja bank urejeno na način, ki je primerljiv </w:t>
      </w:r>
      <w:r>
        <w:rPr>
          <w:rFonts w:cs="Arial"/>
          <w:szCs w:val="20"/>
        </w:rPr>
        <w:t xml:space="preserve">z </w:t>
      </w:r>
      <w:r w:rsidRPr="004F6FC5">
        <w:rPr>
          <w:rFonts w:cs="Arial"/>
          <w:szCs w:val="20"/>
        </w:rPr>
        <w:t>ureditvi</w:t>
      </w:r>
      <w:r>
        <w:rPr>
          <w:rFonts w:cs="Arial"/>
          <w:szCs w:val="20"/>
        </w:rPr>
        <w:t>jo</w:t>
      </w:r>
      <w:r w:rsidRPr="004F6FC5">
        <w:rPr>
          <w:rFonts w:cs="Arial"/>
          <w:szCs w:val="20"/>
        </w:rPr>
        <w:t xml:space="preserve"> v Republiki Sloveniji, se način ureditve posebej ne navaja. </w:t>
      </w:r>
    </w:p>
    <w:p w:rsidR="00C10CFA" w:rsidRPr="006D275F" w:rsidRDefault="00C10CFA" w:rsidP="00C10CFA">
      <w:pPr>
        <w:rPr>
          <w:rFonts w:cs="Arial"/>
          <w:szCs w:val="20"/>
          <w:highlight w:val="yellow"/>
        </w:rPr>
      </w:pPr>
    </w:p>
    <w:p w:rsidR="00C10CFA" w:rsidRPr="006D275F" w:rsidRDefault="00C10CFA" w:rsidP="00C10CFA">
      <w:pPr>
        <w:numPr>
          <w:ilvl w:val="0"/>
          <w:numId w:val="10"/>
        </w:numPr>
        <w:rPr>
          <w:rFonts w:cs="Arial"/>
          <w:b/>
          <w:szCs w:val="20"/>
        </w:rPr>
      </w:pPr>
      <w:r w:rsidRPr="006D275F">
        <w:rPr>
          <w:rFonts w:cs="Arial"/>
          <w:b/>
          <w:szCs w:val="20"/>
        </w:rPr>
        <w:t>PRESOJA POSLEDIC, KI JIH BO IMEL SPREJEM ZAKONA</w:t>
      </w:r>
    </w:p>
    <w:p w:rsidR="00C10CFA" w:rsidRPr="006D275F" w:rsidRDefault="00C10CFA" w:rsidP="00C10CFA">
      <w:pPr>
        <w:rPr>
          <w:rFonts w:cs="Arial"/>
          <w:szCs w:val="20"/>
        </w:rPr>
      </w:pPr>
    </w:p>
    <w:p w:rsidR="00C10CFA" w:rsidRPr="006D275F" w:rsidRDefault="00C10CFA" w:rsidP="00C10CFA">
      <w:pPr>
        <w:rPr>
          <w:rFonts w:cs="Arial"/>
          <w:b/>
          <w:szCs w:val="20"/>
        </w:rPr>
      </w:pPr>
      <w:r w:rsidRPr="006D275F">
        <w:rPr>
          <w:rFonts w:cs="Arial"/>
          <w:b/>
          <w:szCs w:val="20"/>
        </w:rPr>
        <w:lastRenderedPageBreak/>
        <w:t>6.1 Presoja administrativnih posledic</w:t>
      </w:r>
    </w:p>
    <w:p w:rsidR="00C10CFA" w:rsidRPr="006D275F" w:rsidRDefault="00C10CFA" w:rsidP="00C10CFA">
      <w:pPr>
        <w:rPr>
          <w:rFonts w:cs="Arial"/>
          <w:szCs w:val="20"/>
        </w:rPr>
      </w:pPr>
      <w:r w:rsidRPr="006D275F">
        <w:rPr>
          <w:rFonts w:cs="Arial"/>
          <w:szCs w:val="20"/>
        </w:rPr>
        <w:t>a) v postopkih oziroma poslovanju javne uprave ali pravosodnih organov:</w:t>
      </w:r>
    </w:p>
    <w:p w:rsidR="00C10CFA" w:rsidRPr="006D275F" w:rsidRDefault="00C10CFA" w:rsidP="00C10CFA">
      <w:pPr>
        <w:numPr>
          <w:ilvl w:val="0"/>
          <w:numId w:val="11"/>
        </w:numPr>
        <w:rPr>
          <w:rFonts w:cs="Arial"/>
          <w:szCs w:val="20"/>
        </w:rPr>
      </w:pPr>
      <w:r w:rsidRPr="006D275F">
        <w:rPr>
          <w:rFonts w:cs="Arial"/>
          <w:szCs w:val="20"/>
        </w:rPr>
        <w:t>ni administrativnih posledic</w:t>
      </w:r>
      <w:r>
        <w:rPr>
          <w:rFonts w:cs="Arial"/>
          <w:szCs w:val="20"/>
        </w:rPr>
        <w:t>,</w:t>
      </w:r>
    </w:p>
    <w:p w:rsidR="00C10CFA" w:rsidRPr="006D275F" w:rsidRDefault="00C10CFA" w:rsidP="00C10CFA">
      <w:pPr>
        <w:rPr>
          <w:rFonts w:cs="Arial"/>
          <w:szCs w:val="20"/>
        </w:rPr>
      </w:pPr>
    </w:p>
    <w:p w:rsidR="00C10CFA" w:rsidRPr="006D275F" w:rsidRDefault="00C10CFA" w:rsidP="00C10CFA">
      <w:pPr>
        <w:rPr>
          <w:rFonts w:cs="Arial"/>
          <w:szCs w:val="20"/>
        </w:rPr>
      </w:pPr>
      <w:r w:rsidRPr="006D275F">
        <w:rPr>
          <w:rFonts w:cs="Arial"/>
          <w:szCs w:val="20"/>
        </w:rPr>
        <w:t>b) pri obveznostih strank do javne uprave ali pravosodnih organov:</w:t>
      </w:r>
    </w:p>
    <w:p w:rsidR="00C10CFA" w:rsidRPr="006D275F" w:rsidRDefault="00C10CFA" w:rsidP="00C10CFA">
      <w:pPr>
        <w:numPr>
          <w:ilvl w:val="0"/>
          <w:numId w:val="11"/>
        </w:numPr>
        <w:rPr>
          <w:rFonts w:cs="Arial"/>
          <w:szCs w:val="20"/>
        </w:rPr>
      </w:pPr>
      <w:r w:rsidRPr="006D275F">
        <w:rPr>
          <w:rFonts w:cs="Arial"/>
          <w:szCs w:val="20"/>
        </w:rPr>
        <w:t>ni administrativnih posledic.</w:t>
      </w:r>
    </w:p>
    <w:p w:rsidR="00C10CFA" w:rsidRPr="006D275F" w:rsidRDefault="00C10CFA" w:rsidP="00C10CFA">
      <w:pPr>
        <w:rPr>
          <w:rFonts w:cs="Arial"/>
          <w:szCs w:val="20"/>
        </w:rPr>
      </w:pPr>
    </w:p>
    <w:p w:rsidR="00C10CFA" w:rsidRPr="006D275F" w:rsidRDefault="00C10CFA" w:rsidP="00C10CFA">
      <w:pPr>
        <w:rPr>
          <w:rFonts w:cs="Arial"/>
          <w:b/>
          <w:szCs w:val="20"/>
        </w:rPr>
      </w:pPr>
      <w:r w:rsidRPr="006D275F">
        <w:rPr>
          <w:rFonts w:cs="Arial"/>
          <w:b/>
          <w:szCs w:val="20"/>
        </w:rPr>
        <w:t>6.2 Presoja posledic za okolje, vključno s prostorskimi in varstvenimi vidiki</w:t>
      </w:r>
    </w:p>
    <w:p w:rsidR="00C10CFA" w:rsidRPr="006D275F" w:rsidRDefault="00C10CFA" w:rsidP="00C10CFA">
      <w:pPr>
        <w:rPr>
          <w:rFonts w:cs="Arial"/>
          <w:szCs w:val="20"/>
        </w:rPr>
      </w:pPr>
      <w:r w:rsidRPr="006D275F">
        <w:rPr>
          <w:rFonts w:cs="Arial"/>
          <w:szCs w:val="20"/>
        </w:rPr>
        <w:t>Sprejetje zakona ne bo imelo posledic za okolje.</w:t>
      </w:r>
    </w:p>
    <w:p w:rsidR="00C10CFA" w:rsidRPr="006D275F" w:rsidRDefault="00C10CFA" w:rsidP="00C10CFA">
      <w:pPr>
        <w:rPr>
          <w:rFonts w:cs="Arial"/>
          <w:b/>
          <w:szCs w:val="20"/>
        </w:rPr>
      </w:pPr>
      <w:r w:rsidRPr="006D275F">
        <w:rPr>
          <w:rFonts w:cs="Arial"/>
          <w:b/>
          <w:szCs w:val="20"/>
        </w:rPr>
        <w:t>6.3 Presoja posledic za gospodarstvo</w:t>
      </w:r>
    </w:p>
    <w:p w:rsidR="00C10CFA" w:rsidRDefault="00C10CFA" w:rsidP="00C10CFA">
      <w:pPr>
        <w:jc w:val="both"/>
        <w:rPr>
          <w:rFonts w:cs="Arial"/>
          <w:szCs w:val="20"/>
        </w:rPr>
      </w:pPr>
      <w:r>
        <w:rPr>
          <w:rFonts w:cs="Arial"/>
          <w:szCs w:val="20"/>
        </w:rPr>
        <w:t xml:space="preserve">Določbe, ki se nanašajo zgolj na zahtevo MREL v primeru </w:t>
      </w:r>
      <w:r w:rsidRPr="00A2366D">
        <w:rPr>
          <w:rFonts w:cs="Arial"/>
          <w:szCs w:val="20"/>
        </w:rPr>
        <w:t xml:space="preserve">globalno sistemsko pomembnih </w:t>
      </w:r>
      <w:r>
        <w:rPr>
          <w:rFonts w:cs="Arial"/>
          <w:szCs w:val="20"/>
        </w:rPr>
        <w:t>bank</w:t>
      </w:r>
      <w:r w:rsidRPr="00A2366D">
        <w:rPr>
          <w:rFonts w:cs="Arial"/>
          <w:szCs w:val="20"/>
        </w:rPr>
        <w:t xml:space="preserve"> s strategijo reševanja z več vstopnimi točkami</w:t>
      </w:r>
      <w:r>
        <w:rPr>
          <w:rFonts w:cs="Arial"/>
          <w:szCs w:val="20"/>
        </w:rPr>
        <w:t xml:space="preserve">, nimajo neposrednih posledic za slovensko gospodarstvo, saj v Republiki Sloveniji nima sedeža nobena globalna sistemsko pomembna banka. Na ravni EU pa bo z </w:t>
      </w:r>
      <w:r w:rsidRPr="0040097D">
        <w:rPr>
          <w:rFonts w:cs="Arial"/>
          <w:szCs w:val="20"/>
        </w:rPr>
        <w:t>Uredbo 2022/2036/EU zagotovljeno</w:t>
      </w:r>
      <w:r>
        <w:rPr>
          <w:rFonts w:cs="Arial"/>
          <w:szCs w:val="20"/>
        </w:rPr>
        <w:t xml:space="preserve"> pravilno delovanje mehanizmov za notranje pokrivanje izgub in dokapitalizacijo znotraj čezmejne bančne skupine ter pravilno evidentiranje instrumentov, primernih za izpolnitev zahteve MREL. Brez teh odbitkov bi bilo lahko ogroženo pravilno izvajanje izbrane strategije reševanja, saj bi vmesni subjekt v bančni skupini lahko izkoristil ne le lastno sposobnost pokrivanja izgub in dokapitalizacije, temveč tudi sposobnost drugih subjektov v bančni skupini, ki sami niso v postopku reševanja, še preden vmesni subjekt ali ti drugi subjekti ne bi bili več sposobni uspešno poslovati. To pa povečuje stabilnost bančnega sektorja in s tem gospodarstva.</w:t>
      </w:r>
    </w:p>
    <w:p w:rsidR="00C10CFA" w:rsidRDefault="00C10CFA" w:rsidP="00C10CFA">
      <w:pPr>
        <w:rPr>
          <w:rFonts w:cs="Arial"/>
          <w:szCs w:val="20"/>
        </w:rPr>
      </w:pPr>
    </w:p>
    <w:p w:rsidR="00C10CFA" w:rsidRPr="00BF77FD" w:rsidRDefault="00C10CFA" w:rsidP="00C10CFA">
      <w:pPr>
        <w:rPr>
          <w:rFonts w:cs="Arial"/>
          <w:b/>
          <w:szCs w:val="20"/>
        </w:rPr>
      </w:pPr>
      <w:r w:rsidRPr="00BF77FD">
        <w:rPr>
          <w:rFonts w:cs="Arial"/>
          <w:b/>
          <w:szCs w:val="20"/>
        </w:rPr>
        <w:t>6.4 Presoja posledic za socialno področje</w:t>
      </w:r>
    </w:p>
    <w:p w:rsidR="00C10CFA" w:rsidRPr="00BF77FD" w:rsidRDefault="00C10CFA" w:rsidP="00C10CFA">
      <w:pPr>
        <w:rPr>
          <w:rFonts w:cs="Arial"/>
          <w:szCs w:val="20"/>
        </w:rPr>
      </w:pPr>
      <w:r w:rsidRPr="00BF77FD">
        <w:rPr>
          <w:rFonts w:cs="Arial"/>
          <w:szCs w:val="20"/>
        </w:rPr>
        <w:t>Sprejetje zakona ne bo imelo posledic za socialno področje.</w:t>
      </w:r>
    </w:p>
    <w:p w:rsidR="00C10CFA" w:rsidRPr="00BF77FD" w:rsidRDefault="00C10CFA" w:rsidP="00C10CFA">
      <w:pPr>
        <w:rPr>
          <w:rFonts w:cs="Arial"/>
          <w:szCs w:val="20"/>
        </w:rPr>
      </w:pPr>
    </w:p>
    <w:p w:rsidR="00C10CFA" w:rsidRPr="00BF77FD" w:rsidRDefault="00C10CFA" w:rsidP="00C10CFA">
      <w:pPr>
        <w:rPr>
          <w:rFonts w:cs="Arial"/>
          <w:b/>
          <w:szCs w:val="20"/>
        </w:rPr>
      </w:pPr>
      <w:r w:rsidRPr="00BF77FD">
        <w:rPr>
          <w:rFonts w:cs="Arial"/>
          <w:b/>
          <w:szCs w:val="20"/>
        </w:rPr>
        <w:t>6.5 Presoja posledic za dokumente razvojnega načrtovanja</w:t>
      </w:r>
    </w:p>
    <w:p w:rsidR="00C10CFA" w:rsidRPr="00BF77FD" w:rsidRDefault="00C10CFA" w:rsidP="00C10CFA">
      <w:pPr>
        <w:rPr>
          <w:rFonts w:cs="Arial"/>
          <w:szCs w:val="20"/>
        </w:rPr>
      </w:pPr>
      <w:r w:rsidRPr="00BF77FD">
        <w:rPr>
          <w:rFonts w:cs="Arial"/>
          <w:szCs w:val="20"/>
        </w:rPr>
        <w:t>Sprejetje zakona ne bo imelo posledic za dokumente razvojnega načrtovanja.</w:t>
      </w:r>
    </w:p>
    <w:p w:rsidR="00C10CFA" w:rsidRPr="00893B2B" w:rsidRDefault="00C10CFA" w:rsidP="00C10CFA">
      <w:pPr>
        <w:rPr>
          <w:rFonts w:cs="Arial"/>
          <w:b/>
          <w:color w:val="808080" w:themeColor="background1" w:themeShade="80"/>
          <w:szCs w:val="20"/>
        </w:rPr>
      </w:pPr>
    </w:p>
    <w:p w:rsidR="00C10CFA" w:rsidRPr="000C4873" w:rsidRDefault="00C10CFA" w:rsidP="00C10CFA">
      <w:pPr>
        <w:rPr>
          <w:rFonts w:cs="Arial"/>
          <w:b/>
          <w:szCs w:val="20"/>
        </w:rPr>
      </w:pPr>
      <w:r w:rsidRPr="000C4873">
        <w:rPr>
          <w:rFonts w:cs="Arial"/>
          <w:b/>
          <w:szCs w:val="20"/>
        </w:rPr>
        <w:t>6.6 Presoja posledic za druga področja</w:t>
      </w:r>
    </w:p>
    <w:p w:rsidR="00C10CFA" w:rsidRPr="000C4873" w:rsidRDefault="00C10CFA" w:rsidP="00C10CFA">
      <w:pPr>
        <w:rPr>
          <w:rFonts w:cs="Arial"/>
          <w:szCs w:val="20"/>
        </w:rPr>
      </w:pPr>
      <w:r w:rsidRPr="000C4873">
        <w:rPr>
          <w:rFonts w:cs="Arial"/>
          <w:szCs w:val="20"/>
        </w:rPr>
        <w:t>Sprejetje zakona ne bo imelo posledic za druga področja.</w:t>
      </w:r>
    </w:p>
    <w:p w:rsidR="00C10CFA" w:rsidRPr="00AE6329" w:rsidRDefault="00C10CFA" w:rsidP="00C10CFA">
      <w:pPr>
        <w:rPr>
          <w:rFonts w:cs="Arial"/>
          <w:b/>
          <w:szCs w:val="20"/>
        </w:rPr>
      </w:pPr>
    </w:p>
    <w:p w:rsidR="00C10CFA" w:rsidRPr="00AE6329" w:rsidRDefault="00C10CFA" w:rsidP="00C10CFA">
      <w:pPr>
        <w:rPr>
          <w:rFonts w:cs="Arial"/>
          <w:b/>
          <w:szCs w:val="20"/>
        </w:rPr>
      </w:pPr>
      <w:r w:rsidRPr="00AE6329">
        <w:rPr>
          <w:rFonts w:cs="Arial"/>
          <w:b/>
          <w:szCs w:val="20"/>
        </w:rPr>
        <w:t>6.7 Izvajanje sprejetega predpisa</w:t>
      </w:r>
    </w:p>
    <w:p w:rsidR="00C10CFA" w:rsidRPr="00AE6329" w:rsidRDefault="00C10CFA" w:rsidP="00C10CFA">
      <w:pPr>
        <w:rPr>
          <w:rFonts w:cs="Arial"/>
          <w:szCs w:val="20"/>
        </w:rPr>
      </w:pPr>
      <w:r w:rsidRPr="00AE6329">
        <w:rPr>
          <w:rFonts w:cs="Arial"/>
          <w:szCs w:val="20"/>
        </w:rPr>
        <w:t>Sprejeti zakon bo objavljen na spletni strani Ministrstva za finance.</w:t>
      </w:r>
    </w:p>
    <w:p w:rsidR="00C10CFA" w:rsidRPr="00472DDD" w:rsidRDefault="00C10CFA" w:rsidP="00C10CFA">
      <w:pPr>
        <w:rPr>
          <w:rFonts w:cs="Arial"/>
          <w:szCs w:val="20"/>
        </w:rPr>
      </w:pPr>
      <w:r w:rsidRPr="00D84CCF">
        <w:rPr>
          <w:rFonts w:cs="Arial"/>
          <w:szCs w:val="20"/>
        </w:rPr>
        <w:t>Zakon bo izvajala in nadzirala Banka Slovenije, ki je pristojna za izvajanje nalog in pooblastil v zvezi z reševanjem</w:t>
      </w:r>
      <w:r>
        <w:rPr>
          <w:rFonts w:cs="Arial"/>
          <w:szCs w:val="20"/>
        </w:rPr>
        <w:t xml:space="preserve"> bank</w:t>
      </w:r>
      <w:r w:rsidRPr="00D84CCF">
        <w:rPr>
          <w:rFonts w:cs="Arial"/>
          <w:szCs w:val="20"/>
        </w:rPr>
        <w:t xml:space="preserve"> in za </w:t>
      </w:r>
      <w:r>
        <w:rPr>
          <w:rFonts w:cs="Arial"/>
          <w:szCs w:val="20"/>
        </w:rPr>
        <w:t xml:space="preserve">njihov </w:t>
      </w:r>
      <w:r w:rsidRPr="00D84CCF">
        <w:rPr>
          <w:rFonts w:cs="Arial"/>
          <w:szCs w:val="20"/>
        </w:rPr>
        <w:t>nadzor.</w:t>
      </w:r>
    </w:p>
    <w:p w:rsidR="00C10CFA" w:rsidRPr="00D84CCF" w:rsidRDefault="00C10CFA" w:rsidP="00C10CFA">
      <w:pPr>
        <w:rPr>
          <w:rFonts w:cs="Arial"/>
          <w:b/>
          <w:szCs w:val="20"/>
          <w:highlight w:val="yellow"/>
        </w:rPr>
      </w:pPr>
    </w:p>
    <w:p w:rsidR="00C10CFA" w:rsidRPr="00D84CCF" w:rsidRDefault="00C10CFA" w:rsidP="00C10CFA">
      <w:pPr>
        <w:rPr>
          <w:rFonts w:cs="Arial"/>
          <w:b/>
          <w:szCs w:val="20"/>
        </w:rPr>
      </w:pPr>
      <w:r w:rsidRPr="00D84CCF">
        <w:rPr>
          <w:rFonts w:cs="Arial"/>
          <w:b/>
          <w:szCs w:val="20"/>
        </w:rPr>
        <w:t>6.8 Druge pomembne okoliščine v zvezi z vprašanji, ki jih ureja predlog zakona</w:t>
      </w:r>
    </w:p>
    <w:p w:rsidR="00C10CFA" w:rsidRPr="00D84CCF" w:rsidRDefault="00C10CFA" w:rsidP="00C10CFA">
      <w:pPr>
        <w:rPr>
          <w:rFonts w:cs="Arial"/>
          <w:szCs w:val="20"/>
        </w:rPr>
      </w:pPr>
      <w:r w:rsidRPr="00D84CCF">
        <w:rPr>
          <w:rFonts w:cs="Arial"/>
          <w:szCs w:val="20"/>
        </w:rPr>
        <w:t>V zvezi z vprašanji, ki jih ureja predlog zakona, ni drugih pomembnih okoliščin.</w:t>
      </w:r>
    </w:p>
    <w:p w:rsidR="00C10CFA" w:rsidRPr="00D84CCF" w:rsidRDefault="00C10CFA" w:rsidP="00C10CFA">
      <w:pPr>
        <w:rPr>
          <w:rFonts w:cs="Arial"/>
          <w:color w:val="808080" w:themeColor="background1" w:themeShade="80"/>
          <w:szCs w:val="20"/>
          <w:highlight w:val="yellow"/>
        </w:rPr>
      </w:pPr>
    </w:p>
    <w:p w:rsidR="00C10CFA" w:rsidRPr="006F7FC5" w:rsidRDefault="00C10CFA" w:rsidP="00C10CFA">
      <w:pPr>
        <w:numPr>
          <w:ilvl w:val="0"/>
          <w:numId w:val="10"/>
        </w:numPr>
        <w:rPr>
          <w:rFonts w:cs="Arial"/>
          <w:b/>
          <w:szCs w:val="20"/>
        </w:rPr>
      </w:pPr>
      <w:r w:rsidRPr="006F7FC5">
        <w:rPr>
          <w:rFonts w:cs="Arial"/>
          <w:b/>
          <w:szCs w:val="20"/>
        </w:rPr>
        <w:t>PRIKAZ SODELOVANJA JAVNOSTI PRI PRIPRAVI PREDLOGA ZAKONA</w:t>
      </w:r>
    </w:p>
    <w:p w:rsidR="00C10CFA" w:rsidRPr="00893B2B" w:rsidRDefault="00C10CFA" w:rsidP="00C10CFA">
      <w:pPr>
        <w:jc w:val="both"/>
        <w:rPr>
          <w:rFonts w:cs="Arial"/>
          <w:color w:val="808080" w:themeColor="background1" w:themeShade="80"/>
          <w:szCs w:val="20"/>
        </w:rPr>
      </w:pPr>
    </w:p>
    <w:p w:rsidR="00C10CFA" w:rsidRDefault="00C10CFA" w:rsidP="00C10CFA">
      <w:pPr>
        <w:jc w:val="both"/>
        <w:rPr>
          <w:rFonts w:cs="Arial"/>
          <w:szCs w:val="20"/>
        </w:rPr>
      </w:pPr>
      <w:r w:rsidRPr="006F7FC5">
        <w:rPr>
          <w:rFonts w:cs="Arial"/>
          <w:szCs w:val="20"/>
        </w:rPr>
        <w:t xml:space="preserve">Predlog zakona je bil </w:t>
      </w:r>
      <w:r>
        <w:rPr>
          <w:rFonts w:cs="Arial"/>
          <w:szCs w:val="20"/>
        </w:rPr>
        <w:t>24. 7. 2023</w:t>
      </w:r>
      <w:r w:rsidRPr="006F7FC5">
        <w:rPr>
          <w:rFonts w:cs="Arial"/>
          <w:szCs w:val="20"/>
        </w:rPr>
        <w:t xml:space="preserve"> objavljen na spletnem portalu E-demokracija, s č</w:t>
      </w:r>
      <w:r>
        <w:rPr>
          <w:rFonts w:cs="Arial"/>
          <w:szCs w:val="20"/>
        </w:rPr>
        <w:t>i</w:t>
      </w:r>
      <w:r w:rsidRPr="006F7FC5">
        <w:rPr>
          <w:rFonts w:cs="Arial"/>
          <w:szCs w:val="20"/>
        </w:rPr>
        <w:t>mer je bilo zainteresirani javnosti omogočeno, da v 30 dn</w:t>
      </w:r>
      <w:r>
        <w:rPr>
          <w:rFonts w:cs="Arial"/>
          <w:szCs w:val="20"/>
        </w:rPr>
        <w:t>eh</w:t>
      </w:r>
      <w:r w:rsidRPr="006F7FC5">
        <w:rPr>
          <w:rFonts w:cs="Arial"/>
          <w:szCs w:val="20"/>
        </w:rPr>
        <w:t xml:space="preserve"> lahko da pripombe. </w:t>
      </w:r>
    </w:p>
    <w:p w:rsidR="00C10CFA" w:rsidRPr="006F7FC5" w:rsidRDefault="00C10CFA" w:rsidP="00C10CFA">
      <w:pPr>
        <w:jc w:val="both"/>
        <w:rPr>
          <w:rFonts w:cs="Arial"/>
          <w:szCs w:val="20"/>
        </w:rPr>
      </w:pPr>
      <w:r>
        <w:rPr>
          <w:rFonts w:cs="Arial"/>
          <w:szCs w:val="20"/>
        </w:rPr>
        <w:t xml:space="preserve">S strani zainteresirane javnosti je bil oddan le en komentar, ki se je nanašal na konflikt interesov v povezavi s sanacijo bank in ni neposredno povezan z vsebino predlaganih sprememb. </w:t>
      </w:r>
    </w:p>
    <w:p w:rsidR="00C10CFA" w:rsidRPr="00893B2B" w:rsidRDefault="00C10CFA" w:rsidP="00C10CFA">
      <w:pPr>
        <w:rPr>
          <w:rFonts w:cs="Arial"/>
          <w:color w:val="808080" w:themeColor="background1" w:themeShade="80"/>
          <w:szCs w:val="20"/>
          <w:highlight w:val="yellow"/>
        </w:rPr>
      </w:pPr>
    </w:p>
    <w:p w:rsidR="00C10CFA" w:rsidRPr="00007E95" w:rsidRDefault="00C10CFA" w:rsidP="00C10CFA">
      <w:pPr>
        <w:numPr>
          <w:ilvl w:val="0"/>
          <w:numId w:val="10"/>
        </w:numPr>
        <w:jc w:val="both"/>
        <w:rPr>
          <w:rFonts w:cs="Arial"/>
          <w:b/>
          <w:szCs w:val="20"/>
        </w:rPr>
      </w:pPr>
      <w:r w:rsidRPr="00007E95">
        <w:rPr>
          <w:rFonts w:cs="Arial"/>
          <w:b/>
          <w:szCs w:val="20"/>
        </w:rPr>
        <w:t>PODATEK O ZUNANJEM STROKOVNJAKU OZIROMA PRAVNI OSEBI, KI JE SODELOVALA PRI PRIPRAVI PREDLOGA ZAKONA (OSEBNO IME IN NAZIV FIZIČNE OSEBE ALI FIRMA IN NASLOV PRAVNE OSEBE)</w:t>
      </w:r>
    </w:p>
    <w:p w:rsidR="00C10CFA" w:rsidRPr="00007E95" w:rsidRDefault="00C10CFA" w:rsidP="00C10CFA">
      <w:pPr>
        <w:tabs>
          <w:tab w:val="left" w:pos="426"/>
        </w:tabs>
        <w:ind w:left="360"/>
        <w:rPr>
          <w:rFonts w:cs="Arial"/>
          <w:szCs w:val="20"/>
        </w:rPr>
      </w:pPr>
    </w:p>
    <w:p w:rsidR="00C10CFA" w:rsidRPr="00007E95" w:rsidRDefault="00C10CFA" w:rsidP="00C10CFA">
      <w:pPr>
        <w:tabs>
          <w:tab w:val="left" w:pos="426"/>
        </w:tabs>
        <w:rPr>
          <w:rFonts w:cs="Arial"/>
          <w:szCs w:val="20"/>
        </w:rPr>
      </w:pPr>
      <w:r w:rsidRPr="00007E95">
        <w:rPr>
          <w:rFonts w:cs="Arial"/>
          <w:szCs w:val="20"/>
        </w:rPr>
        <w:t>Pri pripravi predloga zakona zunanji strokovnjak oziroma pravna oseba nista sodelovala.</w:t>
      </w:r>
    </w:p>
    <w:p w:rsidR="00C10CFA" w:rsidRPr="00007E95" w:rsidRDefault="00C10CFA" w:rsidP="00C10CFA">
      <w:pPr>
        <w:rPr>
          <w:rFonts w:cs="Arial"/>
          <w:szCs w:val="20"/>
          <w:highlight w:val="yellow"/>
        </w:rPr>
      </w:pPr>
    </w:p>
    <w:p w:rsidR="00C10CFA" w:rsidRPr="00007E95" w:rsidRDefault="00C10CFA" w:rsidP="00C10CFA">
      <w:pPr>
        <w:numPr>
          <w:ilvl w:val="0"/>
          <w:numId w:val="10"/>
        </w:numPr>
        <w:rPr>
          <w:rFonts w:cs="Arial"/>
          <w:b/>
          <w:szCs w:val="20"/>
        </w:rPr>
      </w:pPr>
      <w:r w:rsidRPr="00007E95">
        <w:rPr>
          <w:rFonts w:cs="Arial"/>
          <w:b/>
          <w:szCs w:val="20"/>
        </w:rPr>
        <w:t>ZNESEK PLAČILA, KI GA JE OSEBA IZ PREJŠNJE ALINEJE V TA NAMEN PREJELA</w:t>
      </w:r>
    </w:p>
    <w:p w:rsidR="00C10CFA" w:rsidRPr="00007E95" w:rsidRDefault="00C10CFA" w:rsidP="00C10CFA">
      <w:pPr>
        <w:tabs>
          <w:tab w:val="left" w:pos="426"/>
        </w:tabs>
        <w:ind w:left="360"/>
        <w:rPr>
          <w:rFonts w:cs="Arial"/>
          <w:szCs w:val="20"/>
        </w:rPr>
      </w:pPr>
    </w:p>
    <w:p w:rsidR="00C10CFA" w:rsidRPr="00007E95" w:rsidRDefault="00C10CFA" w:rsidP="00C10CFA">
      <w:pPr>
        <w:tabs>
          <w:tab w:val="left" w:pos="426"/>
        </w:tabs>
        <w:rPr>
          <w:rFonts w:cs="Arial"/>
          <w:szCs w:val="20"/>
        </w:rPr>
      </w:pPr>
      <w:r w:rsidRPr="00007E95">
        <w:rPr>
          <w:rFonts w:cs="Arial"/>
          <w:szCs w:val="20"/>
        </w:rPr>
        <w:t>Pri pripravi predloga zakona zunanji strokovnjak oziroma pravna oseba nista sodelovala.</w:t>
      </w:r>
    </w:p>
    <w:p w:rsidR="00C10CFA" w:rsidRPr="00007E95" w:rsidRDefault="00C10CFA" w:rsidP="00C10CFA">
      <w:pPr>
        <w:rPr>
          <w:rFonts w:cs="Arial"/>
          <w:szCs w:val="20"/>
          <w:highlight w:val="yellow"/>
        </w:rPr>
      </w:pPr>
    </w:p>
    <w:p w:rsidR="00C10CFA" w:rsidRPr="00007E95" w:rsidRDefault="00C10CFA" w:rsidP="00C10CFA">
      <w:pPr>
        <w:numPr>
          <w:ilvl w:val="0"/>
          <w:numId w:val="10"/>
        </w:numPr>
        <w:jc w:val="both"/>
        <w:rPr>
          <w:rFonts w:cs="Arial"/>
          <w:b/>
          <w:szCs w:val="20"/>
        </w:rPr>
      </w:pPr>
      <w:r w:rsidRPr="00007E95">
        <w:rPr>
          <w:rFonts w:cs="Arial"/>
          <w:b/>
          <w:szCs w:val="20"/>
        </w:rPr>
        <w:t xml:space="preserve">NAVEDBA, KATERI PREDSTAVNIKI PREDLAGATELJA BODO SODELOVALI PRI DELU DRŽAVNEGA ZBORA IN DELOVNIH TELES </w:t>
      </w:r>
    </w:p>
    <w:p w:rsidR="00C10CFA" w:rsidRPr="00893B2B" w:rsidRDefault="00C10CFA" w:rsidP="00C10CFA">
      <w:pPr>
        <w:rPr>
          <w:rFonts w:cs="Arial"/>
          <w:color w:val="808080" w:themeColor="background1" w:themeShade="80"/>
          <w:szCs w:val="20"/>
        </w:rPr>
      </w:pPr>
    </w:p>
    <w:p w:rsidR="00C10CFA" w:rsidRPr="0033077D" w:rsidRDefault="00C10CFA" w:rsidP="00C10CFA">
      <w:pPr>
        <w:numPr>
          <w:ilvl w:val="0"/>
          <w:numId w:val="8"/>
        </w:numPr>
        <w:overflowPunct w:val="0"/>
        <w:autoSpaceDE w:val="0"/>
        <w:autoSpaceDN w:val="0"/>
        <w:adjustRightInd w:val="0"/>
        <w:textAlignment w:val="baseline"/>
        <w:rPr>
          <w:rFonts w:cs="Arial"/>
          <w:bCs/>
          <w:szCs w:val="20"/>
        </w:rPr>
      </w:pPr>
      <w:r>
        <w:rPr>
          <w:rFonts w:cs="Arial"/>
          <w:bCs/>
          <w:szCs w:val="20"/>
        </w:rPr>
        <w:t>Klemen Boštjančič</w:t>
      </w:r>
      <w:r w:rsidRPr="0033077D">
        <w:rPr>
          <w:rFonts w:cs="Arial"/>
          <w:bCs/>
          <w:szCs w:val="20"/>
        </w:rPr>
        <w:t>, minister</w:t>
      </w:r>
    </w:p>
    <w:p w:rsidR="00C10CFA" w:rsidRPr="0033077D" w:rsidRDefault="00C10CFA" w:rsidP="00C10CFA">
      <w:pPr>
        <w:numPr>
          <w:ilvl w:val="0"/>
          <w:numId w:val="8"/>
        </w:numPr>
        <w:overflowPunct w:val="0"/>
        <w:autoSpaceDE w:val="0"/>
        <w:autoSpaceDN w:val="0"/>
        <w:adjustRightInd w:val="0"/>
        <w:textAlignment w:val="baseline"/>
        <w:rPr>
          <w:rFonts w:cs="Arial"/>
          <w:bCs/>
          <w:szCs w:val="20"/>
        </w:rPr>
      </w:pPr>
      <w:proofErr w:type="spellStart"/>
      <w:r>
        <w:rPr>
          <w:rFonts w:cs="Arial"/>
          <w:bCs/>
          <w:szCs w:val="20"/>
        </w:rPr>
        <w:t>Nikolina</w:t>
      </w:r>
      <w:proofErr w:type="spellEnd"/>
      <w:r>
        <w:rPr>
          <w:rFonts w:cs="Arial"/>
          <w:bCs/>
          <w:szCs w:val="20"/>
        </w:rPr>
        <w:t xml:space="preserve"> Prah</w:t>
      </w:r>
      <w:r w:rsidRPr="0033077D">
        <w:rPr>
          <w:rFonts w:cs="Arial"/>
          <w:bCs/>
          <w:szCs w:val="20"/>
        </w:rPr>
        <w:t>, državna sekretarka</w:t>
      </w:r>
    </w:p>
    <w:p w:rsidR="00C10CFA" w:rsidRDefault="00C10CFA" w:rsidP="00C10CFA">
      <w:pPr>
        <w:numPr>
          <w:ilvl w:val="0"/>
          <w:numId w:val="8"/>
        </w:numPr>
        <w:overflowPunct w:val="0"/>
        <w:autoSpaceDE w:val="0"/>
        <w:autoSpaceDN w:val="0"/>
        <w:adjustRightInd w:val="0"/>
        <w:textAlignment w:val="baseline"/>
        <w:rPr>
          <w:rFonts w:cs="Arial"/>
          <w:bCs/>
          <w:szCs w:val="20"/>
        </w:rPr>
      </w:pPr>
      <w:r>
        <w:rPr>
          <w:rFonts w:cs="Arial"/>
          <w:bCs/>
          <w:szCs w:val="20"/>
        </w:rPr>
        <w:t xml:space="preserve">mag. Saša Jazbec, </w:t>
      </w:r>
      <w:r w:rsidRPr="0033077D">
        <w:rPr>
          <w:rFonts w:cs="Arial"/>
          <w:bCs/>
          <w:szCs w:val="20"/>
        </w:rPr>
        <w:t>državna sekretarka</w:t>
      </w:r>
    </w:p>
    <w:p w:rsidR="00C10CFA" w:rsidRDefault="00C10CFA" w:rsidP="00C10CFA">
      <w:pPr>
        <w:numPr>
          <w:ilvl w:val="0"/>
          <w:numId w:val="8"/>
        </w:numPr>
        <w:overflowPunct w:val="0"/>
        <w:autoSpaceDE w:val="0"/>
        <w:autoSpaceDN w:val="0"/>
        <w:adjustRightInd w:val="0"/>
        <w:textAlignment w:val="baseline"/>
        <w:rPr>
          <w:rFonts w:cs="Arial"/>
          <w:bCs/>
          <w:szCs w:val="20"/>
        </w:rPr>
      </w:pPr>
      <w:r>
        <w:rPr>
          <w:rFonts w:cs="Arial"/>
          <w:bCs/>
          <w:szCs w:val="20"/>
        </w:rPr>
        <w:t xml:space="preserve">Gordana Pipan, </w:t>
      </w:r>
      <w:r w:rsidRPr="0033077D">
        <w:rPr>
          <w:rFonts w:cs="Arial"/>
          <w:bCs/>
          <w:szCs w:val="20"/>
        </w:rPr>
        <w:t>državna sekretarka</w:t>
      </w:r>
    </w:p>
    <w:p w:rsidR="00C10CFA" w:rsidRPr="00A934C2" w:rsidRDefault="00C10CFA" w:rsidP="00C10CFA">
      <w:pPr>
        <w:numPr>
          <w:ilvl w:val="0"/>
          <w:numId w:val="8"/>
        </w:numPr>
        <w:overflowPunct w:val="0"/>
        <w:autoSpaceDE w:val="0"/>
        <w:autoSpaceDN w:val="0"/>
        <w:adjustRightInd w:val="0"/>
        <w:textAlignment w:val="baseline"/>
        <w:rPr>
          <w:rFonts w:cs="Arial"/>
          <w:bCs/>
          <w:szCs w:val="20"/>
        </w:rPr>
      </w:pPr>
      <w:r>
        <w:rPr>
          <w:rFonts w:cs="Arial"/>
          <w:bCs/>
          <w:szCs w:val="20"/>
        </w:rPr>
        <w:t>mag. Katja Božič, državna sekretarka</w:t>
      </w:r>
    </w:p>
    <w:p w:rsidR="00C10CFA" w:rsidRPr="0033077D" w:rsidRDefault="00C10CFA" w:rsidP="00C10CFA">
      <w:pPr>
        <w:numPr>
          <w:ilvl w:val="0"/>
          <w:numId w:val="8"/>
        </w:numPr>
        <w:overflowPunct w:val="0"/>
        <w:autoSpaceDE w:val="0"/>
        <w:autoSpaceDN w:val="0"/>
        <w:adjustRightInd w:val="0"/>
        <w:textAlignment w:val="baseline"/>
        <w:rPr>
          <w:rFonts w:cs="Arial"/>
          <w:bCs/>
          <w:szCs w:val="20"/>
        </w:rPr>
      </w:pPr>
      <w:r w:rsidRPr="0033077D">
        <w:rPr>
          <w:rFonts w:cs="Arial"/>
          <w:bCs/>
          <w:szCs w:val="20"/>
        </w:rPr>
        <w:t>Urška Cvelbar, generalna direktorica Direktorata za finančni sistem</w:t>
      </w:r>
    </w:p>
    <w:p w:rsidR="00C10CFA" w:rsidRDefault="00C10CFA" w:rsidP="00C10CFA">
      <w:pPr>
        <w:numPr>
          <w:ilvl w:val="0"/>
          <w:numId w:val="8"/>
        </w:numPr>
        <w:overflowPunct w:val="0"/>
        <w:autoSpaceDE w:val="0"/>
        <w:autoSpaceDN w:val="0"/>
        <w:adjustRightInd w:val="0"/>
        <w:textAlignment w:val="baseline"/>
        <w:rPr>
          <w:rFonts w:cs="Arial"/>
          <w:bCs/>
          <w:szCs w:val="20"/>
        </w:rPr>
      </w:pPr>
      <w:r w:rsidRPr="0033077D">
        <w:rPr>
          <w:rFonts w:cs="Arial"/>
          <w:bCs/>
          <w:szCs w:val="20"/>
        </w:rPr>
        <w:t>mag. Robert Petek</w:t>
      </w:r>
      <w:r w:rsidRPr="0031613F">
        <w:rPr>
          <w:rFonts w:cs="Arial"/>
          <w:bCs/>
          <w:szCs w:val="20"/>
        </w:rPr>
        <w:t xml:space="preserve">, </w:t>
      </w:r>
      <w:r>
        <w:rPr>
          <w:rFonts w:cs="Arial"/>
          <w:bCs/>
          <w:szCs w:val="20"/>
        </w:rPr>
        <w:t xml:space="preserve">vodja </w:t>
      </w:r>
      <w:r w:rsidRPr="0031613F">
        <w:rPr>
          <w:rFonts w:cs="Arial"/>
          <w:bCs/>
          <w:szCs w:val="20"/>
        </w:rPr>
        <w:t>Sektorj</w:t>
      </w:r>
      <w:r>
        <w:rPr>
          <w:rFonts w:cs="Arial"/>
          <w:bCs/>
          <w:szCs w:val="20"/>
        </w:rPr>
        <w:t>a za bančništvo</w:t>
      </w:r>
    </w:p>
    <w:p w:rsidR="00C10CFA" w:rsidRPr="00472DDD" w:rsidRDefault="00C10CFA" w:rsidP="00C10CFA">
      <w:pPr>
        <w:numPr>
          <w:ilvl w:val="0"/>
          <w:numId w:val="8"/>
        </w:numPr>
        <w:overflowPunct w:val="0"/>
        <w:autoSpaceDE w:val="0"/>
        <w:autoSpaceDN w:val="0"/>
        <w:adjustRightInd w:val="0"/>
        <w:textAlignment w:val="baseline"/>
        <w:rPr>
          <w:rFonts w:cs="Arial"/>
          <w:bCs/>
          <w:szCs w:val="20"/>
        </w:rPr>
      </w:pPr>
      <w:r w:rsidRPr="00472DDD">
        <w:rPr>
          <w:rFonts w:cs="Arial"/>
          <w:szCs w:val="20"/>
        </w:rPr>
        <w:t>mag. Teja Šmigoc, podsekretarka</w:t>
      </w:r>
    </w:p>
    <w:p w:rsidR="00C10CFA" w:rsidRDefault="00C10CFA" w:rsidP="00C10CFA">
      <w:pPr>
        <w:rPr>
          <w:rFonts w:cs="Arial"/>
          <w:szCs w:val="20"/>
        </w:rPr>
      </w:pPr>
    </w:p>
    <w:p w:rsidR="00C10CFA" w:rsidRDefault="00C10CFA" w:rsidP="00C10CFA">
      <w:pPr>
        <w:rPr>
          <w:rFonts w:cs="Arial"/>
          <w:szCs w:val="20"/>
        </w:rPr>
      </w:pPr>
    </w:p>
    <w:p w:rsidR="00C10CFA" w:rsidRPr="00B803E3" w:rsidRDefault="00C10CFA" w:rsidP="00C10CFA">
      <w:pPr>
        <w:ind w:left="360"/>
        <w:contextualSpacing/>
        <w:rPr>
          <w:rFonts w:cs="Arial"/>
          <w:color w:val="FF0000"/>
          <w:szCs w:val="20"/>
        </w:rPr>
      </w:pPr>
    </w:p>
    <w:p w:rsidR="00C10CFA" w:rsidRPr="00B803E3" w:rsidRDefault="00C10CFA" w:rsidP="00C10CFA">
      <w:pPr>
        <w:rPr>
          <w:rFonts w:eastAsia="Calibri" w:cs="Arial"/>
          <w:szCs w:val="20"/>
        </w:rPr>
      </w:pPr>
      <w:r w:rsidRPr="00B803E3">
        <w:rPr>
          <w:rFonts w:eastAsia="Calibri" w:cs="Arial"/>
          <w:szCs w:val="20"/>
        </w:rPr>
        <w:br w:type="page"/>
      </w:r>
    </w:p>
    <w:p w:rsidR="00C10CFA" w:rsidRPr="00523BB4" w:rsidRDefault="00C10CFA" w:rsidP="00C10CFA">
      <w:pPr>
        <w:rPr>
          <w:rFonts w:cs="Arial"/>
          <w:b/>
          <w:szCs w:val="20"/>
          <w:lang w:eastAsia="sl-SI"/>
        </w:rPr>
      </w:pPr>
      <w:r w:rsidRPr="00523BB4">
        <w:rPr>
          <w:rFonts w:cs="Arial"/>
          <w:b/>
          <w:szCs w:val="20"/>
          <w:lang w:eastAsia="sl-SI"/>
        </w:rPr>
        <w:lastRenderedPageBreak/>
        <w:t>II. BESEDILO ČLENOV</w:t>
      </w:r>
    </w:p>
    <w:p w:rsidR="00C10CFA" w:rsidRPr="00B803E3" w:rsidRDefault="00C10CFA" w:rsidP="00C10CFA">
      <w:pPr>
        <w:rPr>
          <w:szCs w:val="20"/>
        </w:rPr>
      </w:pPr>
    </w:p>
    <w:p w:rsidR="00C10CFA" w:rsidRPr="00902956"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sidRPr="00902956">
        <w:rPr>
          <w:rFonts w:eastAsia="Calibri" w:cs="Arial"/>
          <w:b/>
          <w:szCs w:val="20"/>
        </w:rPr>
        <w:t>člen</w:t>
      </w:r>
    </w:p>
    <w:p w:rsidR="00C10CFA" w:rsidRPr="00902956" w:rsidRDefault="00C10CFA" w:rsidP="00C10CFA">
      <w:pPr>
        <w:rPr>
          <w:rFonts w:eastAsia="Calibri" w:cs="Arial"/>
          <w:color w:val="808080" w:themeColor="background1" w:themeShade="80"/>
          <w:szCs w:val="20"/>
        </w:rPr>
      </w:pPr>
    </w:p>
    <w:p w:rsidR="00C10CFA" w:rsidRPr="00EC4AA0" w:rsidRDefault="00C10CFA" w:rsidP="00E91CCA">
      <w:pPr>
        <w:suppressAutoHyphens/>
        <w:jc w:val="both"/>
        <w:outlineLvl w:val="3"/>
        <w:rPr>
          <w:rFonts w:cs="Arial"/>
          <w:szCs w:val="20"/>
        </w:rPr>
      </w:pPr>
      <w:r w:rsidRPr="00902956">
        <w:rPr>
          <w:rFonts w:cs="Arial"/>
          <w:szCs w:val="20"/>
        </w:rPr>
        <w:t xml:space="preserve">V </w:t>
      </w:r>
      <w:r w:rsidRPr="0044206F">
        <w:rPr>
          <w:rFonts w:cs="Arial"/>
          <w:szCs w:val="20"/>
        </w:rPr>
        <w:t>Zakon</w:t>
      </w:r>
      <w:r>
        <w:rPr>
          <w:rFonts w:cs="Arial"/>
          <w:szCs w:val="20"/>
        </w:rPr>
        <w:t>u</w:t>
      </w:r>
      <w:r w:rsidRPr="0044206F">
        <w:rPr>
          <w:rFonts w:cs="Arial"/>
          <w:szCs w:val="20"/>
        </w:rPr>
        <w:t xml:space="preserve"> o reševanju in prisilnem prenehanju bank (Uradni list RS, št. 92/21) </w:t>
      </w:r>
      <w:r w:rsidRPr="00902956">
        <w:rPr>
          <w:rFonts w:cs="Arial"/>
          <w:szCs w:val="20"/>
        </w:rPr>
        <w:t xml:space="preserve">se v 2. členu v prvem odstavku v 2. točki </w:t>
      </w:r>
      <w:r w:rsidRPr="007E52BA">
        <w:rPr>
          <w:rFonts w:cs="Arial"/>
          <w:szCs w:val="20"/>
        </w:rPr>
        <w:t>besedilo »Uredbo (EU) št. 2020/873 Evropskega parlamenta in Sveta z dne 24. junija 2020 o spremembi uredb (EU) 575/2013 in (EU) 2019/876 glede nekaterih prilagoditev zaradi pandemije COVID-19 (UL L št. 204 z dne 26. 6. 2020, str. 4), zadnjič popravljeno s Popravkom (UL L št. 335 z dne 13. 10. 2020, str. 20)« nadomesti z besedilom »</w:t>
      </w:r>
      <w:bookmarkStart w:id="0" w:name="_Hlk140568414"/>
      <w:r w:rsidRPr="007E52BA">
        <w:rPr>
          <w:rFonts w:cs="Arial"/>
          <w:szCs w:val="20"/>
        </w:rPr>
        <w:t>Uredbo</w:t>
      </w:r>
      <w:r w:rsidRPr="00902956">
        <w:rPr>
          <w:rFonts w:cs="Arial"/>
          <w:szCs w:val="20"/>
        </w:rPr>
        <w:t xml:space="preserve"> (EU) št. 2036/2022 Evropskega parlamenta in Sveta z dne 19. oktobra 2022 o spremembi Uredbe (EU) št. 575/2013 in Direktive 2014/59/EU v zvezi z bonitetno obravnavo globalno sistemsko pomembnih institucij s strategijo reševanja z več vstopnimi točkami in metodami za posredni vpis instrumentov, primernih za izpolnjevanje minimalne zahteve glede kapitala in kvalificiranih obveznosti (UL L št. 275 z dne 25. 10. 2022, str. 1)</w:t>
      </w:r>
      <w:bookmarkEnd w:id="0"/>
      <w:r w:rsidRPr="00902956">
        <w:rPr>
          <w:rFonts w:cs="Arial"/>
          <w:szCs w:val="20"/>
        </w:rPr>
        <w:t>«.</w:t>
      </w:r>
    </w:p>
    <w:p w:rsidR="00C10CFA" w:rsidRPr="00902956" w:rsidRDefault="00C10CFA" w:rsidP="00C10CFA">
      <w:pPr>
        <w:suppressAutoHyphens/>
        <w:outlineLvl w:val="3"/>
        <w:rPr>
          <w:rFonts w:cs="Arial"/>
          <w:color w:val="808080" w:themeColor="background1" w:themeShade="80"/>
          <w:szCs w:val="20"/>
        </w:rPr>
      </w:pPr>
    </w:p>
    <w:p w:rsidR="00C10CFA" w:rsidRPr="00902956"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sidRPr="00902956">
        <w:rPr>
          <w:rFonts w:eastAsia="Calibri" w:cs="Arial"/>
          <w:b/>
          <w:szCs w:val="20"/>
        </w:rPr>
        <w:t>člen</w:t>
      </w:r>
    </w:p>
    <w:p w:rsidR="00C10CFA" w:rsidRPr="00902956" w:rsidRDefault="00C10CFA" w:rsidP="00C10CFA">
      <w:pPr>
        <w:suppressAutoHyphens/>
        <w:outlineLvl w:val="3"/>
        <w:rPr>
          <w:rFonts w:cs="Arial"/>
          <w:color w:val="808080" w:themeColor="background1" w:themeShade="80"/>
          <w:szCs w:val="20"/>
        </w:rPr>
      </w:pPr>
    </w:p>
    <w:p w:rsidR="00C10CFA" w:rsidRPr="00EC4AA0" w:rsidRDefault="00C10CFA" w:rsidP="00E91CCA">
      <w:pPr>
        <w:suppressAutoHyphens/>
        <w:jc w:val="both"/>
        <w:outlineLvl w:val="3"/>
        <w:rPr>
          <w:rFonts w:cs="Arial"/>
          <w:szCs w:val="20"/>
        </w:rPr>
      </w:pPr>
      <w:r w:rsidRPr="00902956">
        <w:rPr>
          <w:rFonts w:cs="Arial"/>
          <w:szCs w:val="20"/>
        </w:rPr>
        <w:t xml:space="preserve">V 3. členu </w:t>
      </w:r>
      <w:r>
        <w:rPr>
          <w:rFonts w:cs="Arial"/>
          <w:szCs w:val="20"/>
        </w:rPr>
        <w:t xml:space="preserve">se </w:t>
      </w:r>
      <w:r w:rsidRPr="00902956">
        <w:rPr>
          <w:rFonts w:cs="Arial"/>
          <w:szCs w:val="20"/>
        </w:rPr>
        <w:t>v prvem odstavku v 2. točki besedilo »Direktivo 2019/2162/EU Evropskega parlamenta in Sveta z dne 27. novembra 2019 o izdajanju kritih obveznic in javnem nadzoru kritih obveznic ter o spremembi direktiv 2009/65/ES in 2014/59/EU (UL L št. 328 z dne 18. 12. 2019, str. 29), zadnjič popravljeno s Popravkom (UL L št. 283 z dne 31. 8. 2020, str. 2)« nadomesti z besedilom »Uredbo</w:t>
      </w:r>
      <w:r w:rsidRPr="00902956">
        <w:rPr>
          <w:szCs w:val="20"/>
        </w:rPr>
        <w:t xml:space="preserve"> (EU) št. 2036/2022 Evropskega parlamenta in Sveta z dne 19. oktobra 2022 o spremembi Uredbe (EU) št. 575/2013 in Direktive 2014/59/EU v zvezi z bonitetno obravnavo globalno sistemsko pomembnih institucij s strategijo reševanja z več vstopnimi točkami in metodami za posredni vpis instrumentov, primernih za izpolnjevanje minimalne zahteve glede kapitala in kvalificiranih obveznosti (UL L št. 275 z dne 25. 10. 2022, str. 1)</w:t>
      </w:r>
      <w:r>
        <w:rPr>
          <w:szCs w:val="20"/>
        </w:rPr>
        <w:t>,</w:t>
      </w:r>
      <w:r w:rsidRPr="00902956">
        <w:rPr>
          <w:szCs w:val="20"/>
        </w:rPr>
        <w:t xml:space="preserve"> zadnjič </w:t>
      </w:r>
      <w:r w:rsidRPr="00F87A6F">
        <w:rPr>
          <w:szCs w:val="20"/>
        </w:rPr>
        <w:t>popravljena s Popravkom</w:t>
      </w:r>
      <w:r w:rsidRPr="00902956">
        <w:rPr>
          <w:szCs w:val="20"/>
        </w:rPr>
        <w:t xml:space="preserve"> (UL L št. 92 z dne 30. 3. 2023, str. 32)«.</w:t>
      </w:r>
    </w:p>
    <w:p w:rsidR="00C10CFA" w:rsidRPr="00902956" w:rsidRDefault="00C10CFA" w:rsidP="00C10CFA">
      <w:pPr>
        <w:suppressAutoHyphens/>
        <w:outlineLvl w:val="3"/>
        <w:rPr>
          <w:rFonts w:cs="Arial"/>
          <w:color w:val="808080" w:themeColor="background1" w:themeShade="80"/>
          <w:szCs w:val="20"/>
        </w:rPr>
      </w:pPr>
    </w:p>
    <w:p w:rsidR="00C10CFA" w:rsidRPr="00902956"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sidRPr="00902956">
        <w:rPr>
          <w:rFonts w:eastAsia="Calibri" w:cs="Arial"/>
          <w:b/>
          <w:szCs w:val="20"/>
        </w:rPr>
        <w:t>člen</w:t>
      </w:r>
    </w:p>
    <w:p w:rsidR="00C10CFA" w:rsidRPr="00902956" w:rsidRDefault="00C10CFA" w:rsidP="00C10CFA">
      <w:pPr>
        <w:suppressAutoHyphens/>
        <w:outlineLvl w:val="3"/>
        <w:rPr>
          <w:rFonts w:cs="Arial"/>
          <w:szCs w:val="20"/>
        </w:rPr>
      </w:pPr>
    </w:p>
    <w:p w:rsidR="00C10CFA" w:rsidRDefault="00C10CFA" w:rsidP="00E91CCA">
      <w:pPr>
        <w:suppressAutoHyphens/>
        <w:jc w:val="both"/>
        <w:outlineLvl w:val="3"/>
        <w:rPr>
          <w:rFonts w:cs="Arial"/>
          <w:szCs w:val="20"/>
        </w:rPr>
      </w:pPr>
      <w:r>
        <w:rPr>
          <w:rFonts w:cs="Arial"/>
          <w:szCs w:val="20"/>
        </w:rPr>
        <w:t>V 31. členu se v drugem odstavku besedilo »</w:t>
      </w:r>
      <w:r w:rsidRPr="00992BEC">
        <w:rPr>
          <w:rFonts w:cs="Arial"/>
          <w:szCs w:val="20"/>
        </w:rPr>
        <w:t>mere skupne izpostavljenosti banke, ki se izračuna v skladu s 429. in 429.a členom Uredbe 575/2013/EU</w:t>
      </w:r>
      <w:r>
        <w:rPr>
          <w:rFonts w:cs="Arial"/>
          <w:szCs w:val="20"/>
        </w:rPr>
        <w:t>« nadomesti z besedilom »</w:t>
      </w:r>
      <w:r w:rsidRPr="00992BEC">
        <w:rPr>
          <w:rFonts w:cs="Arial"/>
          <w:szCs w:val="20"/>
        </w:rPr>
        <w:t>zneska skupne izpostavljenosti banke tveganju, ki se izračuna v skladu s tretjim odstavkom 92. člena Uredbe 575/2013/EU</w:t>
      </w:r>
      <w:r>
        <w:rPr>
          <w:rFonts w:cs="Arial"/>
          <w:szCs w:val="20"/>
        </w:rPr>
        <w:t>«.</w:t>
      </w:r>
    </w:p>
    <w:p w:rsidR="00C10CFA" w:rsidRDefault="00C10CFA" w:rsidP="00C10CFA">
      <w:pPr>
        <w:suppressAutoHyphens/>
        <w:outlineLvl w:val="3"/>
        <w:rPr>
          <w:rFonts w:cs="Arial"/>
          <w:szCs w:val="20"/>
        </w:rPr>
      </w:pPr>
    </w:p>
    <w:p w:rsidR="00C10CFA" w:rsidRPr="00902956"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sidRPr="00902956">
        <w:rPr>
          <w:rFonts w:eastAsia="Calibri" w:cs="Arial"/>
          <w:b/>
          <w:szCs w:val="20"/>
        </w:rPr>
        <w:t>člen</w:t>
      </w:r>
    </w:p>
    <w:p w:rsidR="00C10CFA" w:rsidRDefault="00C10CFA" w:rsidP="00E91CCA">
      <w:pPr>
        <w:suppressAutoHyphens/>
        <w:jc w:val="both"/>
        <w:outlineLvl w:val="3"/>
        <w:rPr>
          <w:rFonts w:cs="Arial"/>
          <w:szCs w:val="20"/>
        </w:rPr>
      </w:pPr>
    </w:p>
    <w:p w:rsidR="00C10CFA" w:rsidRDefault="00C10CFA" w:rsidP="00E91CCA">
      <w:pPr>
        <w:suppressAutoHyphens/>
        <w:jc w:val="both"/>
        <w:outlineLvl w:val="3"/>
        <w:rPr>
          <w:rFonts w:cs="Arial"/>
          <w:szCs w:val="20"/>
        </w:rPr>
      </w:pPr>
      <w:r w:rsidRPr="00902956">
        <w:rPr>
          <w:rFonts w:cs="Arial"/>
          <w:szCs w:val="20"/>
        </w:rPr>
        <w:t>V 56. členu se v četrtem odstavku</w:t>
      </w:r>
      <w:r>
        <w:rPr>
          <w:rFonts w:cs="Arial"/>
          <w:szCs w:val="20"/>
        </w:rPr>
        <w:t xml:space="preserve"> v napovednem stavku</w:t>
      </w:r>
      <w:r w:rsidRPr="00902956">
        <w:rPr>
          <w:rFonts w:cs="Arial"/>
          <w:szCs w:val="20"/>
        </w:rPr>
        <w:t xml:space="preserve"> besedilo »pripadajo isti GSPB, subjektov v postopku reševanja« nadomesti z besedilom »so del iste GSPB, subjektov v postopku reševanja ali subjektov iz tretje države, ki bi bili subjekti v postopku reševanja, če bi imeli sedež v EU«</w:t>
      </w:r>
      <w:r>
        <w:rPr>
          <w:rFonts w:cs="Arial"/>
          <w:szCs w:val="20"/>
        </w:rPr>
        <w:t>.</w:t>
      </w:r>
    </w:p>
    <w:p w:rsidR="00D73DA5" w:rsidRPr="00902956" w:rsidRDefault="00D73DA5" w:rsidP="00E91CCA">
      <w:pPr>
        <w:suppressAutoHyphens/>
        <w:jc w:val="both"/>
        <w:outlineLvl w:val="3"/>
        <w:rPr>
          <w:rFonts w:cs="Arial"/>
          <w:color w:val="808080" w:themeColor="background1" w:themeShade="80"/>
          <w:szCs w:val="20"/>
        </w:rPr>
      </w:pPr>
    </w:p>
    <w:p w:rsidR="00C10CFA" w:rsidRPr="00EC4AA0" w:rsidRDefault="00C10CFA" w:rsidP="00E91CCA">
      <w:pPr>
        <w:suppressAutoHyphens/>
        <w:jc w:val="both"/>
        <w:outlineLvl w:val="3"/>
        <w:rPr>
          <w:rFonts w:cs="Arial"/>
          <w:szCs w:val="20"/>
        </w:rPr>
      </w:pPr>
      <w:r w:rsidRPr="00902956">
        <w:rPr>
          <w:rFonts w:cs="Arial"/>
          <w:szCs w:val="20"/>
        </w:rPr>
        <w:t>V 1. točki se za besedo »reševanja« doda besedilo »ali subjekt iz tretje države, ki bi bil subjekt v postopku reševanja, če bi imel sedež v EU«</w:t>
      </w:r>
      <w:r>
        <w:rPr>
          <w:rFonts w:cs="Arial"/>
          <w:szCs w:val="20"/>
        </w:rPr>
        <w:t>.</w:t>
      </w:r>
    </w:p>
    <w:p w:rsidR="00C10CFA" w:rsidRPr="00902956" w:rsidRDefault="00C10CFA" w:rsidP="00C10CFA">
      <w:pPr>
        <w:suppressAutoHyphens/>
        <w:outlineLvl w:val="3"/>
        <w:rPr>
          <w:rFonts w:cs="Arial"/>
          <w:color w:val="808080" w:themeColor="background1" w:themeShade="80"/>
          <w:szCs w:val="20"/>
        </w:rPr>
      </w:pPr>
    </w:p>
    <w:p w:rsidR="00C10CFA" w:rsidRPr="008F2533"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sidRPr="008F2533">
        <w:rPr>
          <w:rFonts w:eastAsia="Calibri" w:cs="Arial"/>
          <w:b/>
          <w:szCs w:val="20"/>
        </w:rPr>
        <w:t>člen</w:t>
      </w:r>
    </w:p>
    <w:p w:rsidR="00C10CFA" w:rsidRPr="00902956" w:rsidRDefault="00C10CFA" w:rsidP="00E91CCA">
      <w:pPr>
        <w:suppressAutoHyphens/>
        <w:jc w:val="both"/>
        <w:outlineLvl w:val="3"/>
        <w:rPr>
          <w:rFonts w:cs="Arial"/>
          <w:color w:val="808080" w:themeColor="background1" w:themeShade="80"/>
          <w:szCs w:val="20"/>
        </w:rPr>
      </w:pPr>
    </w:p>
    <w:p w:rsidR="00C10CFA" w:rsidRDefault="00C10CFA" w:rsidP="00E91CCA">
      <w:pPr>
        <w:suppressAutoHyphens/>
        <w:jc w:val="both"/>
        <w:outlineLvl w:val="3"/>
        <w:rPr>
          <w:rFonts w:cs="Arial"/>
          <w:szCs w:val="20"/>
        </w:rPr>
      </w:pPr>
      <w:r w:rsidRPr="00902956">
        <w:rPr>
          <w:rFonts w:cs="Arial"/>
          <w:szCs w:val="20"/>
        </w:rPr>
        <w:t>V 61. členu se v četrtem odstavku</w:t>
      </w:r>
      <w:r>
        <w:rPr>
          <w:rFonts w:cs="Arial"/>
          <w:szCs w:val="20"/>
        </w:rPr>
        <w:t xml:space="preserve"> prvi stavek spremeni tako, da se glasi:</w:t>
      </w:r>
      <w:r w:rsidRPr="00902956">
        <w:rPr>
          <w:rFonts w:cs="Arial"/>
          <w:szCs w:val="20"/>
        </w:rPr>
        <w:t xml:space="preserve"> </w:t>
      </w:r>
      <w:bookmarkStart w:id="1" w:name="_Hlk138921197"/>
    </w:p>
    <w:p w:rsidR="00C10CFA" w:rsidRDefault="00C10CFA" w:rsidP="00E91CCA">
      <w:pPr>
        <w:suppressAutoHyphens/>
        <w:jc w:val="both"/>
        <w:outlineLvl w:val="3"/>
        <w:rPr>
          <w:rFonts w:cs="Arial"/>
          <w:szCs w:val="20"/>
        </w:rPr>
      </w:pPr>
      <w:r>
        <w:rPr>
          <w:rFonts w:cs="Arial"/>
          <w:szCs w:val="20"/>
        </w:rPr>
        <w:t>»</w:t>
      </w:r>
      <w:r w:rsidRPr="00A66ED7">
        <w:rPr>
          <w:rFonts w:cs="Arial"/>
          <w:szCs w:val="20"/>
        </w:rPr>
        <w:t xml:space="preserve">Kadar je več kot en subjekt GSPB, ki je del iste GSPB, subjekt v postopku reševanja ali subjekt iz tretje države, ki bi bil subjekt v postopku reševanja, če bi imel sedež v EU, lahko organi za reševanje iz prvega odstavka tega člena v skladu s strategijo reševanja GSPB odločijo tudi o uporabi 72.e člena Uredbe 575/2013/EU in morebitnih prilagoditvah za čim večje zmanjšanje ali odpravo razlike med vsoto zneskov iz </w:t>
      </w:r>
      <w:bookmarkStart w:id="2" w:name="_Hlk140570886"/>
      <w:r w:rsidRPr="00A66ED7">
        <w:rPr>
          <w:rFonts w:cs="Arial"/>
          <w:szCs w:val="20"/>
        </w:rPr>
        <w:t xml:space="preserve">1. točke četrtega odstavka 56. člena tega zakona in </w:t>
      </w:r>
      <w:bookmarkStart w:id="3" w:name="_Hlk140570906"/>
      <w:bookmarkEnd w:id="2"/>
      <w:r w:rsidRPr="00A66ED7">
        <w:rPr>
          <w:rFonts w:cs="Arial"/>
          <w:szCs w:val="20"/>
        </w:rPr>
        <w:t xml:space="preserve">točke (a) </w:t>
      </w:r>
      <w:bookmarkEnd w:id="3"/>
      <w:r w:rsidRPr="00A66ED7">
        <w:rPr>
          <w:rFonts w:cs="Arial"/>
          <w:szCs w:val="20"/>
        </w:rPr>
        <w:t>prvega odstavka 12.a člena</w:t>
      </w:r>
      <w:r>
        <w:rPr>
          <w:rFonts w:cs="Arial"/>
          <w:szCs w:val="20"/>
        </w:rPr>
        <w:t xml:space="preserve"> </w:t>
      </w:r>
      <w:r w:rsidRPr="00A66ED7">
        <w:rPr>
          <w:rFonts w:cs="Arial"/>
          <w:szCs w:val="20"/>
        </w:rPr>
        <w:t xml:space="preserve">Uredbe 575/2013/EU </w:t>
      </w:r>
      <w:bookmarkStart w:id="4" w:name="_Hlk140570992"/>
      <w:r w:rsidRPr="00A66ED7">
        <w:rPr>
          <w:rFonts w:cs="Arial"/>
          <w:szCs w:val="20"/>
        </w:rPr>
        <w:t xml:space="preserve">za posamezne subjekte v postopku </w:t>
      </w:r>
      <w:r w:rsidRPr="00A66ED7">
        <w:rPr>
          <w:rFonts w:cs="Arial"/>
          <w:szCs w:val="20"/>
        </w:rPr>
        <w:lastRenderedPageBreak/>
        <w:t xml:space="preserve">reševanja </w:t>
      </w:r>
      <w:bookmarkStart w:id="5" w:name="_Hlk140571013"/>
      <w:bookmarkEnd w:id="4"/>
      <w:r w:rsidRPr="00A66ED7">
        <w:rPr>
          <w:rFonts w:cs="Arial"/>
          <w:szCs w:val="20"/>
        </w:rPr>
        <w:t>ali subjekte iz tretje države</w:t>
      </w:r>
      <w:bookmarkEnd w:id="5"/>
      <w:r w:rsidRPr="00A66ED7">
        <w:rPr>
          <w:rFonts w:cs="Arial"/>
          <w:szCs w:val="20"/>
        </w:rPr>
        <w:t xml:space="preserve"> ter vsoto zneskov iz </w:t>
      </w:r>
      <w:bookmarkStart w:id="6" w:name="_Hlk140571063"/>
      <w:r w:rsidRPr="00A66ED7">
        <w:rPr>
          <w:rFonts w:cs="Arial"/>
          <w:szCs w:val="20"/>
        </w:rPr>
        <w:t xml:space="preserve">2. točke četrtega odstavka 56. člena tega zakona in </w:t>
      </w:r>
      <w:bookmarkStart w:id="7" w:name="_Hlk140571083"/>
      <w:bookmarkEnd w:id="6"/>
      <w:r w:rsidRPr="00A66ED7">
        <w:rPr>
          <w:rFonts w:cs="Arial"/>
          <w:szCs w:val="20"/>
        </w:rPr>
        <w:t xml:space="preserve">točke (b) </w:t>
      </w:r>
      <w:bookmarkEnd w:id="7"/>
      <w:r w:rsidRPr="00A66ED7">
        <w:rPr>
          <w:rFonts w:cs="Arial"/>
          <w:szCs w:val="20"/>
        </w:rPr>
        <w:t>prvega odstavka 12.a člena Uredbe 575/2013/EU</w:t>
      </w:r>
      <w:bookmarkEnd w:id="1"/>
      <w:r w:rsidRPr="00A66ED7">
        <w:rPr>
          <w:rFonts w:cs="Arial"/>
          <w:szCs w:val="20"/>
        </w:rPr>
        <w:t>.«.</w:t>
      </w:r>
    </w:p>
    <w:p w:rsidR="00D73DA5" w:rsidRDefault="00D73DA5" w:rsidP="00E91CCA">
      <w:pPr>
        <w:suppressAutoHyphens/>
        <w:jc w:val="both"/>
        <w:outlineLvl w:val="3"/>
        <w:rPr>
          <w:szCs w:val="20"/>
        </w:rPr>
      </w:pPr>
    </w:p>
    <w:p w:rsidR="00C10CFA" w:rsidRPr="00902956" w:rsidRDefault="00C10CFA" w:rsidP="00E91CCA">
      <w:pPr>
        <w:suppressAutoHyphens/>
        <w:jc w:val="both"/>
        <w:outlineLvl w:val="3"/>
        <w:rPr>
          <w:rFonts w:cs="Arial"/>
          <w:szCs w:val="20"/>
        </w:rPr>
      </w:pPr>
      <w:r w:rsidRPr="00902956">
        <w:rPr>
          <w:szCs w:val="20"/>
        </w:rPr>
        <w:t>V 1. točki se za besedo »članicami« doda besedilo »ali tretjimi državami«</w:t>
      </w:r>
      <w:r>
        <w:rPr>
          <w:szCs w:val="20"/>
        </w:rPr>
        <w:t>.</w:t>
      </w:r>
    </w:p>
    <w:p w:rsidR="00D73DA5" w:rsidRDefault="00D73DA5" w:rsidP="00E91CCA">
      <w:pPr>
        <w:suppressAutoHyphens/>
        <w:jc w:val="both"/>
        <w:outlineLvl w:val="3"/>
        <w:rPr>
          <w:rFonts w:cs="Arial"/>
          <w:szCs w:val="20"/>
        </w:rPr>
      </w:pPr>
    </w:p>
    <w:p w:rsidR="00C10CFA" w:rsidRDefault="00C10CFA" w:rsidP="00E91CCA">
      <w:pPr>
        <w:suppressAutoHyphens/>
        <w:jc w:val="both"/>
        <w:outlineLvl w:val="3"/>
        <w:rPr>
          <w:rFonts w:cs="Arial"/>
          <w:szCs w:val="20"/>
        </w:rPr>
      </w:pPr>
      <w:r w:rsidRPr="00902956">
        <w:rPr>
          <w:rFonts w:cs="Arial"/>
          <w:szCs w:val="20"/>
        </w:rPr>
        <w:t>Peti odstavek se spremeni tako, da se glasi:</w:t>
      </w:r>
    </w:p>
    <w:p w:rsidR="00C10CFA" w:rsidRDefault="00C10CFA" w:rsidP="00E91CCA">
      <w:pPr>
        <w:suppressAutoHyphens/>
        <w:jc w:val="both"/>
        <w:outlineLvl w:val="3"/>
        <w:rPr>
          <w:szCs w:val="20"/>
        </w:rPr>
      </w:pPr>
      <w:r w:rsidRPr="00902956">
        <w:rPr>
          <w:rFonts w:cs="Arial"/>
          <w:szCs w:val="20"/>
        </w:rPr>
        <w:t xml:space="preserve">»(5) </w:t>
      </w:r>
      <w:r w:rsidRPr="00902956">
        <w:rPr>
          <w:szCs w:val="20"/>
        </w:rPr>
        <w:t>Vsota zneskov iz 1. točke četrtega odstavka 56. člena tega zakona in točk</w:t>
      </w:r>
      <w:r>
        <w:rPr>
          <w:szCs w:val="20"/>
        </w:rPr>
        <w:t>e</w:t>
      </w:r>
      <w:r w:rsidRPr="00902956">
        <w:rPr>
          <w:szCs w:val="20"/>
        </w:rPr>
        <w:t xml:space="preserve"> (a) </w:t>
      </w:r>
      <w:r w:rsidRPr="00A66ED7">
        <w:rPr>
          <w:rFonts w:cs="Arial"/>
          <w:szCs w:val="20"/>
        </w:rPr>
        <w:t>prvega odstavka 12.a člena Uredbe 575/2013/EU za posamezne subjekte v postopku reševanja al</w:t>
      </w:r>
      <w:r w:rsidRPr="00902956">
        <w:rPr>
          <w:szCs w:val="20"/>
        </w:rPr>
        <w:t>i subjekte iz tretje države, ki bi bili subjekti v postopku reševanja, če bi imeli sedež v EU, ne sme biti nižja od vsote zneskov iz 2. točke četrtega odstavka 56. člena tega zakona in točk</w:t>
      </w:r>
      <w:r>
        <w:rPr>
          <w:szCs w:val="20"/>
        </w:rPr>
        <w:t>e</w:t>
      </w:r>
      <w:r w:rsidRPr="00902956">
        <w:rPr>
          <w:szCs w:val="20"/>
        </w:rPr>
        <w:t xml:space="preserve"> (b) </w:t>
      </w:r>
      <w:r>
        <w:rPr>
          <w:szCs w:val="20"/>
        </w:rPr>
        <w:t>prvega odstavka</w:t>
      </w:r>
      <w:r w:rsidRPr="00902956">
        <w:rPr>
          <w:szCs w:val="20"/>
        </w:rPr>
        <w:t xml:space="preserve"> 12.a člena Uredbe 575/2013/EU.</w:t>
      </w:r>
      <w:r>
        <w:rPr>
          <w:szCs w:val="20"/>
        </w:rPr>
        <w:t>«.</w:t>
      </w:r>
    </w:p>
    <w:p w:rsidR="00E91CCA" w:rsidRDefault="00E91CCA" w:rsidP="00E91CCA">
      <w:pPr>
        <w:suppressAutoHyphens/>
        <w:jc w:val="both"/>
        <w:outlineLvl w:val="3"/>
        <w:rPr>
          <w:rFonts w:cs="Arial"/>
          <w:color w:val="808080" w:themeColor="background1" w:themeShade="80"/>
          <w:szCs w:val="20"/>
        </w:rPr>
      </w:pPr>
    </w:p>
    <w:p w:rsidR="00C10CFA" w:rsidRPr="00902956"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sidRPr="00902956">
        <w:rPr>
          <w:rFonts w:eastAsia="Calibri" w:cs="Arial"/>
          <w:b/>
          <w:szCs w:val="20"/>
        </w:rPr>
        <w:t>člen</w:t>
      </w:r>
    </w:p>
    <w:p w:rsidR="00C10CFA" w:rsidRDefault="00C10CFA" w:rsidP="00C10CFA">
      <w:pPr>
        <w:suppressAutoHyphens/>
        <w:outlineLvl w:val="3"/>
        <w:rPr>
          <w:rFonts w:cs="Arial"/>
          <w:szCs w:val="20"/>
        </w:rPr>
      </w:pPr>
    </w:p>
    <w:p w:rsidR="00C10CFA" w:rsidRDefault="00C10CFA" w:rsidP="00C10CFA">
      <w:pPr>
        <w:suppressAutoHyphens/>
        <w:outlineLvl w:val="3"/>
        <w:rPr>
          <w:rFonts w:cs="Arial"/>
          <w:szCs w:val="20"/>
        </w:rPr>
      </w:pPr>
      <w:r>
        <w:rPr>
          <w:rFonts w:cs="Arial"/>
          <w:szCs w:val="20"/>
        </w:rPr>
        <w:t>V 113. členu se drugi odstavek črta.</w:t>
      </w:r>
    </w:p>
    <w:p w:rsidR="00C10CFA" w:rsidRPr="00902956"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sidRPr="00902956">
        <w:rPr>
          <w:rFonts w:eastAsia="Calibri" w:cs="Arial"/>
          <w:b/>
          <w:szCs w:val="20"/>
        </w:rPr>
        <w:t>člen</w:t>
      </w:r>
    </w:p>
    <w:p w:rsidR="00C10CFA" w:rsidRDefault="00C10CFA" w:rsidP="00C10CFA">
      <w:pPr>
        <w:suppressAutoHyphens/>
        <w:outlineLvl w:val="3"/>
        <w:rPr>
          <w:rFonts w:cs="Arial"/>
          <w:szCs w:val="20"/>
        </w:rPr>
      </w:pPr>
    </w:p>
    <w:p w:rsidR="00C10CFA" w:rsidRDefault="00C10CFA" w:rsidP="00E91CCA">
      <w:pPr>
        <w:suppressAutoHyphens/>
        <w:jc w:val="both"/>
        <w:outlineLvl w:val="3"/>
        <w:rPr>
          <w:rFonts w:cs="Arial"/>
          <w:szCs w:val="20"/>
        </w:rPr>
      </w:pPr>
      <w:r>
        <w:rPr>
          <w:rFonts w:cs="Arial"/>
          <w:szCs w:val="20"/>
        </w:rPr>
        <w:t>V 118. členu se v prvem odstavku drugi stavek</w:t>
      </w:r>
      <w:r w:rsidRPr="00975D95">
        <w:rPr>
          <w:rFonts w:cs="Arial"/>
          <w:szCs w:val="20"/>
        </w:rPr>
        <w:t xml:space="preserve"> </w:t>
      </w:r>
      <w:r>
        <w:rPr>
          <w:rFonts w:cs="Arial"/>
          <w:szCs w:val="20"/>
        </w:rPr>
        <w:t>črta.</w:t>
      </w:r>
    </w:p>
    <w:p w:rsidR="00D73DA5" w:rsidRDefault="00D73DA5" w:rsidP="00E91CCA">
      <w:pPr>
        <w:suppressAutoHyphens/>
        <w:jc w:val="both"/>
        <w:outlineLvl w:val="3"/>
        <w:rPr>
          <w:rFonts w:cs="Arial"/>
          <w:szCs w:val="20"/>
        </w:rPr>
      </w:pPr>
    </w:p>
    <w:p w:rsidR="00C10CFA" w:rsidRDefault="00C10CFA" w:rsidP="00E91CCA">
      <w:pPr>
        <w:suppressAutoHyphens/>
        <w:jc w:val="both"/>
        <w:outlineLvl w:val="3"/>
        <w:rPr>
          <w:rFonts w:cs="Arial"/>
          <w:szCs w:val="20"/>
        </w:rPr>
      </w:pPr>
      <w:r>
        <w:rPr>
          <w:rFonts w:cs="Arial"/>
          <w:szCs w:val="20"/>
        </w:rPr>
        <w:t>V tretjem odstavku se besedilo »</w:t>
      </w:r>
      <w:r w:rsidRPr="00975D95">
        <w:rPr>
          <w:rFonts w:cs="Arial"/>
          <w:szCs w:val="20"/>
        </w:rPr>
        <w:t>Evropske centralne banke za pridobitev kvalificiranega deleža in o tem obvesti Banko Slovenije</w:t>
      </w:r>
      <w:r>
        <w:rPr>
          <w:rFonts w:cs="Arial"/>
          <w:szCs w:val="20"/>
        </w:rPr>
        <w:t>« nadomesti z besedilom »</w:t>
      </w:r>
      <w:r w:rsidRPr="00975D95">
        <w:rPr>
          <w:rFonts w:cs="Arial"/>
          <w:szCs w:val="20"/>
        </w:rPr>
        <w:t>Banke Slovenije za pridobitev kvalificiranega deleža</w:t>
      </w:r>
      <w:r>
        <w:rPr>
          <w:rFonts w:cs="Arial"/>
          <w:szCs w:val="20"/>
        </w:rPr>
        <w:t>«.</w:t>
      </w:r>
    </w:p>
    <w:p w:rsidR="00D73DA5" w:rsidRDefault="00D73DA5" w:rsidP="00E91CCA">
      <w:pPr>
        <w:suppressAutoHyphens/>
        <w:jc w:val="both"/>
        <w:outlineLvl w:val="3"/>
        <w:rPr>
          <w:rFonts w:cs="Arial"/>
          <w:szCs w:val="20"/>
        </w:rPr>
      </w:pPr>
    </w:p>
    <w:p w:rsidR="00C10CFA" w:rsidRDefault="00C10CFA" w:rsidP="00E91CCA">
      <w:pPr>
        <w:suppressAutoHyphens/>
        <w:jc w:val="both"/>
        <w:outlineLvl w:val="3"/>
        <w:rPr>
          <w:rFonts w:cs="Arial"/>
          <w:szCs w:val="20"/>
        </w:rPr>
      </w:pPr>
      <w:r>
        <w:rPr>
          <w:rFonts w:cs="Arial"/>
          <w:szCs w:val="20"/>
        </w:rPr>
        <w:t>V četrtem odstavku se besedilo »</w:t>
      </w:r>
      <w:r w:rsidRPr="003907B5">
        <w:rPr>
          <w:rFonts w:cs="Arial"/>
          <w:szCs w:val="20"/>
        </w:rPr>
        <w:t>obveščena o prenosu instrumentov na kupca in o morebitni pridobitvi dovoljenja Evropske centralne banke za pridobitev ali povečanje kvalificiranega deleža</w:t>
      </w:r>
      <w:r>
        <w:rPr>
          <w:rFonts w:cs="Arial"/>
          <w:szCs w:val="20"/>
        </w:rPr>
        <w:t>« nadomesti z besedilom »</w:t>
      </w:r>
      <w:r w:rsidRPr="003907B5">
        <w:rPr>
          <w:rFonts w:cs="Arial"/>
          <w:szCs w:val="20"/>
        </w:rPr>
        <w:t>izdala dovoljenje za pridobitev ali povečanje kvalificiranega deleža in je bila obveščena o prenosu instrumentov na kupca</w:t>
      </w:r>
      <w:r>
        <w:rPr>
          <w:rFonts w:cs="Arial"/>
          <w:szCs w:val="20"/>
        </w:rPr>
        <w:t>«.</w:t>
      </w:r>
    </w:p>
    <w:p w:rsidR="00E91CCA" w:rsidRPr="00902956" w:rsidRDefault="00E91CCA" w:rsidP="00E91CCA">
      <w:pPr>
        <w:suppressAutoHyphens/>
        <w:jc w:val="both"/>
        <w:outlineLvl w:val="3"/>
        <w:rPr>
          <w:rFonts w:cs="Arial"/>
          <w:color w:val="808080" w:themeColor="background1" w:themeShade="80"/>
          <w:szCs w:val="20"/>
        </w:rPr>
      </w:pPr>
    </w:p>
    <w:p w:rsidR="00C10CFA" w:rsidRPr="00902956"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sidRPr="00902956">
        <w:rPr>
          <w:rFonts w:eastAsia="Calibri" w:cs="Arial"/>
          <w:b/>
          <w:szCs w:val="20"/>
        </w:rPr>
        <w:t>člen</w:t>
      </w:r>
    </w:p>
    <w:p w:rsidR="00C10CFA" w:rsidRPr="00902956" w:rsidRDefault="00C10CFA" w:rsidP="00E91CCA">
      <w:pPr>
        <w:suppressAutoHyphens/>
        <w:jc w:val="both"/>
        <w:outlineLvl w:val="3"/>
        <w:rPr>
          <w:rFonts w:cs="Arial"/>
          <w:color w:val="808080" w:themeColor="background1" w:themeShade="80"/>
          <w:szCs w:val="20"/>
        </w:rPr>
      </w:pPr>
    </w:p>
    <w:p w:rsidR="00C10CFA" w:rsidRDefault="00C10CFA" w:rsidP="00E91CCA">
      <w:pPr>
        <w:suppressAutoHyphens/>
        <w:jc w:val="both"/>
        <w:outlineLvl w:val="3"/>
        <w:rPr>
          <w:rFonts w:cs="Arial"/>
          <w:szCs w:val="20"/>
        </w:rPr>
      </w:pPr>
      <w:r w:rsidRPr="00902956">
        <w:rPr>
          <w:rFonts w:cs="Arial"/>
          <w:szCs w:val="20"/>
        </w:rPr>
        <w:t>V 151. člen</w:t>
      </w:r>
      <w:r>
        <w:rPr>
          <w:rFonts w:cs="Arial"/>
          <w:szCs w:val="20"/>
        </w:rPr>
        <w:t>u</w:t>
      </w:r>
      <w:r w:rsidRPr="00902956">
        <w:rPr>
          <w:rFonts w:cs="Arial"/>
          <w:szCs w:val="20"/>
        </w:rPr>
        <w:t xml:space="preserve"> se </w:t>
      </w:r>
      <w:r>
        <w:rPr>
          <w:rFonts w:cs="Arial"/>
          <w:szCs w:val="20"/>
        </w:rPr>
        <w:t xml:space="preserve">naslov člena spremeni tako, da se glasi: </w:t>
      </w:r>
    </w:p>
    <w:p w:rsidR="00C10CFA" w:rsidRDefault="00C10CFA" w:rsidP="00E91CCA">
      <w:pPr>
        <w:suppressAutoHyphens/>
        <w:jc w:val="both"/>
        <w:outlineLvl w:val="3"/>
        <w:rPr>
          <w:rFonts w:cs="Arial"/>
          <w:szCs w:val="20"/>
        </w:rPr>
      </w:pPr>
      <w:r w:rsidRPr="00902956">
        <w:rPr>
          <w:rFonts w:cs="Arial"/>
          <w:szCs w:val="20"/>
        </w:rPr>
        <w:t>»</w:t>
      </w:r>
      <w:r>
        <w:rPr>
          <w:rFonts w:cs="Arial"/>
          <w:szCs w:val="20"/>
        </w:rPr>
        <w:t xml:space="preserve">začasno </w:t>
      </w:r>
      <w:r w:rsidRPr="00902956">
        <w:rPr>
          <w:rFonts w:cs="Arial"/>
          <w:szCs w:val="20"/>
        </w:rPr>
        <w:t>mirovanje</w:t>
      </w:r>
      <w:r>
        <w:rPr>
          <w:rFonts w:cs="Arial"/>
          <w:szCs w:val="20"/>
        </w:rPr>
        <w:t xml:space="preserve"> pravice do odpovedi</w:t>
      </w:r>
      <w:r w:rsidRPr="00902956">
        <w:rPr>
          <w:rFonts w:cs="Arial"/>
          <w:szCs w:val="20"/>
        </w:rPr>
        <w:t>«.</w:t>
      </w:r>
    </w:p>
    <w:p w:rsidR="00D73DA5" w:rsidRPr="00902956" w:rsidRDefault="00D73DA5" w:rsidP="00E91CCA">
      <w:pPr>
        <w:suppressAutoHyphens/>
        <w:jc w:val="both"/>
        <w:outlineLvl w:val="3"/>
        <w:rPr>
          <w:rFonts w:cs="Arial"/>
          <w:szCs w:val="20"/>
        </w:rPr>
      </w:pPr>
    </w:p>
    <w:p w:rsidR="00C10CFA" w:rsidRPr="005520E6" w:rsidRDefault="00C10CFA" w:rsidP="00E91CCA">
      <w:pPr>
        <w:pStyle w:val="Odstavek"/>
        <w:spacing w:before="0" w:line="260" w:lineRule="exact"/>
        <w:ind w:firstLine="0"/>
        <w:rPr>
          <w:sz w:val="20"/>
          <w:szCs w:val="20"/>
        </w:rPr>
      </w:pPr>
      <w:r>
        <w:rPr>
          <w:rFonts w:cs="Arial"/>
          <w:sz w:val="20"/>
          <w:szCs w:val="20"/>
        </w:rPr>
        <w:t>Na koncu prvega</w:t>
      </w:r>
      <w:r w:rsidRPr="00BD2B78">
        <w:rPr>
          <w:rFonts w:cs="Arial"/>
          <w:sz w:val="20"/>
          <w:szCs w:val="20"/>
        </w:rPr>
        <w:t xml:space="preserve"> odstavk</w:t>
      </w:r>
      <w:r>
        <w:rPr>
          <w:rFonts w:cs="Arial"/>
          <w:sz w:val="20"/>
          <w:szCs w:val="20"/>
        </w:rPr>
        <w:t>a</w:t>
      </w:r>
      <w:r w:rsidRPr="00BD2B78">
        <w:rPr>
          <w:rFonts w:cs="Arial"/>
          <w:sz w:val="20"/>
          <w:szCs w:val="20"/>
        </w:rPr>
        <w:t xml:space="preserve"> se </w:t>
      </w:r>
      <w:r>
        <w:rPr>
          <w:rFonts w:cs="Arial"/>
          <w:sz w:val="20"/>
          <w:szCs w:val="20"/>
        </w:rPr>
        <w:t>pika nadomesti z vejico</w:t>
      </w:r>
      <w:r w:rsidRPr="00BD2B78">
        <w:rPr>
          <w:rFonts w:cs="Arial"/>
          <w:sz w:val="20"/>
          <w:szCs w:val="20"/>
        </w:rPr>
        <w:t xml:space="preserve"> in </w:t>
      </w:r>
      <w:r>
        <w:rPr>
          <w:rFonts w:cs="Arial"/>
          <w:sz w:val="20"/>
          <w:szCs w:val="20"/>
        </w:rPr>
        <w:t xml:space="preserve">doda </w:t>
      </w:r>
      <w:r w:rsidRPr="00BD2B78">
        <w:rPr>
          <w:rFonts w:cs="Arial"/>
          <w:sz w:val="20"/>
          <w:szCs w:val="20"/>
        </w:rPr>
        <w:t>besedilo »</w:t>
      </w:r>
      <w:r w:rsidRPr="008A7A6D">
        <w:rPr>
          <w:sz w:val="20"/>
          <w:szCs w:val="20"/>
        </w:rPr>
        <w:t>pod pogojem, da se pogodbene obveznosti plačila in izročitve ter zagotavljanja zavarovanja s premoženjem še naprej izvajajo</w:t>
      </w:r>
      <w:r>
        <w:rPr>
          <w:sz w:val="20"/>
          <w:szCs w:val="20"/>
        </w:rPr>
        <w:t>.«.</w:t>
      </w:r>
    </w:p>
    <w:p w:rsidR="00C10CFA" w:rsidRPr="005520E6" w:rsidRDefault="00C10CFA" w:rsidP="00C10CFA">
      <w:pPr>
        <w:pStyle w:val="Odstavek"/>
        <w:spacing w:before="0" w:line="260" w:lineRule="exact"/>
        <w:ind w:firstLine="0"/>
        <w:rPr>
          <w:sz w:val="20"/>
          <w:szCs w:val="20"/>
        </w:rPr>
      </w:pPr>
    </w:p>
    <w:p w:rsidR="00C10CFA" w:rsidRDefault="00C10CFA" w:rsidP="00C10CFA">
      <w:pPr>
        <w:suppressAutoHyphens/>
        <w:outlineLvl w:val="3"/>
        <w:rPr>
          <w:rFonts w:cs="Arial"/>
          <w:color w:val="808080" w:themeColor="background1" w:themeShade="80"/>
          <w:szCs w:val="20"/>
        </w:rPr>
      </w:pPr>
    </w:p>
    <w:p w:rsidR="00C10CFA" w:rsidRPr="00902956"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sidRPr="00902956">
        <w:rPr>
          <w:rFonts w:eastAsia="Calibri" w:cs="Arial"/>
          <w:b/>
          <w:szCs w:val="20"/>
        </w:rPr>
        <w:t>člen</w:t>
      </w:r>
    </w:p>
    <w:p w:rsidR="00C10CFA" w:rsidRPr="00902956" w:rsidRDefault="00C10CFA" w:rsidP="00C10CFA">
      <w:pPr>
        <w:suppressAutoHyphens/>
        <w:outlineLvl w:val="3"/>
        <w:rPr>
          <w:rFonts w:cs="Arial"/>
          <w:color w:val="808080" w:themeColor="background1" w:themeShade="80"/>
          <w:szCs w:val="20"/>
        </w:rPr>
      </w:pPr>
    </w:p>
    <w:p w:rsidR="00C10CFA" w:rsidRPr="00902956" w:rsidRDefault="00C10CFA" w:rsidP="00C10CFA">
      <w:pPr>
        <w:suppressAutoHyphens/>
        <w:outlineLvl w:val="3"/>
        <w:rPr>
          <w:rFonts w:cs="Arial"/>
          <w:szCs w:val="20"/>
        </w:rPr>
      </w:pPr>
      <w:r w:rsidRPr="00902956">
        <w:rPr>
          <w:rFonts w:cs="Arial"/>
          <w:szCs w:val="20"/>
        </w:rPr>
        <w:t xml:space="preserve">V 152. členu </w:t>
      </w:r>
      <w:r>
        <w:rPr>
          <w:rFonts w:cs="Arial"/>
          <w:szCs w:val="20"/>
        </w:rPr>
        <w:t xml:space="preserve">se </w:t>
      </w:r>
      <w:r w:rsidRPr="00902956">
        <w:rPr>
          <w:rFonts w:cs="Arial"/>
          <w:szCs w:val="20"/>
        </w:rPr>
        <w:t xml:space="preserve">v </w:t>
      </w:r>
      <w:r>
        <w:rPr>
          <w:rFonts w:cs="Arial"/>
          <w:szCs w:val="20"/>
        </w:rPr>
        <w:t>drugem</w:t>
      </w:r>
      <w:r w:rsidRPr="00902956">
        <w:rPr>
          <w:rFonts w:cs="Arial"/>
          <w:szCs w:val="20"/>
        </w:rPr>
        <w:t xml:space="preserve"> odstavku v 1. točki </w:t>
      </w:r>
      <w:r>
        <w:rPr>
          <w:rFonts w:cs="Arial"/>
          <w:szCs w:val="20"/>
        </w:rPr>
        <w:t>za</w:t>
      </w:r>
      <w:r w:rsidRPr="00902956">
        <w:rPr>
          <w:rFonts w:cs="Arial"/>
          <w:szCs w:val="20"/>
        </w:rPr>
        <w:t xml:space="preserve"> besedo »</w:t>
      </w:r>
      <w:r>
        <w:rPr>
          <w:rFonts w:cs="Arial"/>
          <w:szCs w:val="20"/>
        </w:rPr>
        <w:t>ali</w:t>
      </w:r>
      <w:r w:rsidRPr="00902956">
        <w:rPr>
          <w:rFonts w:cs="Arial"/>
          <w:szCs w:val="20"/>
        </w:rPr>
        <w:t>« doda besed</w:t>
      </w:r>
      <w:r>
        <w:rPr>
          <w:rFonts w:cs="Arial"/>
          <w:szCs w:val="20"/>
        </w:rPr>
        <w:t>a</w:t>
      </w:r>
      <w:r w:rsidRPr="00902956">
        <w:rPr>
          <w:rFonts w:cs="Arial"/>
          <w:szCs w:val="20"/>
        </w:rPr>
        <w:t xml:space="preserve"> »</w:t>
      </w:r>
      <w:r>
        <w:rPr>
          <w:rFonts w:cs="Arial"/>
          <w:szCs w:val="20"/>
        </w:rPr>
        <w:t>pomembno</w:t>
      </w:r>
      <w:r w:rsidRPr="00902956">
        <w:rPr>
          <w:rFonts w:cs="Arial"/>
          <w:szCs w:val="20"/>
        </w:rPr>
        <w:t>«.</w:t>
      </w:r>
    </w:p>
    <w:p w:rsidR="00C10CFA" w:rsidRDefault="00C10CFA" w:rsidP="00C10CFA">
      <w:pPr>
        <w:rPr>
          <w:rFonts w:eastAsia="Calibri" w:cs="Arial"/>
          <w:color w:val="808080" w:themeColor="background1" w:themeShade="80"/>
          <w:szCs w:val="20"/>
        </w:rPr>
      </w:pPr>
    </w:p>
    <w:p w:rsidR="00C10CFA" w:rsidRPr="005520E6" w:rsidRDefault="00C10CFA" w:rsidP="00C10CFA">
      <w:pPr>
        <w:jc w:val="center"/>
        <w:rPr>
          <w:rFonts w:eastAsia="Calibri" w:cs="Arial"/>
          <w:szCs w:val="20"/>
        </w:rPr>
      </w:pPr>
      <w:r w:rsidRPr="005520E6">
        <w:rPr>
          <w:rFonts w:eastAsia="Calibri" w:cs="Arial"/>
          <w:szCs w:val="20"/>
        </w:rPr>
        <w:t>KONČNA DOLOČBA</w:t>
      </w:r>
    </w:p>
    <w:p w:rsidR="00C10CFA" w:rsidRPr="00902956" w:rsidRDefault="00C10CFA" w:rsidP="00C10CFA">
      <w:pPr>
        <w:rPr>
          <w:rFonts w:eastAsia="Calibri" w:cs="Arial"/>
          <w:color w:val="808080" w:themeColor="background1" w:themeShade="80"/>
          <w:szCs w:val="20"/>
        </w:rPr>
      </w:pPr>
    </w:p>
    <w:p w:rsidR="00C10CFA" w:rsidRPr="00902956" w:rsidRDefault="00C10CFA" w:rsidP="00C10CFA">
      <w:pPr>
        <w:numPr>
          <w:ilvl w:val="0"/>
          <w:numId w:val="12"/>
        </w:numPr>
        <w:overflowPunct w:val="0"/>
        <w:autoSpaceDE w:val="0"/>
        <w:autoSpaceDN w:val="0"/>
        <w:adjustRightInd w:val="0"/>
        <w:ind w:left="284" w:hanging="284"/>
        <w:contextualSpacing/>
        <w:jc w:val="center"/>
        <w:textAlignment w:val="baseline"/>
        <w:rPr>
          <w:rFonts w:eastAsia="Calibri" w:cs="Arial"/>
          <w:b/>
          <w:szCs w:val="20"/>
        </w:rPr>
      </w:pPr>
      <w:r>
        <w:rPr>
          <w:rFonts w:eastAsia="Calibri" w:cs="Arial"/>
          <w:b/>
          <w:szCs w:val="20"/>
        </w:rPr>
        <w:t xml:space="preserve"> </w:t>
      </w:r>
      <w:r w:rsidRPr="00902956">
        <w:rPr>
          <w:rFonts w:eastAsia="Calibri" w:cs="Arial"/>
          <w:b/>
          <w:szCs w:val="20"/>
        </w:rPr>
        <w:t>člen</w:t>
      </w:r>
    </w:p>
    <w:p w:rsidR="00C10CFA" w:rsidRPr="00902956" w:rsidRDefault="00C10CFA" w:rsidP="00C10CFA">
      <w:pPr>
        <w:jc w:val="center"/>
        <w:rPr>
          <w:rFonts w:eastAsia="Calibri" w:cs="Arial"/>
          <w:b/>
          <w:szCs w:val="20"/>
        </w:rPr>
      </w:pPr>
      <w:r w:rsidRPr="00902956">
        <w:rPr>
          <w:rFonts w:eastAsia="Calibri" w:cs="Arial"/>
          <w:b/>
          <w:szCs w:val="20"/>
        </w:rPr>
        <w:t>(začetek veljavnosti)</w:t>
      </w:r>
    </w:p>
    <w:p w:rsidR="00C10CFA" w:rsidRPr="00902956" w:rsidRDefault="00C10CFA" w:rsidP="00C10CFA">
      <w:pPr>
        <w:rPr>
          <w:rFonts w:eastAsia="Calibri" w:cs="Arial"/>
          <w:szCs w:val="20"/>
        </w:rPr>
      </w:pPr>
    </w:p>
    <w:p w:rsidR="00C10CFA" w:rsidRPr="00902956" w:rsidRDefault="00C10CFA" w:rsidP="00C10CFA">
      <w:pPr>
        <w:rPr>
          <w:rFonts w:eastAsia="Calibri" w:cs="Arial"/>
          <w:szCs w:val="20"/>
        </w:rPr>
      </w:pPr>
      <w:r w:rsidRPr="00902956">
        <w:rPr>
          <w:rFonts w:eastAsia="Calibri" w:cs="Arial"/>
          <w:szCs w:val="20"/>
        </w:rPr>
        <w:t>Ta zakon začne veljati petnajsti dan po objavi v Uradnem listu Republike Slovenije.</w:t>
      </w:r>
    </w:p>
    <w:p w:rsidR="00C10CFA" w:rsidRDefault="00C10CFA" w:rsidP="00C10CFA">
      <w:pPr>
        <w:rPr>
          <w:rFonts w:cs="Arial"/>
          <w:b/>
          <w:szCs w:val="20"/>
        </w:rPr>
      </w:pPr>
    </w:p>
    <w:p w:rsidR="00C10CFA" w:rsidRPr="00503BC2" w:rsidRDefault="00C10CFA" w:rsidP="00C10CFA">
      <w:pPr>
        <w:overflowPunct w:val="0"/>
        <w:autoSpaceDE w:val="0"/>
        <w:autoSpaceDN w:val="0"/>
        <w:adjustRightInd w:val="0"/>
        <w:contextualSpacing/>
        <w:textAlignment w:val="baseline"/>
        <w:rPr>
          <w:rFonts w:eastAsia="Calibri" w:cs="Arial"/>
          <w:b/>
          <w:szCs w:val="20"/>
        </w:rPr>
      </w:pPr>
    </w:p>
    <w:p w:rsidR="00C10CFA" w:rsidRPr="00A34CD5" w:rsidRDefault="00C10CFA" w:rsidP="00C10CFA">
      <w:pPr>
        <w:overflowPunct w:val="0"/>
        <w:autoSpaceDE w:val="0"/>
        <w:autoSpaceDN w:val="0"/>
        <w:adjustRightInd w:val="0"/>
        <w:textAlignment w:val="baseline"/>
        <w:rPr>
          <w:rFonts w:eastAsia="Calibri" w:cs="Arial"/>
          <w:color w:val="808080" w:themeColor="background1" w:themeShade="80"/>
          <w:szCs w:val="20"/>
        </w:rPr>
      </w:pPr>
    </w:p>
    <w:p w:rsidR="00C10CFA" w:rsidRPr="00392DB1" w:rsidRDefault="00C10CFA" w:rsidP="00C10CFA">
      <w:pPr>
        <w:overflowPunct w:val="0"/>
        <w:autoSpaceDE w:val="0"/>
        <w:autoSpaceDN w:val="0"/>
        <w:adjustRightInd w:val="0"/>
        <w:textAlignment w:val="baseline"/>
        <w:rPr>
          <w:rFonts w:eastAsia="Calibri" w:cs="Arial"/>
          <w:color w:val="000000"/>
          <w:szCs w:val="20"/>
        </w:rPr>
      </w:pPr>
    </w:p>
    <w:p w:rsidR="00C10CFA" w:rsidRPr="00FF5156" w:rsidRDefault="00C10CFA" w:rsidP="00C10CFA">
      <w:pPr>
        <w:overflowPunct w:val="0"/>
        <w:autoSpaceDE w:val="0"/>
        <w:autoSpaceDN w:val="0"/>
        <w:adjustRightInd w:val="0"/>
        <w:textAlignment w:val="baseline"/>
        <w:rPr>
          <w:rFonts w:eastAsia="Calibri" w:cs="Arial"/>
          <w:color w:val="000000"/>
          <w:szCs w:val="20"/>
        </w:rPr>
      </w:pPr>
    </w:p>
    <w:p w:rsidR="00C10CFA" w:rsidRPr="00FF5156" w:rsidRDefault="00C10CFA" w:rsidP="00C10CFA">
      <w:pPr>
        <w:overflowPunct w:val="0"/>
        <w:autoSpaceDE w:val="0"/>
        <w:autoSpaceDN w:val="0"/>
        <w:adjustRightInd w:val="0"/>
        <w:textAlignment w:val="baseline"/>
        <w:rPr>
          <w:rFonts w:cs="Arial"/>
          <w:szCs w:val="20"/>
          <w:highlight w:val="yellow"/>
          <w:lang w:eastAsia="sl-SI"/>
        </w:rPr>
      </w:pPr>
    </w:p>
    <w:p w:rsidR="00C10CFA" w:rsidRDefault="00C10CFA" w:rsidP="00C10CFA">
      <w:pPr>
        <w:rPr>
          <w:rFonts w:cs="Arial"/>
          <w:b/>
          <w:szCs w:val="20"/>
          <w:lang w:eastAsia="sl-SI"/>
        </w:rPr>
      </w:pPr>
      <w:r>
        <w:rPr>
          <w:rFonts w:cs="Arial"/>
          <w:b/>
          <w:szCs w:val="20"/>
          <w:lang w:eastAsia="sl-SI"/>
        </w:rPr>
        <w:br w:type="page"/>
      </w:r>
    </w:p>
    <w:p w:rsidR="00C10CFA" w:rsidRPr="00FF5156" w:rsidRDefault="00C10CFA" w:rsidP="00C10CFA">
      <w:pPr>
        <w:overflowPunct w:val="0"/>
        <w:autoSpaceDE w:val="0"/>
        <w:autoSpaceDN w:val="0"/>
        <w:adjustRightInd w:val="0"/>
        <w:textAlignment w:val="baseline"/>
        <w:rPr>
          <w:rFonts w:cs="Arial"/>
          <w:b/>
          <w:szCs w:val="20"/>
          <w:lang w:eastAsia="sl-SI"/>
        </w:rPr>
      </w:pPr>
      <w:bookmarkStart w:id="8" w:name="_Hlk82611071"/>
      <w:r w:rsidRPr="00FF5156">
        <w:rPr>
          <w:rFonts w:cs="Arial"/>
          <w:b/>
          <w:szCs w:val="20"/>
          <w:lang w:eastAsia="sl-SI"/>
        </w:rPr>
        <w:lastRenderedPageBreak/>
        <w:t>III. OBRAZLOŽITEV ČLENOV</w:t>
      </w:r>
    </w:p>
    <w:p w:rsidR="00C10CFA" w:rsidRPr="00FF5156" w:rsidRDefault="00C10CFA" w:rsidP="00C10CFA">
      <w:pPr>
        <w:overflowPunct w:val="0"/>
        <w:autoSpaceDE w:val="0"/>
        <w:autoSpaceDN w:val="0"/>
        <w:adjustRightInd w:val="0"/>
        <w:textAlignment w:val="baseline"/>
        <w:rPr>
          <w:rFonts w:cs="Arial"/>
          <w:szCs w:val="20"/>
          <w:highlight w:val="yellow"/>
          <w:lang w:eastAsia="sl-SI"/>
        </w:rPr>
      </w:pPr>
    </w:p>
    <w:p w:rsidR="00C10CFA" w:rsidRPr="00FF5156" w:rsidRDefault="00C10CFA" w:rsidP="00C10CFA">
      <w:pPr>
        <w:overflowPunct w:val="0"/>
        <w:autoSpaceDE w:val="0"/>
        <w:autoSpaceDN w:val="0"/>
        <w:adjustRightInd w:val="0"/>
        <w:textAlignment w:val="baseline"/>
        <w:rPr>
          <w:rFonts w:cs="Arial"/>
          <w:szCs w:val="20"/>
          <w:highlight w:val="yellow"/>
          <w:lang w:eastAsia="sl-SI"/>
        </w:rPr>
      </w:pPr>
    </w:p>
    <w:bookmarkEnd w:id="8"/>
    <w:p w:rsidR="00C10CFA" w:rsidRPr="00FF5156" w:rsidRDefault="00C10CFA" w:rsidP="00E91CCA">
      <w:pPr>
        <w:jc w:val="both"/>
        <w:rPr>
          <w:rFonts w:cs="Arial"/>
          <w:b/>
          <w:szCs w:val="20"/>
        </w:rPr>
      </w:pPr>
      <w:r w:rsidRPr="00FF5156">
        <w:rPr>
          <w:rFonts w:cs="Arial"/>
          <w:b/>
          <w:szCs w:val="20"/>
        </w:rPr>
        <w:t xml:space="preserve">K </w:t>
      </w:r>
      <w:r>
        <w:rPr>
          <w:rFonts w:cs="Arial"/>
          <w:b/>
          <w:szCs w:val="20"/>
        </w:rPr>
        <w:t>1</w:t>
      </w:r>
      <w:r w:rsidRPr="00FF5156">
        <w:rPr>
          <w:rFonts w:cs="Arial"/>
          <w:b/>
          <w:szCs w:val="20"/>
        </w:rPr>
        <w:t>. členu</w:t>
      </w:r>
    </w:p>
    <w:p w:rsidR="00C10CFA" w:rsidRDefault="00C10CFA" w:rsidP="00E91CCA">
      <w:pPr>
        <w:jc w:val="both"/>
        <w:rPr>
          <w:rFonts w:eastAsia="Calibri" w:cs="Arial"/>
          <w:color w:val="000000"/>
          <w:szCs w:val="20"/>
        </w:rPr>
      </w:pPr>
      <w:r>
        <w:rPr>
          <w:rFonts w:eastAsia="Calibri" w:cs="Arial"/>
          <w:color w:val="000000"/>
          <w:szCs w:val="20"/>
        </w:rPr>
        <w:t xml:space="preserve">Sprememba 2. člena </w:t>
      </w:r>
      <w:r w:rsidRPr="00902956">
        <w:rPr>
          <w:rFonts w:eastAsia="Calibri" w:cs="Arial"/>
          <w:color w:val="000000"/>
          <w:szCs w:val="20"/>
        </w:rPr>
        <w:t>Zakon</w:t>
      </w:r>
      <w:r>
        <w:rPr>
          <w:rFonts w:eastAsia="Calibri" w:cs="Arial"/>
          <w:color w:val="000000"/>
          <w:szCs w:val="20"/>
        </w:rPr>
        <w:t>a</w:t>
      </w:r>
      <w:r w:rsidRPr="00902956">
        <w:rPr>
          <w:rFonts w:eastAsia="Calibri" w:cs="Arial"/>
          <w:color w:val="000000"/>
          <w:szCs w:val="20"/>
        </w:rPr>
        <w:t xml:space="preserve"> o reševanju in prisilnem prenehanju bank (Uradni list RS, št. 92/21</w:t>
      </w:r>
      <w:r>
        <w:rPr>
          <w:rFonts w:eastAsia="Calibri" w:cs="Arial"/>
          <w:color w:val="000000"/>
          <w:szCs w:val="20"/>
        </w:rPr>
        <w:t>; v nadaljnjem besedilu: ZRPPB-1</w:t>
      </w:r>
      <w:r w:rsidRPr="003528A1">
        <w:rPr>
          <w:rFonts w:eastAsia="Calibri" w:cs="Arial"/>
          <w:color w:val="000000"/>
          <w:szCs w:val="20"/>
        </w:rPr>
        <w:t>)</w:t>
      </w:r>
      <w:r>
        <w:rPr>
          <w:rFonts w:eastAsia="Calibri" w:cs="Arial"/>
          <w:color w:val="000000"/>
          <w:szCs w:val="20"/>
        </w:rPr>
        <w:t xml:space="preserve"> je redakcijske narave, saj se je predpis Evropske unije (v nadaljnjem besedilu: EU), ki je naveden v tem členu, po uveljavitvi ZRPPB-1 spremenil, zato se navedba le-tega dopolni z zadnjo spremembo. </w:t>
      </w:r>
    </w:p>
    <w:p w:rsidR="00C10CFA" w:rsidRDefault="00C10CFA" w:rsidP="00E91CCA">
      <w:pPr>
        <w:jc w:val="both"/>
        <w:rPr>
          <w:rFonts w:eastAsia="Calibri" w:cs="Arial"/>
          <w:color w:val="000000"/>
          <w:szCs w:val="20"/>
        </w:rPr>
      </w:pPr>
      <w:r>
        <w:rPr>
          <w:rFonts w:eastAsia="Calibri" w:cs="Arial"/>
          <w:b/>
          <w:color w:val="000000"/>
          <w:szCs w:val="20"/>
        </w:rPr>
        <w:t>K 2. členu</w:t>
      </w:r>
    </w:p>
    <w:p w:rsidR="00C10CFA" w:rsidRDefault="00C10CFA" w:rsidP="00E91CCA">
      <w:pPr>
        <w:jc w:val="both"/>
        <w:rPr>
          <w:rFonts w:eastAsia="Calibri" w:cs="Arial"/>
          <w:color w:val="000000"/>
          <w:szCs w:val="20"/>
        </w:rPr>
      </w:pPr>
      <w:r>
        <w:rPr>
          <w:rFonts w:eastAsia="Calibri" w:cs="Arial"/>
          <w:color w:val="000000"/>
          <w:szCs w:val="20"/>
        </w:rPr>
        <w:t>Sprememba 3. člena ZRPPB-1 je redakcijske narave. Po uveljavitvi ZRPPB-1 so se nekateri predpisi</w:t>
      </w:r>
      <w:r w:rsidRPr="00B11F71">
        <w:rPr>
          <w:rFonts w:eastAsia="Calibri" w:cs="Arial"/>
          <w:color w:val="000000"/>
          <w:szCs w:val="20"/>
        </w:rPr>
        <w:t xml:space="preserve"> </w:t>
      </w:r>
      <w:r>
        <w:rPr>
          <w:rFonts w:eastAsia="Calibri" w:cs="Arial"/>
          <w:color w:val="000000"/>
          <w:szCs w:val="20"/>
        </w:rPr>
        <w:t xml:space="preserve">EU, ki so navedeni v tem členu, spremenili, zato se navedbe teh predpisov dopolnijo z zadnjo spremembo oziroma zadnjim popravkom. </w:t>
      </w:r>
    </w:p>
    <w:p w:rsidR="00C10CFA" w:rsidRDefault="00C10CFA" w:rsidP="00E91CCA">
      <w:pPr>
        <w:jc w:val="both"/>
        <w:rPr>
          <w:rFonts w:eastAsia="Calibri" w:cs="Arial"/>
          <w:color w:val="000000"/>
          <w:szCs w:val="20"/>
        </w:rPr>
      </w:pPr>
      <w:r>
        <w:rPr>
          <w:rFonts w:eastAsia="Calibri" w:cs="Arial"/>
          <w:b/>
          <w:color w:val="000000"/>
          <w:szCs w:val="20"/>
        </w:rPr>
        <w:t>K 3. členu</w:t>
      </w:r>
    </w:p>
    <w:p w:rsidR="00C10CFA" w:rsidRDefault="00C10CFA" w:rsidP="00E91CCA">
      <w:pPr>
        <w:jc w:val="both"/>
        <w:rPr>
          <w:rFonts w:eastAsia="Calibri" w:cs="Arial"/>
          <w:color w:val="000000"/>
          <w:szCs w:val="20"/>
        </w:rPr>
      </w:pPr>
      <w:r>
        <w:rPr>
          <w:rFonts w:eastAsia="Calibri" w:cs="Arial"/>
          <w:color w:val="000000"/>
          <w:szCs w:val="20"/>
        </w:rPr>
        <w:t xml:space="preserve">Sprememba drugega odstavka 31. člena ZRPPB-1 je potrebna zaradi napake pri prenosu 16.a člena Direktive 2014/59/EU. Prepoved izplačil, ki jo lahko izreče Banka Slovenije, bo torej vezana na izpolnjevanje zahteve </w:t>
      </w:r>
      <w:r w:rsidRPr="00593784">
        <w:rPr>
          <w:rFonts w:eastAsia="Calibri" w:cs="Arial"/>
          <w:color w:val="000000"/>
          <w:szCs w:val="20"/>
        </w:rPr>
        <w:t xml:space="preserve">po skupnem blažilniku, ko se ta zahteva upošteva poleg minimalne zahteve glede kapitala in kvalificiranih obveznosti, ki je določena v skladu </w:t>
      </w:r>
      <w:r>
        <w:rPr>
          <w:rFonts w:eastAsia="Calibri" w:cs="Arial"/>
          <w:color w:val="000000"/>
          <w:szCs w:val="20"/>
        </w:rPr>
        <w:t>z ZRPPB-1</w:t>
      </w:r>
      <w:r w:rsidRPr="00593784">
        <w:rPr>
          <w:rFonts w:eastAsia="Calibri" w:cs="Arial"/>
          <w:color w:val="000000"/>
          <w:szCs w:val="20"/>
        </w:rPr>
        <w:t xml:space="preserve"> in izražena kot odstotek</w:t>
      </w:r>
      <w:r>
        <w:rPr>
          <w:rFonts w:eastAsia="Calibri" w:cs="Arial"/>
          <w:color w:val="000000"/>
          <w:szCs w:val="20"/>
        </w:rPr>
        <w:t xml:space="preserve"> </w:t>
      </w:r>
      <w:r w:rsidRPr="00593784">
        <w:rPr>
          <w:rFonts w:eastAsia="Calibri" w:cs="Arial"/>
          <w:color w:val="000000"/>
          <w:szCs w:val="20"/>
        </w:rPr>
        <w:t xml:space="preserve">zneska skupne izpostavljenosti banke tveganju, ki se izračuna v skladu s tretjim odstavkom 92. člena Uredbe </w:t>
      </w:r>
      <w:r w:rsidRPr="005E6EC3">
        <w:rPr>
          <w:rFonts w:eastAsia="Calibri" w:cs="Arial"/>
          <w:color w:val="000000"/>
          <w:szCs w:val="20"/>
        </w:rPr>
        <w:t>(EU) št. 575/2013 E</w:t>
      </w:r>
      <w:r>
        <w:rPr>
          <w:rFonts w:eastAsia="Calibri" w:cs="Arial"/>
          <w:color w:val="000000"/>
          <w:szCs w:val="20"/>
        </w:rPr>
        <w:t xml:space="preserve">vropskega parlamenta in Sveta </w:t>
      </w:r>
      <w:r w:rsidRPr="005E6EC3">
        <w:rPr>
          <w:rFonts w:eastAsia="Calibri" w:cs="Arial"/>
          <w:color w:val="000000"/>
          <w:szCs w:val="20"/>
        </w:rPr>
        <w:t xml:space="preserve">z dne 26. junija 2013 o bonitetnih zahtevah za kreditne institucije in o spremembi Uredbe (EU) št. 648/2012 </w:t>
      </w:r>
      <w:r>
        <w:rPr>
          <w:rFonts w:eastAsia="Calibri" w:cs="Arial"/>
          <w:color w:val="000000"/>
          <w:szCs w:val="20"/>
        </w:rPr>
        <w:t xml:space="preserve">(v nadaljnjem besedilu: Uredba </w:t>
      </w:r>
      <w:r w:rsidRPr="00593784">
        <w:rPr>
          <w:rFonts w:eastAsia="Calibri" w:cs="Arial"/>
          <w:color w:val="000000"/>
          <w:szCs w:val="20"/>
        </w:rPr>
        <w:t>575/2013/EU</w:t>
      </w:r>
      <w:r>
        <w:rPr>
          <w:rFonts w:eastAsia="Calibri" w:cs="Arial"/>
          <w:color w:val="000000"/>
          <w:szCs w:val="20"/>
        </w:rPr>
        <w:t>)</w:t>
      </w:r>
      <w:r w:rsidRPr="00593784">
        <w:rPr>
          <w:rFonts w:eastAsia="Calibri" w:cs="Arial"/>
          <w:color w:val="000000"/>
          <w:szCs w:val="20"/>
        </w:rPr>
        <w:t>.</w:t>
      </w:r>
      <w:r>
        <w:rPr>
          <w:rFonts w:eastAsia="Calibri" w:cs="Arial"/>
          <w:color w:val="000000"/>
          <w:szCs w:val="20"/>
        </w:rPr>
        <w:t xml:space="preserve"> </w:t>
      </w:r>
    </w:p>
    <w:p w:rsidR="00C10CFA" w:rsidRDefault="00C10CFA" w:rsidP="00E91CCA">
      <w:pPr>
        <w:jc w:val="both"/>
        <w:rPr>
          <w:rFonts w:eastAsia="Calibri" w:cs="Arial"/>
          <w:color w:val="000000"/>
          <w:szCs w:val="20"/>
        </w:rPr>
      </w:pPr>
      <w:r>
        <w:rPr>
          <w:rFonts w:eastAsia="Calibri" w:cs="Arial"/>
          <w:b/>
          <w:color w:val="000000"/>
          <w:szCs w:val="20"/>
        </w:rPr>
        <w:t>K 4. členu</w:t>
      </w:r>
    </w:p>
    <w:p w:rsidR="00C10CFA" w:rsidRDefault="00C10CFA" w:rsidP="00E91CCA">
      <w:pPr>
        <w:jc w:val="both"/>
        <w:rPr>
          <w:rFonts w:eastAsia="Calibri" w:cs="Arial"/>
          <w:color w:val="000000"/>
          <w:szCs w:val="20"/>
        </w:rPr>
      </w:pPr>
      <w:r>
        <w:rPr>
          <w:rFonts w:eastAsia="Calibri" w:cs="Arial"/>
          <w:color w:val="000000"/>
          <w:szCs w:val="20"/>
        </w:rPr>
        <w:t xml:space="preserve">Četrti odstavek 56. člena ZRPPB-1 se </w:t>
      </w:r>
      <w:bookmarkStart w:id="9" w:name="_Hlk83636499"/>
      <w:r>
        <w:rPr>
          <w:rFonts w:eastAsia="Calibri" w:cs="Arial"/>
          <w:color w:val="000000"/>
          <w:szCs w:val="20"/>
        </w:rPr>
        <w:t xml:space="preserve">spremeni v skladu z določbami </w:t>
      </w:r>
      <w:r w:rsidRPr="00902956">
        <w:rPr>
          <w:rFonts w:cs="Arial"/>
          <w:szCs w:val="20"/>
        </w:rPr>
        <w:t>Uredb</w:t>
      </w:r>
      <w:r>
        <w:rPr>
          <w:rFonts w:cs="Arial"/>
          <w:szCs w:val="20"/>
        </w:rPr>
        <w:t>e</w:t>
      </w:r>
      <w:r w:rsidRPr="00902956">
        <w:rPr>
          <w:rFonts w:cs="Arial"/>
          <w:szCs w:val="20"/>
        </w:rPr>
        <w:t xml:space="preserve"> 20</w:t>
      </w:r>
      <w:r>
        <w:rPr>
          <w:rFonts w:cs="Arial"/>
          <w:szCs w:val="20"/>
        </w:rPr>
        <w:t>22</w:t>
      </w:r>
      <w:r w:rsidRPr="00902956">
        <w:rPr>
          <w:rFonts w:cs="Arial"/>
          <w:szCs w:val="20"/>
        </w:rPr>
        <w:t>/20</w:t>
      </w:r>
      <w:r>
        <w:rPr>
          <w:rFonts w:cs="Arial"/>
          <w:szCs w:val="20"/>
        </w:rPr>
        <w:t>36/EU v zvezi z določitvijo minimalnih zahtev glede kapitala in kvalificiranih obveznosti za subjekte, ki so del iste skupine globalno sistemsko pomembne banke in so v postopku reševanja ali ki so subjekti iz tretje države in bi bili v postopku reševanja, če bi imeli sedež v EU.</w:t>
      </w:r>
    </w:p>
    <w:bookmarkEnd w:id="9"/>
    <w:p w:rsidR="00C10CFA" w:rsidRDefault="00C10CFA" w:rsidP="00E91CCA">
      <w:pPr>
        <w:jc w:val="both"/>
        <w:rPr>
          <w:rFonts w:eastAsia="Calibri" w:cs="Arial"/>
          <w:color w:val="000000"/>
          <w:szCs w:val="20"/>
        </w:rPr>
      </w:pPr>
      <w:r>
        <w:rPr>
          <w:rFonts w:eastAsia="Calibri" w:cs="Arial"/>
          <w:b/>
          <w:color w:val="000000"/>
          <w:szCs w:val="20"/>
        </w:rPr>
        <w:t>K 5. členu</w:t>
      </w:r>
    </w:p>
    <w:p w:rsidR="00C10CFA" w:rsidRDefault="00C10CFA" w:rsidP="00E91CCA">
      <w:pPr>
        <w:jc w:val="both"/>
        <w:rPr>
          <w:rFonts w:eastAsia="Calibri" w:cs="Arial"/>
          <w:color w:val="000000"/>
          <w:szCs w:val="20"/>
        </w:rPr>
      </w:pPr>
      <w:r>
        <w:rPr>
          <w:rFonts w:eastAsia="Calibri" w:cs="Arial"/>
          <w:color w:val="000000"/>
          <w:szCs w:val="20"/>
        </w:rPr>
        <w:t xml:space="preserve">Z dopolnitvijo četrtega in petega odstavka 61. člena ZRPPB-1 s subjekti, ki so del iste skupine globalno sistemsko pomembnih bank in so v postopku reševanja ali so iz tretje države in bi bili subjekti v postopku reševanja, če bi imeli sedež v EU, se zagotovi skladnost z Uredbo </w:t>
      </w:r>
      <w:r w:rsidRPr="00902956">
        <w:rPr>
          <w:szCs w:val="20"/>
        </w:rPr>
        <w:t>575/2013/EU</w:t>
      </w:r>
      <w:r>
        <w:rPr>
          <w:szCs w:val="20"/>
        </w:rPr>
        <w:t xml:space="preserve"> v delu, ki spreminja Direktivo 2014/59/EU.</w:t>
      </w:r>
    </w:p>
    <w:p w:rsidR="00C10CFA" w:rsidRPr="009138DF" w:rsidRDefault="00C10CFA" w:rsidP="00E91CCA">
      <w:pPr>
        <w:jc w:val="both"/>
        <w:rPr>
          <w:rFonts w:eastAsia="Calibri" w:cs="Arial"/>
          <w:szCs w:val="20"/>
        </w:rPr>
      </w:pPr>
      <w:r w:rsidRPr="009138DF">
        <w:rPr>
          <w:rFonts w:eastAsia="Calibri" w:cs="Arial"/>
          <w:b/>
          <w:bCs/>
          <w:szCs w:val="20"/>
        </w:rPr>
        <w:t xml:space="preserve">K </w:t>
      </w:r>
      <w:r>
        <w:rPr>
          <w:rFonts w:eastAsia="Calibri" w:cs="Arial"/>
          <w:b/>
          <w:bCs/>
          <w:szCs w:val="20"/>
        </w:rPr>
        <w:t>6</w:t>
      </w:r>
      <w:r w:rsidRPr="009138DF">
        <w:rPr>
          <w:rFonts w:eastAsia="Calibri" w:cs="Arial"/>
          <w:b/>
          <w:bCs/>
          <w:szCs w:val="20"/>
        </w:rPr>
        <w:t>. členu</w:t>
      </w:r>
    </w:p>
    <w:p w:rsidR="00C10CFA" w:rsidRDefault="00C10CFA" w:rsidP="00E91CCA">
      <w:pPr>
        <w:jc w:val="both"/>
        <w:rPr>
          <w:rFonts w:eastAsia="Calibri" w:cs="Arial"/>
          <w:szCs w:val="20"/>
        </w:rPr>
      </w:pPr>
      <w:r>
        <w:rPr>
          <w:rFonts w:eastAsia="Calibri" w:cs="Arial"/>
          <w:szCs w:val="20"/>
        </w:rPr>
        <w:t xml:space="preserve">Drugi odstavek 113. člena ZRPPB-1 je v nasprotju s točko (c) prvega odstavka 4. člena </w:t>
      </w:r>
      <w:r w:rsidRPr="0024239C">
        <w:rPr>
          <w:rFonts w:eastAsia="Calibri" w:cs="Arial"/>
          <w:szCs w:val="20"/>
        </w:rPr>
        <w:t>U</w:t>
      </w:r>
      <w:r>
        <w:rPr>
          <w:rFonts w:eastAsia="Calibri" w:cs="Arial"/>
          <w:szCs w:val="20"/>
        </w:rPr>
        <w:t>redbe Sveta</w:t>
      </w:r>
      <w:r w:rsidRPr="0024239C">
        <w:rPr>
          <w:rFonts w:eastAsia="Calibri" w:cs="Arial"/>
          <w:szCs w:val="20"/>
        </w:rPr>
        <w:t xml:space="preserve"> (EU) št. 1024/2013 z dne 15. oktobra 2013 o prenosu posebnih nalog, ki se nanašajo na politike bonitetnega nadzora kreditnih institucij, na Evropsko centralno banko</w:t>
      </w:r>
      <w:r>
        <w:rPr>
          <w:rFonts w:eastAsia="Calibri" w:cs="Arial"/>
          <w:szCs w:val="20"/>
        </w:rPr>
        <w:t xml:space="preserve"> (v nadaljnjem besedilu: Uredba 1024/2013/EU),</w:t>
      </w:r>
      <w:r w:rsidRPr="002A7295">
        <w:rPr>
          <w:rFonts w:eastAsia="Calibri" w:cs="Arial"/>
          <w:szCs w:val="20"/>
        </w:rPr>
        <w:t xml:space="preserve"> ki </w:t>
      </w:r>
      <w:r>
        <w:rPr>
          <w:rFonts w:eastAsia="Calibri" w:cs="Arial"/>
          <w:szCs w:val="20"/>
        </w:rPr>
        <w:t>določa,</w:t>
      </w:r>
      <w:r w:rsidRPr="002A7295">
        <w:rPr>
          <w:rFonts w:eastAsia="Calibri" w:cs="Arial"/>
          <w:szCs w:val="20"/>
        </w:rPr>
        <w:t xml:space="preserve"> da v okviru reševanja bank ni treb</w:t>
      </w:r>
      <w:r>
        <w:rPr>
          <w:rFonts w:eastAsia="Calibri" w:cs="Arial"/>
          <w:szCs w:val="20"/>
        </w:rPr>
        <w:t>a</w:t>
      </w:r>
      <w:r w:rsidRPr="002A7295">
        <w:rPr>
          <w:rFonts w:eastAsia="Calibri" w:cs="Arial"/>
          <w:szCs w:val="20"/>
        </w:rPr>
        <w:t xml:space="preserve"> </w:t>
      </w:r>
      <w:r>
        <w:rPr>
          <w:rFonts w:eastAsia="Calibri" w:cs="Arial"/>
          <w:szCs w:val="20"/>
        </w:rPr>
        <w:t xml:space="preserve">pridobiti </w:t>
      </w:r>
      <w:r w:rsidRPr="002A7295">
        <w:rPr>
          <w:rFonts w:eastAsia="Calibri" w:cs="Arial"/>
          <w:szCs w:val="20"/>
        </w:rPr>
        <w:t>soglasj</w:t>
      </w:r>
      <w:r>
        <w:rPr>
          <w:rFonts w:eastAsia="Calibri" w:cs="Arial"/>
          <w:szCs w:val="20"/>
        </w:rPr>
        <w:t xml:space="preserve">a Evropske centralne banke </w:t>
      </w:r>
      <w:r w:rsidRPr="002A7295">
        <w:rPr>
          <w:rFonts w:eastAsia="Calibri" w:cs="Arial"/>
          <w:szCs w:val="20"/>
        </w:rPr>
        <w:t>za</w:t>
      </w:r>
      <w:r>
        <w:rPr>
          <w:rFonts w:eastAsia="Calibri" w:cs="Arial"/>
          <w:szCs w:val="20"/>
        </w:rPr>
        <w:t xml:space="preserve"> pridobitev kvalificiranega deleža banke. Zato se ta odstavek črta.</w:t>
      </w:r>
    </w:p>
    <w:p w:rsidR="00C10CFA" w:rsidRDefault="00C10CFA" w:rsidP="00E91CCA">
      <w:pPr>
        <w:jc w:val="both"/>
        <w:rPr>
          <w:rFonts w:eastAsia="Calibri" w:cs="Arial"/>
          <w:b/>
          <w:bCs/>
          <w:szCs w:val="20"/>
        </w:rPr>
      </w:pPr>
    </w:p>
    <w:p w:rsidR="00C10CFA" w:rsidRPr="009138DF" w:rsidRDefault="00C10CFA" w:rsidP="00E91CCA">
      <w:pPr>
        <w:jc w:val="both"/>
        <w:rPr>
          <w:rFonts w:eastAsia="Calibri" w:cs="Arial"/>
          <w:szCs w:val="20"/>
        </w:rPr>
      </w:pPr>
      <w:r w:rsidRPr="009138DF">
        <w:rPr>
          <w:rFonts w:eastAsia="Calibri" w:cs="Arial"/>
          <w:b/>
          <w:bCs/>
          <w:szCs w:val="20"/>
        </w:rPr>
        <w:t xml:space="preserve">K </w:t>
      </w:r>
      <w:r>
        <w:rPr>
          <w:rFonts w:eastAsia="Calibri" w:cs="Arial"/>
          <w:b/>
          <w:bCs/>
          <w:szCs w:val="20"/>
        </w:rPr>
        <w:t>7</w:t>
      </w:r>
      <w:r w:rsidRPr="009138DF">
        <w:rPr>
          <w:rFonts w:eastAsia="Calibri" w:cs="Arial"/>
          <w:b/>
          <w:bCs/>
          <w:szCs w:val="20"/>
        </w:rPr>
        <w:t>. členu</w:t>
      </w:r>
    </w:p>
    <w:p w:rsidR="00C10CFA" w:rsidRDefault="00C10CFA" w:rsidP="00E91CCA">
      <w:pPr>
        <w:jc w:val="both"/>
        <w:rPr>
          <w:rFonts w:eastAsia="Calibri" w:cs="Arial"/>
          <w:szCs w:val="20"/>
        </w:rPr>
      </w:pPr>
      <w:r>
        <w:rPr>
          <w:rFonts w:eastAsia="Calibri" w:cs="Arial"/>
          <w:szCs w:val="20"/>
        </w:rPr>
        <w:t xml:space="preserve">Črtanje drugega stavka prvega odstavka 118. člena ZRPPB-1 je posledica napačnega prenosa 38. člena </w:t>
      </w:r>
      <w:r>
        <w:rPr>
          <w:szCs w:val="20"/>
        </w:rPr>
        <w:t xml:space="preserve">Direktive 2014/59/EU, saj </w:t>
      </w:r>
      <w:r>
        <w:rPr>
          <w:rFonts w:eastAsia="Calibri" w:cs="Arial"/>
          <w:szCs w:val="20"/>
        </w:rPr>
        <w:t>točka (c) prvega odstavka 4. člena</w:t>
      </w:r>
      <w:r>
        <w:rPr>
          <w:szCs w:val="20"/>
        </w:rPr>
        <w:t xml:space="preserve"> </w:t>
      </w:r>
      <w:r>
        <w:rPr>
          <w:rFonts w:eastAsia="Calibri" w:cs="Arial"/>
          <w:szCs w:val="20"/>
        </w:rPr>
        <w:t>Uredbe 1024/2013/EU</w:t>
      </w:r>
      <w:r w:rsidRPr="002A7295">
        <w:rPr>
          <w:rFonts w:eastAsia="Calibri" w:cs="Arial"/>
          <w:szCs w:val="20"/>
        </w:rPr>
        <w:t xml:space="preserve"> </w:t>
      </w:r>
      <w:r>
        <w:rPr>
          <w:rFonts w:eastAsia="Calibri" w:cs="Arial"/>
          <w:szCs w:val="20"/>
        </w:rPr>
        <w:t>določa,</w:t>
      </w:r>
      <w:r w:rsidRPr="002A7295">
        <w:rPr>
          <w:rFonts w:eastAsia="Calibri" w:cs="Arial"/>
          <w:szCs w:val="20"/>
        </w:rPr>
        <w:t xml:space="preserve"> da v okviru reševanja bank ni treb</w:t>
      </w:r>
      <w:r>
        <w:rPr>
          <w:rFonts w:eastAsia="Calibri" w:cs="Arial"/>
          <w:szCs w:val="20"/>
        </w:rPr>
        <w:t>a</w:t>
      </w:r>
      <w:r w:rsidRPr="002A7295">
        <w:rPr>
          <w:rFonts w:eastAsia="Calibri" w:cs="Arial"/>
          <w:szCs w:val="20"/>
        </w:rPr>
        <w:t xml:space="preserve"> </w:t>
      </w:r>
      <w:r>
        <w:rPr>
          <w:rFonts w:eastAsia="Calibri" w:cs="Arial"/>
          <w:szCs w:val="20"/>
        </w:rPr>
        <w:t xml:space="preserve">pridobiti </w:t>
      </w:r>
      <w:r w:rsidRPr="002A7295">
        <w:rPr>
          <w:rFonts w:eastAsia="Calibri" w:cs="Arial"/>
          <w:szCs w:val="20"/>
        </w:rPr>
        <w:t>soglasj</w:t>
      </w:r>
      <w:r>
        <w:rPr>
          <w:rFonts w:eastAsia="Calibri" w:cs="Arial"/>
          <w:szCs w:val="20"/>
        </w:rPr>
        <w:t xml:space="preserve">a Evropske centralne banke </w:t>
      </w:r>
      <w:r w:rsidRPr="002A7295">
        <w:rPr>
          <w:rFonts w:eastAsia="Calibri" w:cs="Arial"/>
          <w:szCs w:val="20"/>
        </w:rPr>
        <w:t>za</w:t>
      </w:r>
      <w:r>
        <w:rPr>
          <w:rFonts w:eastAsia="Calibri" w:cs="Arial"/>
          <w:szCs w:val="20"/>
        </w:rPr>
        <w:t xml:space="preserve"> pridobitev kvalificiranega deleža banke.</w:t>
      </w:r>
    </w:p>
    <w:p w:rsidR="00C10CFA" w:rsidRPr="009138DF" w:rsidRDefault="00C10CFA" w:rsidP="00E91CCA">
      <w:pPr>
        <w:jc w:val="both"/>
        <w:rPr>
          <w:rFonts w:eastAsia="Calibri" w:cs="Arial"/>
          <w:szCs w:val="20"/>
        </w:rPr>
      </w:pPr>
      <w:r w:rsidRPr="009138DF">
        <w:rPr>
          <w:rFonts w:eastAsia="Calibri" w:cs="Arial"/>
          <w:b/>
          <w:bCs/>
          <w:szCs w:val="20"/>
        </w:rPr>
        <w:t xml:space="preserve">K </w:t>
      </w:r>
      <w:r>
        <w:rPr>
          <w:rFonts w:eastAsia="Calibri" w:cs="Arial"/>
          <w:b/>
          <w:bCs/>
          <w:szCs w:val="20"/>
        </w:rPr>
        <w:t>8</w:t>
      </w:r>
      <w:r w:rsidRPr="009138DF">
        <w:rPr>
          <w:rFonts w:eastAsia="Calibri" w:cs="Arial"/>
          <w:b/>
          <w:bCs/>
          <w:szCs w:val="20"/>
        </w:rPr>
        <w:t>. členu</w:t>
      </w:r>
    </w:p>
    <w:p w:rsidR="00C10CFA" w:rsidRPr="009138DF" w:rsidRDefault="00C10CFA" w:rsidP="00E91CCA">
      <w:pPr>
        <w:jc w:val="both"/>
        <w:rPr>
          <w:rFonts w:eastAsia="Calibri" w:cs="Arial"/>
          <w:szCs w:val="20"/>
        </w:rPr>
      </w:pPr>
      <w:r>
        <w:rPr>
          <w:rFonts w:eastAsia="Calibri" w:cs="Arial"/>
          <w:szCs w:val="20"/>
        </w:rPr>
        <w:t>S</w:t>
      </w:r>
      <w:r w:rsidRPr="009138DF">
        <w:rPr>
          <w:rFonts w:eastAsia="Calibri" w:cs="Arial"/>
          <w:szCs w:val="20"/>
        </w:rPr>
        <w:t xml:space="preserve"> </w:t>
      </w:r>
      <w:r>
        <w:rPr>
          <w:rFonts w:eastAsia="Calibri" w:cs="Arial"/>
          <w:szCs w:val="20"/>
        </w:rPr>
        <w:t>spremembama</w:t>
      </w:r>
      <w:r w:rsidRPr="009138DF">
        <w:rPr>
          <w:rFonts w:eastAsia="Calibri" w:cs="Arial"/>
          <w:szCs w:val="20"/>
        </w:rPr>
        <w:t xml:space="preserve"> naslova in prvega odstavka 151. člena se besedilo ZRPPB-1 uskladi s popravljenim slovenskim prevodom 71. člena Direktive </w:t>
      </w:r>
      <w:r w:rsidRPr="009138DF">
        <w:rPr>
          <w:rFonts w:cs="Arial"/>
          <w:szCs w:val="20"/>
        </w:rPr>
        <w:t>2014/59/EU</w:t>
      </w:r>
      <w:r>
        <w:rPr>
          <w:rFonts w:cs="Arial"/>
          <w:szCs w:val="20"/>
        </w:rPr>
        <w:t xml:space="preserve">, ki je bila naknadno popravljena </w:t>
      </w:r>
      <w:r w:rsidRPr="00902956">
        <w:rPr>
          <w:szCs w:val="20"/>
        </w:rPr>
        <w:t xml:space="preserve">s </w:t>
      </w:r>
      <w:r>
        <w:rPr>
          <w:szCs w:val="20"/>
        </w:rPr>
        <w:t>P</w:t>
      </w:r>
      <w:r w:rsidRPr="00902956">
        <w:rPr>
          <w:szCs w:val="20"/>
        </w:rPr>
        <w:t>opravkom (UL L št. 92 z dne 30. 3. 2023, str. 3</w:t>
      </w:r>
      <w:r>
        <w:rPr>
          <w:szCs w:val="20"/>
        </w:rPr>
        <w:t>2</w:t>
      </w:r>
      <w:r w:rsidRPr="00902956">
        <w:rPr>
          <w:szCs w:val="20"/>
        </w:rPr>
        <w:t>)</w:t>
      </w:r>
      <w:r>
        <w:rPr>
          <w:szCs w:val="20"/>
        </w:rPr>
        <w:t>.</w:t>
      </w:r>
    </w:p>
    <w:p w:rsidR="00C10CFA" w:rsidRPr="009138DF" w:rsidRDefault="00C10CFA" w:rsidP="00E91CCA">
      <w:pPr>
        <w:jc w:val="both"/>
        <w:rPr>
          <w:rFonts w:eastAsia="Calibri" w:cs="Arial"/>
          <w:szCs w:val="20"/>
        </w:rPr>
      </w:pPr>
      <w:r w:rsidRPr="00B81D35">
        <w:rPr>
          <w:rFonts w:eastAsia="Calibri" w:cs="Arial"/>
          <w:color w:val="FF0000"/>
          <w:szCs w:val="20"/>
        </w:rPr>
        <w:t xml:space="preserve"> </w:t>
      </w:r>
      <w:r w:rsidRPr="009138DF">
        <w:rPr>
          <w:rFonts w:eastAsia="Calibri" w:cs="Arial"/>
          <w:b/>
          <w:bCs/>
          <w:szCs w:val="20"/>
        </w:rPr>
        <w:t xml:space="preserve">K </w:t>
      </w:r>
      <w:r>
        <w:rPr>
          <w:rFonts w:eastAsia="Calibri" w:cs="Arial"/>
          <w:b/>
          <w:bCs/>
          <w:szCs w:val="20"/>
        </w:rPr>
        <w:t>9</w:t>
      </w:r>
      <w:r w:rsidRPr="009138DF">
        <w:rPr>
          <w:rFonts w:eastAsia="Calibri" w:cs="Arial"/>
          <w:b/>
          <w:bCs/>
          <w:szCs w:val="20"/>
        </w:rPr>
        <w:t>. členu</w:t>
      </w:r>
    </w:p>
    <w:p w:rsidR="00C10CFA" w:rsidRDefault="00C10CFA" w:rsidP="00E91CCA">
      <w:pPr>
        <w:jc w:val="both"/>
        <w:rPr>
          <w:szCs w:val="20"/>
        </w:rPr>
      </w:pPr>
      <w:r>
        <w:rPr>
          <w:rFonts w:eastAsia="Calibri" w:cs="Arial"/>
          <w:szCs w:val="20"/>
        </w:rPr>
        <w:t>S spremembo</w:t>
      </w:r>
      <w:r w:rsidRPr="009138DF">
        <w:rPr>
          <w:rFonts w:eastAsia="Calibri" w:cs="Arial"/>
          <w:szCs w:val="20"/>
        </w:rPr>
        <w:t xml:space="preserve"> </w:t>
      </w:r>
      <w:r>
        <w:rPr>
          <w:rFonts w:eastAsia="Calibri" w:cs="Arial"/>
          <w:szCs w:val="20"/>
        </w:rPr>
        <w:t xml:space="preserve">1. točke drugega odstavka 152. člena ZRPPB-1 se besedilo tega člena uskladi z dopolnjenim slovenskim prevodom </w:t>
      </w:r>
      <w:r w:rsidR="00D73DA5">
        <w:rPr>
          <w:rFonts w:eastAsia="Calibri" w:cs="Arial"/>
          <w:szCs w:val="20"/>
        </w:rPr>
        <w:t>triintridesetega</w:t>
      </w:r>
      <w:r>
        <w:rPr>
          <w:rFonts w:eastAsia="Calibri" w:cs="Arial"/>
          <w:szCs w:val="20"/>
        </w:rPr>
        <w:t xml:space="preserve"> odstavka 1. člena </w:t>
      </w:r>
      <w:r w:rsidRPr="005E4A4D">
        <w:rPr>
          <w:rFonts w:cs="Arial"/>
          <w:szCs w:val="20"/>
        </w:rPr>
        <w:t>Direktive 2019/879/EU</w:t>
      </w:r>
      <w:r>
        <w:rPr>
          <w:rFonts w:cs="Arial"/>
          <w:szCs w:val="20"/>
        </w:rPr>
        <w:t xml:space="preserve">, </w:t>
      </w:r>
      <w:r w:rsidR="00D73DA5">
        <w:rPr>
          <w:rFonts w:cs="Arial"/>
          <w:szCs w:val="20"/>
        </w:rPr>
        <w:t xml:space="preserve">v delu, ki se nanaša na točko (a) tretjega odstavka 71.a člena Direktive 2014/59/EU, </w:t>
      </w:r>
      <w:r>
        <w:rPr>
          <w:rFonts w:cs="Arial"/>
          <w:szCs w:val="20"/>
        </w:rPr>
        <w:t xml:space="preserve">ki je bila zaradi manjkajoče besede »pomembno« naknadno popravljena </w:t>
      </w:r>
      <w:r w:rsidRPr="00902956">
        <w:rPr>
          <w:szCs w:val="20"/>
        </w:rPr>
        <w:t xml:space="preserve">s </w:t>
      </w:r>
      <w:r>
        <w:rPr>
          <w:szCs w:val="20"/>
        </w:rPr>
        <w:t>P</w:t>
      </w:r>
      <w:r w:rsidRPr="00902956">
        <w:rPr>
          <w:szCs w:val="20"/>
        </w:rPr>
        <w:t>opravkom (UL L št. 92 z dne 30. 3. 2023, str. 3</w:t>
      </w:r>
      <w:r>
        <w:rPr>
          <w:szCs w:val="20"/>
        </w:rPr>
        <w:t>3</w:t>
      </w:r>
      <w:r w:rsidRPr="00902956">
        <w:rPr>
          <w:szCs w:val="20"/>
        </w:rPr>
        <w:t>)</w:t>
      </w:r>
      <w:r>
        <w:rPr>
          <w:szCs w:val="20"/>
        </w:rPr>
        <w:t>.</w:t>
      </w:r>
    </w:p>
    <w:p w:rsidR="00E91CCA" w:rsidRDefault="00E91CCA" w:rsidP="00E91CCA">
      <w:pPr>
        <w:jc w:val="both"/>
        <w:rPr>
          <w:b/>
          <w:bCs/>
          <w:szCs w:val="20"/>
        </w:rPr>
      </w:pPr>
    </w:p>
    <w:p w:rsidR="00C10CFA" w:rsidRPr="00D91A14" w:rsidRDefault="00C10CFA" w:rsidP="00E91CCA">
      <w:pPr>
        <w:jc w:val="both"/>
        <w:rPr>
          <w:b/>
          <w:bCs/>
          <w:szCs w:val="20"/>
        </w:rPr>
      </w:pPr>
      <w:r w:rsidRPr="00D91A14">
        <w:rPr>
          <w:b/>
          <w:bCs/>
          <w:szCs w:val="20"/>
        </w:rPr>
        <w:t xml:space="preserve">K </w:t>
      </w:r>
      <w:r>
        <w:rPr>
          <w:b/>
          <w:bCs/>
          <w:szCs w:val="20"/>
        </w:rPr>
        <w:t>10</w:t>
      </w:r>
      <w:r w:rsidRPr="00D91A14">
        <w:rPr>
          <w:b/>
          <w:bCs/>
          <w:szCs w:val="20"/>
        </w:rPr>
        <w:t>. členu</w:t>
      </w:r>
    </w:p>
    <w:p w:rsidR="00C10CFA" w:rsidRPr="00D91A14" w:rsidRDefault="00C10CFA" w:rsidP="00E91CCA">
      <w:pPr>
        <w:jc w:val="both"/>
        <w:rPr>
          <w:rFonts w:eastAsia="Calibri" w:cs="Arial"/>
          <w:szCs w:val="20"/>
        </w:rPr>
      </w:pPr>
      <w:r w:rsidRPr="00D91A14">
        <w:rPr>
          <w:rFonts w:eastAsia="Calibri" w:cs="Arial"/>
          <w:szCs w:val="20"/>
        </w:rPr>
        <w:t xml:space="preserve">Člen določa rok za uveljavitev tega zakona. </w:t>
      </w:r>
    </w:p>
    <w:p w:rsidR="00C10CFA" w:rsidRPr="00FF5156" w:rsidRDefault="00C10CFA" w:rsidP="00C10CFA">
      <w:pPr>
        <w:rPr>
          <w:rFonts w:eastAsia="Calibri"/>
          <w:szCs w:val="20"/>
        </w:rPr>
      </w:pPr>
    </w:p>
    <w:p w:rsidR="00C10CFA" w:rsidRPr="00FF5156" w:rsidRDefault="00C10CFA" w:rsidP="00C10CFA">
      <w:pPr>
        <w:rPr>
          <w:rFonts w:cs="Arial"/>
          <w:b/>
          <w:szCs w:val="20"/>
          <w:lang w:eastAsia="sl-SI"/>
        </w:rPr>
      </w:pPr>
      <w:r>
        <w:rPr>
          <w:rFonts w:cs="Arial"/>
          <w:b/>
          <w:szCs w:val="20"/>
          <w:lang w:eastAsia="sl-SI"/>
        </w:rPr>
        <w:br w:type="page"/>
      </w:r>
      <w:r w:rsidRPr="00FF5156">
        <w:rPr>
          <w:rFonts w:cs="Arial"/>
          <w:b/>
          <w:szCs w:val="20"/>
          <w:lang w:eastAsia="sl-SI"/>
        </w:rPr>
        <w:lastRenderedPageBreak/>
        <w:t>IV. BESEDILO ČLENOV, KI SE SPREMINJAJO</w:t>
      </w:r>
    </w:p>
    <w:p w:rsidR="00C10CFA" w:rsidRPr="00912A0E" w:rsidRDefault="00C10CFA" w:rsidP="00C10CFA">
      <w:pPr>
        <w:overflowPunct w:val="0"/>
        <w:autoSpaceDE w:val="0"/>
        <w:autoSpaceDN w:val="0"/>
        <w:adjustRightInd w:val="0"/>
        <w:textAlignment w:val="baseline"/>
        <w:rPr>
          <w:rFonts w:cs="Arial"/>
          <w:b/>
          <w:szCs w:val="20"/>
          <w:lang w:eastAsia="sl-SI"/>
        </w:rPr>
      </w:pPr>
    </w:p>
    <w:p w:rsidR="00C10CFA" w:rsidRPr="00912A0E" w:rsidRDefault="00C10CFA" w:rsidP="00C10CFA">
      <w:pPr>
        <w:jc w:val="center"/>
        <w:rPr>
          <w:rFonts w:cs="Arial"/>
          <w:b/>
          <w:bCs/>
          <w:szCs w:val="20"/>
          <w:lang w:eastAsia="sl-SI"/>
        </w:rPr>
      </w:pPr>
      <w:r w:rsidRPr="00912A0E">
        <w:rPr>
          <w:rFonts w:cs="Arial"/>
          <w:b/>
          <w:bCs/>
          <w:szCs w:val="20"/>
          <w:lang w:eastAsia="sl-SI"/>
        </w:rPr>
        <w:t>2. člen</w:t>
      </w:r>
    </w:p>
    <w:p w:rsidR="00C10CFA" w:rsidRPr="00B56B33" w:rsidRDefault="00C10CFA" w:rsidP="00C10CFA">
      <w:pPr>
        <w:pStyle w:val="lennaslov"/>
        <w:spacing w:line="260" w:lineRule="exact"/>
        <w:rPr>
          <w:sz w:val="20"/>
          <w:szCs w:val="20"/>
        </w:rPr>
      </w:pPr>
      <w:r w:rsidRPr="00B56B33">
        <w:rPr>
          <w:sz w:val="20"/>
          <w:szCs w:val="20"/>
        </w:rPr>
        <w:t>(področje uporabe zakona)</w:t>
      </w:r>
    </w:p>
    <w:p w:rsidR="00C10CFA" w:rsidRPr="00B56B33" w:rsidRDefault="00C10CFA" w:rsidP="00C10CFA">
      <w:pPr>
        <w:pStyle w:val="Odstavek"/>
        <w:spacing w:before="0" w:line="260" w:lineRule="exact"/>
        <w:rPr>
          <w:sz w:val="20"/>
          <w:szCs w:val="20"/>
        </w:rPr>
      </w:pPr>
      <w:r w:rsidRPr="00B56B33">
        <w:rPr>
          <w:sz w:val="20"/>
          <w:szCs w:val="20"/>
        </w:rPr>
        <w:t>(1) Postopki in ukrepi za reševanje se v skladu s tem zakonom in Uredbo 806/2014/EU uporabijo v razmerju do naslednjih subjektov, ki imajo sedež v Republiki Sloveniji ali so</w:t>
      </w:r>
      <w:bookmarkStart w:id="10" w:name="_GoBack"/>
      <w:bookmarkEnd w:id="10"/>
      <w:r w:rsidRPr="00B56B33">
        <w:rPr>
          <w:sz w:val="20"/>
          <w:szCs w:val="20"/>
        </w:rPr>
        <w:t xml:space="preserve"> v njej ustanovljeni:</w:t>
      </w:r>
    </w:p>
    <w:p w:rsidR="00C10CFA" w:rsidRPr="00B56B33" w:rsidRDefault="00C10CFA" w:rsidP="00C10CFA">
      <w:pPr>
        <w:pStyle w:val="tevilnatoka"/>
        <w:numPr>
          <w:ilvl w:val="0"/>
          <w:numId w:val="17"/>
        </w:numPr>
        <w:spacing w:line="260" w:lineRule="exact"/>
        <w:rPr>
          <w:sz w:val="20"/>
          <w:szCs w:val="20"/>
        </w:rPr>
      </w:pPr>
      <w:r w:rsidRPr="00B56B33">
        <w:rPr>
          <w:sz w:val="20"/>
          <w:szCs w:val="20"/>
        </w:rPr>
        <w:t>bank;</w:t>
      </w:r>
    </w:p>
    <w:p w:rsidR="00C10CFA" w:rsidRPr="00B56B33" w:rsidRDefault="00C10CFA" w:rsidP="00C10CFA">
      <w:pPr>
        <w:pStyle w:val="tevilnatoka"/>
        <w:numPr>
          <w:ilvl w:val="0"/>
          <w:numId w:val="17"/>
        </w:numPr>
        <w:spacing w:line="260" w:lineRule="exact"/>
        <w:rPr>
          <w:sz w:val="20"/>
          <w:szCs w:val="20"/>
        </w:rPr>
      </w:pPr>
      <w:r w:rsidRPr="00B56B33">
        <w:rPr>
          <w:sz w:val="20"/>
          <w:szCs w:val="20"/>
        </w:rPr>
        <w:t>finančnih institucij, ki so podrejene družbe kreditne institucije ali finančnega holdinga, mešanega finančnega holdinga ali mešanega poslovnega holdinga s sedežem v državi članici ter so vključene v nadzor nadrejene družbe na konsolidirani podlagi v skladu s 6. do 17. členom Uredbe (EU) št. 575/2013 Evropskega parlamenta in Sveta z dne 26. junija 2013 o bonitetnih zahtevah za kreditne institucije in investicijska podjetja ter o spremembi Uredbe (EU) št. 648/2012 (UL L št. 176 z dne 27. 6. 2013, str. 1), zadnjič spremenjene z Uredbo (EU) 2020/873 Evropskega parlamenta in Sveta z dne 24. junija 2020 o spremembi uredb (EU) št. 575/2013 in (EU) 2019/876 glede nekaterih prilagoditev zaradi pandemije COVID-19 (UL L št. 204 z dne 26. 6. 2020, str. 4), zadnjič popravljeno s Popravkom (UL L št. 335 z dne 13. 10. 2020, str. 20), (v nadaljnjem besedilu: Uredba 575/2013/EU);</w:t>
      </w:r>
    </w:p>
    <w:p w:rsidR="00C10CFA" w:rsidRPr="00B56B33" w:rsidRDefault="00C10CFA" w:rsidP="00C10CFA">
      <w:pPr>
        <w:pStyle w:val="tevilnatoka"/>
        <w:numPr>
          <w:ilvl w:val="0"/>
          <w:numId w:val="17"/>
        </w:numPr>
        <w:spacing w:line="260" w:lineRule="exact"/>
        <w:rPr>
          <w:sz w:val="20"/>
          <w:szCs w:val="20"/>
        </w:rPr>
      </w:pPr>
      <w:r w:rsidRPr="00B56B33">
        <w:rPr>
          <w:sz w:val="20"/>
          <w:szCs w:val="20"/>
        </w:rPr>
        <w:t>finančnega holdinga, mešanega finančnega holdinga ali mešanega poslovnega holdinga, ki je podrejen kreditni instituciji s sedežem v državi članici;</w:t>
      </w:r>
    </w:p>
    <w:p w:rsidR="00C10CFA" w:rsidRPr="00B56B33" w:rsidRDefault="00C10CFA" w:rsidP="00C10CFA">
      <w:pPr>
        <w:pStyle w:val="tevilnatoka"/>
        <w:numPr>
          <w:ilvl w:val="0"/>
          <w:numId w:val="17"/>
        </w:numPr>
        <w:spacing w:line="260" w:lineRule="exact"/>
        <w:rPr>
          <w:sz w:val="20"/>
          <w:szCs w:val="20"/>
        </w:rPr>
      </w:pPr>
      <w:r w:rsidRPr="00B56B33">
        <w:rPr>
          <w:sz w:val="20"/>
          <w:szCs w:val="20"/>
        </w:rPr>
        <w:t>finančnega holdinga, mešanega finančnega holdinga in mešanega poslovnega holdinga, ki je nadrejen kreditni instituciji s sedežem v državi članici;</w:t>
      </w:r>
    </w:p>
    <w:p w:rsidR="00C10CFA" w:rsidRPr="00B56B33" w:rsidRDefault="00C10CFA" w:rsidP="00C10CFA">
      <w:pPr>
        <w:pStyle w:val="tevilnatoka"/>
        <w:numPr>
          <w:ilvl w:val="0"/>
          <w:numId w:val="17"/>
        </w:numPr>
        <w:spacing w:line="260" w:lineRule="exact"/>
        <w:rPr>
          <w:sz w:val="20"/>
          <w:szCs w:val="20"/>
        </w:rPr>
      </w:pPr>
      <w:r w:rsidRPr="00B56B33">
        <w:rPr>
          <w:sz w:val="20"/>
          <w:szCs w:val="20"/>
        </w:rPr>
        <w:t>EU podružnic v Republiki Sloveniji.</w:t>
      </w:r>
    </w:p>
    <w:p w:rsidR="00C10CFA" w:rsidRPr="00B56B33" w:rsidRDefault="00C10CFA" w:rsidP="00C10CFA">
      <w:pPr>
        <w:pStyle w:val="Odstavek"/>
        <w:spacing w:before="0" w:line="260" w:lineRule="exact"/>
        <w:rPr>
          <w:sz w:val="20"/>
          <w:szCs w:val="20"/>
        </w:rPr>
      </w:pPr>
      <w:r w:rsidRPr="00B56B33">
        <w:rPr>
          <w:sz w:val="20"/>
          <w:szCs w:val="20"/>
        </w:rPr>
        <w:t>(2) Kadar ta zakon uporablja izraz »subjekt reševanja«, se ta izraz uporablja kot skupni izraz za subjekte iz 1. do 4. točke prejšnjega odstavka.</w:t>
      </w:r>
    </w:p>
    <w:p w:rsidR="00C10CFA" w:rsidRPr="00AB1AF4" w:rsidRDefault="00C10CFA" w:rsidP="00C10CFA">
      <w:pPr>
        <w:jc w:val="center"/>
        <w:rPr>
          <w:b/>
          <w:bCs/>
          <w:szCs w:val="20"/>
        </w:rPr>
      </w:pPr>
      <w:r w:rsidRPr="00AB1AF4">
        <w:rPr>
          <w:b/>
          <w:bCs/>
          <w:szCs w:val="20"/>
        </w:rPr>
        <w:t>3. člen</w:t>
      </w:r>
    </w:p>
    <w:p w:rsidR="00C10CFA" w:rsidRPr="00707AB2" w:rsidRDefault="00C10CFA" w:rsidP="00C10CFA">
      <w:pPr>
        <w:pStyle w:val="lennaslov"/>
        <w:spacing w:line="260" w:lineRule="exact"/>
        <w:rPr>
          <w:rFonts w:cs="Times New Roman"/>
          <w:bCs/>
          <w:sz w:val="20"/>
          <w:szCs w:val="20"/>
          <w:lang w:eastAsia="zh-CN"/>
        </w:rPr>
      </w:pPr>
      <w:r w:rsidRPr="00707AB2">
        <w:rPr>
          <w:rFonts w:cs="Times New Roman"/>
          <w:bCs/>
          <w:sz w:val="20"/>
          <w:szCs w:val="20"/>
          <w:lang w:eastAsia="zh-CN"/>
        </w:rPr>
        <w:t>(prenos in izvajanje aktov Evropske unije)</w:t>
      </w:r>
    </w:p>
    <w:p w:rsidR="00C10CFA" w:rsidRPr="00707AB2" w:rsidRDefault="00C10CFA" w:rsidP="00C10CFA">
      <w:pPr>
        <w:pStyle w:val="Odstavek"/>
        <w:spacing w:before="0" w:line="260" w:lineRule="exact"/>
        <w:rPr>
          <w:sz w:val="20"/>
          <w:szCs w:val="20"/>
        </w:rPr>
      </w:pPr>
      <w:r w:rsidRPr="00707AB2">
        <w:rPr>
          <w:sz w:val="20"/>
          <w:szCs w:val="20"/>
        </w:rPr>
        <w:t>(1) S tem zakonom se v pravni red Republike Slovenije prenašata:</w:t>
      </w:r>
    </w:p>
    <w:p w:rsidR="00C10CFA" w:rsidRPr="00707AB2" w:rsidRDefault="00C10CFA" w:rsidP="00C10CFA">
      <w:pPr>
        <w:pStyle w:val="tevilnatoka"/>
        <w:numPr>
          <w:ilvl w:val="0"/>
          <w:numId w:val="18"/>
        </w:numPr>
        <w:spacing w:line="260" w:lineRule="exact"/>
        <w:rPr>
          <w:rFonts w:cs="Times New Roman"/>
          <w:sz w:val="20"/>
          <w:szCs w:val="20"/>
          <w:lang w:eastAsia="zh-CN"/>
        </w:rPr>
      </w:pPr>
      <w:r w:rsidRPr="00707AB2">
        <w:rPr>
          <w:rFonts w:cs="Times New Roman"/>
          <w:sz w:val="20"/>
          <w:szCs w:val="20"/>
          <w:lang w:eastAsia="zh-CN"/>
        </w:rPr>
        <w:t>Direktiva 2001/24/ES Evropskega parlamenta in Sveta z dne 4. aprila 2001 o reorganizaciji in prenehanju kreditnih institucij (UL L št. 125 z dne 5. 5. 2001, str. 15), zadnjič spremenjena z Direktivo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(v nadaljnjem besedilu: Direktiva 2001/24/ES) in</w:t>
      </w:r>
    </w:p>
    <w:p w:rsidR="00C10CFA" w:rsidRPr="00707AB2" w:rsidRDefault="00C10CFA" w:rsidP="00C10CFA">
      <w:pPr>
        <w:pStyle w:val="tevilnatoka"/>
        <w:numPr>
          <w:ilvl w:val="0"/>
          <w:numId w:val="18"/>
        </w:numPr>
        <w:spacing w:line="260" w:lineRule="exact"/>
        <w:rPr>
          <w:rFonts w:cs="Times New Roman"/>
          <w:sz w:val="20"/>
          <w:szCs w:val="20"/>
          <w:lang w:eastAsia="zh-CN"/>
        </w:rPr>
      </w:pPr>
      <w:r w:rsidRPr="00707AB2">
        <w:rPr>
          <w:rFonts w:cs="Times New Roman"/>
          <w:sz w:val="20"/>
          <w:szCs w:val="20"/>
          <w:lang w:eastAsia="zh-CN"/>
        </w:rPr>
        <w:t>Direktiva 2014/59/EU Evropskega parlamenta in Sveta z dne 15. maja 2014 o vzpostavitvi okvira za sanacijo ter reševanje kreditnih institucij in investicijskih podjetij ter o spremembi Šeste direktive Sveta 82/891/EGS ter direktiv 2001/24/ES, 2002/47/ES, 2004/25/ES, 2005/56/ES, 2007/36/ES, 2011/35/EU, 2012/30/EU in 2013/36/EU in uredb (EU) št. 1093/2010 ter (EU) št. 648/2012 Evropskega parlamenta in Sveta (UL L št. 173 z dne 12. 6. 2014, str. 190), zadnjič spremenjena z Direktivo 2019/2162/EU Evropskega parlamenta in Sveta z dne 27. novembra 2019 o izdajanju kritih obveznic in javnem nadzoru kritih obveznic ter o spremembi direktiv 2009/65/ES in 2014/59/EU (UL L št. 328 z dne 18. 12. 2019, str. 29), zadnjič popravljeno s Popravkom (UL L št. 283 z dne 31. 8. 2020, str. 2), (v nadaljnjem besedilu: Direktiva 2014/59/EU).</w:t>
      </w:r>
    </w:p>
    <w:p w:rsidR="00C10CFA" w:rsidRPr="00707AB2" w:rsidRDefault="00C10CFA" w:rsidP="00C10CFA">
      <w:pPr>
        <w:pStyle w:val="Odstavek"/>
        <w:spacing w:before="0" w:line="260" w:lineRule="exact"/>
        <w:rPr>
          <w:sz w:val="20"/>
          <w:szCs w:val="20"/>
        </w:rPr>
      </w:pPr>
      <w:r w:rsidRPr="00707AB2">
        <w:rPr>
          <w:sz w:val="20"/>
          <w:szCs w:val="20"/>
        </w:rPr>
        <w:t>(2) S tem zakonom se podrobneje ureja izvajanje Uredbe 806/2014/EU.</w:t>
      </w:r>
    </w:p>
    <w:p w:rsidR="00C10CFA" w:rsidRDefault="00C10CFA" w:rsidP="00C10CFA">
      <w:pPr>
        <w:jc w:val="center"/>
        <w:rPr>
          <w:rFonts w:cs="Arial"/>
          <w:b/>
          <w:bCs/>
          <w:szCs w:val="20"/>
          <w:lang w:eastAsia="sl-SI"/>
        </w:rPr>
      </w:pPr>
    </w:p>
    <w:p w:rsidR="00C10CFA" w:rsidRPr="00912A0E" w:rsidRDefault="00C10CFA" w:rsidP="00C10CFA">
      <w:pPr>
        <w:jc w:val="center"/>
        <w:rPr>
          <w:rFonts w:cs="Arial"/>
          <w:b/>
          <w:bCs/>
          <w:szCs w:val="20"/>
          <w:lang w:eastAsia="sl-SI"/>
        </w:rPr>
      </w:pPr>
    </w:p>
    <w:p w:rsidR="00C10CFA" w:rsidRPr="00AB1AF4" w:rsidRDefault="00C10CFA" w:rsidP="00C10CFA">
      <w:pPr>
        <w:pStyle w:val="len"/>
        <w:spacing w:before="0" w:line="260" w:lineRule="exact"/>
        <w:rPr>
          <w:sz w:val="20"/>
          <w:szCs w:val="20"/>
        </w:rPr>
      </w:pPr>
      <w:r w:rsidRPr="00AB1AF4">
        <w:rPr>
          <w:sz w:val="20"/>
          <w:szCs w:val="20"/>
        </w:rPr>
        <w:t>31. člen</w:t>
      </w:r>
    </w:p>
    <w:p w:rsidR="00C10CFA" w:rsidRPr="00AB1AF4" w:rsidRDefault="00C10CFA" w:rsidP="00C10CFA">
      <w:pPr>
        <w:pStyle w:val="lennaslov"/>
        <w:spacing w:line="260" w:lineRule="exact"/>
        <w:rPr>
          <w:sz w:val="20"/>
          <w:szCs w:val="20"/>
        </w:rPr>
      </w:pPr>
      <w:r w:rsidRPr="00AB1AF4">
        <w:rPr>
          <w:sz w:val="20"/>
          <w:szCs w:val="20"/>
        </w:rPr>
        <w:t>(prepoved izplačil)</w:t>
      </w:r>
    </w:p>
    <w:p w:rsidR="00C10CFA" w:rsidRPr="00AB1AF4" w:rsidRDefault="00C10CFA" w:rsidP="00C10CFA">
      <w:pPr>
        <w:pStyle w:val="Odstavek"/>
        <w:spacing w:before="0" w:line="260" w:lineRule="exact"/>
        <w:rPr>
          <w:sz w:val="20"/>
          <w:szCs w:val="20"/>
        </w:rPr>
      </w:pPr>
      <w:r w:rsidRPr="00AB1AF4">
        <w:rPr>
          <w:sz w:val="20"/>
          <w:szCs w:val="20"/>
        </w:rPr>
        <w:t xml:space="preserve">(1) Banka Slovenije lahko pod pogoji iz drugega odstavka tega člena banki prepove izplačila, ki presegajo največji možni znesek za razdelitev v zvezi z minimalno zahtevo glede </w:t>
      </w:r>
      <w:r w:rsidRPr="00AB1AF4">
        <w:rPr>
          <w:sz w:val="20"/>
          <w:szCs w:val="20"/>
        </w:rPr>
        <w:lastRenderedPageBreak/>
        <w:t>kapitala in kvalificiranih obveznosti (v nadaljnjem besedilu: znesek M-MDA), izračunan v skladu z 32. členom tega zakona, ki jih banka izvede v obliki:</w:t>
      </w:r>
    </w:p>
    <w:p w:rsidR="00C10CFA" w:rsidRPr="00AB1AF4" w:rsidRDefault="00C10CFA" w:rsidP="00C10CFA">
      <w:pPr>
        <w:pStyle w:val="tevilnatoka"/>
        <w:numPr>
          <w:ilvl w:val="0"/>
          <w:numId w:val="21"/>
        </w:numPr>
        <w:spacing w:line="260" w:lineRule="exact"/>
        <w:rPr>
          <w:sz w:val="20"/>
          <w:szCs w:val="20"/>
        </w:rPr>
      </w:pPr>
      <w:r w:rsidRPr="00AB1AF4">
        <w:rPr>
          <w:sz w:val="20"/>
          <w:szCs w:val="20"/>
        </w:rPr>
        <w:t>izplačil v zvezi z navadnim lastniškim temeljnim kapitalom;</w:t>
      </w:r>
    </w:p>
    <w:p w:rsidR="00C10CFA" w:rsidRPr="00AB1AF4" w:rsidRDefault="00C10CFA" w:rsidP="00C10CFA">
      <w:pPr>
        <w:pStyle w:val="tevilnatoka"/>
        <w:numPr>
          <w:ilvl w:val="0"/>
          <w:numId w:val="21"/>
        </w:numPr>
        <w:spacing w:line="260" w:lineRule="exact"/>
        <w:rPr>
          <w:sz w:val="20"/>
          <w:szCs w:val="20"/>
        </w:rPr>
      </w:pPr>
      <w:r w:rsidRPr="00AB1AF4">
        <w:rPr>
          <w:sz w:val="20"/>
          <w:szCs w:val="20"/>
        </w:rPr>
        <w:t>vzpostavitve obveznosti za izplačilo variabilnih prejemkov ali diskrecijskih pokojninskih ugodnosti oziroma izplačilo variabilnih prejemkov, pri katerih je obveznost za plačilo nastala, ko banka ni izpolnjevala zahteve po skupnem blažilniku, ali</w:t>
      </w:r>
    </w:p>
    <w:p w:rsidR="00C10CFA" w:rsidRPr="00AB1AF4" w:rsidRDefault="00C10CFA" w:rsidP="00C10CFA">
      <w:pPr>
        <w:pStyle w:val="tevilnatoka"/>
        <w:numPr>
          <w:ilvl w:val="0"/>
          <w:numId w:val="21"/>
        </w:numPr>
        <w:spacing w:line="260" w:lineRule="exact"/>
        <w:rPr>
          <w:sz w:val="20"/>
          <w:szCs w:val="20"/>
        </w:rPr>
      </w:pPr>
      <w:r w:rsidRPr="00AB1AF4">
        <w:rPr>
          <w:sz w:val="20"/>
          <w:szCs w:val="20"/>
        </w:rPr>
        <w:t>izplačil v zvezi z instrumenti dodatnega temeljnega kapitala.</w:t>
      </w:r>
    </w:p>
    <w:p w:rsidR="00C10CFA" w:rsidRPr="00AB1AF4" w:rsidRDefault="00C10CFA" w:rsidP="00C10CFA">
      <w:pPr>
        <w:pStyle w:val="Odstavek"/>
        <w:spacing w:before="0" w:line="260" w:lineRule="exact"/>
        <w:rPr>
          <w:sz w:val="20"/>
          <w:szCs w:val="20"/>
        </w:rPr>
      </w:pPr>
      <w:r w:rsidRPr="00AB1AF4">
        <w:rPr>
          <w:sz w:val="20"/>
          <w:szCs w:val="20"/>
        </w:rPr>
        <w:t>(2) Banka Slovenije banki prepove izplačila iz prejšnjega odstavka, če je banka v položaju, da ne izpolnjuje zahteve po skupnem blažilniku, ko se ta zahteva upošteva poleg minimalne zahteve glede kapitala in kvalificiranih obveznosti, ki je določena v skladu s tem zakonom in izražena kot odstotek mere skupne izpostavljenosti banke, ki se izračuna v skladu s 429. in 429.a členom Uredbe 575/2013/EU.</w:t>
      </w:r>
    </w:p>
    <w:p w:rsidR="00C10CFA" w:rsidRPr="00AB1AF4" w:rsidRDefault="00C10CFA" w:rsidP="00C10CFA">
      <w:pPr>
        <w:pStyle w:val="Odstavek"/>
        <w:spacing w:before="0" w:line="260" w:lineRule="exact"/>
        <w:rPr>
          <w:sz w:val="20"/>
          <w:szCs w:val="20"/>
        </w:rPr>
      </w:pPr>
      <w:r w:rsidRPr="00AB1AF4">
        <w:rPr>
          <w:sz w:val="20"/>
          <w:szCs w:val="20"/>
        </w:rPr>
        <w:t>(3) Banka nemudoma obvesti Banko Slovenije o nastanku okoliščin iz prejšnjega odstavka.</w:t>
      </w:r>
    </w:p>
    <w:p w:rsidR="00C10CFA" w:rsidRPr="00AB1AF4" w:rsidRDefault="00C10CFA" w:rsidP="00C10CFA">
      <w:pPr>
        <w:pStyle w:val="Odstavek"/>
        <w:spacing w:before="0" w:line="260" w:lineRule="exact"/>
        <w:rPr>
          <w:sz w:val="20"/>
          <w:szCs w:val="20"/>
        </w:rPr>
      </w:pPr>
      <w:r w:rsidRPr="00AB1AF4">
        <w:rPr>
          <w:sz w:val="20"/>
          <w:szCs w:val="20"/>
        </w:rPr>
        <w:t>(4) Če Banka Slovenije ugotovi okoliščine iz drugega odstavka tega člena, brez nepotrebnega odlašanja oceni, ali bo banki prepovedala izplačila iz prvega odstavka tega člena, in pri tej oceni upošteva vse naslednje dejavnike:</w:t>
      </w:r>
    </w:p>
    <w:p w:rsidR="00C10CFA" w:rsidRPr="00AB1AF4" w:rsidRDefault="00C10CFA" w:rsidP="00C10CFA">
      <w:pPr>
        <w:pStyle w:val="tevilnatoka"/>
        <w:numPr>
          <w:ilvl w:val="0"/>
          <w:numId w:val="19"/>
        </w:numPr>
        <w:spacing w:line="260" w:lineRule="exact"/>
        <w:rPr>
          <w:sz w:val="20"/>
          <w:szCs w:val="20"/>
        </w:rPr>
      </w:pPr>
      <w:r w:rsidRPr="00AB1AF4">
        <w:rPr>
          <w:sz w:val="20"/>
          <w:szCs w:val="20"/>
        </w:rPr>
        <w:t>razlog, trajanje in obseg neizpolnjevanja zahteve po skupnem blažilniku ter vpliv tega na rešljivost banke;</w:t>
      </w:r>
    </w:p>
    <w:p w:rsidR="00C10CFA" w:rsidRPr="00AB1AF4" w:rsidRDefault="00C10CFA" w:rsidP="00C10CFA">
      <w:pPr>
        <w:pStyle w:val="tevilnatoka"/>
        <w:numPr>
          <w:ilvl w:val="0"/>
          <w:numId w:val="19"/>
        </w:numPr>
        <w:spacing w:line="260" w:lineRule="exact"/>
        <w:rPr>
          <w:sz w:val="20"/>
          <w:szCs w:val="20"/>
        </w:rPr>
      </w:pPr>
      <w:r w:rsidRPr="00AB1AF4">
        <w:rPr>
          <w:sz w:val="20"/>
          <w:szCs w:val="20"/>
        </w:rPr>
        <w:t>razvoj finančnega položaja banke in verjetnost, da bi banka v bližnji prihodnosti izpolnila pogoj iz 1. točke prvega odstavka 68. člena tega zakona;</w:t>
      </w:r>
    </w:p>
    <w:p w:rsidR="00C10CFA" w:rsidRPr="00AB1AF4" w:rsidRDefault="00C10CFA" w:rsidP="00C10CFA">
      <w:pPr>
        <w:pStyle w:val="tevilnatoka"/>
        <w:numPr>
          <w:ilvl w:val="0"/>
          <w:numId w:val="19"/>
        </w:numPr>
        <w:spacing w:line="260" w:lineRule="exact"/>
        <w:rPr>
          <w:sz w:val="20"/>
          <w:szCs w:val="20"/>
        </w:rPr>
      </w:pPr>
      <w:r w:rsidRPr="00AB1AF4">
        <w:rPr>
          <w:sz w:val="20"/>
          <w:szCs w:val="20"/>
        </w:rPr>
        <w:t>možnost, da bo banka lahko v razumnem roku zagotovila izpolnjevanje zahtev iz drugega odstavka tega člena;</w:t>
      </w:r>
    </w:p>
    <w:p w:rsidR="00C10CFA" w:rsidRPr="00AB1AF4" w:rsidRDefault="00C10CFA" w:rsidP="00C10CFA">
      <w:pPr>
        <w:pStyle w:val="tevilnatoka"/>
        <w:numPr>
          <w:ilvl w:val="0"/>
          <w:numId w:val="19"/>
        </w:numPr>
        <w:spacing w:line="260" w:lineRule="exact"/>
        <w:rPr>
          <w:sz w:val="20"/>
          <w:szCs w:val="20"/>
        </w:rPr>
      </w:pPr>
      <w:r w:rsidRPr="00AB1AF4">
        <w:rPr>
          <w:sz w:val="20"/>
          <w:szCs w:val="20"/>
        </w:rPr>
        <w:t>ali je nezmožnost banke, da nadomesti obveznosti, ki ne izpolnjujejo več meril primernosti ali zapadlosti iz 72.b ali 72.c člena Uredbe 575/2013/EU ali iz 50. in 58. člena tega zakona, omejena na posamezni primer ali je posledica motenj na trgu;</w:t>
      </w:r>
    </w:p>
    <w:p w:rsidR="00C10CFA" w:rsidRPr="00AB1AF4" w:rsidRDefault="00C10CFA" w:rsidP="00C10CFA">
      <w:pPr>
        <w:pStyle w:val="tevilnatoka"/>
        <w:numPr>
          <w:ilvl w:val="0"/>
          <w:numId w:val="19"/>
        </w:numPr>
        <w:spacing w:line="260" w:lineRule="exact"/>
        <w:rPr>
          <w:sz w:val="20"/>
          <w:szCs w:val="20"/>
        </w:rPr>
      </w:pPr>
      <w:r w:rsidRPr="00AB1AF4">
        <w:rPr>
          <w:sz w:val="20"/>
          <w:szCs w:val="20"/>
        </w:rPr>
        <w:t>ali je prepoved izplačil iz prvega odstavka tega člena, ob upoštevanju morebitnega vpliva takšne prepovedi na pogoje financiranja banke in njeno rešljivost, najprimernejše in sorazmerno sredstvo za rešitev položaja te banke.</w:t>
      </w:r>
    </w:p>
    <w:p w:rsidR="00C10CFA" w:rsidRPr="00AB1AF4" w:rsidRDefault="00C10CFA" w:rsidP="00C10CFA">
      <w:pPr>
        <w:pStyle w:val="Odstavek"/>
        <w:spacing w:before="0" w:line="260" w:lineRule="exact"/>
        <w:rPr>
          <w:sz w:val="20"/>
          <w:szCs w:val="20"/>
        </w:rPr>
      </w:pPr>
      <w:r w:rsidRPr="00AB1AF4">
        <w:rPr>
          <w:sz w:val="20"/>
          <w:szCs w:val="20"/>
        </w:rPr>
        <w:t>(5) Banka Slovenije oceno iz prejšnjega odstavka ponovi najmanj enkrat na mesec, dokler so pri banki izkazane okoliščine iz drugega odstavka tega člena. Ne glede na prejšnji odstavek Banka Slovenije banki prepove izplačila v skladu s prvim odstavkom tega člena, če so pri banki devet mesecev zatem, ko je obvestila Banko Slovenije, še vedno podane okoliščine iz drugega odstavka tega člena, razen če na podlagi ocene ugotovi, da sta izpolnjena vsaj dva od naslednjih pogojev:</w:t>
      </w:r>
    </w:p>
    <w:p w:rsidR="00C10CFA" w:rsidRPr="00AB1AF4" w:rsidRDefault="00C10CFA" w:rsidP="00C10CFA">
      <w:pPr>
        <w:pStyle w:val="tevilnatoka"/>
        <w:numPr>
          <w:ilvl w:val="0"/>
          <w:numId w:val="20"/>
        </w:numPr>
        <w:spacing w:line="260" w:lineRule="exact"/>
        <w:rPr>
          <w:sz w:val="20"/>
          <w:szCs w:val="20"/>
        </w:rPr>
      </w:pPr>
      <w:r w:rsidRPr="00AB1AF4">
        <w:rPr>
          <w:sz w:val="20"/>
          <w:szCs w:val="20"/>
        </w:rPr>
        <w:t>neizpolnjevanje zahteve po skupnem blažilniku je posledica resne motnje v delovanju finančnih trgov, kar povzroča vsesplošni pretres finančnega trga v več segmentih finančnih trgov;</w:t>
      </w:r>
    </w:p>
    <w:p w:rsidR="00C10CFA" w:rsidRPr="00AB1AF4" w:rsidRDefault="00C10CFA" w:rsidP="00C10CFA">
      <w:pPr>
        <w:pStyle w:val="tevilnatoka"/>
        <w:numPr>
          <w:ilvl w:val="0"/>
          <w:numId w:val="20"/>
        </w:numPr>
        <w:spacing w:line="260" w:lineRule="exact"/>
        <w:rPr>
          <w:sz w:val="20"/>
          <w:szCs w:val="20"/>
        </w:rPr>
      </w:pPr>
      <w:r w:rsidRPr="00AB1AF4">
        <w:rPr>
          <w:sz w:val="20"/>
          <w:szCs w:val="20"/>
        </w:rPr>
        <w:t>motnja iz prejšnje točke ne pomeni le večjega nihanja cen kapitalskih instrumentov in instrumentov kvalificiranih obveznosti banke ali višjih stroškov zanjo, temveč privede tudi do popolnega ali delnega zaprtja trgov, zaradi česar banka na teh trgih ne more izdati kapitalskih instrumentov in instrumentov kvalificiranih obveznosti;</w:t>
      </w:r>
    </w:p>
    <w:p w:rsidR="00C10CFA" w:rsidRPr="00AB1AF4" w:rsidRDefault="00C10CFA" w:rsidP="00C10CFA">
      <w:pPr>
        <w:pStyle w:val="tevilnatoka"/>
        <w:numPr>
          <w:ilvl w:val="0"/>
          <w:numId w:val="20"/>
        </w:numPr>
        <w:spacing w:line="260" w:lineRule="exact"/>
        <w:rPr>
          <w:sz w:val="20"/>
          <w:szCs w:val="20"/>
        </w:rPr>
      </w:pPr>
      <w:r w:rsidRPr="00AB1AF4">
        <w:rPr>
          <w:sz w:val="20"/>
          <w:szCs w:val="20"/>
        </w:rPr>
        <w:t>zaprtje trga iz prejšnje točke je ugotovljeno tudi za več drugih subjektov;</w:t>
      </w:r>
    </w:p>
    <w:p w:rsidR="00C10CFA" w:rsidRPr="00AB1AF4" w:rsidRDefault="00C10CFA" w:rsidP="00C10CFA">
      <w:pPr>
        <w:pStyle w:val="tevilnatoka"/>
        <w:numPr>
          <w:ilvl w:val="0"/>
          <w:numId w:val="20"/>
        </w:numPr>
        <w:spacing w:line="260" w:lineRule="exact"/>
        <w:rPr>
          <w:sz w:val="20"/>
          <w:szCs w:val="20"/>
        </w:rPr>
      </w:pPr>
      <w:r w:rsidRPr="00AB1AF4">
        <w:rPr>
          <w:sz w:val="20"/>
          <w:szCs w:val="20"/>
        </w:rPr>
        <w:t>zaradi motnje iz 1. točke tega odstavka banka ne more izdati kapitalskih instrumentov in instrumentov kvalificiranih obveznosti, da bi lahko izpolnila zahtevo po skupnem blažilniku, ali</w:t>
      </w:r>
    </w:p>
    <w:p w:rsidR="00C10CFA" w:rsidRPr="00AB1AF4" w:rsidRDefault="00C10CFA" w:rsidP="00C10CFA">
      <w:pPr>
        <w:pStyle w:val="tevilnatoka"/>
        <w:numPr>
          <w:ilvl w:val="0"/>
          <w:numId w:val="20"/>
        </w:numPr>
        <w:spacing w:line="260" w:lineRule="exact"/>
        <w:rPr>
          <w:sz w:val="20"/>
          <w:szCs w:val="20"/>
        </w:rPr>
      </w:pPr>
      <w:r w:rsidRPr="00AB1AF4">
        <w:rPr>
          <w:sz w:val="20"/>
          <w:szCs w:val="20"/>
        </w:rPr>
        <w:t>prepoved izplačil iz prvega odstavka tega člena bi lahko povzročila negativne učinke za del bančnega sektorja, ki bi lahko ogrozili finančno stabilnost.</w:t>
      </w:r>
    </w:p>
    <w:p w:rsidR="00C10CFA" w:rsidRPr="00AB1AF4" w:rsidRDefault="00C10CFA" w:rsidP="00C10CFA">
      <w:pPr>
        <w:pStyle w:val="Odstavek"/>
        <w:spacing w:before="0" w:line="260" w:lineRule="exact"/>
        <w:rPr>
          <w:sz w:val="20"/>
          <w:szCs w:val="20"/>
        </w:rPr>
      </w:pPr>
      <w:r w:rsidRPr="00AB1AF4">
        <w:rPr>
          <w:sz w:val="20"/>
          <w:szCs w:val="20"/>
        </w:rPr>
        <w:t>(6) Banka Slovenije oceno iz prejšnjega odstavka glede uporabe izjeme ponovi najmanj enkrat na mesec.</w:t>
      </w:r>
    </w:p>
    <w:p w:rsidR="00C10CFA" w:rsidRPr="00912A0E" w:rsidRDefault="00C10CFA" w:rsidP="00C10CFA">
      <w:pPr>
        <w:rPr>
          <w:rFonts w:eastAsia="Calibri" w:cs="Arial"/>
          <w:b/>
          <w:bCs/>
          <w:szCs w:val="20"/>
        </w:rPr>
      </w:pPr>
    </w:p>
    <w:p w:rsidR="00C10CFA" w:rsidRDefault="00C10CFA" w:rsidP="00C10CFA">
      <w:pPr>
        <w:rPr>
          <w:rFonts w:eastAsia="Calibri" w:cs="Arial"/>
          <w:b/>
          <w:bCs/>
          <w:szCs w:val="20"/>
        </w:rPr>
      </w:pPr>
    </w:p>
    <w:p w:rsidR="00C10CFA" w:rsidRPr="00CB20FA" w:rsidRDefault="00C10CFA" w:rsidP="00C10CFA">
      <w:pPr>
        <w:pStyle w:val="len"/>
        <w:spacing w:before="0" w:line="260" w:lineRule="exact"/>
        <w:rPr>
          <w:sz w:val="20"/>
          <w:szCs w:val="20"/>
        </w:rPr>
      </w:pPr>
      <w:r w:rsidRPr="00CB20FA">
        <w:rPr>
          <w:sz w:val="20"/>
          <w:szCs w:val="20"/>
        </w:rPr>
        <w:t>56. člen</w:t>
      </w:r>
    </w:p>
    <w:p w:rsidR="00C10CFA" w:rsidRPr="00CB20FA" w:rsidRDefault="00C10CFA" w:rsidP="00C10CFA">
      <w:pPr>
        <w:pStyle w:val="lennaslov"/>
        <w:spacing w:line="260" w:lineRule="exact"/>
        <w:rPr>
          <w:sz w:val="20"/>
          <w:szCs w:val="20"/>
        </w:rPr>
      </w:pPr>
      <w:r w:rsidRPr="00CB20FA">
        <w:rPr>
          <w:sz w:val="20"/>
          <w:szCs w:val="20"/>
        </w:rPr>
        <w:lastRenderedPageBreak/>
        <w:t>(določitev minimalne zahteve glede kapitala in kvalificiranih obveznosti za subjekte v postopku reševanja v okviru GSPB in pomembne podrejene družbe)</w:t>
      </w:r>
    </w:p>
    <w:p w:rsidR="00C10CFA" w:rsidRPr="00CB20FA" w:rsidRDefault="00C10CFA" w:rsidP="00C10CFA">
      <w:pPr>
        <w:pStyle w:val="Odstavek"/>
        <w:spacing w:before="0" w:line="260" w:lineRule="exact"/>
        <w:rPr>
          <w:sz w:val="20"/>
          <w:szCs w:val="20"/>
        </w:rPr>
      </w:pPr>
      <w:r w:rsidRPr="00CB20FA">
        <w:rPr>
          <w:sz w:val="20"/>
          <w:szCs w:val="20"/>
        </w:rPr>
        <w:t>(1) Za subjekt v postopku reševanja, ki je globalna sistemsko pomembna banka, ki jo na konsolidirani podlagi kot globalno sistemsko pomembno banko opredeli Banka Slovenije v skladu z zakonom, ki ureja bančništvo, in Uredbo 1024/2013/EU (v nadaljnjem besedilu: GSPB), ali del GSPB, minimalna zahteva glede kapitala in kvalificiranih obveznosti vključuje:</w:t>
      </w:r>
    </w:p>
    <w:p w:rsidR="00C10CFA" w:rsidRPr="00CB20FA" w:rsidRDefault="00C10CFA" w:rsidP="00C10CFA">
      <w:pPr>
        <w:pStyle w:val="tevilnatoka"/>
        <w:numPr>
          <w:ilvl w:val="0"/>
          <w:numId w:val="22"/>
        </w:numPr>
        <w:spacing w:line="260" w:lineRule="exact"/>
        <w:rPr>
          <w:sz w:val="20"/>
          <w:szCs w:val="20"/>
        </w:rPr>
      </w:pPr>
      <w:r w:rsidRPr="00CB20FA">
        <w:rPr>
          <w:sz w:val="20"/>
          <w:szCs w:val="20"/>
        </w:rPr>
        <w:t>zahteve iz 92.a in 494. člena Uredbe 575/2013/EU ter</w:t>
      </w:r>
    </w:p>
    <w:p w:rsidR="00C10CFA" w:rsidRPr="00CB20FA" w:rsidRDefault="00C10CFA" w:rsidP="00C10CFA">
      <w:pPr>
        <w:pStyle w:val="tevilnatoka"/>
        <w:numPr>
          <w:ilvl w:val="0"/>
          <w:numId w:val="22"/>
        </w:numPr>
        <w:spacing w:line="260" w:lineRule="exact"/>
        <w:rPr>
          <w:sz w:val="20"/>
          <w:szCs w:val="20"/>
        </w:rPr>
      </w:pPr>
      <w:r w:rsidRPr="00CB20FA">
        <w:rPr>
          <w:sz w:val="20"/>
          <w:szCs w:val="20"/>
        </w:rPr>
        <w:t>vsako dodatno zahtevo glede kapitala in kvalificiranih obveznosti, ki jo je določila Banka Slovenije posebej v zvezi s tem subjektom v skladu s tretjim odstavkom tega člena.</w:t>
      </w:r>
    </w:p>
    <w:p w:rsidR="00C10CFA" w:rsidRPr="00CB20FA" w:rsidRDefault="00C10CFA" w:rsidP="00C10CFA">
      <w:pPr>
        <w:pStyle w:val="Odstavek"/>
        <w:spacing w:before="0" w:line="260" w:lineRule="exact"/>
        <w:rPr>
          <w:sz w:val="20"/>
          <w:szCs w:val="20"/>
        </w:rPr>
      </w:pPr>
      <w:r w:rsidRPr="00CB20FA">
        <w:rPr>
          <w:sz w:val="20"/>
          <w:szCs w:val="20"/>
        </w:rPr>
        <w:t>(2) Minimalna zahteva glede kapitala in kvalificiranih obveznosti za pomembno podrejeno družbo s sedežem v Republiki Sloveniji v okviru GSPB iz tretje države vključuje:</w:t>
      </w:r>
    </w:p>
    <w:p w:rsidR="00C10CFA" w:rsidRPr="00CB20FA" w:rsidRDefault="00C10CFA" w:rsidP="00C10CFA">
      <w:pPr>
        <w:pStyle w:val="tevilnatoka"/>
        <w:numPr>
          <w:ilvl w:val="0"/>
          <w:numId w:val="23"/>
        </w:numPr>
        <w:spacing w:line="260" w:lineRule="exact"/>
        <w:rPr>
          <w:sz w:val="20"/>
          <w:szCs w:val="20"/>
        </w:rPr>
      </w:pPr>
      <w:r w:rsidRPr="00CB20FA">
        <w:rPr>
          <w:sz w:val="20"/>
          <w:szCs w:val="20"/>
        </w:rPr>
        <w:t>zahteve iz 92.b in 494. člena Uredbe 575/2013/EU ter</w:t>
      </w:r>
    </w:p>
    <w:p w:rsidR="00C10CFA" w:rsidRPr="00CB20FA" w:rsidRDefault="00C10CFA" w:rsidP="00C10CFA">
      <w:pPr>
        <w:pStyle w:val="tevilnatoka"/>
        <w:numPr>
          <w:ilvl w:val="0"/>
          <w:numId w:val="23"/>
        </w:numPr>
        <w:spacing w:line="260" w:lineRule="exact"/>
        <w:rPr>
          <w:sz w:val="20"/>
          <w:szCs w:val="20"/>
        </w:rPr>
      </w:pPr>
      <w:r w:rsidRPr="00CB20FA">
        <w:rPr>
          <w:sz w:val="20"/>
          <w:szCs w:val="20"/>
        </w:rPr>
        <w:t>vsako dodatno zahtevo glede kapitala in kvalificiranih obveznosti, ki jo je določila Banka Slovenije posebej v zvezi s to pomembno podrejeno družbo v skladu s tretjim odstavkom tega člena ter se mora izpolniti z uporabo kapitala in obveznosti, ki izpolnjujejo pogoje iz 58. in 59. člena ter drugega in tretjega odstavka 165. člena tega zakona.</w:t>
      </w:r>
    </w:p>
    <w:p w:rsidR="00C10CFA" w:rsidRPr="00CB20FA" w:rsidRDefault="00C10CFA" w:rsidP="00C10CFA">
      <w:pPr>
        <w:pStyle w:val="Odstavek"/>
        <w:spacing w:before="0" w:line="260" w:lineRule="exact"/>
        <w:rPr>
          <w:sz w:val="20"/>
          <w:szCs w:val="20"/>
        </w:rPr>
      </w:pPr>
      <w:r w:rsidRPr="00CB20FA">
        <w:rPr>
          <w:sz w:val="20"/>
          <w:szCs w:val="20"/>
        </w:rPr>
        <w:t>(3) Banka Slovenije naloži dodatno zahtevo glede kapitala in kvalificiranih obveznosti iz 2. točke prvega odstavka tega člena in 2. točke prejšnjega odstavka le, če zahteva iz 1. točke prvega odstavka tega člena ali 1. točke prejšnjega odstavka ne zadostuje za izpolnitev pogojev iz 52. do 55. člena tega zakona, ter v obsegu, ki zagotavlja izpolnitev pogojev iz 52. do 55. člena tega zakona.</w:t>
      </w:r>
    </w:p>
    <w:p w:rsidR="00C10CFA" w:rsidRPr="00CB20FA" w:rsidRDefault="00C10CFA" w:rsidP="00C10CFA">
      <w:pPr>
        <w:pStyle w:val="Odstavek"/>
        <w:spacing w:before="0" w:line="260" w:lineRule="exact"/>
        <w:rPr>
          <w:sz w:val="20"/>
          <w:szCs w:val="20"/>
        </w:rPr>
      </w:pPr>
      <w:r w:rsidRPr="00CB20FA">
        <w:rPr>
          <w:sz w:val="20"/>
          <w:szCs w:val="20"/>
        </w:rPr>
        <w:t>(4) Kadar je več subjektov GSPB, ki pripadajo isti GSPB, subjektov v postopku reševanja, se z upoštevanjem 61. člena tega zakona znesek iz prejšnjega odstavka določi:</w:t>
      </w:r>
    </w:p>
    <w:p w:rsidR="00C10CFA" w:rsidRPr="00CB20FA" w:rsidRDefault="00C10CFA" w:rsidP="00C10CFA">
      <w:pPr>
        <w:pStyle w:val="tevilnatoka"/>
        <w:numPr>
          <w:ilvl w:val="0"/>
          <w:numId w:val="24"/>
        </w:numPr>
        <w:spacing w:line="260" w:lineRule="exact"/>
        <w:rPr>
          <w:sz w:val="20"/>
          <w:szCs w:val="20"/>
        </w:rPr>
      </w:pPr>
      <w:r w:rsidRPr="00CB20FA">
        <w:rPr>
          <w:sz w:val="20"/>
          <w:szCs w:val="20"/>
        </w:rPr>
        <w:t>za vsak subjekt v postopku reševanja;</w:t>
      </w:r>
    </w:p>
    <w:p w:rsidR="00C10CFA" w:rsidRPr="00CB20FA" w:rsidRDefault="00C10CFA" w:rsidP="00C10CFA">
      <w:pPr>
        <w:pStyle w:val="tevilnatoka"/>
        <w:numPr>
          <w:ilvl w:val="0"/>
          <w:numId w:val="24"/>
        </w:numPr>
        <w:spacing w:line="260" w:lineRule="exact"/>
        <w:rPr>
          <w:sz w:val="20"/>
          <w:szCs w:val="20"/>
        </w:rPr>
      </w:pPr>
      <w:r w:rsidRPr="00CB20FA">
        <w:rPr>
          <w:sz w:val="20"/>
          <w:szCs w:val="20"/>
        </w:rPr>
        <w:t>za nadrejeni subjekt v EU, kot če bi bil edini subjekt GSPB v postopku reševanja.</w:t>
      </w:r>
    </w:p>
    <w:p w:rsidR="00C10CFA" w:rsidRPr="00CB20FA" w:rsidRDefault="00C10CFA" w:rsidP="00C10CFA">
      <w:pPr>
        <w:pStyle w:val="Odstavek"/>
        <w:spacing w:before="0" w:line="260" w:lineRule="exact"/>
        <w:rPr>
          <w:sz w:val="20"/>
          <w:szCs w:val="20"/>
        </w:rPr>
      </w:pPr>
      <w:r w:rsidRPr="00CB20FA">
        <w:rPr>
          <w:sz w:val="20"/>
          <w:szCs w:val="20"/>
        </w:rPr>
        <w:t>(5) Banka Slovenije vsako odločitev, s katero naloži dodatno zahtevo glede kapitala in kvalificiranih obveznosti na podlagi 2. točke prvega odstavka tega člena ali 2. točke drugega odstavka tega člena, obrazloži ter preverja njeno ustreznost, da zagotovi ustrezno upoštevanje morebitnih sprememb v zvezi z zahtevo na podlagi zakona, ki ureja bančništvo, glede zagotovitve dodatno potrebnega kapitala, ki presega zahteve iz Uredbe 575/2013/EU, ki velja za skupino v postopku reševanja ali pomembno podrejeno družbo v EU v okviru GSPB zunaj EU.</w:t>
      </w:r>
    </w:p>
    <w:p w:rsidR="00C10CFA" w:rsidRDefault="00C10CFA" w:rsidP="00C10CFA">
      <w:pPr>
        <w:rPr>
          <w:rFonts w:eastAsia="Calibri" w:cs="Arial"/>
          <w:b/>
          <w:bCs/>
          <w:szCs w:val="20"/>
        </w:rPr>
      </w:pPr>
    </w:p>
    <w:p w:rsidR="00C10CFA" w:rsidRPr="00244E9C" w:rsidRDefault="00C10CFA" w:rsidP="00C10CFA">
      <w:pPr>
        <w:pStyle w:val="len"/>
        <w:spacing w:before="0" w:line="260" w:lineRule="exact"/>
        <w:rPr>
          <w:sz w:val="20"/>
          <w:szCs w:val="20"/>
        </w:rPr>
      </w:pPr>
      <w:r w:rsidRPr="00244E9C">
        <w:rPr>
          <w:sz w:val="20"/>
          <w:szCs w:val="20"/>
        </w:rPr>
        <w:t>61. člen</w:t>
      </w:r>
    </w:p>
    <w:p w:rsidR="00C10CFA" w:rsidRPr="00244E9C" w:rsidRDefault="00C10CFA" w:rsidP="00C10CFA">
      <w:pPr>
        <w:pStyle w:val="lennaslov"/>
        <w:spacing w:line="260" w:lineRule="exact"/>
        <w:rPr>
          <w:sz w:val="20"/>
          <w:szCs w:val="20"/>
        </w:rPr>
      </w:pPr>
      <w:r w:rsidRPr="00244E9C">
        <w:rPr>
          <w:sz w:val="20"/>
          <w:szCs w:val="20"/>
        </w:rPr>
        <w:t>(postopek za določitev minimalne zahteve glede kapitala in kvalificiranih obveznosti)</w:t>
      </w:r>
    </w:p>
    <w:p w:rsidR="00C10CFA" w:rsidRPr="00244E9C" w:rsidRDefault="00C10CFA" w:rsidP="00C10CFA">
      <w:pPr>
        <w:pStyle w:val="Odstavek"/>
        <w:spacing w:before="0" w:line="260" w:lineRule="exact"/>
        <w:rPr>
          <w:sz w:val="20"/>
          <w:szCs w:val="20"/>
        </w:rPr>
      </w:pPr>
      <w:r w:rsidRPr="00244E9C">
        <w:rPr>
          <w:sz w:val="20"/>
          <w:szCs w:val="20"/>
        </w:rPr>
        <w:t>(1) Banka Slovenije, kadar je pristojna za reševanje subjekta v postopku reševanja, za reševanje na ravni skupine ali za reševanje podrejenih družb skupine v postopku reševanja, za katere velja zahteva iz 58. oziroma 59. člena tega zakona na posamični podlagi, si v sodelovanju z drugimi organi, pristojnimi za reševanje subjektov v skupini, prizadeva, da organi najpozneje v štirih mesecih od začetka postopka za določitev minimalne zahteve glede kapitala in kvalificiranih obveznosti sprejmejo obrazloženo skupno odločitev v skladu z določbami 57. do 59. člena tega zakona o:</w:t>
      </w:r>
    </w:p>
    <w:p w:rsidR="00C10CFA" w:rsidRPr="00244E9C" w:rsidRDefault="00C10CFA" w:rsidP="00C10CFA">
      <w:pPr>
        <w:pStyle w:val="tevilnatoka"/>
        <w:numPr>
          <w:ilvl w:val="0"/>
          <w:numId w:val="29"/>
        </w:numPr>
        <w:spacing w:line="260" w:lineRule="exact"/>
        <w:rPr>
          <w:sz w:val="20"/>
          <w:szCs w:val="20"/>
        </w:rPr>
      </w:pPr>
      <w:r w:rsidRPr="00244E9C">
        <w:rPr>
          <w:sz w:val="20"/>
          <w:szCs w:val="20"/>
        </w:rPr>
        <w:t>znesku minimalne zahteve glede kapitala in kvalificiranih obveznosti, ki se uporablja na konsolidirani ravni skupine v postopku reševanja za vsak subjekt v postopku reševanja, in</w:t>
      </w:r>
    </w:p>
    <w:p w:rsidR="00C10CFA" w:rsidRPr="00244E9C" w:rsidRDefault="00C10CFA" w:rsidP="00C10CFA">
      <w:pPr>
        <w:pStyle w:val="tevilnatoka"/>
        <w:numPr>
          <w:ilvl w:val="0"/>
          <w:numId w:val="29"/>
        </w:numPr>
        <w:spacing w:line="260" w:lineRule="exact"/>
        <w:rPr>
          <w:sz w:val="20"/>
          <w:szCs w:val="20"/>
        </w:rPr>
      </w:pPr>
      <w:r w:rsidRPr="00244E9C">
        <w:rPr>
          <w:sz w:val="20"/>
          <w:szCs w:val="20"/>
        </w:rPr>
        <w:t>znesku minimalne zahteve glede kapitala in kvalificiranih obveznosti, ki se uporablja na posamični podlagi za vsak subjekt skupine v postopku reševanja, ki ni subjekt v postopku reševanja.</w:t>
      </w:r>
    </w:p>
    <w:p w:rsidR="00C10CFA" w:rsidRPr="00244E9C" w:rsidRDefault="00C10CFA" w:rsidP="00C10CFA">
      <w:pPr>
        <w:pStyle w:val="Odstavek"/>
        <w:spacing w:before="0" w:line="260" w:lineRule="exact"/>
        <w:rPr>
          <w:sz w:val="20"/>
          <w:szCs w:val="20"/>
        </w:rPr>
      </w:pPr>
      <w:r w:rsidRPr="00244E9C">
        <w:rPr>
          <w:sz w:val="20"/>
          <w:szCs w:val="20"/>
        </w:rPr>
        <w:t>(2) Banka Slovenije obrazloženo skupno odločitev iz prejšnjega odstavka predloži:</w:t>
      </w:r>
    </w:p>
    <w:p w:rsidR="00C10CFA" w:rsidRPr="00244E9C" w:rsidRDefault="00C10CFA" w:rsidP="00C10CFA">
      <w:pPr>
        <w:pStyle w:val="tevilnatoka"/>
        <w:numPr>
          <w:ilvl w:val="0"/>
          <w:numId w:val="30"/>
        </w:numPr>
        <w:spacing w:line="260" w:lineRule="exact"/>
        <w:rPr>
          <w:sz w:val="20"/>
          <w:szCs w:val="20"/>
        </w:rPr>
      </w:pPr>
      <w:r w:rsidRPr="00244E9C">
        <w:rPr>
          <w:sz w:val="20"/>
          <w:szCs w:val="20"/>
        </w:rPr>
        <w:t>subjektu v postopku reševanja, kadar je Banka Slovenije pristojna za reševanje tega subjekta;</w:t>
      </w:r>
    </w:p>
    <w:p w:rsidR="00C10CFA" w:rsidRPr="00244E9C" w:rsidRDefault="00C10CFA" w:rsidP="00C10CFA">
      <w:pPr>
        <w:pStyle w:val="tevilnatoka"/>
        <w:numPr>
          <w:ilvl w:val="0"/>
          <w:numId w:val="30"/>
        </w:numPr>
        <w:spacing w:line="260" w:lineRule="exact"/>
        <w:rPr>
          <w:sz w:val="20"/>
          <w:szCs w:val="20"/>
        </w:rPr>
      </w:pPr>
      <w:r w:rsidRPr="00244E9C">
        <w:rPr>
          <w:sz w:val="20"/>
          <w:szCs w:val="20"/>
        </w:rPr>
        <w:t>subjektom skupine v postopku reševanja, ki niso subjekti v postopku reševanja, kadar je Banka Slovenije pristojna za reševanje teh subjektov;</w:t>
      </w:r>
    </w:p>
    <w:p w:rsidR="00C10CFA" w:rsidRPr="00244E9C" w:rsidRDefault="00C10CFA" w:rsidP="00C10CFA">
      <w:pPr>
        <w:pStyle w:val="tevilnatoka"/>
        <w:numPr>
          <w:ilvl w:val="0"/>
          <w:numId w:val="30"/>
        </w:numPr>
        <w:spacing w:line="260" w:lineRule="exact"/>
        <w:rPr>
          <w:sz w:val="20"/>
          <w:szCs w:val="20"/>
        </w:rPr>
      </w:pPr>
      <w:r w:rsidRPr="00244E9C">
        <w:rPr>
          <w:sz w:val="20"/>
          <w:szCs w:val="20"/>
        </w:rPr>
        <w:lastRenderedPageBreak/>
        <w:t>EU nadrejeni družbi skupine, kadar je Banka Slovenije pristojna za reševanje subjekta v postopku reševanja, če EU nadrejena družba sama ni subjekt v postopku reševanja iz iste skupine v postopku reševanja.</w:t>
      </w:r>
    </w:p>
    <w:p w:rsidR="00C10CFA" w:rsidRPr="00244E9C" w:rsidRDefault="00C10CFA" w:rsidP="00C10CFA">
      <w:pPr>
        <w:pStyle w:val="Odstavek"/>
        <w:spacing w:before="0" w:line="260" w:lineRule="exact"/>
        <w:rPr>
          <w:sz w:val="20"/>
          <w:szCs w:val="20"/>
        </w:rPr>
      </w:pPr>
      <w:r w:rsidRPr="00244E9C">
        <w:rPr>
          <w:sz w:val="20"/>
          <w:szCs w:val="20"/>
        </w:rPr>
        <w:t>(3) V skupni odločitvi, sprejeti v skladu s tem členom, je lahko določeno, da zadevna podrejena družba minimalno zahtevo glede kapitala in kvalificiranih obveznosti, kadar je to v skladu s strategijo reševanja in če subjekt v postopku reševanja ni neposredno ali posredno kupil dovolj instrumentov, ki izpolnjujejo zahteve iz petega in šestega odstavka 58. člena tega zakona, delno izpolnjuje z instrumenti, ki se izdajo in prodajo subjektom, ki niso del skupine v postopku reševanja.</w:t>
      </w:r>
    </w:p>
    <w:p w:rsidR="00C10CFA" w:rsidRPr="00244E9C" w:rsidRDefault="00C10CFA" w:rsidP="00C10CFA">
      <w:pPr>
        <w:pStyle w:val="Odstavek"/>
        <w:spacing w:before="0" w:line="260" w:lineRule="exact"/>
        <w:rPr>
          <w:sz w:val="20"/>
          <w:szCs w:val="20"/>
        </w:rPr>
      </w:pPr>
      <w:r w:rsidRPr="00244E9C">
        <w:rPr>
          <w:sz w:val="20"/>
          <w:szCs w:val="20"/>
        </w:rPr>
        <w:t>(4) Kadar je več kot en GSPB opredeljen kot subjekt v postopku reševanja in pripada isti GSPB, lahko organi za reševanje iz prvega odstavka tega člena v skladu s strategijo reševanja GSPB odločijo tudi o uporabi 72.e člena Uredbe 575/2013/EU in morebitnih prilagoditvah za čim večje zmanjšanje ali odpravo razlike med vsoto zneskov iz 1. točke četrtega odstavka 56. člena tega zakona in 12.a člena Uredbe 575/2013/EU za posamezne subjekte v postopku reševanja ter vsoto zneskov iz 2. točke četrtega odstavka 56. člena tega zakona in 12.a člena Uredbe 575/2013/EU. Prilagoditve se:</w:t>
      </w:r>
    </w:p>
    <w:p w:rsidR="00C10CFA" w:rsidRPr="00244E9C" w:rsidRDefault="00C10CFA" w:rsidP="00C10CFA">
      <w:pPr>
        <w:pStyle w:val="tevilnatoka"/>
        <w:numPr>
          <w:ilvl w:val="0"/>
          <w:numId w:val="31"/>
        </w:numPr>
        <w:spacing w:line="260" w:lineRule="exact"/>
        <w:rPr>
          <w:sz w:val="20"/>
          <w:szCs w:val="20"/>
        </w:rPr>
      </w:pPr>
      <w:r w:rsidRPr="00244E9C">
        <w:rPr>
          <w:sz w:val="20"/>
          <w:szCs w:val="20"/>
        </w:rPr>
        <w:t>lahko uporabijo v zvezi z razlikami v izračunu zneskov skupne izpostavljenosti tveganju med zadevnimi državami članicami, in sicer tako, da se prilagodi raven minimalne zahteve glede kapitala in kvalificiranih obveznosti;</w:t>
      </w:r>
    </w:p>
    <w:p w:rsidR="00C10CFA" w:rsidRPr="00244E9C" w:rsidRDefault="00C10CFA" w:rsidP="00C10CFA">
      <w:pPr>
        <w:pStyle w:val="tevilnatoka"/>
        <w:numPr>
          <w:ilvl w:val="0"/>
          <w:numId w:val="31"/>
        </w:numPr>
        <w:spacing w:line="260" w:lineRule="exact"/>
        <w:rPr>
          <w:sz w:val="20"/>
          <w:szCs w:val="20"/>
        </w:rPr>
      </w:pPr>
      <w:r w:rsidRPr="00244E9C">
        <w:rPr>
          <w:sz w:val="20"/>
          <w:szCs w:val="20"/>
        </w:rPr>
        <w:t>ne uporabijo za odpravo razlik, nastalih zaradi izpostavljenosti med skupinami v postopku reševanja.</w:t>
      </w:r>
    </w:p>
    <w:p w:rsidR="00C10CFA" w:rsidRPr="00244E9C" w:rsidRDefault="00C10CFA" w:rsidP="00C10CFA">
      <w:pPr>
        <w:pStyle w:val="Odstavek"/>
        <w:spacing w:before="0" w:line="260" w:lineRule="exact"/>
        <w:rPr>
          <w:sz w:val="20"/>
          <w:szCs w:val="20"/>
        </w:rPr>
      </w:pPr>
      <w:r w:rsidRPr="00244E9C">
        <w:rPr>
          <w:sz w:val="20"/>
          <w:szCs w:val="20"/>
        </w:rPr>
        <w:t>(5) Vsota zneskov iz 1. točke četrtega odstavka 56. člena tega zakona in 12.a člena Uredbe 575/2013/EU za posamezne subjekte v postopku reševanja ne sme biti nižja od vsote zneskov iz 2. točke četrtega odstavka 56. člena tega zakona in 12.a člena Uredbe 575/2013/EU.</w:t>
      </w:r>
    </w:p>
    <w:p w:rsidR="00C10CFA" w:rsidRPr="00244E9C" w:rsidRDefault="00C10CFA" w:rsidP="00C10CFA">
      <w:pPr>
        <w:pStyle w:val="Odstavek"/>
        <w:spacing w:before="0" w:line="260" w:lineRule="exact"/>
        <w:rPr>
          <w:sz w:val="20"/>
          <w:szCs w:val="20"/>
        </w:rPr>
      </w:pPr>
      <w:r w:rsidRPr="00244E9C">
        <w:rPr>
          <w:sz w:val="20"/>
          <w:szCs w:val="20"/>
        </w:rPr>
        <w:t>(6) Če skupna odločitev iz prvega odstavka tega člena zaradi nestrinjanja glede konsolidirane zahteve v zvezi z minimalno zahtevo glede kapitala in kvalificiranih obveznosti iz 57. člena tega zakona za skupino v postopku reševanja ni sprejeta v štirih mesecih, Banka Slovenije, kadar je pristojna za reševanje subjekta v postopku reševanja, odločitev o navedeni zahtevi sprejme sama ob ustreznem upoštevanju:</w:t>
      </w:r>
    </w:p>
    <w:p w:rsidR="00C10CFA" w:rsidRPr="00244E9C" w:rsidRDefault="00C10CFA" w:rsidP="00C10CFA">
      <w:pPr>
        <w:pStyle w:val="tevilnatoka"/>
        <w:numPr>
          <w:ilvl w:val="0"/>
          <w:numId w:val="25"/>
        </w:numPr>
        <w:spacing w:line="260" w:lineRule="exact"/>
        <w:rPr>
          <w:sz w:val="20"/>
          <w:szCs w:val="20"/>
        </w:rPr>
      </w:pPr>
      <w:r w:rsidRPr="00244E9C">
        <w:rPr>
          <w:sz w:val="20"/>
          <w:szCs w:val="20"/>
        </w:rPr>
        <w:t>ocene subjektov skupine v postopku reševanja, ki niso subjekti v postopku reševanja, ki jo opravijo drugi pristojni organi za reševanje;</w:t>
      </w:r>
    </w:p>
    <w:p w:rsidR="00C10CFA" w:rsidRPr="00244E9C" w:rsidRDefault="00C10CFA" w:rsidP="00C10CFA">
      <w:pPr>
        <w:pStyle w:val="tevilnatoka"/>
        <w:numPr>
          <w:ilvl w:val="0"/>
          <w:numId w:val="25"/>
        </w:numPr>
        <w:spacing w:line="260" w:lineRule="exact"/>
        <w:rPr>
          <w:sz w:val="20"/>
          <w:szCs w:val="20"/>
        </w:rPr>
      </w:pPr>
      <w:r w:rsidRPr="00244E9C">
        <w:rPr>
          <w:sz w:val="20"/>
          <w:szCs w:val="20"/>
        </w:rPr>
        <w:t>mnenja organa za reševanje, pristojnega na ravni skupine, če ta organ ni Banka Slovenije.</w:t>
      </w:r>
    </w:p>
    <w:p w:rsidR="00C10CFA" w:rsidRPr="00244E9C" w:rsidRDefault="00C10CFA" w:rsidP="00C10CFA">
      <w:pPr>
        <w:pStyle w:val="Odstavek"/>
        <w:spacing w:before="0" w:line="260" w:lineRule="exact"/>
        <w:rPr>
          <w:sz w:val="20"/>
          <w:szCs w:val="20"/>
        </w:rPr>
      </w:pPr>
      <w:r w:rsidRPr="00244E9C">
        <w:rPr>
          <w:sz w:val="20"/>
          <w:szCs w:val="20"/>
        </w:rPr>
        <w:t>(7) Kadar pred koncem štirimesečnega obdobja kateri koli od zadevnih organov za reševanje v skladu z 19. členom Uredbe 1093/2010/EU zadevo predloži Evropskemu bančnemu organu, Banka Slovenije svojo odločitev iz prejšnjega odstavka odloži in počaka na odločitev, ki jo Evropski bančni organ lahko sprejme v skladu s tretjim odstavkom 19. člena Uredbe 1093/2010/EU ter z upoštevanjem 1. in 2. točke prejšnjega odstavka, nato pa svojo odločitev sprejme v skladu z odločitvijo Evropskega bančnega organa. Po izteku štirimesečnega obdobja za sprejetje skupne odločitve oziroma po sprejetju skupne odločitve zadeve ni več mogoče predložiti Evropskemu bančnemu organu. Če Evropski bančni organ svoje odločitve ne sprejme v enem mesecu od predložitve, Banka Slovenije odloči v skladu s prejšnjim odstavkom.</w:t>
      </w:r>
    </w:p>
    <w:p w:rsidR="00C10CFA" w:rsidRPr="00244E9C" w:rsidRDefault="00C10CFA" w:rsidP="00C10CFA">
      <w:pPr>
        <w:pStyle w:val="Odstavek"/>
        <w:spacing w:before="0" w:line="260" w:lineRule="exact"/>
        <w:rPr>
          <w:sz w:val="20"/>
          <w:szCs w:val="20"/>
        </w:rPr>
      </w:pPr>
      <w:r w:rsidRPr="00244E9C">
        <w:rPr>
          <w:sz w:val="20"/>
          <w:szCs w:val="20"/>
        </w:rPr>
        <w:t>(8) Če skupna odločitev iz prvega odstavka tega člena zaradi nestrinjanja glede ravni zahteve iz 58. oziroma 59. člena tega zakona, ki jo je treba na posamični podlagi uporabiti za kateri koli subjekt skupine v postopku reševanja, ni sprejeta v štirih mesecih, Banka Slovenije, kadar je pristojna za reševanje navedenega subjekta, sprejme odločitev ob ustreznem upoštevanju:</w:t>
      </w:r>
    </w:p>
    <w:p w:rsidR="00C10CFA" w:rsidRPr="00244E9C" w:rsidRDefault="00C10CFA" w:rsidP="00C10CFA">
      <w:pPr>
        <w:pStyle w:val="tevilnatoka"/>
        <w:numPr>
          <w:ilvl w:val="0"/>
          <w:numId w:val="26"/>
        </w:numPr>
        <w:spacing w:line="260" w:lineRule="exact"/>
        <w:rPr>
          <w:sz w:val="20"/>
          <w:szCs w:val="20"/>
        </w:rPr>
      </w:pPr>
      <w:r w:rsidRPr="00244E9C">
        <w:rPr>
          <w:sz w:val="20"/>
          <w:szCs w:val="20"/>
        </w:rPr>
        <w:t>mnenj in pomislekov, ki jih je pisno izrazil drug organ za reševanje subjekta v postopku reševanja, ter</w:t>
      </w:r>
    </w:p>
    <w:p w:rsidR="00C10CFA" w:rsidRPr="00244E9C" w:rsidRDefault="00C10CFA" w:rsidP="00C10CFA">
      <w:pPr>
        <w:pStyle w:val="tevilnatoka"/>
        <w:numPr>
          <w:ilvl w:val="0"/>
          <w:numId w:val="26"/>
        </w:numPr>
        <w:spacing w:line="260" w:lineRule="exact"/>
        <w:rPr>
          <w:sz w:val="20"/>
          <w:szCs w:val="20"/>
        </w:rPr>
      </w:pPr>
      <w:r w:rsidRPr="00244E9C">
        <w:rPr>
          <w:sz w:val="20"/>
          <w:szCs w:val="20"/>
        </w:rPr>
        <w:t>mnenj in pomislekov, ki jih je pisno izrazil organ za reševanje, pristojen na ravni skupine, če ta organ ni Banka Slovenije.</w:t>
      </w:r>
    </w:p>
    <w:p w:rsidR="00C10CFA" w:rsidRPr="00244E9C" w:rsidRDefault="00C10CFA" w:rsidP="00C10CFA">
      <w:pPr>
        <w:pStyle w:val="Odstavek"/>
        <w:spacing w:before="0" w:line="260" w:lineRule="exact"/>
        <w:rPr>
          <w:sz w:val="20"/>
          <w:szCs w:val="20"/>
        </w:rPr>
      </w:pPr>
      <w:r w:rsidRPr="00244E9C">
        <w:rPr>
          <w:sz w:val="20"/>
          <w:szCs w:val="20"/>
        </w:rPr>
        <w:t xml:space="preserve">(9) Kadar pred koncem štirimesečnega obdobja kateri koli organ za reševanje subjekta v postopku reševanja ali organ za reševanje, pristojen na ravni skupine, v skladu z 19. členom Uredbe 1093/2010/EU zadevo predloži Evropskemu bančnemu organu, Banka Slovenije, </w:t>
      </w:r>
      <w:r w:rsidRPr="00244E9C">
        <w:rPr>
          <w:sz w:val="20"/>
          <w:szCs w:val="20"/>
        </w:rPr>
        <w:lastRenderedPageBreak/>
        <w:t>kadar je pristojna za reševanje podrejene družbe na posamični podlagi, svojo odločitev iz prejšnjega odstavka odloži in počaka na odločitev, ki jo Evropski bančni organ lahko sprejme v skladu s tretjim odstavkom 19. člena Uredbe 1093/2010/EU ter z upoštevanjem 1. in 2. točke prejšnjega odstavka, nato pa svojo odločitev sprejme v skladu z odločitvijo Evropskega bančnega organa. Po izteku štirimesečnega obdobja za sprejetje skupne odločitve oziroma po sprejetju skupne odločitve zadeve ni več mogoče predložiti Evropskemu bančnemu organu. Če Evropski bančni organ svoje odločitve ne sprejme v enem mesecu od predložitve, Banka Slovenije odloči v skladu s prejšnjim odstavkom.</w:t>
      </w:r>
    </w:p>
    <w:p w:rsidR="00C10CFA" w:rsidRPr="00244E9C" w:rsidRDefault="00C10CFA" w:rsidP="00C10CFA">
      <w:pPr>
        <w:pStyle w:val="Odstavek"/>
        <w:spacing w:before="0" w:line="260" w:lineRule="exact"/>
        <w:rPr>
          <w:sz w:val="20"/>
          <w:szCs w:val="20"/>
        </w:rPr>
      </w:pPr>
      <w:r w:rsidRPr="00244E9C">
        <w:rPr>
          <w:sz w:val="20"/>
          <w:szCs w:val="20"/>
        </w:rPr>
        <w:t>(10) Banka Slovenije, kadar je pristojna za reševanje subjekta v postopku reševanja ali na ravni skupine, zadeve ne sme predložiti Evropskemu bančnemu organu za zavezujoče posredovanje, če je raven, ki jo je določil pristojni organ za reševanje podrejene družbe:</w:t>
      </w:r>
    </w:p>
    <w:p w:rsidR="00C10CFA" w:rsidRPr="00244E9C" w:rsidRDefault="00C10CFA" w:rsidP="00C10CFA">
      <w:pPr>
        <w:pStyle w:val="tevilnatoka"/>
        <w:numPr>
          <w:ilvl w:val="0"/>
          <w:numId w:val="27"/>
        </w:numPr>
        <w:spacing w:line="260" w:lineRule="exact"/>
        <w:rPr>
          <w:sz w:val="20"/>
          <w:szCs w:val="20"/>
        </w:rPr>
      </w:pPr>
      <w:r w:rsidRPr="00244E9C">
        <w:rPr>
          <w:sz w:val="20"/>
          <w:szCs w:val="20"/>
        </w:rPr>
        <w:t>znotraj 2 % zneska skupne izpostavljenosti tveganju, izračunanega v skladu s tretjim odstavkom 92. člena Uredbe 575/2013/EU, ter</w:t>
      </w:r>
    </w:p>
    <w:p w:rsidR="00C10CFA" w:rsidRPr="00244E9C" w:rsidRDefault="00C10CFA" w:rsidP="00C10CFA">
      <w:pPr>
        <w:pStyle w:val="tevilnatoka"/>
        <w:numPr>
          <w:ilvl w:val="0"/>
          <w:numId w:val="27"/>
        </w:numPr>
        <w:spacing w:line="260" w:lineRule="exact"/>
        <w:rPr>
          <w:sz w:val="20"/>
          <w:szCs w:val="20"/>
        </w:rPr>
      </w:pPr>
      <w:r w:rsidRPr="00244E9C">
        <w:rPr>
          <w:sz w:val="20"/>
          <w:szCs w:val="20"/>
        </w:rPr>
        <w:t>v skladu s 55. členom tega zakona.</w:t>
      </w:r>
    </w:p>
    <w:p w:rsidR="00C10CFA" w:rsidRPr="00244E9C" w:rsidRDefault="00C10CFA" w:rsidP="00C10CFA">
      <w:pPr>
        <w:pStyle w:val="Odstavek"/>
        <w:spacing w:before="0" w:line="260" w:lineRule="exact"/>
        <w:rPr>
          <w:sz w:val="20"/>
          <w:szCs w:val="20"/>
        </w:rPr>
      </w:pPr>
      <w:r w:rsidRPr="00244E9C">
        <w:rPr>
          <w:sz w:val="20"/>
          <w:szCs w:val="20"/>
        </w:rPr>
        <w:t>(11) Če skupna odločitev iz prvega odstavka tega člena zaradi nestrinjanja glede ravni konsolidirane zahteve skupine v postopku reševanja in ravni zahteve, ki jo je treba na posamični podlagi uporabiti za subjekte skupine v postopku reševanja, ni sprejeta v štirih mesecih, Banka Slovenije, kadar je pristojna za reševanje subjekta, sprejme odločitev:</w:t>
      </w:r>
    </w:p>
    <w:p w:rsidR="00C10CFA" w:rsidRPr="00244E9C" w:rsidRDefault="00C10CFA" w:rsidP="00C10CFA">
      <w:pPr>
        <w:pStyle w:val="tevilnatoka"/>
        <w:numPr>
          <w:ilvl w:val="0"/>
          <w:numId w:val="28"/>
        </w:numPr>
        <w:spacing w:line="260" w:lineRule="exact"/>
        <w:rPr>
          <w:sz w:val="20"/>
          <w:szCs w:val="20"/>
        </w:rPr>
      </w:pPr>
      <w:r w:rsidRPr="00244E9C">
        <w:rPr>
          <w:sz w:val="20"/>
          <w:szCs w:val="20"/>
        </w:rPr>
        <w:t>na ravni konsolidirane minimalne zahteve glede kapitala in kvalificiranih obveznosti za skupino v postopku reševanja v skladu s šestim in sedmim odstavkom tega člena;</w:t>
      </w:r>
    </w:p>
    <w:p w:rsidR="00C10CFA" w:rsidRPr="00244E9C" w:rsidRDefault="00C10CFA" w:rsidP="00C10CFA">
      <w:pPr>
        <w:pStyle w:val="tevilnatoka"/>
        <w:numPr>
          <w:ilvl w:val="0"/>
          <w:numId w:val="28"/>
        </w:numPr>
        <w:spacing w:line="260" w:lineRule="exact"/>
        <w:rPr>
          <w:sz w:val="20"/>
          <w:szCs w:val="20"/>
        </w:rPr>
      </w:pPr>
      <w:r w:rsidRPr="00244E9C">
        <w:rPr>
          <w:sz w:val="20"/>
          <w:szCs w:val="20"/>
        </w:rPr>
        <w:t>o ravni minimalne zahteve glede kapitala in kvalificiranih obveznosti, ki jo je treba na posamični podlagi uporabiti za podrejene družbe skupine v postopku reševanja v skladu z osmim in devetim odstavkom tega člena.</w:t>
      </w:r>
    </w:p>
    <w:p w:rsidR="00C10CFA" w:rsidRPr="00244E9C" w:rsidRDefault="00C10CFA" w:rsidP="00C10CFA">
      <w:pPr>
        <w:pStyle w:val="Odstavek"/>
        <w:spacing w:before="0" w:line="260" w:lineRule="exact"/>
        <w:rPr>
          <w:sz w:val="20"/>
          <w:szCs w:val="20"/>
        </w:rPr>
      </w:pPr>
      <w:r w:rsidRPr="00244E9C">
        <w:rPr>
          <w:sz w:val="20"/>
          <w:szCs w:val="20"/>
        </w:rPr>
        <w:t>(12) Skupna odločitev iz prvega odstavka tega člena in vse odločitve, ki jih sprejmejo organi za reševanje v skladu s šestim do enajstim odstavkom tega člena, če skupna odločitev ni sprejeta, so za Banko Slovenije zavezujoče.</w:t>
      </w:r>
    </w:p>
    <w:p w:rsidR="00C10CFA" w:rsidRPr="00244E9C" w:rsidRDefault="00C10CFA" w:rsidP="00C10CFA">
      <w:pPr>
        <w:pStyle w:val="Odstavek"/>
        <w:spacing w:before="0" w:line="260" w:lineRule="exact"/>
        <w:rPr>
          <w:sz w:val="20"/>
          <w:szCs w:val="20"/>
        </w:rPr>
      </w:pPr>
      <w:r w:rsidRPr="00244E9C">
        <w:rPr>
          <w:sz w:val="20"/>
          <w:szCs w:val="20"/>
        </w:rPr>
        <w:t>(13) Banka Slovenije zagotavlja, da se skupna odločitev oziroma vse odločitve, ki jih sprejme sama, če skupne odločitve ni, redno pregledujejo in po potrebi posodabljajo.</w:t>
      </w:r>
    </w:p>
    <w:p w:rsidR="00C10CFA" w:rsidRPr="00244E9C" w:rsidRDefault="00C10CFA" w:rsidP="00C10CFA">
      <w:pPr>
        <w:pStyle w:val="Odstavek"/>
        <w:spacing w:before="0" w:line="260" w:lineRule="exact"/>
        <w:rPr>
          <w:sz w:val="20"/>
          <w:szCs w:val="20"/>
        </w:rPr>
      </w:pPr>
      <w:r w:rsidRPr="00244E9C">
        <w:rPr>
          <w:sz w:val="20"/>
          <w:szCs w:val="20"/>
        </w:rPr>
        <w:t>(14) Banka Slovenije preverja, ali subjekti reševanja izpolnjujejo minimalno zahtevo glede kapitala in kvalificiranih obveznosti, ter sprejme morebitne odločitve na podlagi tega člena ob pripravi in posodabljanju načrtov reševanja.</w:t>
      </w:r>
    </w:p>
    <w:p w:rsidR="00C10CFA" w:rsidRDefault="00C10CFA" w:rsidP="00C10CFA">
      <w:pPr>
        <w:rPr>
          <w:rFonts w:eastAsia="Calibri" w:cs="Arial"/>
          <w:b/>
          <w:bCs/>
          <w:szCs w:val="20"/>
        </w:rPr>
      </w:pPr>
    </w:p>
    <w:p w:rsidR="00C10CFA" w:rsidRPr="00C061FA" w:rsidRDefault="00C10CFA" w:rsidP="00C10CFA">
      <w:pPr>
        <w:pStyle w:val="len"/>
        <w:spacing w:before="0" w:line="260" w:lineRule="exact"/>
        <w:rPr>
          <w:sz w:val="20"/>
          <w:szCs w:val="20"/>
        </w:rPr>
      </w:pPr>
      <w:r w:rsidRPr="00C061FA">
        <w:rPr>
          <w:sz w:val="20"/>
          <w:szCs w:val="20"/>
        </w:rPr>
        <w:t>113. člen</w:t>
      </w:r>
    </w:p>
    <w:p w:rsidR="00C10CFA" w:rsidRPr="00C061FA" w:rsidRDefault="00C10CFA" w:rsidP="00C10CFA">
      <w:pPr>
        <w:pStyle w:val="lennaslov"/>
        <w:spacing w:line="260" w:lineRule="exact"/>
        <w:rPr>
          <w:sz w:val="20"/>
          <w:szCs w:val="20"/>
        </w:rPr>
      </w:pPr>
      <w:r w:rsidRPr="00C061FA">
        <w:rPr>
          <w:sz w:val="20"/>
          <w:szCs w:val="20"/>
        </w:rPr>
        <w:t>(obravnava kvalificiranih deležev pri konverziji)</w:t>
      </w:r>
    </w:p>
    <w:p w:rsidR="00C10CFA" w:rsidRPr="00C061FA" w:rsidRDefault="00C10CFA" w:rsidP="00C10CFA">
      <w:pPr>
        <w:pStyle w:val="Odstavek"/>
        <w:spacing w:before="0" w:line="260" w:lineRule="exact"/>
        <w:rPr>
          <w:sz w:val="20"/>
          <w:szCs w:val="20"/>
        </w:rPr>
      </w:pPr>
      <w:r w:rsidRPr="00C061FA">
        <w:rPr>
          <w:sz w:val="20"/>
          <w:szCs w:val="20"/>
        </w:rPr>
        <w:t>(1) Če bi upravičeni pridobitelj na podlagi konverzije kapitalskega instrumenta ali obveznosti in dodelitve novih lastniških instrumentov pridobil ali povečal kvalificirani delež v banki, za katerega se v skladu z zakonom, ki ureja bančništvo, zahteva dovoljenje za pridobitev kvalificiranega deleža, to dovoljenje praviloma pridobi pred uporabo instrumenta za konverzijo.</w:t>
      </w:r>
    </w:p>
    <w:p w:rsidR="00C10CFA" w:rsidRPr="00C061FA" w:rsidRDefault="00C10CFA" w:rsidP="00C10CFA">
      <w:pPr>
        <w:pStyle w:val="Odstavek"/>
        <w:spacing w:before="0" w:line="260" w:lineRule="exact"/>
        <w:rPr>
          <w:sz w:val="20"/>
          <w:szCs w:val="20"/>
        </w:rPr>
      </w:pPr>
      <w:r w:rsidRPr="00C061FA">
        <w:rPr>
          <w:sz w:val="20"/>
          <w:szCs w:val="20"/>
        </w:rPr>
        <w:t>(2) Banka Slovenije lahko zahteva, da Evropska centralna banka glede na okoliščine posameznega primera odloči o dovoljenju za pridobitev kvalificiranega deleža v roku, ki je krajši od roka, predpisanega v zakonu, ki ureja bančništvo, za odločanje v zvezi z dovoljenjem za pridobitev kvalificiranega deleža.</w:t>
      </w:r>
    </w:p>
    <w:p w:rsidR="00C10CFA" w:rsidRPr="00C061FA" w:rsidRDefault="00C10CFA" w:rsidP="00C10CFA">
      <w:pPr>
        <w:pStyle w:val="Odstavek"/>
        <w:spacing w:before="0" w:line="260" w:lineRule="exact"/>
        <w:rPr>
          <w:sz w:val="20"/>
          <w:szCs w:val="20"/>
        </w:rPr>
      </w:pPr>
      <w:r w:rsidRPr="00C061FA">
        <w:rPr>
          <w:sz w:val="20"/>
          <w:szCs w:val="20"/>
        </w:rPr>
        <w:t>(3) Če presoja iz prvega odstavka tega člena ni zaključena pravočasno in ni več mogoče odlašati z uporabo instrumenta za konverzijo, Banka Slovenije v skladu z drugim odstavkom prejšnjega člena uporabi instrument za konverzijo in odloči, da se novi lastniški instrumenti upravičenim pridobiteljem dodelijo brez pravice uresničevanja glasovalne pravice iz naslova teh instrumentov.</w:t>
      </w:r>
    </w:p>
    <w:p w:rsidR="00C10CFA" w:rsidRDefault="00C10CFA" w:rsidP="00C10CFA">
      <w:pPr>
        <w:pStyle w:val="Odstavek"/>
        <w:spacing w:before="0" w:line="260" w:lineRule="exact"/>
        <w:rPr>
          <w:sz w:val="20"/>
          <w:szCs w:val="20"/>
        </w:rPr>
      </w:pPr>
      <w:r w:rsidRPr="00C061FA">
        <w:rPr>
          <w:sz w:val="20"/>
          <w:szCs w:val="20"/>
        </w:rPr>
        <w:t>(4) Za izvajanje glasovalnih pravic do izdaje dovoljenja za pridobitev kvalificiranega deleža in za obravnavo neupravičenega imetnika kvalificiranega deleža v primeru zavrnitve zahteve za izdajo dovoljenja se uporabljajo določbe tretjega do petega odstavka 118. člena tega zakona.</w:t>
      </w:r>
    </w:p>
    <w:p w:rsidR="00C10CFA" w:rsidRDefault="00C10CFA" w:rsidP="00C10CFA">
      <w:pPr>
        <w:pStyle w:val="Odstavek"/>
        <w:spacing w:before="0" w:line="260" w:lineRule="exact"/>
        <w:rPr>
          <w:sz w:val="20"/>
          <w:szCs w:val="20"/>
        </w:rPr>
      </w:pPr>
    </w:p>
    <w:p w:rsidR="00C10CFA" w:rsidRPr="00C061FA" w:rsidRDefault="00C10CFA" w:rsidP="00C10CFA">
      <w:pPr>
        <w:pStyle w:val="Odstavek"/>
        <w:spacing w:before="0" w:line="260" w:lineRule="exact"/>
        <w:rPr>
          <w:sz w:val="20"/>
          <w:szCs w:val="20"/>
        </w:rPr>
      </w:pPr>
    </w:p>
    <w:p w:rsidR="00C10CFA" w:rsidRPr="00BB1D32" w:rsidRDefault="00C10CFA" w:rsidP="00C10CFA">
      <w:pPr>
        <w:pStyle w:val="len"/>
        <w:spacing w:before="0" w:line="260" w:lineRule="exact"/>
        <w:rPr>
          <w:sz w:val="20"/>
          <w:szCs w:val="20"/>
        </w:rPr>
      </w:pPr>
      <w:r w:rsidRPr="00BB1D32">
        <w:rPr>
          <w:sz w:val="20"/>
          <w:szCs w:val="20"/>
        </w:rPr>
        <w:lastRenderedPageBreak/>
        <w:t>118. člen</w:t>
      </w:r>
    </w:p>
    <w:p w:rsidR="00C10CFA" w:rsidRPr="00BB1D32" w:rsidRDefault="00C10CFA" w:rsidP="00C10CFA">
      <w:pPr>
        <w:pStyle w:val="lennaslov"/>
        <w:spacing w:line="260" w:lineRule="exact"/>
        <w:rPr>
          <w:sz w:val="20"/>
          <w:szCs w:val="20"/>
        </w:rPr>
      </w:pPr>
      <w:r w:rsidRPr="00BB1D32">
        <w:rPr>
          <w:sz w:val="20"/>
          <w:szCs w:val="20"/>
        </w:rPr>
        <w:t>(obravnava kvalificiranih deležev pri prenosu lastniških instrumentov)</w:t>
      </w:r>
    </w:p>
    <w:p w:rsidR="00C10CFA" w:rsidRPr="00BB1D32" w:rsidRDefault="00C10CFA" w:rsidP="00C10CFA">
      <w:pPr>
        <w:pStyle w:val="Odstavek"/>
        <w:spacing w:before="0" w:line="260" w:lineRule="exact"/>
        <w:rPr>
          <w:sz w:val="20"/>
          <w:szCs w:val="20"/>
        </w:rPr>
      </w:pPr>
      <w:r w:rsidRPr="00BB1D32">
        <w:rPr>
          <w:sz w:val="20"/>
          <w:szCs w:val="20"/>
        </w:rPr>
        <w:t>(1) Če bi na podlagi prenosa delnic ali drugih lastniških instrumentov v okviru uporabe instrumenta prodaje poslovanja prevzemnik pridobil ali povečal kvalificirani delež v banki, mora prevzemnik pridobiti dovoljenje za pridobitev ali povečanje kvalificiranega deleža v skladu z zakonom, ki ureja bančništvo, praviloma pred uporabo instrumenta prodaje poslovanja. Banka Slovenije lahko zahteva, da glede na okoliščine posameznega primera Evropska centralna banka sprejme odločitev v zvezi z zahtevo za izdajo dovoljenja za pridobitev kvalificiranega deleža v roku, ki je krajši od roka, predpisanega v zakonu, ki ureja bančništvo, za odločanje v zvezi z dovoljenjem za pridobitev kvalificiranega deleža.</w:t>
      </w:r>
    </w:p>
    <w:p w:rsidR="00C10CFA" w:rsidRPr="00BB1D32" w:rsidRDefault="00C10CFA" w:rsidP="00C10CFA">
      <w:pPr>
        <w:pStyle w:val="Odstavek"/>
        <w:spacing w:before="0" w:line="260" w:lineRule="exact"/>
        <w:rPr>
          <w:sz w:val="20"/>
          <w:szCs w:val="20"/>
        </w:rPr>
      </w:pPr>
      <w:r w:rsidRPr="00BB1D32">
        <w:rPr>
          <w:sz w:val="20"/>
          <w:szCs w:val="20"/>
        </w:rPr>
        <w:t>(2) Če postopek odločanja o zahtevi prevzemnika iz prejšnjega odstavka ni pravočasno zaključen in z uporabo instrumenta prodaje poslovanja ni več mogoče odlašati, Banka Slovenije uporabi instrument prodaje poslovanja in prenese lastniške instrumente na prevzemnika brez pravice uresničevanja glasovalne pravice iz naslova teh instrumentov.</w:t>
      </w:r>
    </w:p>
    <w:p w:rsidR="00C10CFA" w:rsidRPr="00BB1D32" w:rsidRDefault="00C10CFA" w:rsidP="00C10CFA">
      <w:pPr>
        <w:pStyle w:val="Odstavek"/>
        <w:spacing w:before="0" w:line="260" w:lineRule="exact"/>
        <w:rPr>
          <w:sz w:val="20"/>
          <w:szCs w:val="20"/>
        </w:rPr>
      </w:pPr>
      <w:r w:rsidRPr="00BB1D32">
        <w:rPr>
          <w:sz w:val="20"/>
          <w:szCs w:val="20"/>
        </w:rPr>
        <w:t>(3) Glasovalne pravice v primeru iz prejšnjega odstavka izvaja Banka Slovenije. Banka Slovenije ni zavezana izvajati glasovalnih pravic in tudi ne odgovarja prevzemniku za njihovo izvajanje oziroma neizvajanje. Glasovalne pravice se prenesejo na prevzemnika, potem ko pridobi dovoljenje Evropske centralne banke za pridobitev kvalificiranega deleža in o tem obvesti Banko Slovenije.</w:t>
      </w:r>
    </w:p>
    <w:p w:rsidR="00C10CFA" w:rsidRPr="00BB1D32" w:rsidRDefault="00C10CFA" w:rsidP="00C10CFA">
      <w:pPr>
        <w:pStyle w:val="Odstavek"/>
        <w:spacing w:before="0" w:line="260" w:lineRule="exact"/>
        <w:rPr>
          <w:sz w:val="20"/>
          <w:szCs w:val="20"/>
        </w:rPr>
      </w:pPr>
      <w:r w:rsidRPr="00BB1D32">
        <w:rPr>
          <w:sz w:val="20"/>
          <w:szCs w:val="20"/>
        </w:rPr>
        <w:t>(4) Če je zahteva za izdajo dovoljenja za pridobitev kvalificiranega deleža zavrnjena, lahko Banka Slovenije od prevzemnika zahteva, da v določenem roku odsvoji zadevne lastniške instrumente. Pri določitvi roka Banka Slovenije upošteva prevladujoče tržne pogoje. Kupec pridobi glasovalno pravico iz zadevnih lastniških instrumentov, ko je Banka Slovenije obveščena o prenosu instrumentov na kupca in o morebitni pridobitvi dovoljenja Evropske centralne banke za pridobitev ali povečanje kvalificiranega deleža.</w:t>
      </w:r>
    </w:p>
    <w:p w:rsidR="00C10CFA" w:rsidRDefault="00C10CFA" w:rsidP="00C10CFA">
      <w:pPr>
        <w:pStyle w:val="Odstavek"/>
        <w:spacing w:before="0" w:line="260" w:lineRule="exact"/>
        <w:rPr>
          <w:sz w:val="20"/>
          <w:szCs w:val="20"/>
        </w:rPr>
      </w:pPr>
      <w:r w:rsidRPr="00BB1D32">
        <w:rPr>
          <w:sz w:val="20"/>
          <w:szCs w:val="20"/>
        </w:rPr>
        <w:t>(5) Če prevzemnik v primeru iz prejšnjega odstavka ne odsvoji zadevnih lastniških instrumentov v določenem roku, se po poteku tega roka prevzemnik obravnava kot neupravičeni imetnik kvalificiranega deleža. Banka Slovenije v tem primeru prevzemniku izreče ustrezne ukrepe nadzora v skladu z zakonom, ki ureja bančništvo.</w:t>
      </w:r>
    </w:p>
    <w:p w:rsidR="00C10CFA" w:rsidRDefault="00C10CFA" w:rsidP="00C10CFA">
      <w:pPr>
        <w:pStyle w:val="Odstavek"/>
        <w:spacing w:before="0" w:line="260" w:lineRule="exact"/>
        <w:rPr>
          <w:sz w:val="20"/>
          <w:szCs w:val="20"/>
        </w:rPr>
      </w:pPr>
    </w:p>
    <w:p w:rsidR="00C10CFA" w:rsidRPr="007B5982" w:rsidRDefault="00C10CFA" w:rsidP="00C10CFA">
      <w:pPr>
        <w:pStyle w:val="len"/>
        <w:spacing w:before="0" w:line="260" w:lineRule="exact"/>
        <w:rPr>
          <w:sz w:val="20"/>
          <w:szCs w:val="20"/>
        </w:rPr>
      </w:pPr>
      <w:r w:rsidRPr="007B5982">
        <w:rPr>
          <w:sz w:val="20"/>
          <w:szCs w:val="20"/>
        </w:rPr>
        <w:t>151. člen</w:t>
      </w:r>
    </w:p>
    <w:p w:rsidR="00C10CFA" w:rsidRPr="007B5982" w:rsidRDefault="00C10CFA" w:rsidP="00C10CFA">
      <w:pPr>
        <w:pStyle w:val="lennaslov"/>
        <w:spacing w:line="260" w:lineRule="exact"/>
        <w:rPr>
          <w:sz w:val="20"/>
          <w:szCs w:val="20"/>
        </w:rPr>
      </w:pPr>
      <w:r w:rsidRPr="007B5982">
        <w:rPr>
          <w:sz w:val="20"/>
          <w:szCs w:val="20"/>
        </w:rPr>
        <w:t>(mirovanje pravice do odpovedi)</w:t>
      </w:r>
    </w:p>
    <w:p w:rsidR="00C10CFA" w:rsidRPr="007B5982" w:rsidRDefault="00C10CFA" w:rsidP="00C10CFA">
      <w:pPr>
        <w:pStyle w:val="Odstavek"/>
        <w:spacing w:before="0" w:line="260" w:lineRule="exact"/>
        <w:rPr>
          <w:sz w:val="20"/>
          <w:szCs w:val="20"/>
        </w:rPr>
      </w:pPr>
      <w:r w:rsidRPr="007B5982">
        <w:rPr>
          <w:sz w:val="20"/>
          <w:szCs w:val="20"/>
        </w:rPr>
        <w:t>(1) Banka Slovenije lahko odloči, da morebitna pravica do odpovedi, ki jo ima katera koli stranka v zvezi s pogodbo, katere stranka je subjekt reševanja, miruje od trenutka objave odločitve o mirovanju v skladu z 249. členom tega zakona do polnoči naslednjega delovnega dne po objavi odločitve o mirovanju.</w:t>
      </w:r>
    </w:p>
    <w:p w:rsidR="00C10CFA" w:rsidRPr="007B5982" w:rsidRDefault="00C10CFA" w:rsidP="00C10CFA">
      <w:pPr>
        <w:pStyle w:val="Odstavek"/>
        <w:spacing w:before="0" w:line="260" w:lineRule="exact"/>
        <w:rPr>
          <w:sz w:val="20"/>
          <w:szCs w:val="20"/>
        </w:rPr>
      </w:pPr>
      <w:r w:rsidRPr="007B5982">
        <w:rPr>
          <w:sz w:val="20"/>
          <w:szCs w:val="20"/>
        </w:rPr>
        <w:t>(2) Banka Slovenije lahko uporabi pooblastilo iz prejšnjega odstavka glede pravice do odpovedi, ki jo ima katera koli stranka v zvezi s pogodbo s podrejeno družbo subjekta reševanja, kadar:</w:t>
      </w:r>
    </w:p>
    <w:p w:rsidR="00C10CFA" w:rsidRPr="007B5982" w:rsidRDefault="00C10CFA" w:rsidP="00C10CFA">
      <w:pPr>
        <w:pStyle w:val="tevilnatoka"/>
        <w:numPr>
          <w:ilvl w:val="0"/>
          <w:numId w:val="34"/>
        </w:numPr>
        <w:spacing w:line="260" w:lineRule="exact"/>
        <w:rPr>
          <w:sz w:val="20"/>
          <w:szCs w:val="20"/>
        </w:rPr>
      </w:pPr>
      <w:r w:rsidRPr="007B5982">
        <w:rPr>
          <w:sz w:val="20"/>
          <w:szCs w:val="20"/>
        </w:rPr>
        <w:t>subjekt reševanja jamči za obveznosti iz te pogodbe ali drugače zagotavlja njihovo izpolnitev,</w:t>
      </w:r>
    </w:p>
    <w:p w:rsidR="00C10CFA" w:rsidRPr="007B5982" w:rsidRDefault="00C10CFA" w:rsidP="00C10CFA">
      <w:pPr>
        <w:pStyle w:val="tevilnatoka"/>
        <w:numPr>
          <w:ilvl w:val="0"/>
          <w:numId w:val="34"/>
        </w:numPr>
        <w:spacing w:line="260" w:lineRule="exact"/>
        <w:rPr>
          <w:sz w:val="20"/>
          <w:szCs w:val="20"/>
        </w:rPr>
      </w:pPr>
      <w:r w:rsidRPr="007B5982">
        <w:rPr>
          <w:sz w:val="20"/>
          <w:szCs w:val="20"/>
        </w:rPr>
        <w:t>se pravica do odpovedi na podlagi te pogodbe uveljavljajo izključno z upoštevanjem insolventnosti ali finančnega položaja subjekta reševanja in</w:t>
      </w:r>
    </w:p>
    <w:p w:rsidR="00C10CFA" w:rsidRPr="007B5982" w:rsidRDefault="00C10CFA" w:rsidP="00C10CFA">
      <w:pPr>
        <w:pStyle w:val="tevilnatoka"/>
        <w:numPr>
          <w:ilvl w:val="0"/>
          <w:numId w:val="34"/>
        </w:numPr>
        <w:spacing w:line="260" w:lineRule="exact"/>
        <w:rPr>
          <w:sz w:val="20"/>
          <w:szCs w:val="20"/>
        </w:rPr>
      </w:pPr>
      <w:r w:rsidRPr="007B5982">
        <w:rPr>
          <w:sz w:val="20"/>
          <w:szCs w:val="20"/>
        </w:rPr>
        <w:t>za pooblastilo za prenos, ki se izvaja ali se lahko izvaja v zvezi s subjektom reševanja v okviru ukrepov za reševanje na podlagi tega zakona, velja, da:</w:t>
      </w:r>
    </w:p>
    <w:p w:rsidR="00C10CFA" w:rsidRPr="007B5982" w:rsidRDefault="00C10CFA" w:rsidP="00C10CFA">
      <w:pPr>
        <w:pStyle w:val="Alineazatevilnotoko"/>
        <w:numPr>
          <w:ilvl w:val="0"/>
          <w:numId w:val="32"/>
        </w:numPr>
        <w:tabs>
          <w:tab w:val="clear" w:pos="425"/>
        </w:tabs>
        <w:spacing w:line="260" w:lineRule="exact"/>
        <w:ind w:left="567" w:hanging="142"/>
        <w:rPr>
          <w:sz w:val="20"/>
          <w:szCs w:val="20"/>
        </w:rPr>
      </w:pPr>
      <w:r w:rsidRPr="007B5982">
        <w:rPr>
          <w:sz w:val="20"/>
          <w:szCs w:val="20"/>
        </w:rPr>
        <w:t>so ali bi lahko bila vsa sredstva in obveznosti podrejene družbe v zvezi z navedeno pogodbo prenesena na prevzemnika ali bi jih ta lahko prevzel ali</w:t>
      </w:r>
    </w:p>
    <w:p w:rsidR="00C10CFA" w:rsidRPr="007B5982" w:rsidRDefault="00C10CFA" w:rsidP="00C10CFA">
      <w:pPr>
        <w:pStyle w:val="Alineazatevilnotoko"/>
        <w:numPr>
          <w:ilvl w:val="0"/>
          <w:numId w:val="32"/>
        </w:numPr>
        <w:tabs>
          <w:tab w:val="clear" w:pos="425"/>
        </w:tabs>
        <w:spacing w:line="260" w:lineRule="exact"/>
        <w:ind w:left="567" w:hanging="142"/>
        <w:rPr>
          <w:sz w:val="20"/>
          <w:szCs w:val="20"/>
        </w:rPr>
      </w:pPr>
      <w:r w:rsidRPr="007B5982">
        <w:rPr>
          <w:sz w:val="20"/>
          <w:szCs w:val="20"/>
        </w:rPr>
        <w:t>Banka Slovenije drugače zagotovi ustrezno zaščito teh obveznosti.</w:t>
      </w:r>
    </w:p>
    <w:p w:rsidR="00C10CFA" w:rsidRPr="007B5982" w:rsidRDefault="00C10CFA" w:rsidP="00C10CFA">
      <w:pPr>
        <w:pStyle w:val="Odstavek"/>
        <w:spacing w:before="0" w:line="260" w:lineRule="exact"/>
        <w:rPr>
          <w:sz w:val="20"/>
          <w:szCs w:val="20"/>
        </w:rPr>
      </w:pPr>
      <w:r w:rsidRPr="007B5982">
        <w:rPr>
          <w:sz w:val="20"/>
          <w:szCs w:val="20"/>
        </w:rPr>
        <w:t>(3) Mirovanje iz prejšnjega odstavka učinkuje od trenutka objave odločitve o mirovanju v skladu z 249. členom tega zakona do polnoči naslednjega delovnega dne po objavi odločitve o mirovanju.</w:t>
      </w:r>
    </w:p>
    <w:p w:rsidR="00C10CFA" w:rsidRPr="007B5982" w:rsidRDefault="00C10CFA" w:rsidP="00C10CFA">
      <w:pPr>
        <w:pStyle w:val="Odstavek"/>
        <w:spacing w:before="0" w:line="260" w:lineRule="exact"/>
        <w:rPr>
          <w:sz w:val="20"/>
          <w:szCs w:val="20"/>
        </w:rPr>
      </w:pPr>
      <w:r w:rsidRPr="007B5982">
        <w:rPr>
          <w:sz w:val="20"/>
          <w:szCs w:val="20"/>
        </w:rPr>
        <w:t>(4) Mirovanje na podlagi prvega in drugega odstavka tega člena se ne uporablja v zvezi s pravico odpovedi, vzpostavljeno v korist:</w:t>
      </w:r>
    </w:p>
    <w:p w:rsidR="00C10CFA" w:rsidRPr="007B5982" w:rsidRDefault="00C10CFA" w:rsidP="00C10CFA">
      <w:pPr>
        <w:pStyle w:val="tevilnatoka"/>
        <w:numPr>
          <w:ilvl w:val="0"/>
          <w:numId w:val="35"/>
        </w:numPr>
        <w:spacing w:line="260" w:lineRule="exact"/>
        <w:rPr>
          <w:sz w:val="20"/>
          <w:szCs w:val="20"/>
        </w:rPr>
      </w:pPr>
      <w:r w:rsidRPr="007B5982">
        <w:rPr>
          <w:sz w:val="20"/>
          <w:szCs w:val="20"/>
        </w:rPr>
        <w:lastRenderedPageBreak/>
        <w:t>sistemov ali upravljavcev plačilnih ali poravnalnih sistemov, za katere velja dokončnost poravnave nalogov v primeru insolventnosti ali drugega postopka prenehanja člana, kot je opredeljena v zakonu, ki ureja plačilne sisteme in storitve, oziroma zakonu, ki ureja trg finančnih instrumentov;</w:t>
      </w:r>
    </w:p>
    <w:p w:rsidR="00C10CFA" w:rsidRPr="007B5982" w:rsidRDefault="00C10CFA" w:rsidP="00C10CFA">
      <w:pPr>
        <w:pStyle w:val="tevilnatoka"/>
        <w:numPr>
          <w:ilvl w:val="0"/>
          <w:numId w:val="35"/>
        </w:numPr>
        <w:spacing w:line="260" w:lineRule="exact"/>
        <w:rPr>
          <w:sz w:val="20"/>
          <w:szCs w:val="20"/>
        </w:rPr>
      </w:pPr>
      <w:r w:rsidRPr="007B5982">
        <w:rPr>
          <w:sz w:val="20"/>
          <w:szCs w:val="20"/>
        </w:rPr>
        <w:t>centralnih nasprotnih strank, ki so pridobile dovoljenje na podlagi 14. člena Uredbe 648/2012/EU, in centralnih nasprotnih strank iz tretjih držav, ki se priznavajo v državah članicah na podlagi 25. člena Uredbe 648/2012/EU;</w:t>
      </w:r>
    </w:p>
    <w:p w:rsidR="00C10CFA" w:rsidRPr="007B5982" w:rsidRDefault="00C10CFA" w:rsidP="00C10CFA">
      <w:pPr>
        <w:pStyle w:val="tevilnatoka"/>
        <w:numPr>
          <w:ilvl w:val="0"/>
          <w:numId w:val="35"/>
        </w:numPr>
        <w:spacing w:line="260" w:lineRule="exact"/>
        <w:rPr>
          <w:sz w:val="20"/>
          <w:szCs w:val="20"/>
        </w:rPr>
      </w:pPr>
      <w:r w:rsidRPr="007B5982">
        <w:rPr>
          <w:sz w:val="20"/>
          <w:szCs w:val="20"/>
        </w:rPr>
        <w:t>centralnih bank.</w:t>
      </w:r>
    </w:p>
    <w:p w:rsidR="00C10CFA" w:rsidRPr="007B5982" w:rsidRDefault="00C10CFA" w:rsidP="00C10CFA">
      <w:pPr>
        <w:pStyle w:val="Odstavek"/>
        <w:spacing w:before="0" w:line="260" w:lineRule="exact"/>
        <w:rPr>
          <w:sz w:val="20"/>
          <w:szCs w:val="20"/>
        </w:rPr>
      </w:pPr>
      <w:r w:rsidRPr="007B5982">
        <w:rPr>
          <w:sz w:val="20"/>
          <w:szCs w:val="20"/>
        </w:rPr>
        <w:t>(5) Nasprotna stranka pogodbe lahko uveljavlja pravico do odpovedi v skladu s pogodbo pred koncem obdobja mirovanja iz prvega odstavka tega člena na podlagi obvestila Banke Slovenije, da pravice in obveznosti, ki jih pokriva pogodba, v okviru reševanja ne bodo prenesene na drug subjekt oziroma odpisane ali konvertirane za dokapitalizacijo subjekta reševanja.</w:t>
      </w:r>
    </w:p>
    <w:p w:rsidR="00C10CFA" w:rsidRPr="007B5982" w:rsidRDefault="00C10CFA" w:rsidP="00C10CFA">
      <w:pPr>
        <w:pStyle w:val="Odstavek"/>
        <w:spacing w:before="0" w:line="260" w:lineRule="exact"/>
        <w:rPr>
          <w:sz w:val="20"/>
          <w:szCs w:val="20"/>
        </w:rPr>
      </w:pPr>
      <w:r w:rsidRPr="007B5982">
        <w:rPr>
          <w:sz w:val="20"/>
          <w:szCs w:val="20"/>
        </w:rPr>
        <w:t>(6) Kadar Banka Slovenije odloči o mirovanju pravice do odpovedi na podlagi prvega ali drugega odstavka tega člena in če nasprotna pogodbena stranka ni prejela obvestila iz prejšnjega odstavka, se ta pravica lahko uveljavlja po izteku obdobja mirovanja in ob upoštevanju 137. člena tega zakona pod naslednjimi pogoji:</w:t>
      </w:r>
    </w:p>
    <w:p w:rsidR="00C10CFA" w:rsidRPr="007B5982" w:rsidRDefault="00C10CFA" w:rsidP="00C10CFA">
      <w:pPr>
        <w:pStyle w:val="tevilnatoka"/>
        <w:numPr>
          <w:ilvl w:val="0"/>
          <w:numId w:val="36"/>
        </w:numPr>
        <w:spacing w:line="260" w:lineRule="exact"/>
        <w:rPr>
          <w:sz w:val="20"/>
          <w:szCs w:val="20"/>
        </w:rPr>
      </w:pPr>
      <w:r w:rsidRPr="007B5982">
        <w:rPr>
          <w:sz w:val="20"/>
          <w:szCs w:val="20"/>
        </w:rPr>
        <w:t>če so bile pravice in obveznosti, ki jih zajema pogodba, prenesene na prevzemnika, lahko nasprotna pogodbena stranka uveljavlja pravico do odpovedi izključno na podlagi okoliščin, ki nastopijo po prenosu in v skladu s pogodbo upravičujejo odstop nasprotne stranke;</w:t>
      </w:r>
    </w:p>
    <w:p w:rsidR="00C10CFA" w:rsidRPr="007B5982" w:rsidRDefault="00C10CFA" w:rsidP="00C10CFA">
      <w:pPr>
        <w:pStyle w:val="tevilnatoka"/>
        <w:numPr>
          <w:ilvl w:val="0"/>
          <w:numId w:val="36"/>
        </w:numPr>
        <w:spacing w:line="260" w:lineRule="exact"/>
        <w:rPr>
          <w:sz w:val="20"/>
          <w:szCs w:val="20"/>
        </w:rPr>
      </w:pPr>
      <w:r w:rsidRPr="007B5982">
        <w:rPr>
          <w:sz w:val="20"/>
          <w:szCs w:val="20"/>
        </w:rPr>
        <w:t>če se pravice in obveznosti, ki jih zajema pogodba, ne prenesejo na novega prevzemnika ter Banka Slovenije v zvezi s subjektom reševanja ni uporabila instrumenta odpisa in konverzije za dokapitalizacijo subjekta reševanja, lahko nasprotna pogodbena stranka ob izteku obdobja mirovanja nemudoma uveljavlja pravico do odpovedi v skladu z določbami zadevne pogodbe.</w:t>
      </w:r>
    </w:p>
    <w:p w:rsidR="00C10CFA" w:rsidRPr="007B5982" w:rsidRDefault="00C10CFA" w:rsidP="00C10CFA">
      <w:pPr>
        <w:pStyle w:val="Odstavek"/>
        <w:spacing w:before="0" w:line="260" w:lineRule="exact"/>
        <w:rPr>
          <w:sz w:val="20"/>
          <w:szCs w:val="20"/>
        </w:rPr>
      </w:pPr>
      <w:r w:rsidRPr="007B5982">
        <w:rPr>
          <w:sz w:val="20"/>
          <w:szCs w:val="20"/>
        </w:rPr>
        <w:t>(7) Banka Slovenije pri izvajanju pooblastila na podlagi tega člena upošteva morebitne učinke, ki jih lahko ima izvajanje tega pooblastila na pravilno delovanje finančnih trgov.</w:t>
      </w:r>
    </w:p>
    <w:p w:rsidR="00C10CFA" w:rsidRPr="007B5982" w:rsidRDefault="00C10CFA" w:rsidP="00C10CFA">
      <w:pPr>
        <w:pStyle w:val="Odstavek"/>
        <w:spacing w:before="0" w:line="260" w:lineRule="exact"/>
        <w:rPr>
          <w:sz w:val="20"/>
          <w:szCs w:val="20"/>
        </w:rPr>
      </w:pPr>
      <w:r w:rsidRPr="007B5982">
        <w:rPr>
          <w:sz w:val="20"/>
          <w:szCs w:val="20"/>
        </w:rPr>
        <w:t>(8) Banka Slovenije v zvezi z izvajanjem pooblastil na podlagi tega zakona ali pooblastil v zvezi z izvajanjem bonitetnega nadzora na podlagi zakona, ki ureja bančništvo, zahteva, da subjekt reševanja vzdržuje podrobne evidence pogodb ter na zahtevo Banke Slovenije pošlje informacije, ki jih potrebuje za izpolnjevanje odgovornosti in nalog v skladu z 81. členom Uredbe 648/2012/EU.</w:t>
      </w:r>
    </w:p>
    <w:p w:rsidR="00C10CFA" w:rsidRPr="007B5982" w:rsidRDefault="00C10CFA" w:rsidP="00C10CFA">
      <w:pPr>
        <w:pStyle w:val="len"/>
        <w:spacing w:before="0" w:line="260" w:lineRule="exact"/>
        <w:rPr>
          <w:sz w:val="20"/>
          <w:szCs w:val="20"/>
        </w:rPr>
      </w:pPr>
      <w:r w:rsidRPr="007B5982">
        <w:rPr>
          <w:sz w:val="20"/>
          <w:szCs w:val="20"/>
        </w:rPr>
        <w:t>152. člen</w:t>
      </w:r>
    </w:p>
    <w:p w:rsidR="00C10CFA" w:rsidRPr="007B5982" w:rsidRDefault="00C10CFA" w:rsidP="00C10CFA">
      <w:pPr>
        <w:pStyle w:val="lennaslov"/>
        <w:spacing w:line="260" w:lineRule="exact"/>
        <w:rPr>
          <w:sz w:val="20"/>
          <w:szCs w:val="20"/>
        </w:rPr>
      </w:pPr>
      <w:r w:rsidRPr="007B5982">
        <w:rPr>
          <w:sz w:val="20"/>
          <w:szCs w:val="20"/>
        </w:rPr>
        <w:t>(pogodbeno priznanje pooblastil za mirovanje v primeru reševanja)</w:t>
      </w:r>
    </w:p>
    <w:p w:rsidR="00C10CFA" w:rsidRPr="007B5982" w:rsidRDefault="00C10CFA" w:rsidP="00C10CFA">
      <w:pPr>
        <w:pStyle w:val="Odstavek"/>
        <w:spacing w:before="0" w:line="260" w:lineRule="exact"/>
        <w:rPr>
          <w:sz w:val="20"/>
          <w:szCs w:val="20"/>
        </w:rPr>
      </w:pPr>
      <w:r w:rsidRPr="007B5982">
        <w:rPr>
          <w:sz w:val="20"/>
          <w:szCs w:val="20"/>
        </w:rPr>
        <w:t>(1) Subjekti reševanja v finančne pogodbe, ki jih sklenejo in jih ureja pravo tretje države, vključijo pogodbeno določbo, na podlagi katere pogodbene stranke priznavajo, da Banka Slovenije v zvezi s finančno pogodbo lahko izvaja ukrepe, s katerimi odredi mirovanje pravic in obveznosti v skladu s 86. do 90. členom ter 149. do 151. členom tega zakona ali za njihovo omejitev, in da zanje veljajo zahteve iz 137. člena tega zakona.</w:t>
      </w:r>
    </w:p>
    <w:p w:rsidR="00C10CFA" w:rsidRPr="007B5982" w:rsidRDefault="00C10CFA" w:rsidP="00C10CFA">
      <w:pPr>
        <w:pStyle w:val="Odstavek"/>
        <w:spacing w:before="0" w:line="260" w:lineRule="exact"/>
        <w:rPr>
          <w:sz w:val="20"/>
          <w:szCs w:val="20"/>
        </w:rPr>
      </w:pPr>
      <w:r w:rsidRPr="007B5982">
        <w:rPr>
          <w:sz w:val="20"/>
          <w:szCs w:val="20"/>
        </w:rPr>
        <w:t>(2) Ta člen se uporablja za vse finančne pogodbe, ki:</w:t>
      </w:r>
    </w:p>
    <w:p w:rsidR="00C10CFA" w:rsidRPr="007B5982" w:rsidRDefault="00C10CFA" w:rsidP="00C10CFA">
      <w:pPr>
        <w:pStyle w:val="tevilnatoka"/>
        <w:numPr>
          <w:ilvl w:val="0"/>
          <w:numId w:val="33"/>
        </w:numPr>
        <w:spacing w:line="260" w:lineRule="exact"/>
        <w:rPr>
          <w:sz w:val="20"/>
          <w:szCs w:val="20"/>
        </w:rPr>
      </w:pPr>
      <w:r w:rsidRPr="007B5982">
        <w:rPr>
          <w:sz w:val="20"/>
          <w:szCs w:val="20"/>
        </w:rPr>
        <w:t>ustvarijo novo obveznost ali spreminjajo veljavno obveznost;</w:t>
      </w:r>
    </w:p>
    <w:p w:rsidR="00C10CFA" w:rsidRPr="007B5982" w:rsidRDefault="00C10CFA" w:rsidP="00C10CFA">
      <w:pPr>
        <w:pStyle w:val="tevilnatoka"/>
        <w:numPr>
          <w:ilvl w:val="0"/>
          <w:numId w:val="33"/>
        </w:numPr>
        <w:spacing w:line="260" w:lineRule="exact"/>
        <w:rPr>
          <w:sz w:val="20"/>
          <w:szCs w:val="20"/>
        </w:rPr>
      </w:pPr>
      <w:r w:rsidRPr="007B5982">
        <w:rPr>
          <w:sz w:val="20"/>
          <w:szCs w:val="20"/>
        </w:rPr>
        <w:t>zagotavljajo eno ali več pravic do odpovedi ali možnost uveljavljanja pravic iz naslova jamstva, za katere bi se uporabljale določbe 86. do 90. člena, 137. člena ali 149. do 151. člena tega zakona, če bi finančno pogodbo urejalo pravo Republike Slovenije.</w:t>
      </w:r>
    </w:p>
    <w:p w:rsidR="00C10CFA" w:rsidRPr="007B5982" w:rsidRDefault="00C10CFA" w:rsidP="00C10CFA">
      <w:pPr>
        <w:pStyle w:val="Odstavek"/>
        <w:spacing w:before="0" w:line="260" w:lineRule="exact"/>
        <w:rPr>
          <w:sz w:val="20"/>
          <w:szCs w:val="20"/>
        </w:rPr>
      </w:pPr>
      <w:r w:rsidRPr="007B5982">
        <w:rPr>
          <w:sz w:val="20"/>
          <w:szCs w:val="20"/>
        </w:rPr>
        <w:t>(3) EU nadrejene družbe zagotovijo, da njihove podrejene družbe v tretjih državah v finančne pogodbe, ki jih sklenejo in jih ureja pravo tretje države, vključijo določbe, s katerimi izključijo možnost, da bi bilo izvajanje pooblastil Banke Slovenije za odreditev mirovanja pravic in obveznosti EU nadrejene družbe ali za njihovo omejitev v skladu s prvim odstavkom tega člena lahko veljaven razlog za predčasno odpoved, mirovanje, spremembo, izravnavo, poravnavo ali uveljavljanje pravic iz naslova jamstva v zvezi s temi pogodbami.</w:t>
      </w:r>
    </w:p>
    <w:p w:rsidR="00C10CFA" w:rsidRPr="007B5982" w:rsidRDefault="00C10CFA" w:rsidP="00C10CFA">
      <w:pPr>
        <w:pStyle w:val="Odstavek"/>
        <w:spacing w:before="0" w:line="260" w:lineRule="exact"/>
        <w:rPr>
          <w:sz w:val="20"/>
          <w:szCs w:val="20"/>
        </w:rPr>
      </w:pPr>
      <w:r w:rsidRPr="007B5982">
        <w:rPr>
          <w:sz w:val="20"/>
          <w:szCs w:val="20"/>
        </w:rPr>
        <w:t>(4) Prejšnji odstavek se uporablja v zvezi s podrejenimi družbami v tretjih državah, ki se po predpisih, ki veljajo v Republiki Sloveniji, štejejo za kreditne institucije, investicijska podjetja ali finančne institucije.</w:t>
      </w:r>
    </w:p>
    <w:p w:rsidR="00C10CFA" w:rsidRPr="00BB1D32" w:rsidRDefault="00C10CFA" w:rsidP="00C10CFA">
      <w:pPr>
        <w:pStyle w:val="Odstavek"/>
        <w:spacing w:before="0" w:line="260" w:lineRule="exact"/>
        <w:rPr>
          <w:sz w:val="20"/>
          <w:szCs w:val="20"/>
        </w:rPr>
      </w:pPr>
      <w:r w:rsidRPr="007B5982">
        <w:rPr>
          <w:sz w:val="20"/>
          <w:szCs w:val="20"/>
        </w:rPr>
        <w:lastRenderedPageBreak/>
        <w:t>(5) To, da institucija ali subjekt ne vključi pogodbene določbe, zahtevane v skladu s prvim odstavkom tega člena, organu za reševanje ne preprečuje izvajanja pooblastil iz 86. do 90. člena, 137. člena ali 149. do 151. člena tega zakona.</w:t>
      </w:r>
    </w:p>
    <w:p w:rsidR="00C10CFA" w:rsidRDefault="00C10CFA" w:rsidP="00C10CFA">
      <w:pPr>
        <w:rPr>
          <w:rFonts w:eastAsia="Calibri" w:cs="Arial"/>
          <w:b/>
          <w:bCs/>
          <w:szCs w:val="20"/>
        </w:rPr>
      </w:pPr>
    </w:p>
    <w:p w:rsidR="00C10CFA" w:rsidRDefault="00C10CFA" w:rsidP="00C10CFA">
      <w:pPr>
        <w:overflowPunct w:val="0"/>
        <w:autoSpaceDE w:val="0"/>
        <w:autoSpaceDN w:val="0"/>
        <w:adjustRightInd w:val="0"/>
        <w:textAlignment w:val="baseline"/>
        <w:rPr>
          <w:rFonts w:eastAsia="Calibri" w:cs="Arial"/>
          <w:szCs w:val="20"/>
          <w:lang w:eastAsia="sl-SI"/>
        </w:rPr>
      </w:pPr>
    </w:p>
    <w:p w:rsidR="00C10CFA" w:rsidRPr="00FF5156" w:rsidRDefault="00C10CFA" w:rsidP="00C10CFA">
      <w:pPr>
        <w:overflowPunct w:val="0"/>
        <w:autoSpaceDE w:val="0"/>
        <w:autoSpaceDN w:val="0"/>
        <w:adjustRightInd w:val="0"/>
        <w:textAlignment w:val="baseline"/>
        <w:rPr>
          <w:rFonts w:eastAsia="Calibri" w:cs="Arial"/>
          <w:b/>
          <w:szCs w:val="20"/>
          <w:lang w:eastAsia="sl-SI"/>
        </w:rPr>
      </w:pPr>
      <w:r w:rsidRPr="00FF5156">
        <w:rPr>
          <w:rFonts w:eastAsia="Calibri" w:cs="Arial"/>
          <w:b/>
          <w:szCs w:val="20"/>
          <w:lang w:eastAsia="sl-SI"/>
        </w:rPr>
        <w:t>V. PRILOGE</w:t>
      </w:r>
    </w:p>
    <w:p w:rsidR="00C10CFA" w:rsidRPr="00C10CFA" w:rsidRDefault="00C10CFA" w:rsidP="00C10CFA">
      <w:pPr>
        <w:overflowPunct w:val="0"/>
        <w:autoSpaceDE w:val="0"/>
        <w:autoSpaceDN w:val="0"/>
        <w:adjustRightInd w:val="0"/>
        <w:textAlignment w:val="baseline"/>
        <w:rPr>
          <w:rFonts w:eastAsia="Calibri" w:cs="Arial"/>
          <w:szCs w:val="20"/>
          <w:lang w:eastAsia="sl-SI"/>
        </w:rPr>
      </w:pPr>
      <w:r w:rsidRPr="00C10CFA">
        <w:rPr>
          <w:rFonts w:eastAsia="Calibri" w:cs="Arial"/>
          <w:szCs w:val="20"/>
          <w:lang w:eastAsia="sl-SI"/>
        </w:rPr>
        <w:t>–</w:t>
      </w:r>
      <w:r w:rsidRPr="00C10CFA">
        <w:rPr>
          <w:rFonts w:eastAsia="Calibri" w:cs="Arial"/>
          <w:szCs w:val="20"/>
          <w:lang w:eastAsia="sl-SI"/>
        </w:rPr>
        <w:tab/>
        <w:t>korelacijska tabela</w:t>
      </w:r>
    </w:p>
    <w:p w:rsidR="00C10CFA" w:rsidRPr="00C10CFA" w:rsidRDefault="00C10CFA" w:rsidP="00C10CFA">
      <w:pPr>
        <w:overflowPunct w:val="0"/>
        <w:autoSpaceDE w:val="0"/>
        <w:autoSpaceDN w:val="0"/>
        <w:adjustRightInd w:val="0"/>
        <w:textAlignment w:val="baseline"/>
        <w:rPr>
          <w:rFonts w:ascii="Calibri" w:eastAsia="Calibri" w:hAnsi="Calibri" w:cs="Arial"/>
          <w:szCs w:val="20"/>
          <w:lang w:eastAsia="sl-SI"/>
        </w:rPr>
      </w:pPr>
      <w:r w:rsidRPr="00C10CFA">
        <w:rPr>
          <w:rFonts w:eastAsia="Calibri" w:cs="Arial"/>
          <w:szCs w:val="20"/>
          <w:lang w:eastAsia="sl-SI"/>
        </w:rPr>
        <w:t>–</w:t>
      </w:r>
      <w:r w:rsidRPr="00C10CFA">
        <w:rPr>
          <w:rFonts w:eastAsia="Calibri" w:cs="Arial"/>
          <w:szCs w:val="20"/>
          <w:lang w:eastAsia="sl-SI"/>
        </w:rPr>
        <w:tab/>
        <w:t>izjava o skladnosti</w:t>
      </w:r>
    </w:p>
    <w:p w:rsidR="00C10CFA" w:rsidRPr="00FF5156" w:rsidRDefault="00C10CFA" w:rsidP="00C10CFA">
      <w:pPr>
        <w:rPr>
          <w:rFonts w:eastAsia="Calibri" w:cs="Arial"/>
          <w:szCs w:val="20"/>
        </w:rPr>
      </w:pPr>
    </w:p>
    <w:p w:rsidR="00C10CFA" w:rsidRPr="00FF5156" w:rsidRDefault="00C10CFA" w:rsidP="00C10CFA">
      <w:pPr>
        <w:rPr>
          <w:rFonts w:eastAsia="Calibri" w:cs="Arial"/>
          <w:szCs w:val="20"/>
        </w:rPr>
      </w:pPr>
    </w:p>
    <w:p w:rsidR="00C10CFA" w:rsidRDefault="00C10CFA" w:rsidP="00C10CFA">
      <w:pPr>
        <w:autoSpaceDE w:val="0"/>
        <w:autoSpaceDN w:val="0"/>
        <w:adjustRightInd w:val="0"/>
        <w:jc w:val="right"/>
        <w:rPr>
          <w:rFonts w:cs="Arial"/>
          <w:b/>
          <w:szCs w:val="20"/>
          <w:lang w:eastAsia="sl-SI"/>
        </w:rPr>
      </w:pPr>
    </w:p>
    <w:p w:rsidR="008A46BF" w:rsidRPr="00C10CFA" w:rsidRDefault="008A46BF" w:rsidP="00C10CFA"/>
    <w:sectPr w:rsidR="008A46BF" w:rsidRPr="00C10CFA" w:rsidSect="000F28A1">
      <w:headerReference w:type="first" r:id="rId7"/>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7074" w:rsidRDefault="00F17074" w:rsidP="00767987">
      <w:pPr>
        <w:spacing w:line="240" w:lineRule="auto"/>
      </w:pPr>
      <w:r>
        <w:separator/>
      </w:r>
    </w:p>
  </w:endnote>
  <w:endnote w:type="continuationSeparator" w:id="0">
    <w:p w:rsidR="00F17074" w:rsidRDefault="00F17074"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7074" w:rsidRDefault="00F17074" w:rsidP="00767987">
      <w:pPr>
        <w:spacing w:line="240" w:lineRule="auto"/>
      </w:pPr>
      <w:r>
        <w:separator/>
      </w:r>
    </w:p>
  </w:footnote>
  <w:footnote w:type="continuationSeparator" w:id="0">
    <w:p w:rsidR="00F17074" w:rsidRDefault="00F17074" w:rsidP="00767987">
      <w:pPr>
        <w:spacing w:line="240" w:lineRule="auto"/>
      </w:pPr>
      <w:r>
        <w:continuationSeparator/>
      </w:r>
    </w:p>
  </w:footnote>
  <w:footnote w:id="1">
    <w:p w:rsidR="00C10CFA" w:rsidRPr="004D76EA" w:rsidRDefault="00C10CFA" w:rsidP="00C10CFA">
      <w:pPr>
        <w:pStyle w:val="Sprotnaopomba-besedilo"/>
        <w:rPr>
          <w:sz w:val="18"/>
          <w:szCs w:val="18"/>
        </w:rPr>
      </w:pPr>
      <w:r>
        <w:rPr>
          <w:rStyle w:val="Sprotnaopomba-sklic"/>
        </w:rPr>
        <w:footnoteRef/>
      </w:r>
      <w:r>
        <w:t xml:space="preserve"> </w:t>
      </w:r>
      <w:r w:rsidRPr="004D76EA">
        <w:rPr>
          <w:sz w:val="18"/>
          <w:szCs w:val="18"/>
        </w:rPr>
        <w:t>Mednarodn</w:t>
      </w:r>
      <w:r>
        <w:rPr>
          <w:sz w:val="18"/>
          <w:szCs w:val="18"/>
        </w:rPr>
        <w:t>a</w:t>
      </w:r>
      <w:r w:rsidRPr="004D76EA">
        <w:rPr>
          <w:sz w:val="18"/>
          <w:szCs w:val="18"/>
        </w:rPr>
        <w:t xml:space="preserve"> zahtev</w:t>
      </w:r>
      <w:r>
        <w:rPr>
          <w:sz w:val="18"/>
          <w:szCs w:val="18"/>
        </w:rPr>
        <w:t>a</w:t>
      </w:r>
      <w:r w:rsidRPr="004D76EA">
        <w:rPr>
          <w:sz w:val="18"/>
          <w:szCs w:val="18"/>
        </w:rPr>
        <w:t>, ki ureja</w:t>
      </w:r>
      <w:r>
        <w:rPr>
          <w:sz w:val="18"/>
          <w:szCs w:val="18"/>
        </w:rPr>
        <w:t xml:space="preserve"> </w:t>
      </w:r>
      <w:r w:rsidRPr="004D76EA">
        <w:rPr>
          <w:sz w:val="18"/>
          <w:szCs w:val="18"/>
        </w:rPr>
        <w:t xml:space="preserve">sposobnost pokrivanja izgub za globalne sistemsko pomembne banke (tako </w:t>
      </w:r>
      <w:r>
        <w:rPr>
          <w:sz w:val="18"/>
          <w:szCs w:val="18"/>
        </w:rPr>
        <w:t>i</w:t>
      </w:r>
      <w:r w:rsidRPr="004D76EA">
        <w:rPr>
          <w:sz w:val="18"/>
          <w:szCs w:val="18"/>
        </w:rPr>
        <w:t>menovana zahteva</w:t>
      </w:r>
      <w:r>
        <w:rPr>
          <w:sz w:val="18"/>
          <w:szCs w:val="18"/>
        </w:rPr>
        <w:t xml:space="preserve"> </w:t>
      </w:r>
      <w:r w:rsidRPr="004D76EA">
        <w:rPr>
          <w:sz w:val="18"/>
          <w:szCs w:val="18"/>
        </w:rPr>
        <w:t xml:space="preserve">TLAC – angl. Total </w:t>
      </w:r>
      <w:proofErr w:type="spellStart"/>
      <w:r w:rsidRPr="004D76EA">
        <w:rPr>
          <w:sz w:val="18"/>
          <w:szCs w:val="18"/>
        </w:rPr>
        <w:t>Loss-Absorbing</w:t>
      </w:r>
      <w:proofErr w:type="spellEnd"/>
      <w:r w:rsidRPr="004D76EA">
        <w:rPr>
          <w:sz w:val="18"/>
          <w:szCs w:val="18"/>
        </w:rPr>
        <w:t xml:space="preserve"> </w:t>
      </w:r>
      <w:proofErr w:type="spellStart"/>
      <w:r w:rsidRPr="004D76EA">
        <w:rPr>
          <w:sz w:val="18"/>
          <w:szCs w:val="18"/>
        </w:rPr>
        <w:t>Capacity</w:t>
      </w:r>
      <w:proofErr w:type="spellEnd"/>
      <w:r w:rsidRPr="004D76EA">
        <w:rPr>
          <w:sz w:val="18"/>
          <w:szCs w:val="18"/>
        </w:rPr>
        <w:t xml:space="preserve">), </w:t>
      </w:r>
      <w:r>
        <w:rPr>
          <w:sz w:val="18"/>
          <w:szCs w:val="18"/>
        </w:rPr>
        <w:t xml:space="preserve">je </w:t>
      </w:r>
      <w:r w:rsidRPr="004D76EA">
        <w:rPr>
          <w:sz w:val="18"/>
          <w:szCs w:val="18"/>
        </w:rPr>
        <w:t>po namenu podobna zahtevi MREL</w:t>
      </w:r>
      <w:r>
        <w:rPr>
          <w:sz w:val="18"/>
          <w:szCs w:val="18"/>
        </w:rPr>
        <w:t xml:space="preserve"> in zagotavlja</w:t>
      </w:r>
      <w:r w:rsidRPr="004D76EA">
        <w:rPr>
          <w:sz w:val="18"/>
          <w:szCs w:val="18"/>
        </w:rPr>
        <w:t>, da</w:t>
      </w:r>
      <w:r>
        <w:rPr>
          <w:sz w:val="18"/>
          <w:szCs w:val="18"/>
        </w:rPr>
        <w:t xml:space="preserve"> </w:t>
      </w:r>
      <w:r w:rsidRPr="004D76EA">
        <w:rPr>
          <w:sz w:val="18"/>
          <w:szCs w:val="18"/>
        </w:rPr>
        <w:t>globalne sistemsko pomembne banke v vsakem trenutku razpolagajo s sredstvi za pokrivanje</w:t>
      </w:r>
      <w:r>
        <w:rPr>
          <w:sz w:val="18"/>
          <w:szCs w:val="18"/>
        </w:rPr>
        <w:t xml:space="preserve"> </w:t>
      </w:r>
      <w:r w:rsidRPr="004D76EA">
        <w:rPr>
          <w:sz w:val="18"/>
          <w:szCs w:val="18"/>
        </w:rPr>
        <w:t>potencialnih izgub in dokapitalizacijo, kar zagotavlja, da se v postopku reševanja banke in takoj</w:t>
      </w:r>
      <w:r>
        <w:rPr>
          <w:sz w:val="18"/>
          <w:szCs w:val="18"/>
        </w:rPr>
        <w:t xml:space="preserve"> </w:t>
      </w:r>
      <w:r w:rsidRPr="004D76EA">
        <w:rPr>
          <w:sz w:val="18"/>
          <w:szCs w:val="18"/>
        </w:rPr>
        <w:t>po njem kritične funkcije banke lahko še naprej opravljajo, ne da bi bil pri tem ogrožen denar</w:t>
      </w:r>
      <w:r>
        <w:rPr>
          <w:sz w:val="18"/>
          <w:szCs w:val="18"/>
        </w:rPr>
        <w:t xml:space="preserve"> </w:t>
      </w:r>
      <w:r w:rsidRPr="004D76EA">
        <w:rPr>
          <w:sz w:val="18"/>
          <w:szCs w:val="18"/>
        </w:rPr>
        <w:t>davkoplačevalcev ali finančna stabilnost.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28A1" w:rsidRPr="00A9231D" w:rsidRDefault="000F28A1" w:rsidP="000F28A1">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0F28A1" w:rsidRPr="00A9231D" w:rsidRDefault="000F28A1" w:rsidP="000F28A1">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0F28A1" w:rsidRPr="00A9231D" w:rsidRDefault="000F28A1" w:rsidP="000F28A1">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0F28A1" w:rsidRPr="00A9231D" w:rsidRDefault="000F28A1" w:rsidP="000F28A1">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0F28A1" w:rsidRPr="00A9231D" w:rsidRDefault="000F28A1" w:rsidP="000F28A1">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C803A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A324BFC"/>
    <w:multiLevelType w:val="hybridMultilevel"/>
    <w:tmpl w:val="8C38D3D2"/>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AED5DCF"/>
    <w:multiLevelType w:val="hybridMultilevel"/>
    <w:tmpl w:val="4A6A23DC"/>
    <w:lvl w:ilvl="0" w:tplc="5684846C">
      <w:start w:val="1"/>
      <w:numFmt w:val="bullet"/>
      <w:lvlText w:val="–"/>
      <w:lvlJc w:val="left"/>
      <w:pPr>
        <w:ind w:left="743" w:hanging="360"/>
      </w:pPr>
      <w:rPr>
        <w:rFonts w:ascii="Arial" w:hAnsi="Arial" w:hint="default"/>
      </w:rPr>
    </w:lvl>
    <w:lvl w:ilvl="1" w:tplc="04090003" w:tentative="1">
      <w:start w:val="1"/>
      <w:numFmt w:val="bullet"/>
      <w:lvlText w:val="o"/>
      <w:lvlJc w:val="left"/>
      <w:pPr>
        <w:ind w:left="1463" w:hanging="360"/>
      </w:pPr>
      <w:rPr>
        <w:rFonts w:ascii="Courier New" w:hAnsi="Courier New" w:cs="Courier New" w:hint="default"/>
      </w:rPr>
    </w:lvl>
    <w:lvl w:ilvl="2" w:tplc="04090005" w:tentative="1">
      <w:start w:val="1"/>
      <w:numFmt w:val="bullet"/>
      <w:lvlText w:val=""/>
      <w:lvlJc w:val="left"/>
      <w:pPr>
        <w:ind w:left="2183" w:hanging="360"/>
      </w:pPr>
      <w:rPr>
        <w:rFonts w:ascii="Wingdings" w:hAnsi="Wingdings" w:hint="default"/>
      </w:rPr>
    </w:lvl>
    <w:lvl w:ilvl="3" w:tplc="04090001" w:tentative="1">
      <w:start w:val="1"/>
      <w:numFmt w:val="bullet"/>
      <w:lvlText w:val=""/>
      <w:lvlJc w:val="left"/>
      <w:pPr>
        <w:ind w:left="2903" w:hanging="360"/>
      </w:pPr>
      <w:rPr>
        <w:rFonts w:ascii="Symbol" w:hAnsi="Symbol" w:hint="default"/>
      </w:rPr>
    </w:lvl>
    <w:lvl w:ilvl="4" w:tplc="04090003" w:tentative="1">
      <w:start w:val="1"/>
      <w:numFmt w:val="bullet"/>
      <w:lvlText w:val="o"/>
      <w:lvlJc w:val="left"/>
      <w:pPr>
        <w:ind w:left="3623" w:hanging="360"/>
      </w:pPr>
      <w:rPr>
        <w:rFonts w:ascii="Courier New" w:hAnsi="Courier New" w:cs="Courier New" w:hint="default"/>
      </w:rPr>
    </w:lvl>
    <w:lvl w:ilvl="5" w:tplc="04090005" w:tentative="1">
      <w:start w:val="1"/>
      <w:numFmt w:val="bullet"/>
      <w:lvlText w:val=""/>
      <w:lvlJc w:val="left"/>
      <w:pPr>
        <w:ind w:left="4343" w:hanging="360"/>
      </w:pPr>
      <w:rPr>
        <w:rFonts w:ascii="Wingdings" w:hAnsi="Wingdings" w:hint="default"/>
      </w:rPr>
    </w:lvl>
    <w:lvl w:ilvl="6" w:tplc="04090001" w:tentative="1">
      <w:start w:val="1"/>
      <w:numFmt w:val="bullet"/>
      <w:lvlText w:val=""/>
      <w:lvlJc w:val="left"/>
      <w:pPr>
        <w:ind w:left="5063" w:hanging="360"/>
      </w:pPr>
      <w:rPr>
        <w:rFonts w:ascii="Symbol" w:hAnsi="Symbol" w:hint="default"/>
      </w:rPr>
    </w:lvl>
    <w:lvl w:ilvl="7" w:tplc="04090003" w:tentative="1">
      <w:start w:val="1"/>
      <w:numFmt w:val="bullet"/>
      <w:lvlText w:val="o"/>
      <w:lvlJc w:val="left"/>
      <w:pPr>
        <w:ind w:left="5783" w:hanging="360"/>
      </w:pPr>
      <w:rPr>
        <w:rFonts w:ascii="Courier New" w:hAnsi="Courier New" w:cs="Courier New" w:hint="default"/>
      </w:rPr>
    </w:lvl>
    <w:lvl w:ilvl="8" w:tplc="04090005" w:tentative="1">
      <w:start w:val="1"/>
      <w:numFmt w:val="bullet"/>
      <w:lvlText w:val=""/>
      <w:lvlJc w:val="left"/>
      <w:pPr>
        <w:ind w:left="6503" w:hanging="360"/>
      </w:pPr>
      <w:rPr>
        <w:rFonts w:ascii="Wingdings" w:hAnsi="Wingdings" w:hint="default"/>
      </w:rPr>
    </w:lvl>
  </w:abstractNum>
  <w:abstractNum w:abstractNumId="3" w15:restartNumberingAfterBreak="0">
    <w:nsid w:val="11757929"/>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211438B"/>
    <w:multiLevelType w:val="hybridMultilevel"/>
    <w:tmpl w:val="D09EC1FC"/>
    <w:lvl w:ilvl="0" w:tplc="12DAA42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A3B72CE"/>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1D5E54E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D68622D"/>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EEB530B"/>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26524EDC"/>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2B3964BE"/>
    <w:multiLevelType w:val="hybridMultilevel"/>
    <w:tmpl w:val="3B1AE8BA"/>
    <w:lvl w:ilvl="0" w:tplc="BE58AEF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F807C8F"/>
    <w:multiLevelType w:val="hybridMultilevel"/>
    <w:tmpl w:val="6C4CFA9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 w15:restartNumberingAfterBreak="0">
    <w:nsid w:val="48C27C25"/>
    <w:multiLevelType w:val="hybridMultilevel"/>
    <w:tmpl w:val="B464F5E8"/>
    <w:lvl w:ilvl="0" w:tplc="EED28F2A">
      <w:start w:val="1"/>
      <w:numFmt w:val="upperRoman"/>
      <w:lvlText w:val="%1."/>
      <w:lvlJc w:val="left"/>
      <w:pPr>
        <w:ind w:left="1080" w:hanging="720"/>
      </w:pPr>
      <w:rPr>
        <w:rFonts w:hint="default"/>
        <w:b/>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48F1073A"/>
    <w:multiLevelType w:val="hybridMultilevel"/>
    <w:tmpl w:val="C31492CC"/>
    <w:lvl w:ilvl="0" w:tplc="0C24FB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EAE2167"/>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51F7441E"/>
    <w:multiLevelType w:val="hybridMultilevel"/>
    <w:tmpl w:val="55E00D9A"/>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535939A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56B52E42"/>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578F4659"/>
    <w:multiLevelType w:val="hybridMultilevel"/>
    <w:tmpl w:val="B1080094"/>
    <w:lvl w:ilvl="0" w:tplc="E4DC4EC0">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5C0D2E16"/>
    <w:multiLevelType w:val="multilevel"/>
    <w:tmpl w:val="9D4A98F2"/>
    <w:lvl w:ilvl="0">
      <w:start w:val="1"/>
      <w:numFmt w:val="decimal"/>
      <w:pStyle w:val="tevilnatoka"/>
      <w:lvlText w:val="%1."/>
      <w:lvlJc w:val="left"/>
      <w:pPr>
        <w:tabs>
          <w:tab w:val="num" w:pos="397"/>
        </w:tabs>
        <w:ind w:left="397" w:hanging="397"/>
      </w:pPr>
    </w:lvl>
    <w:lvl w:ilvl="1">
      <w:start w:val="1"/>
      <w:numFmt w:val="decimal"/>
      <w:isLgl/>
      <w:lvlText w:val="%1.%2"/>
      <w:lvlJc w:val="left"/>
      <w:pPr>
        <w:ind w:left="876" w:hanging="876"/>
      </w:pPr>
    </w:lvl>
    <w:lvl w:ilvl="2">
      <w:start w:val="2"/>
      <w:numFmt w:val="decimal"/>
      <w:pStyle w:val="tevilnatoka111"/>
      <w:isLgl/>
      <w:lvlText w:val="%1.%2.%3"/>
      <w:lvlJc w:val="left"/>
      <w:pPr>
        <w:ind w:left="567" w:hanging="567"/>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20"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6CBB1326"/>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6D8251AC"/>
    <w:multiLevelType w:val="hybridMultilevel"/>
    <w:tmpl w:val="B36A6BCC"/>
    <w:lvl w:ilvl="0" w:tplc="63345CC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24" w15:restartNumberingAfterBreak="0">
    <w:nsid w:val="718F5D4A"/>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730E26C3"/>
    <w:multiLevelType w:val="hybridMultilevel"/>
    <w:tmpl w:val="9A2AC9F6"/>
    <w:lvl w:ilvl="0" w:tplc="0424000F">
      <w:start w:val="1"/>
      <w:numFmt w:val="decimal"/>
      <w:lvlText w:val="%1."/>
      <w:lvlJc w:val="left"/>
      <w:pPr>
        <w:ind w:left="1068" w:hanging="360"/>
      </w:pPr>
      <w:rPr>
        <w:rFonts w:hint="default"/>
        <w:color w:val="000000"/>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6" w15:restartNumberingAfterBreak="0">
    <w:nsid w:val="752D7EC5"/>
    <w:multiLevelType w:val="hybridMultilevel"/>
    <w:tmpl w:val="4F049C7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7B8B604B"/>
    <w:multiLevelType w:val="hybridMultilevel"/>
    <w:tmpl w:val="427AD73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CC60121"/>
    <w:multiLevelType w:val="multilevel"/>
    <w:tmpl w:val="99CA707C"/>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23"/>
  </w:num>
  <w:num w:numId="2">
    <w:abstractNumId w:val="2"/>
  </w:num>
  <w:num w:numId="3">
    <w:abstractNumId w:val="12"/>
  </w:num>
  <w:num w:numId="4">
    <w:abstractNumId w:val="27"/>
  </w:num>
  <w:num w:numId="5">
    <w:abstractNumId w:val="4"/>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26"/>
  </w:num>
  <w:num w:numId="9">
    <w:abstractNumId w:val="19"/>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10"/>
  </w:num>
  <w:num w:numId="12">
    <w:abstractNumId w:val="18"/>
  </w:num>
  <w:num w:numId="1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15"/>
  </w:num>
  <w:num w:numId="16">
    <w:abstractNumId w:val="22"/>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7"/>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num>
  <w:num w:numId="22">
    <w:abstractNumId w:val="9"/>
  </w:num>
  <w:num w:numId="23">
    <w:abstractNumId w:val="28"/>
  </w:num>
  <w:num w:numId="24">
    <w:abstractNumId w:val="0"/>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num>
  <w:num w:numId="30">
    <w:abstractNumId w:val="8"/>
  </w:num>
  <w:num w:numId="31">
    <w:abstractNumId w:val="24"/>
  </w:num>
  <w:num w:numId="32">
    <w:abstractNumId w:val="20"/>
  </w:num>
  <w:num w:numId="33">
    <w:abstractNumId w:val="7"/>
  </w:num>
  <w:num w:numId="34">
    <w:abstractNumId w:val="3"/>
  </w:num>
  <w:num w:numId="35">
    <w:abstractNumId w:val="16"/>
  </w:num>
  <w:num w:numId="3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3D7D"/>
    <w:rsid w:val="00084FCB"/>
    <w:rsid w:val="000B3FE6"/>
    <w:rsid w:val="000F28A1"/>
    <w:rsid w:val="002E26C3"/>
    <w:rsid w:val="00312693"/>
    <w:rsid w:val="00360C7D"/>
    <w:rsid w:val="00366636"/>
    <w:rsid w:val="00367DE6"/>
    <w:rsid w:val="003B3E19"/>
    <w:rsid w:val="003C17D0"/>
    <w:rsid w:val="00406FE2"/>
    <w:rsid w:val="004076C6"/>
    <w:rsid w:val="00447FE3"/>
    <w:rsid w:val="00457A58"/>
    <w:rsid w:val="004A7F7E"/>
    <w:rsid w:val="004B7F76"/>
    <w:rsid w:val="004E1BCE"/>
    <w:rsid w:val="00592079"/>
    <w:rsid w:val="006462D0"/>
    <w:rsid w:val="00682FFE"/>
    <w:rsid w:val="00684751"/>
    <w:rsid w:val="006C69EC"/>
    <w:rsid w:val="007039D0"/>
    <w:rsid w:val="00767987"/>
    <w:rsid w:val="00782FD4"/>
    <w:rsid w:val="007A563E"/>
    <w:rsid w:val="007B728F"/>
    <w:rsid w:val="007E1230"/>
    <w:rsid w:val="00811140"/>
    <w:rsid w:val="0083380B"/>
    <w:rsid w:val="008A46BF"/>
    <w:rsid w:val="00904A48"/>
    <w:rsid w:val="00980294"/>
    <w:rsid w:val="009A603F"/>
    <w:rsid w:val="009C3F68"/>
    <w:rsid w:val="009C5392"/>
    <w:rsid w:val="00A50E4B"/>
    <w:rsid w:val="00A87C81"/>
    <w:rsid w:val="00A9231D"/>
    <w:rsid w:val="00AD3BB3"/>
    <w:rsid w:val="00B341EB"/>
    <w:rsid w:val="00B646AF"/>
    <w:rsid w:val="00C0216A"/>
    <w:rsid w:val="00C10CFA"/>
    <w:rsid w:val="00CC4BE3"/>
    <w:rsid w:val="00CD6077"/>
    <w:rsid w:val="00CE234E"/>
    <w:rsid w:val="00D010C6"/>
    <w:rsid w:val="00D02973"/>
    <w:rsid w:val="00D73DA5"/>
    <w:rsid w:val="00DA09BE"/>
    <w:rsid w:val="00E83A83"/>
    <w:rsid w:val="00E91CCA"/>
    <w:rsid w:val="00E9590E"/>
    <w:rsid w:val="00F17074"/>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5601"/>
    <o:shapelayout v:ext="edit">
      <o:idmap v:ext="edit" data="1"/>
    </o:shapelayout>
  </w:shapeDefaults>
  <w:decimalSymbol w:val=","/>
  <w:listSeparator w:val=";"/>
  <w15:docId w15:val="{237EDF64-FEB8-4ED3-BD62-21DF2CCF85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B646AF"/>
    <w:pPr>
      <w:tabs>
        <w:tab w:val="left" w:pos="3402"/>
      </w:tabs>
    </w:pPr>
    <w:rPr>
      <w:lang w:val="it-IT"/>
    </w:rPr>
  </w:style>
  <w:style w:type="paragraph" w:customStyle="1" w:styleId="Poglavje">
    <w:name w:val="Poglavje"/>
    <w:basedOn w:val="Navaden"/>
    <w:qFormat/>
    <w:rsid w:val="009C3F6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pf0">
    <w:name w:val="pf0"/>
    <w:basedOn w:val="Navaden"/>
    <w:rsid w:val="009A603F"/>
    <w:pPr>
      <w:spacing w:before="100" w:beforeAutospacing="1" w:after="100" w:afterAutospacing="1" w:line="240" w:lineRule="auto"/>
    </w:pPr>
    <w:rPr>
      <w:rFonts w:ascii="Times New Roman" w:hAnsi="Times New Roman"/>
      <w:sz w:val="24"/>
      <w:lang w:eastAsia="sl-SI"/>
    </w:rPr>
  </w:style>
  <w:style w:type="paragraph" w:styleId="Golobesedilo">
    <w:name w:val="Plain Text"/>
    <w:basedOn w:val="Navaden"/>
    <w:link w:val="GolobesediloZnak"/>
    <w:uiPriority w:val="99"/>
    <w:semiHidden/>
    <w:unhideWhenUsed/>
    <w:rsid w:val="008A46BF"/>
    <w:pPr>
      <w:spacing w:line="240" w:lineRule="auto"/>
    </w:pPr>
    <w:rPr>
      <w:rFonts w:ascii="Calibri" w:eastAsia="Calibri" w:hAnsi="Calibri"/>
      <w:sz w:val="22"/>
      <w:szCs w:val="21"/>
    </w:rPr>
  </w:style>
  <w:style w:type="character" w:customStyle="1" w:styleId="GolobesediloZnak">
    <w:name w:val="Golo besedilo Znak"/>
    <w:basedOn w:val="Privzetapisavaodstavka"/>
    <w:link w:val="Golobesedilo"/>
    <w:uiPriority w:val="99"/>
    <w:semiHidden/>
    <w:rsid w:val="008A46BF"/>
    <w:rPr>
      <w:rFonts w:ascii="Calibri" w:eastAsia="Calibri" w:hAnsi="Calibri" w:cs="Times New Roman"/>
      <w:szCs w:val="21"/>
    </w:rPr>
  </w:style>
  <w:style w:type="paragraph" w:styleId="Navadensplet">
    <w:name w:val="Normal (Web)"/>
    <w:basedOn w:val="Navaden"/>
    <w:rsid w:val="007A563E"/>
    <w:pPr>
      <w:spacing w:before="100" w:beforeAutospacing="1" w:after="100" w:afterAutospacing="1" w:line="240" w:lineRule="auto"/>
    </w:pPr>
    <w:rPr>
      <w:rFonts w:ascii="Times New Roman" w:hAnsi="Times New Roman"/>
      <w:color w:val="000000"/>
      <w:sz w:val="24"/>
      <w:lang w:eastAsia="sl-SI"/>
    </w:rPr>
  </w:style>
  <w:style w:type="paragraph" w:customStyle="1" w:styleId="Default">
    <w:name w:val="Default"/>
    <w:rsid w:val="007A563E"/>
    <w:pPr>
      <w:autoSpaceDE w:val="0"/>
      <w:autoSpaceDN w:val="0"/>
      <w:adjustRightInd w:val="0"/>
      <w:spacing w:after="0" w:line="240" w:lineRule="auto"/>
    </w:pPr>
    <w:rPr>
      <w:rFonts w:ascii="Times New Roman" w:eastAsia="Times New Roman" w:hAnsi="Times New Roman" w:cs="Times New Roman"/>
      <w:color w:val="000000"/>
      <w:sz w:val="24"/>
      <w:szCs w:val="24"/>
      <w:lang w:eastAsia="sl-SI"/>
    </w:rPr>
  </w:style>
  <w:style w:type="paragraph" w:styleId="Sprotnaopomba-besedilo">
    <w:name w:val="footnote text"/>
    <w:aliases w:val="Footnote,Fußnote,Footnote Text Char Char,FSR footnote,lábléc,Sprotna opomba - besedilo Znak1 Char,Sprotna opomba - besedilo Znak Znak Char,Znak Znak Znak Char,Znak Znak Znak Znak Znak Znak Znak Char,Znak Znak1 Char"/>
    <w:basedOn w:val="Navaden"/>
    <w:link w:val="Sprotnaopomba-besediloZnak"/>
    <w:uiPriority w:val="99"/>
    <w:unhideWhenUsed/>
    <w:qFormat/>
    <w:rsid w:val="00C10CFA"/>
    <w:pPr>
      <w:spacing w:line="240" w:lineRule="auto"/>
      <w:jc w:val="both"/>
    </w:pPr>
    <w:rPr>
      <w:rFonts w:eastAsia="SimSun"/>
      <w:szCs w:val="20"/>
      <w:lang w:eastAsia="zh-CN"/>
    </w:rPr>
  </w:style>
  <w:style w:type="character" w:customStyle="1" w:styleId="Sprotnaopomba-besediloZnak">
    <w:name w:val="Sprotna opomba - besedilo Znak"/>
    <w:aliases w:val="Footnote Znak,Fußnote Znak,Footnote Text Char Char Znak,FSR footnote Znak,lábléc Znak,Sprotna opomba - besedilo Znak1 Char Znak,Sprotna opomba - besedilo Znak Znak Char Znak,Znak Znak Znak Char Znak,Znak Znak1 Char Znak"/>
    <w:basedOn w:val="Privzetapisavaodstavka"/>
    <w:link w:val="Sprotnaopomba-besedilo"/>
    <w:uiPriority w:val="99"/>
    <w:qFormat/>
    <w:rsid w:val="00C10CFA"/>
    <w:rPr>
      <w:rFonts w:ascii="Arial" w:eastAsia="SimSun" w:hAnsi="Arial" w:cs="Times New Roman"/>
      <w:sz w:val="20"/>
      <w:szCs w:val="20"/>
      <w:lang w:eastAsia="zh-CN"/>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rsid w:val="00C10CFA"/>
    <w:rPr>
      <w:rFonts w:cs="Times New Roman"/>
      <w:vertAlign w:val="superscript"/>
    </w:rPr>
  </w:style>
  <w:style w:type="paragraph" w:styleId="Odstavekseznama">
    <w:name w:val="List Paragraph"/>
    <w:aliases w:val="numbered list"/>
    <w:basedOn w:val="Navaden"/>
    <w:link w:val="OdstavekseznamaZnak"/>
    <w:uiPriority w:val="34"/>
    <w:qFormat/>
    <w:rsid w:val="00C10CFA"/>
    <w:pPr>
      <w:spacing w:after="200" w:line="276" w:lineRule="auto"/>
      <w:ind w:left="720"/>
      <w:contextualSpacing/>
      <w:jc w:val="both"/>
    </w:pPr>
    <w:rPr>
      <w:rFonts w:eastAsia="SimSun"/>
      <w:sz w:val="22"/>
      <w:szCs w:val="22"/>
      <w:lang w:eastAsia="zh-CN"/>
    </w:rPr>
  </w:style>
  <w:style w:type="paragraph" w:customStyle="1" w:styleId="Odstavek">
    <w:name w:val="Odstavek"/>
    <w:basedOn w:val="Navaden"/>
    <w:link w:val="OdstavekZnak"/>
    <w:qFormat/>
    <w:rsid w:val="00C10CFA"/>
    <w:pPr>
      <w:overflowPunct w:val="0"/>
      <w:autoSpaceDE w:val="0"/>
      <w:autoSpaceDN w:val="0"/>
      <w:adjustRightInd w:val="0"/>
      <w:spacing w:before="240" w:line="240" w:lineRule="auto"/>
      <w:ind w:firstLine="1021"/>
      <w:jc w:val="both"/>
      <w:textAlignment w:val="baseline"/>
    </w:pPr>
    <w:rPr>
      <w:sz w:val="22"/>
      <w:szCs w:val="22"/>
      <w:lang w:eastAsia="zh-CN"/>
    </w:rPr>
  </w:style>
  <w:style w:type="character" w:customStyle="1" w:styleId="OdstavekZnak">
    <w:name w:val="Odstavek Znak"/>
    <w:link w:val="Odstavek"/>
    <w:rsid w:val="00C10CFA"/>
    <w:rPr>
      <w:rFonts w:ascii="Arial" w:eastAsia="Times New Roman" w:hAnsi="Arial" w:cs="Times New Roman"/>
      <w:lang w:eastAsia="zh-CN"/>
    </w:rPr>
  </w:style>
  <w:style w:type="character" w:customStyle="1" w:styleId="lenZnak">
    <w:name w:val="Člen Znak"/>
    <w:link w:val="len"/>
    <w:locked/>
    <w:rsid w:val="00C10CFA"/>
    <w:rPr>
      <w:rFonts w:ascii="Arial" w:eastAsia="Times New Roman" w:hAnsi="Arial" w:cs="Arial"/>
      <w:b/>
      <w:lang w:eastAsia="sl-SI"/>
    </w:rPr>
  </w:style>
  <w:style w:type="paragraph" w:customStyle="1" w:styleId="len">
    <w:name w:val="Člen"/>
    <w:basedOn w:val="Navaden"/>
    <w:link w:val="lenZnak"/>
    <w:qFormat/>
    <w:rsid w:val="00C10CFA"/>
    <w:pPr>
      <w:suppressAutoHyphens/>
      <w:overflowPunct w:val="0"/>
      <w:autoSpaceDE w:val="0"/>
      <w:autoSpaceDN w:val="0"/>
      <w:adjustRightInd w:val="0"/>
      <w:spacing w:before="480" w:line="240" w:lineRule="auto"/>
      <w:jc w:val="center"/>
    </w:pPr>
    <w:rPr>
      <w:rFonts w:cs="Arial"/>
      <w:b/>
      <w:sz w:val="22"/>
      <w:szCs w:val="22"/>
      <w:lang w:eastAsia="sl-SI"/>
    </w:rPr>
  </w:style>
  <w:style w:type="paragraph" w:customStyle="1" w:styleId="lennaslov">
    <w:name w:val="Člen_naslov"/>
    <w:basedOn w:val="len"/>
    <w:qFormat/>
    <w:rsid w:val="00C10CFA"/>
    <w:pPr>
      <w:spacing w:before="0"/>
    </w:pPr>
  </w:style>
  <w:style w:type="paragraph" w:customStyle="1" w:styleId="tevilnatoka111">
    <w:name w:val="Številčna točka 1.1.1"/>
    <w:basedOn w:val="Navaden"/>
    <w:qFormat/>
    <w:rsid w:val="00C10CFA"/>
    <w:pPr>
      <w:widowControl w:val="0"/>
      <w:numPr>
        <w:ilvl w:val="2"/>
        <w:numId w:val="9"/>
      </w:numPr>
      <w:tabs>
        <w:tab w:val="decimal" w:pos="567"/>
      </w:tabs>
      <w:overflowPunct w:val="0"/>
      <w:autoSpaceDE w:val="0"/>
      <w:autoSpaceDN w:val="0"/>
      <w:adjustRightInd w:val="0"/>
      <w:spacing w:line="240" w:lineRule="auto"/>
      <w:jc w:val="both"/>
    </w:pPr>
    <w:rPr>
      <w:sz w:val="22"/>
      <w:szCs w:val="16"/>
      <w:lang w:eastAsia="sl-SI"/>
    </w:rPr>
  </w:style>
  <w:style w:type="character" w:customStyle="1" w:styleId="tevilnatokaZnak">
    <w:name w:val="Številčna točka Znak"/>
    <w:link w:val="tevilnatoka"/>
    <w:locked/>
    <w:rsid w:val="00C10CFA"/>
    <w:rPr>
      <w:rFonts w:ascii="Arial" w:eastAsia="Times New Roman" w:hAnsi="Arial" w:cs="Arial"/>
    </w:rPr>
  </w:style>
  <w:style w:type="paragraph" w:customStyle="1" w:styleId="tevilnatoka">
    <w:name w:val="Številčna točka"/>
    <w:basedOn w:val="Navaden"/>
    <w:link w:val="tevilnatokaZnak"/>
    <w:qFormat/>
    <w:rsid w:val="00C10CFA"/>
    <w:pPr>
      <w:numPr>
        <w:numId w:val="9"/>
      </w:numPr>
      <w:spacing w:line="240" w:lineRule="auto"/>
      <w:jc w:val="both"/>
    </w:pPr>
    <w:rPr>
      <w:rFonts w:cs="Arial"/>
      <w:sz w:val="22"/>
      <w:szCs w:val="22"/>
    </w:rPr>
  </w:style>
  <w:style w:type="character" w:customStyle="1" w:styleId="OdstavekseznamaZnak">
    <w:name w:val="Odstavek seznama Znak"/>
    <w:aliases w:val="numbered list Znak"/>
    <w:link w:val="Odstavekseznama"/>
    <w:uiPriority w:val="34"/>
    <w:locked/>
    <w:rsid w:val="00C10CFA"/>
    <w:rPr>
      <w:rFonts w:ascii="Arial" w:eastAsia="SimSun" w:hAnsi="Arial" w:cs="Times New Roman"/>
      <w:lang w:eastAsia="zh-CN"/>
    </w:rPr>
  </w:style>
  <w:style w:type="paragraph" w:customStyle="1" w:styleId="Alineazatevilnotoko">
    <w:name w:val="Alinea za številčno točko"/>
    <w:basedOn w:val="Navaden"/>
    <w:link w:val="AlineazatevilnotokoZnak"/>
    <w:qFormat/>
    <w:rsid w:val="00C10CFA"/>
    <w:pPr>
      <w:tabs>
        <w:tab w:val="left" w:pos="567"/>
      </w:tabs>
      <w:spacing w:line="240" w:lineRule="auto"/>
      <w:ind w:left="567" w:hanging="142"/>
      <w:jc w:val="both"/>
    </w:pPr>
    <w:rPr>
      <w:rFonts w:cs="Arial"/>
      <w:sz w:val="22"/>
      <w:szCs w:val="22"/>
      <w:lang w:eastAsia="sl-SI"/>
    </w:rPr>
  </w:style>
  <w:style w:type="character" w:customStyle="1" w:styleId="AlineazatevilnotokoZnak">
    <w:name w:val="Alinea za številčno točko Znak"/>
    <w:basedOn w:val="Privzetapisavaodstavka"/>
    <w:link w:val="Alineazatevilnotoko"/>
    <w:rsid w:val="00C10CFA"/>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4A7F7E"/>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A7F7E"/>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7827</Words>
  <Characters>44617</Characters>
  <Application>Microsoft Office Word</Application>
  <DocSecurity>0</DocSecurity>
  <Lines>371</Lines>
  <Paragraphs>104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52340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Ingrid Hribar</dc:creator>
  <cp:keywords/>
  <dc:description/>
  <cp:lastModifiedBy>Ingrid Rupčič</cp:lastModifiedBy>
  <cp:revision>3</cp:revision>
  <dcterms:created xsi:type="dcterms:W3CDTF">2023-10-19T12:14:00Z</dcterms:created>
  <dcterms:modified xsi:type="dcterms:W3CDTF">2023-10-19T12:14:00Z</dcterms:modified>
</cp:coreProperties>
</file>