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2CF1AA" w14:textId="77777777" w:rsidR="001A127C" w:rsidRDefault="001A127C" w:rsidP="001A127C">
      <w:pPr>
        <w:rPr>
          <w:rFonts w:cs="Arial"/>
          <w:b/>
          <w:szCs w:val="20"/>
          <w:u w:val="single"/>
          <w:lang w:val="sl-SI"/>
        </w:rPr>
      </w:pPr>
      <w:r>
        <w:rPr>
          <w:rFonts w:cs="Arial"/>
          <w:b/>
          <w:szCs w:val="20"/>
          <w:u w:val="single"/>
          <w:lang w:val="sl-SI"/>
        </w:rPr>
        <w:t xml:space="preserve">Ime predpisa:  </w:t>
      </w:r>
    </w:p>
    <w:p w14:paraId="553FBF2E" w14:textId="77777777" w:rsidR="001A127C" w:rsidRDefault="001A127C" w:rsidP="001A127C">
      <w:pPr>
        <w:rPr>
          <w:rFonts w:cs="Arial"/>
          <w:bCs/>
          <w:szCs w:val="20"/>
          <w:lang w:val="sl-SI"/>
        </w:rPr>
      </w:pPr>
      <w:r>
        <w:rPr>
          <w:rFonts w:cs="Arial"/>
          <w:bCs/>
          <w:szCs w:val="20"/>
          <w:lang w:val="sl-SI"/>
        </w:rPr>
        <w:t>ZAKON O SPREMEMBI IN DOPOLNITVI ZAKONA O POGOJIH KONCESIJE ZA IZKORIŠČANJE ENERGETSKEGA POTENCIALA SPODNJE SAVE</w:t>
      </w:r>
    </w:p>
    <w:p w14:paraId="099618F0" w14:textId="77777777" w:rsidR="001A127C" w:rsidRDefault="001A127C" w:rsidP="001A127C">
      <w:pPr>
        <w:rPr>
          <w:rFonts w:cs="Arial"/>
          <w:b/>
          <w:szCs w:val="20"/>
          <w:u w:val="single"/>
          <w:lang w:val="sl-SI"/>
        </w:rPr>
      </w:pPr>
    </w:p>
    <w:p w14:paraId="5E475EC4" w14:textId="77777777" w:rsidR="001A127C" w:rsidRDefault="001A127C" w:rsidP="001A127C">
      <w:pPr>
        <w:spacing w:line="240" w:lineRule="atLeast"/>
        <w:rPr>
          <w:rFonts w:cs="Arial"/>
          <w:b/>
          <w:szCs w:val="20"/>
          <w:u w:val="single"/>
          <w:lang w:val="sl-SI"/>
        </w:rPr>
      </w:pPr>
      <w:r>
        <w:rPr>
          <w:rFonts w:cs="Arial"/>
          <w:b/>
          <w:szCs w:val="20"/>
          <w:u w:val="single"/>
          <w:lang w:val="sl-SI"/>
        </w:rPr>
        <w:t xml:space="preserve">Št. zadeve: </w:t>
      </w:r>
    </w:p>
    <w:p w14:paraId="730B6C27" w14:textId="77777777" w:rsidR="001A127C" w:rsidRDefault="001A127C" w:rsidP="001A127C">
      <w:pPr>
        <w:spacing w:line="240" w:lineRule="atLeast"/>
        <w:rPr>
          <w:rFonts w:cs="Arial"/>
          <w:b/>
          <w:szCs w:val="20"/>
          <w:lang w:val="sl-SI"/>
        </w:rPr>
      </w:pPr>
      <w:r>
        <w:rPr>
          <w:rFonts w:ascii="Helv" w:eastAsia="Calibri" w:hAnsi="Helv" w:cs="Helv"/>
          <w:color w:val="000000"/>
          <w:szCs w:val="20"/>
          <w:lang w:val="sl-SI" w:eastAsia="sl-SI"/>
        </w:rPr>
        <w:t>007-231/2023 (EVA 2023-2560-0087)</w:t>
      </w:r>
    </w:p>
    <w:p w14:paraId="1841040A" w14:textId="77777777" w:rsidR="001A127C" w:rsidRDefault="001A127C" w:rsidP="001A127C">
      <w:pPr>
        <w:spacing w:line="240" w:lineRule="atLeast"/>
        <w:rPr>
          <w:rFonts w:cs="Arial"/>
          <w:b/>
          <w:szCs w:val="20"/>
          <w:lang w:val="sl-SI"/>
        </w:rPr>
      </w:pPr>
    </w:p>
    <w:p w14:paraId="1144AE74" w14:textId="77777777" w:rsidR="001A127C" w:rsidRDefault="001A127C" w:rsidP="001A127C">
      <w:pPr>
        <w:spacing w:line="240" w:lineRule="atLeast"/>
        <w:rPr>
          <w:rFonts w:cs="Arial"/>
          <w:b/>
          <w:szCs w:val="20"/>
          <w:u w:val="single"/>
          <w:lang w:val="sl-SI"/>
        </w:rPr>
      </w:pPr>
      <w:r>
        <w:rPr>
          <w:rFonts w:cs="Arial"/>
          <w:b/>
          <w:szCs w:val="20"/>
          <w:u w:val="single"/>
          <w:lang w:val="sl-SI"/>
        </w:rPr>
        <w:t xml:space="preserve">Datum objave: </w:t>
      </w:r>
    </w:p>
    <w:p w14:paraId="12E5622C" w14:textId="77777777" w:rsidR="001A127C" w:rsidRDefault="001A127C" w:rsidP="001A127C">
      <w:pPr>
        <w:spacing w:line="240" w:lineRule="atLeast"/>
        <w:rPr>
          <w:rFonts w:cs="Arial"/>
          <w:szCs w:val="20"/>
          <w:lang w:val="sl-SI"/>
        </w:rPr>
      </w:pPr>
      <w:r>
        <w:rPr>
          <w:rFonts w:cs="Arial"/>
          <w:szCs w:val="20"/>
          <w:lang w:val="sl-SI"/>
        </w:rPr>
        <w:t>29. 9. 2023</w:t>
      </w:r>
    </w:p>
    <w:p w14:paraId="04F3F726" w14:textId="77777777" w:rsidR="001A127C" w:rsidRDefault="001A127C" w:rsidP="001A127C">
      <w:pPr>
        <w:spacing w:line="240" w:lineRule="atLeast"/>
        <w:rPr>
          <w:rFonts w:cs="Arial"/>
          <w:b/>
          <w:szCs w:val="20"/>
          <w:u w:val="single"/>
          <w:lang w:val="sl-SI"/>
        </w:rPr>
      </w:pPr>
    </w:p>
    <w:p w14:paraId="1E5D1305" w14:textId="77777777" w:rsidR="001A127C" w:rsidRDefault="001A127C" w:rsidP="001A127C">
      <w:pPr>
        <w:spacing w:line="240" w:lineRule="atLeast"/>
        <w:rPr>
          <w:rFonts w:cs="Arial"/>
          <w:b/>
          <w:szCs w:val="20"/>
          <w:u w:val="single"/>
          <w:lang w:val="sl-SI"/>
        </w:rPr>
      </w:pPr>
      <w:r>
        <w:rPr>
          <w:rFonts w:cs="Arial"/>
          <w:b/>
          <w:szCs w:val="20"/>
          <w:u w:val="single"/>
          <w:lang w:val="sl-SI"/>
        </w:rPr>
        <w:t xml:space="preserve">Rok za sprejem mnenj in pripomb: </w:t>
      </w:r>
    </w:p>
    <w:p w14:paraId="73AF72B7" w14:textId="77777777" w:rsidR="001A127C" w:rsidRDefault="001A127C" w:rsidP="001A127C">
      <w:pPr>
        <w:spacing w:line="240" w:lineRule="atLeast"/>
        <w:rPr>
          <w:rFonts w:cs="Arial"/>
          <w:szCs w:val="20"/>
          <w:lang w:val="sl-SI"/>
        </w:rPr>
      </w:pPr>
      <w:r>
        <w:rPr>
          <w:rFonts w:cs="Arial"/>
          <w:szCs w:val="20"/>
          <w:lang w:val="sl-SI"/>
        </w:rPr>
        <w:t>28. 10. 2023</w:t>
      </w:r>
    </w:p>
    <w:p w14:paraId="2CD0D6C2" w14:textId="77777777" w:rsidR="001A127C" w:rsidRDefault="001A127C" w:rsidP="001A127C">
      <w:pPr>
        <w:spacing w:line="240" w:lineRule="atLeast"/>
        <w:rPr>
          <w:rFonts w:cs="Arial"/>
          <w:b/>
          <w:szCs w:val="20"/>
          <w:lang w:val="sl-SI"/>
        </w:rPr>
      </w:pPr>
    </w:p>
    <w:p w14:paraId="62CBA91D" w14:textId="77777777" w:rsidR="001A127C" w:rsidRDefault="001A127C" w:rsidP="001A127C">
      <w:pPr>
        <w:spacing w:line="240" w:lineRule="atLeast"/>
        <w:rPr>
          <w:rFonts w:cs="Arial"/>
          <w:b/>
          <w:szCs w:val="20"/>
          <w:u w:val="single"/>
          <w:lang w:val="sl-SI"/>
        </w:rPr>
      </w:pPr>
      <w:r>
        <w:rPr>
          <w:rFonts w:cs="Arial"/>
          <w:b/>
          <w:szCs w:val="20"/>
          <w:u w:val="single"/>
          <w:lang w:val="sl-SI"/>
        </w:rPr>
        <w:t xml:space="preserve">Ime odgovorne osebe in e-naslov: </w:t>
      </w:r>
    </w:p>
    <w:p w14:paraId="3A23B92B" w14:textId="77777777" w:rsidR="001A127C" w:rsidRDefault="001A127C" w:rsidP="001A127C">
      <w:pPr>
        <w:spacing w:line="240" w:lineRule="atLeast"/>
        <w:rPr>
          <w:rFonts w:cs="Arial"/>
          <w:szCs w:val="20"/>
          <w:lang w:val="sl-SI"/>
        </w:rPr>
      </w:pPr>
      <w:r>
        <w:rPr>
          <w:rFonts w:cs="Arial"/>
          <w:szCs w:val="20"/>
          <w:lang w:val="sl-SI"/>
        </w:rPr>
        <w:t>gp.mnvp@gov.si</w:t>
      </w:r>
    </w:p>
    <w:p w14:paraId="0783753A" w14:textId="77777777" w:rsidR="001A127C" w:rsidRDefault="001A127C" w:rsidP="001A127C">
      <w:pPr>
        <w:spacing w:line="240" w:lineRule="atLeast"/>
        <w:rPr>
          <w:rFonts w:cs="Arial"/>
          <w:szCs w:val="20"/>
          <w:lang w:val="sl-SI"/>
        </w:rPr>
      </w:pPr>
    </w:p>
    <w:p w14:paraId="5934D3F0" w14:textId="77777777" w:rsidR="001A127C" w:rsidRDefault="001A127C" w:rsidP="001A127C">
      <w:pPr>
        <w:spacing w:line="240" w:lineRule="atLeast"/>
        <w:rPr>
          <w:rFonts w:cs="Arial"/>
          <w:b/>
          <w:szCs w:val="20"/>
          <w:u w:val="single"/>
          <w:lang w:val="sl-SI"/>
        </w:rPr>
      </w:pPr>
    </w:p>
    <w:p w14:paraId="5AB37BEC" w14:textId="77777777" w:rsidR="001A127C" w:rsidRDefault="001A127C" w:rsidP="001A127C">
      <w:pPr>
        <w:spacing w:line="240" w:lineRule="auto"/>
        <w:rPr>
          <w:rFonts w:eastAsia="Calibri"/>
          <w:b/>
          <w:szCs w:val="20"/>
          <w:lang w:val="x-none" w:eastAsia="x-none"/>
        </w:rPr>
      </w:pPr>
      <w:r>
        <w:rPr>
          <w:rFonts w:eastAsia="Calibri"/>
          <w:szCs w:val="20"/>
        </w:rPr>
        <w:br w:type="page"/>
      </w:r>
    </w:p>
    <w:p w14:paraId="32A5EF7E" w14:textId="77777777" w:rsidR="001A127C" w:rsidRDefault="001A127C" w:rsidP="001A127C">
      <w:pPr>
        <w:pStyle w:val="Naslovpredpisa"/>
        <w:spacing w:before="0" w:after="0" w:line="276" w:lineRule="auto"/>
        <w:jc w:val="right"/>
        <w:rPr>
          <w:rFonts w:eastAsia="Calibri"/>
          <w:sz w:val="20"/>
          <w:szCs w:val="20"/>
        </w:rPr>
      </w:pPr>
      <w:r>
        <w:rPr>
          <w:rFonts w:eastAsia="Calibri"/>
          <w:sz w:val="20"/>
          <w:szCs w:val="20"/>
        </w:rPr>
        <w:lastRenderedPageBreak/>
        <w:t>EVA 2023-2560-0087</w:t>
      </w:r>
    </w:p>
    <w:p w14:paraId="22E177B0" w14:textId="77777777" w:rsidR="001A127C" w:rsidRDefault="001A127C" w:rsidP="001A127C">
      <w:pPr>
        <w:spacing w:line="276" w:lineRule="auto"/>
        <w:ind w:left="720"/>
        <w:rPr>
          <w:rFonts w:cs="Arial"/>
          <w:szCs w:val="20"/>
          <w:lang w:val="sl-SI"/>
        </w:rPr>
      </w:pPr>
    </w:p>
    <w:p w14:paraId="3EB95648" w14:textId="77777777" w:rsidR="001A127C" w:rsidRDefault="001A127C" w:rsidP="001A127C">
      <w:pPr>
        <w:pStyle w:val="Telobesedila2"/>
        <w:rPr>
          <w:b/>
          <w:color w:val="FF0000"/>
          <w:lang w:val="sl-SI"/>
        </w:rPr>
      </w:pPr>
    </w:p>
    <w:p w14:paraId="672FDC99" w14:textId="77777777" w:rsidR="001A127C" w:rsidRDefault="001A127C" w:rsidP="001A127C">
      <w:pPr>
        <w:spacing w:line="312" w:lineRule="auto"/>
        <w:jc w:val="center"/>
        <w:rPr>
          <w:rFonts w:cs="Arial"/>
          <w:b/>
          <w:szCs w:val="20"/>
        </w:rPr>
      </w:pPr>
      <w:r>
        <w:rPr>
          <w:rFonts w:cs="Arial"/>
          <w:b/>
          <w:szCs w:val="20"/>
        </w:rPr>
        <w:t>ZAKON O SPREMEMBI IN DOPOLNITVI ZAKONA O POGOJIH KONCESIJE ZA IZKORIŠČANJE ENERGETSKEGA POTENCIALA SPODNJE SAVE</w:t>
      </w:r>
    </w:p>
    <w:p w14:paraId="322ECE9F" w14:textId="77777777" w:rsidR="001A127C" w:rsidRDefault="001A127C" w:rsidP="001A127C">
      <w:pPr>
        <w:spacing w:line="312" w:lineRule="auto"/>
        <w:jc w:val="both"/>
        <w:rPr>
          <w:rFonts w:cs="Arial"/>
          <w:szCs w:val="20"/>
        </w:rPr>
      </w:pPr>
    </w:p>
    <w:p w14:paraId="48B978F6" w14:textId="77777777" w:rsidR="001A127C" w:rsidRDefault="001A127C" w:rsidP="001A127C">
      <w:pPr>
        <w:spacing w:line="312" w:lineRule="auto"/>
        <w:jc w:val="both"/>
        <w:rPr>
          <w:rFonts w:cs="Arial"/>
          <w:b/>
          <w:szCs w:val="20"/>
        </w:rPr>
      </w:pPr>
    </w:p>
    <w:p w14:paraId="0E624EFC" w14:textId="77777777" w:rsidR="001A127C" w:rsidRDefault="001A127C" w:rsidP="001A127C">
      <w:pPr>
        <w:spacing w:line="312" w:lineRule="auto"/>
        <w:ind w:firstLine="720"/>
        <w:jc w:val="both"/>
        <w:rPr>
          <w:rFonts w:cs="Arial"/>
          <w:b/>
          <w:szCs w:val="20"/>
        </w:rPr>
      </w:pPr>
      <w:proofErr w:type="gramStart"/>
      <w:r>
        <w:rPr>
          <w:rFonts w:cs="Arial"/>
          <w:b/>
          <w:szCs w:val="20"/>
        </w:rPr>
        <w:t>I .</w:t>
      </w:r>
      <w:proofErr w:type="gramEnd"/>
      <w:r>
        <w:rPr>
          <w:rFonts w:cs="Arial"/>
          <w:b/>
          <w:szCs w:val="20"/>
        </w:rPr>
        <w:t xml:space="preserve"> UVOD</w:t>
      </w:r>
    </w:p>
    <w:p w14:paraId="6C7CD650" w14:textId="77777777" w:rsidR="001A127C" w:rsidRDefault="001A127C" w:rsidP="001A127C">
      <w:pPr>
        <w:spacing w:line="312" w:lineRule="auto"/>
        <w:jc w:val="both"/>
        <w:rPr>
          <w:rFonts w:cs="Arial"/>
          <w:szCs w:val="20"/>
        </w:rPr>
      </w:pPr>
    </w:p>
    <w:p w14:paraId="0C36A0D2" w14:textId="77777777" w:rsidR="001A127C" w:rsidRDefault="001A127C" w:rsidP="001A127C">
      <w:pPr>
        <w:spacing w:line="312" w:lineRule="auto"/>
        <w:jc w:val="both"/>
        <w:rPr>
          <w:rFonts w:cs="Arial"/>
          <w:b/>
          <w:szCs w:val="20"/>
        </w:rPr>
      </w:pPr>
      <w:r>
        <w:rPr>
          <w:rFonts w:cs="Arial"/>
          <w:b/>
          <w:szCs w:val="20"/>
        </w:rPr>
        <w:t>1. OCENA STANJA IN RAZLOGI ZA SPREJEM PREDLOGA ZAKONA</w:t>
      </w:r>
    </w:p>
    <w:p w14:paraId="26C43F2E" w14:textId="77777777" w:rsidR="001A127C" w:rsidRDefault="001A127C" w:rsidP="001A127C">
      <w:pPr>
        <w:spacing w:line="312" w:lineRule="auto"/>
        <w:jc w:val="both"/>
        <w:rPr>
          <w:rFonts w:cs="Arial"/>
          <w:b/>
          <w:szCs w:val="20"/>
        </w:rPr>
      </w:pPr>
    </w:p>
    <w:p w14:paraId="51B8859A" w14:textId="77777777" w:rsidR="001A127C" w:rsidRDefault="001A127C" w:rsidP="001A127C">
      <w:pPr>
        <w:tabs>
          <w:tab w:val="left" w:pos="1440"/>
        </w:tabs>
        <w:autoSpaceDE w:val="0"/>
        <w:autoSpaceDN w:val="0"/>
        <w:adjustRightInd w:val="0"/>
        <w:spacing w:line="312" w:lineRule="auto"/>
        <w:jc w:val="both"/>
        <w:rPr>
          <w:rFonts w:cs="Arial"/>
          <w:b/>
          <w:szCs w:val="20"/>
          <w:lang w:val="sl-SI"/>
        </w:rPr>
      </w:pPr>
      <w:r>
        <w:rPr>
          <w:rFonts w:cs="Arial"/>
          <w:b/>
          <w:szCs w:val="20"/>
          <w:lang w:val="sl-SI"/>
        </w:rPr>
        <w:t>1.1 Ocena stanja</w:t>
      </w:r>
    </w:p>
    <w:p w14:paraId="2EEA4022" w14:textId="77777777" w:rsidR="001A127C" w:rsidRDefault="001A127C" w:rsidP="001A127C">
      <w:pPr>
        <w:pStyle w:val="dtparial"/>
        <w:spacing w:before="0" w:beforeAutospacing="0" w:after="0" w:afterAutospacing="0" w:line="312" w:lineRule="auto"/>
        <w:jc w:val="both"/>
        <w:rPr>
          <w:sz w:val="20"/>
          <w:szCs w:val="20"/>
        </w:rPr>
      </w:pPr>
    </w:p>
    <w:p w14:paraId="6BAB345C" w14:textId="77777777" w:rsidR="001A127C" w:rsidRDefault="001A127C" w:rsidP="001A127C">
      <w:pPr>
        <w:pStyle w:val="dtparial"/>
        <w:spacing w:before="0" w:beforeAutospacing="0" w:after="0" w:afterAutospacing="0" w:line="312" w:lineRule="auto"/>
        <w:jc w:val="both"/>
        <w:rPr>
          <w:sz w:val="20"/>
          <w:szCs w:val="20"/>
        </w:rPr>
      </w:pPr>
      <w:r>
        <w:rPr>
          <w:sz w:val="20"/>
          <w:szCs w:val="20"/>
        </w:rPr>
        <w:t xml:space="preserve">Veljavni Zakon o pogojih koncesije za izkoriščanje energetskega potenciala Spodnje Save (Uradni list RS, št. 87/11, 25/14 – ZSDH-1, 50/14, 90/15, 67/17, 65/20 in 18/23 – ZDU-1O) je bil sprejet leta 2011 in je nadomestil Zakon o pogojih koncesije za izkoriščanje energetskega potenciala Spodnje Save (Uradni list RS, št. 20/04 – uradno prečiščeno besedilo in 91/07), nato pa je bil še večkrat spremenjen oziroma dopolnjen. Trenutno veljavne zakonske določbe predvidevajo dokončanje verige hidroelektrarn s pridobitvijo uporabnega dovoljenja do konca leta 2023. </w:t>
      </w:r>
    </w:p>
    <w:p w14:paraId="2204AFB9" w14:textId="77777777" w:rsidR="001A127C" w:rsidRDefault="001A127C" w:rsidP="001A127C">
      <w:pPr>
        <w:pStyle w:val="dtparial"/>
        <w:spacing w:before="0" w:beforeAutospacing="0" w:after="0" w:afterAutospacing="0" w:line="312" w:lineRule="auto"/>
        <w:jc w:val="both"/>
        <w:rPr>
          <w:sz w:val="20"/>
          <w:szCs w:val="20"/>
        </w:rPr>
      </w:pPr>
    </w:p>
    <w:p w14:paraId="28D62141" w14:textId="77777777" w:rsidR="001A127C" w:rsidRDefault="001A127C" w:rsidP="001A127C">
      <w:pPr>
        <w:pStyle w:val="dtparial"/>
        <w:spacing w:before="0" w:beforeAutospacing="0" w:after="0" w:afterAutospacing="0" w:line="312" w:lineRule="auto"/>
        <w:jc w:val="both"/>
        <w:rPr>
          <w:sz w:val="20"/>
          <w:szCs w:val="20"/>
        </w:rPr>
      </w:pPr>
      <w:r>
        <w:rPr>
          <w:sz w:val="20"/>
          <w:szCs w:val="20"/>
        </w:rPr>
        <w:t>Trenutno ostaja nerealizirana gradnja zadnje v verigi hidroelektrarn, gre za hidroelektrarno Mokrice. V skladu s to ugotovitvijo in stanjem zadeve, se rok dokončanja spreminja do 2029 oziroma 2030 kot skrajni rok za pridobitev uporabnega dovoljenja in s tem dokončanja verige hidroelektrarn na spodnji Savi.</w:t>
      </w:r>
    </w:p>
    <w:p w14:paraId="39C6744F" w14:textId="77777777" w:rsidR="001A127C" w:rsidRDefault="001A127C" w:rsidP="001A127C">
      <w:pPr>
        <w:pStyle w:val="Telobesedila"/>
        <w:spacing w:line="312" w:lineRule="auto"/>
        <w:rPr>
          <w:rFonts w:cs="Arial"/>
          <w:szCs w:val="20"/>
        </w:rPr>
      </w:pPr>
    </w:p>
    <w:p w14:paraId="0D68CF4C" w14:textId="77777777" w:rsidR="001A127C" w:rsidRDefault="001A127C" w:rsidP="001A127C">
      <w:pPr>
        <w:pStyle w:val="Telobesedila"/>
        <w:spacing w:line="312" w:lineRule="auto"/>
        <w:rPr>
          <w:rFonts w:cs="Arial"/>
          <w:szCs w:val="20"/>
          <w:lang w:val="sl-SI"/>
        </w:rPr>
      </w:pPr>
      <w:r>
        <w:rPr>
          <w:rFonts w:cs="Arial"/>
          <w:b/>
          <w:szCs w:val="20"/>
          <w:lang w:val="sl-SI"/>
        </w:rPr>
        <w:t>Predmet urejanja tega zakona</w:t>
      </w:r>
    </w:p>
    <w:p w14:paraId="08E54CDC" w14:textId="77777777" w:rsidR="001A127C" w:rsidRDefault="001A127C" w:rsidP="001A127C">
      <w:pPr>
        <w:pStyle w:val="odstavek1"/>
        <w:spacing w:before="0" w:line="312" w:lineRule="auto"/>
        <w:ind w:firstLine="0"/>
        <w:rPr>
          <w:color w:val="000000"/>
          <w:sz w:val="20"/>
          <w:szCs w:val="20"/>
        </w:rPr>
      </w:pPr>
    </w:p>
    <w:p w14:paraId="5FC25AE1" w14:textId="77777777" w:rsidR="001A127C" w:rsidRDefault="001A127C" w:rsidP="001A127C">
      <w:pPr>
        <w:pStyle w:val="odstavek1"/>
        <w:spacing w:before="0" w:line="312" w:lineRule="auto"/>
        <w:ind w:firstLine="0"/>
        <w:rPr>
          <w:color w:val="000000"/>
          <w:sz w:val="20"/>
          <w:szCs w:val="20"/>
        </w:rPr>
      </w:pPr>
      <w:r>
        <w:rPr>
          <w:color w:val="000000"/>
          <w:sz w:val="20"/>
          <w:szCs w:val="20"/>
        </w:rPr>
        <w:t xml:space="preserve">Zakon določa pogoje za izvajanje koncesije za izkoriščanje vodnega energetskega potenciala na območju Spodnje Save od Suhadola do državne meje z Republiko Hrvaško in pogoje, ki jih mora izpolnjevati koncesionar pri načrtovanju in izgradnji objektov za izvajanje koncesije. Z zakonom je urejena koncesija za rabo vode za proizvodnjo električne energije v hidroelektrarnah Vrhovo, Boštanj, Blanca, Krško, Brežice in Mokrice z izkoriščanjem vodnega potenciala spodnje Save, hkrati pa se ureja oziroma ureja pogoje za izvajanje javne gospodarske službe urejanja voda na vplivnem območju energetskega izkoriščanja Spodnje Save. Predmetno javno gospodarsko službo izvaja družba INFRA </w:t>
      </w:r>
      <w:proofErr w:type="spellStart"/>
      <w:r>
        <w:rPr>
          <w:color w:val="000000"/>
          <w:sz w:val="20"/>
          <w:szCs w:val="20"/>
        </w:rPr>
        <w:t>d.o.o</w:t>
      </w:r>
      <w:proofErr w:type="spellEnd"/>
      <w:r>
        <w:rPr>
          <w:color w:val="000000"/>
          <w:sz w:val="20"/>
          <w:szCs w:val="20"/>
        </w:rPr>
        <w:t>., javno podjetje, ki skladno z ustanovitvenim aktom opravlja tudi naloge notranjega izvajalca investicijskega inženiringa, vodenja investicij v javno infrastrukturo in druge svetovalne dejavnosti. S predlagano spremembo zakona se podaljšujejo roki za dokončanje verige hidroelektrarn na spodnji Savi, in sicer je določen skrajni rok dokončanja verige hidroelektrarn na spodnji Savi do leta 2029 ter rok pridobitve uporabnega dovoljenja do 2030. Dokončanje verige hidroelektrarn bo pomembno prispevalo k zagotavljanju proizvodnje električne energije iz obnovljivih virov.</w:t>
      </w:r>
    </w:p>
    <w:p w14:paraId="3E25441A" w14:textId="77777777" w:rsidR="001A127C" w:rsidRDefault="001A127C" w:rsidP="001A127C">
      <w:pPr>
        <w:pStyle w:val="odstavek1"/>
        <w:spacing w:before="0" w:line="312" w:lineRule="auto"/>
        <w:ind w:firstLine="0"/>
        <w:rPr>
          <w:color w:val="000000"/>
          <w:sz w:val="20"/>
          <w:szCs w:val="20"/>
        </w:rPr>
      </w:pPr>
    </w:p>
    <w:p w14:paraId="36B27588"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1.2 Predpisi, ki urejajo to področje</w:t>
      </w:r>
    </w:p>
    <w:p w14:paraId="7753C54F"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Zakon o pogojih koncesije za izkoriščanje energetskega potenciala Spodnje Save (Uradni list RS, št. 87/11, 25/14 – ZSDH-1, 50/14, 90/15, 67/17, 65/20 in 18/23 – ZDU-1O) in</w:t>
      </w:r>
    </w:p>
    <w:p w14:paraId="63C55EE9"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lastRenderedPageBreak/>
        <w:t xml:space="preserve">Zakon o vodah (Uradni list RS, št. 67/02, 2/04 – ZZdrI-A, 41/04 – ZVO-1, 57/08, 57/12, 100/13, 40/14, 56/15, 65/20 in 35/23 – </w:t>
      </w:r>
      <w:proofErr w:type="spellStart"/>
      <w:r>
        <w:rPr>
          <w:rFonts w:eastAsia="Calibri" w:cs="Arial"/>
          <w:szCs w:val="20"/>
          <w:lang w:val="sl-SI"/>
        </w:rPr>
        <w:t>odl</w:t>
      </w:r>
      <w:proofErr w:type="spellEnd"/>
      <w:r>
        <w:rPr>
          <w:rFonts w:eastAsia="Calibri" w:cs="Arial"/>
          <w:szCs w:val="20"/>
          <w:lang w:val="sl-SI"/>
        </w:rPr>
        <w:t>. US in 78/23 – ZUNPEOVE).</w:t>
      </w:r>
    </w:p>
    <w:p w14:paraId="25D6EA30"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1.3 Predpisi Evropske unije, ki vplivajo na področje urejanja</w:t>
      </w:r>
    </w:p>
    <w:p w14:paraId="40E2E93C" w14:textId="77777777" w:rsidR="001A127C" w:rsidRDefault="001A127C" w:rsidP="001A127C">
      <w:pPr>
        <w:spacing w:after="200" w:line="312" w:lineRule="auto"/>
        <w:jc w:val="both"/>
        <w:rPr>
          <w:rFonts w:eastAsia="Calibri" w:cs="Arial"/>
          <w:sz w:val="22"/>
          <w:szCs w:val="20"/>
          <w:lang w:val="sl-SI" w:eastAsia="x-none"/>
        </w:rPr>
      </w:pPr>
      <w:r>
        <w:rPr>
          <w:rFonts w:eastAsia="Calibri" w:cs="Arial"/>
          <w:sz w:val="22"/>
          <w:szCs w:val="20"/>
          <w:lang w:val="sl-SI" w:eastAsia="x-none"/>
        </w:rPr>
        <w:t>/</w:t>
      </w:r>
    </w:p>
    <w:p w14:paraId="5C1A8CAB"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1.4 Mednarodni sporazumi, ki vplivajo na področje urejanja</w:t>
      </w:r>
    </w:p>
    <w:p w14:paraId="01936F37"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w:t>
      </w:r>
    </w:p>
    <w:p w14:paraId="101E4476"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1.5 Odločbe Ustavnega sodišča RS, ki vplivajo na področje urejanja</w:t>
      </w:r>
    </w:p>
    <w:p w14:paraId="74350E2D"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w:t>
      </w:r>
    </w:p>
    <w:p w14:paraId="326DB93D"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1.6 Odločbe Sodišča Evropske unije, ki obravnavajo področje urejanja oziroma primerljivo ureditev</w:t>
      </w:r>
    </w:p>
    <w:p w14:paraId="36683626"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w:t>
      </w:r>
    </w:p>
    <w:p w14:paraId="56F2133D"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1.7 Razlogi, ki utemeljujejo potrebo po spremembi in/ali dopolnitvi obstoječega predpisa</w:t>
      </w:r>
    </w:p>
    <w:p w14:paraId="1FD8F749" w14:textId="77777777" w:rsidR="001A127C" w:rsidRDefault="001A127C" w:rsidP="001A127C">
      <w:pPr>
        <w:spacing w:line="312" w:lineRule="auto"/>
        <w:ind w:right="-6"/>
        <w:jc w:val="both"/>
        <w:rPr>
          <w:rFonts w:cs="Arial"/>
          <w:szCs w:val="20"/>
          <w:lang w:val="sl-SI"/>
        </w:rPr>
      </w:pPr>
      <w:r>
        <w:rPr>
          <w:rFonts w:cs="Arial"/>
          <w:szCs w:val="20"/>
          <w:lang w:val="sl-SI"/>
        </w:rPr>
        <w:t>Predlog zakona podaljšuje rok dokončanja verige hidroelektrarn na spodnji Savi. Po veljavnem zakonu je določen rok dokončanja verige hidroelektrarn do konca leta 2022 ter pridobitev uporabnega dovoljenja do konca leta 2023. Dokončanje verige hidroelektrarn bo pomembno prispevalo k zagotavljanju proizvodnje električne energije iz obnovljivih virov.</w:t>
      </w:r>
    </w:p>
    <w:p w14:paraId="6193631D" w14:textId="77777777" w:rsidR="001A127C" w:rsidRDefault="001A127C" w:rsidP="001A127C">
      <w:pPr>
        <w:spacing w:line="312" w:lineRule="auto"/>
        <w:ind w:right="-6"/>
        <w:jc w:val="both"/>
        <w:rPr>
          <w:rFonts w:cs="Arial"/>
          <w:sz w:val="22"/>
          <w:szCs w:val="20"/>
          <w:lang w:val="sl-SI"/>
        </w:rPr>
      </w:pPr>
    </w:p>
    <w:p w14:paraId="6E4E4731"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t>2. CILJI, NAČELA IN POGLAVITNE REŠITVE PREDLOGA ZAKONA</w:t>
      </w:r>
    </w:p>
    <w:p w14:paraId="4C0E2613" w14:textId="77777777" w:rsidR="001A127C" w:rsidRDefault="001A127C" w:rsidP="001A127C">
      <w:pPr>
        <w:spacing w:line="312" w:lineRule="auto"/>
        <w:jc w:val="both"/>
        <w:rPr>
          <w:rFonts w:cs="Arial"/>
          <w:b/>
          <w:szCs w:val="20"/>
          <w:lang w:val="sl-SI" w:eastAsia="sl-SI"/>
        </w:rPr>
      </w:pPr>
      <w:r>
        <w:rPr>
          <w:rFonts w:cs="Arial"/>
          <w:b/>
          <w:szCs w:val="20"/>
          <w:lang w:val="sl-SI" w:eastAsia="sl-SI"/>
        </w:rPr>
        <w:t>2.1 Cilji</w:t>
      </w:r>
    </w:p>
    <w:p w14:paraId="55D789BB" w14:textId="77777777" w:rsidR="001A127C" w:rsidRDefault="001A127C" w:rsidP="001A127C">
      <w:pPr>
        <w:spacing w:line="312" w:lineRule="auto"/>
        <w:jc w:val="both"/>
        <w:rPr>
          <w:rFonts w:cs="Arial"/>
          <w:szCs w:val="20"/>
          <w:lang w:val="sl-SI" w:eastAsia="sl-SI"/>
        </w:rPr>
      </w:pPr>
    </w:p>
    <w:p w14:paraId="48CBBB2D" w14:textId="77777777" w:rsidR="001A127C" w:rsidRDefault="001A127C" w:rsidP="001A127C">
      <w:pPr>
        <w:spacing w:line="312" w:lineRule="auto"/>
        <w:jc w:val="both"/>
        <w:rPr>
          <w:rFonts w:cs="Arial"/>
          <w:szCs w:val="20"/>
          <w:lang w:val="sl-SI" w:eastAsia="sl-SI"/>
        </w:rPr>
      </w:pPr>
      <w:r>
        <w:rPr>
          <w:rFonts w:cs="Arial"/>
          <w:szCs w:val="20"/>
          <w:lang w:val="sl-SI" w:eastAsia="sl-SI"/>
        </w:rPr>
        <w:t>Cilji zakona je predvsem podaljšanje roka dokončanja verige hidroelektrarn na spodnji Savi ter s tem podaljšanje financiranja izvajanja tako nalog gospodarske javne službe kot tudi ostalih nalog v javnem interesu, predvsem na področju, ki se nanaša vodno infrastrukturo, na trenutno veljaven način. Dokončanje verige hidroelektrarn bo pomembno prispevalo k zagotavljanju proizvodnje električne energije iz obnovljivih virov.</w:t>
      </w:r>
    </w:p>
    <w:p w14:paraId="4AD88AEF" w14:textId="77777777" w:rsidR="001A127C" w:rsidRDefault="001A127C" w:rsidP="001A127C">
      <w:pPr>
        <w:spacing w:line="312" w:lineRule="auto"/>
        <w:jc w:val="both"/>
        <w:rPr>
          <w:rFonts w:cs="Arial"/>
          <w:szCs w:val="20"/>
          <w:lang w:val="sl-SI" w:eastAsia="sl-SI"/>
        </w:rPr>
      </w:pPr>
    </w:p>
    <w:p w14:paraId="7056C7A4" w14:textId="77777777" w:rsidR="001A127C" w:rsidRDefault="001A127C" w:rsidP="001A127C">
      <w:pPr>
        <w:autoSpaceDE w:val="0"/>
        <w:autoSpaceDN w:val="0"/>
        <w:adjustRightInd w:val="0"/>
        <w:spacing w:after="200" w:line="312" w:lineRule="auto"/>
        <w:jc w:val="both"/>
        <w:rPr>
          <w:rFonts w:eastAsia="Calibri" w:cs="Arial"/>
          <w:b/>
          <w:bCs/>
          <w:sz w:val="22"/>
          <w:szCs w:val="20"/>
          <w:lang w:val="sl-SI" w:eastAsia="sl-SI"/>
        </w:rPr>
      </w:pPr>
      <w:r>
        <w:rPr>
          <w:rFonts w:eastAsia="Calibri" w:cs="Arial"/>
          <w:b/>
          <w:bCs/>
          <w:sz w:val="22"/>
          <w:szCs w:val="20"/>
          <w:lang w:val="sl-SI" w:eastAsia="sl-SI"/>
        </w:rPr>
        <w:t>2.2 Načela</w:t>
      </w:r>
    </w:p>
    <w:p w14:paraId="4C35D018" w14:textId="77777777" w:rsidR="001A127C" w:rsidRDefault="001A127C" w:rsidP="001A127C">
      <w:pPr>
        <w:autoSpaceDE w:val="0"/>
        <w:autoSpaceDN w:val="0"/>
        <w:adjustRightInd w:val="0"/>
        <w:spacing w:after="200" w:line="312" w:lineRule="auto"/>
        <w:jc w:val="both"/>
        <w:rPr>
          <w:rFonts w:eastAsia="Calibri" w:cs="Arial"/>
          <w:b/>
          <w:bCs/>
          <w:szCs w:val="20"/>
          <w:lang w:val="sl-SI" w:eastAsia="sl-SI"/>
        </w:rPr>
      </w:pPr>
      <w:r>
        <w:rPr>
          <w:rFonts w:eastAsia="Calibri" w:cs="Arial"/>
          <w:szCs w:val="20"/>
          <w:lang w:val="sl-SI"/>
        </w:rPr>
        <w:t>Predlagano podaljšanje roka dokončanja verige hidroelektrarn na spodnji Savi ne posega v temeljna načela zakona.</w:t>
      </w:r>
    </w:p>
    <w:p w14:paraId="477D09C0" w14:textId="77777777" w:rsidR="001A127C" w:rsidRDefault="001A127C" w:rsidP="001A127C">
      <w:pPr>
        <w:spacing w:line="312" w:lineRule="auto"/>
        <w:jc w:val="both"/>
        <w:rPr>
          <w:rFonts w:cs="Arial"/>
          <w:b/>
          <w:szCs w:val="20"/>
          <w:lang w:val="sl-SI" w:eastAsia="sl-SI"/>
        </w:rPr>
      </w:pPr>
      <w:r>
        <w:rPr>
          <w:rFonts w:cs="Arial"/>
          <w:b/>
          <w:szCs w:val="20"/>
          <w:lang w:val="sl-SI" w:eastAsia="sl-SI"/>
        </w:rPr>
        <w:t xml:space="preserve">2.3 Poglavitne rešitve </w:t>
      </w:r>
    </w:p>
    <w:p w14:paraId="22EBED35" w14:textId="77777777" w:rsidR="001A127C" w:rsidRDefault="001A127C" w:rsidP="001A127C">
      <w:pPr>
        <w:spacing w:line="312" w:lineRule="auto"/>
        <w:jc w:val="both"/>
        <w:rPr>
          <w:rFonts w:cs="Arial"/>
          <w:szCs w:val="20"/>
          <w:lang w:val="sl-SI" w:eastAsia="sl-SI"/>
        </w:rPr>
      </w:pPr>
    </w:p>
    <w:p w14:paraId="4FF7D7A7" w14:textId="77777777" w:rsidR="001A127C" w:rsidRDefault="001A127C" w:rsidP="001A127C">
      <w:pPr>
        <w:spacing w:line="312" w:lineRule="auto"/>
        <w:jc w:val="both"/>
        <w:rPr>
          <w:rFonts w:cs="Arial"/>
          <w:szCs w:val="20"/>
          <w:lang w:val="sl-SI" w:eastAsia="sl-SI"/>
        </w:rPr>
      </w:pPr>
      <w:r>
        <w:rPr>
          <w:rFonts w:eastAsia="Calibri" w:cs="Arial"/>
          <w:color w:val="000000"/>
          <w:szCs w:val="20"/>
          <w:lang w:val="sl-SI" w:eastAsia="sl-SI"/>
        </w:rPr>
        <w:t xml:space="preserve">Podaljšuje se rok dokončanja verige hidroelektrarn na spodnji Savi do leta 2029 ter rok pridobitve uporabnega dovoljenja do leta 2030. </w:t>
      </w:r>
      <w:r>
        <w:rPr>
          <w:rFonts w:cs="Arial"/>
          <w:szCs w:val="20"/>
          <w:lang w:val="sl-SI" w:eastAsia="sl-SI"/>
        </w:rPr>
        <w:t xml:space="preserve">Dokončanje verige hidroelektrarn bo pomembno prispevalo k zagotavljanju proizvodnje električne energije iz obnovljivih virov. </w:t>
      </w:r>
    </w:p>
    <w:p w14:paraId="721913DB" w14:textId="77777777" w:rsidR="001A127C" w:rsidRDefault="001A127C" w:rsidP="001A127C">
      <w:pPr>
        <w:spacing w:after="200" w:line="312" w:lineRule="auto"/>
        <w:jc w:val="both"/>
        <w:rPr>
          <w:rFonts w:eastAsia="Calibri" w:cs="Arial"/>
          <w:color w:val="000000"/>
          <w:szCs w:val="20"/>
          <w:lang w:val="sl-SI" w:eastAsia="sl-SI"/>
        </w:rPr>
      </w:pPr>
    </w:p>
    <w:p w14:paraId="471BB1DE" w14:textId="77777777" w:rsidR="001A127C" w:rsidRDefault="001A127C" w:rsidP="001A127C">
      <w:pPr>
        <w:spacing w:after="200" w:line="312" w:lineRule="auto"/>
        <w:jc w:val="both"/>
        <w:rPr>
          <w:rFonts w:eastAsia="Calibri" w:cs="Arial"/>
          <w:b/>
          <w:sz w:val="22"/>
          <w:szCs w:val="20"/>
          <w:lang w:val="sl-SI"/>
        </w:rPr>
      </w:pPr>
      <w:r>
        <w:rPr>
          <w:rFonts w:eastAsia="Calibri" w:cs="Arial"/>
          <w:b/>
          <w:sz w:val="22"/>
          <w:szCs w:val="20"/>
          <w:lang w:val="sl-SI"/>
        </w:rPr>
        <w:lastRenderedPageBreak/>
        <w:t xml:space="preserve">3. OCENA FINANČNIH POSLEDIC PREDLOGA ZAKONA ZA DRŽAVNI PRORAČUN IN DRUGA JAVNA FINANČNA SREDSTVA </w:t>
      </w:r>
    </w:p>
    <w:p w14:paraId="0C836E7D"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Predlagana sprememba in dopolnitev zakona bo imela finančne posledice tako na Državni proračun in druga javno finančna sredstva. Gre za posledice tako na integralna sredstva proračuna, kot tudi Sklad za vode ter Podnebni sklad. Ocena finančnih posledic vključuje:</w:t>
      </w:r>
    </w:p>
    <w:p w14:paraId="293266E9"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 xml:space="preserve">- stroške poslovanja družbe INFRA </w:t>
      </w:r>
      <w:proofErr w:type="spellStart"/>
      <w:r>
        <w:rPr>
          <w:rFonts w:eastAsia="Calibri" w:cs="Arial"/>
          <w:szCs w:val="20"/>
          <w:lang w:val="sl-SI"/>
        </w:rPr>
        <w:t>d.o.o</w:t>
      </w:r>
      <w:proofErr w:type="spellEnd"/>
      <w:r>
        <w:rPr>
          <w:rFonts w:eastAsia="Calibri" w:cs="Arial"/>
          <w:szCs w:val="20"/>
          <w:lang w:val="sl-SI"/>
        </w:rPr>
        <w:t>. za obdobje 2023 - 2030,</w:t>
      </w:r>
    </w:p>
    <w:p w14:paraId="0DA2C6A6"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 stroški investicij za obdobje 2023 - 2030,</w:t>
      </w:r>
    </w:p>
    <w:p w14:paraId="38AB8527"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-stroški vzdrževanja, obratovanja vseh hidroelektrarn na spodnji Savi za obdobje 2023- 2030.</w:t>
      </w:r>
    </w:p>
    <w:tbl>
      <w:tblPr>
        <w:tblW w:w="9360" w:type="dxa"/>
        <w:tblInd w:w="-356" w:type="dxa"/>
        <w:tblLayout w:type="fixed"/>
        <w:tblCellMar>
          <w:left w:w="70" w:type="dxa"/>
          <w:right w:w="70" w:type="dxa"/>
        </w:tblCellMar>
        <w:tblLook w:val="04A0" w:firstRow="1" w:lastRow="0" w:firstColumn="1" w:lastColumn="0" w:noHBand="0" w:noVBand="1"/>
      </w:tblPr>
      <w:tblGrid>
        <w:gridCol w:w="1420"/>
        <w:gridCol w:w="993"/>
        <w:gridCol w:w="903"/>
        <w:gridCol w:w="90"/>
        <w:gridCol w:w="992"/>
        <w:gridCol w:w="19"/>
        <w:gridCol w:w="758"/>
        <w:gridCol w:w="216"/>
        <w:gridCol w:w="129"/>
        <w:gridCol w:w="554"/>
        <w:gridCol w:w="345"/>
        <w:gridCol w:w="318"/>
        <w:gridCol w:w="637"/>
        <w:gridCol w:w="881"/>
        <w:gridCol w:w="112"/>
        <w:gridCol w:w="993"/>
      </w:tblGrid>
      <w:tr w:rsidR="001A127C" w14:paraId="4A26949B" w14:textId="77777777" w:rsidTr="001A127C">
        <w:trPr>
          <w:trHeight w:val="300"/>
        </w:trPr>
        <w:tc>
          <w:tcPr>
            <w:tcW w:w="3313" w:type="dxa"/>
            <w:gridSpan w:val="3"/>
            <w:tcBorders>
              <w:top w:val="single" w:sz="4" w:space="0" w:color="auto"/>
              <w:left w:val="single" w:sz="8" w:space="0" w:color="auto"/>
              <w:bottom w:val="nil"/>
              <w:right w:val="single" w:sz="4" w:space="0" w:color="auto"/>
            </w:tcBorders>
            <w:noWrap/>
            <w:vAlign w:val="bottom"/>
            <w:hideMark/>
          </w:tcPr>
          <w:p w14:paraId="27200183" w14:textId="77777777" w:rsidR="001A127C" w:rsidRDefault="001A127C">
            <w:pPr>
              <w:spacing w:line="240" w:lineRule="auto"/>
              <w:rPr>
                <w:rFonts w:cs="Arial"/>
                <w:b/>
                <w:bCs/>
                <w:color w:val="000000"/>
                <w:szCs w:val="20"/>
                <w:lang w:val="sl-SI" w:eastAsia="sl-SI"/>
              </w:rPr>
            </w:pPr>
            <w:r>
              <w:rPr>
                <w:rFonts w:cs="Arial"/>
                <w:b/>
                <w:bCs/>
                <w:color w:val="000000"/>
                <w:szCs w:val="20"/>
                <w:lang w:val="sl-SI" w:eastAsia="sl-SI"/>
              </w:rPr>
              <w:t>Ocenjena vrednost v EUR z DDV</w:t>
            </w:r>
          </w:p>
        </w:tc>
        <w:tc>
          <w:tcPr>
            <w:tcW w:w="1101" w:type="dxa"/>
            <w:gridSpan w:val="3"/>
            <w:noWrap/>
            <w:vAlign w:val="bottom"/>
            <w:hideMark/>
          </w:tcPr>
          <w:p w14:paraId="11E6B7FD" w14:textId="77777777" w:rsidR="001A127C" w:rsidRDefault="001A127C">
            <w:pPr>
              <w:rPr>
                <w:rFonts w:cs="Arial"/>
                <w:b/>
                <w:bCs/>
                <w:color w:val="000000"/>
                <w:szCs w:val="20"/>
                <w:lang w:val="sl-SI" w:eastAsia="sl-SI"/>
              </w:rPr>
            </w:pPr>
          </w:p>
        </w:tc>
        <w:tc>
          <w:tcPr>
            <w:tcW w:w="758" w:type="dxa"/>
            <w:noWrap/>
            <w:vAlign w:val="bottom"/>
            <w:hideMark/>
          </w:tcPr>
          <w:p w14:paraId="5B2D1DA1" w14:textId="77777777" w:rsidR="001A127C" w:rsidRDefault="001A127C">
            <w:pPr>
              <w:spacing w:line="240" w:lineRule="auto"/>
              <w:rPr>
                <w:rFonts w:ascii="Times New Roman" w:hAnsi="Times New Roman"/>
                <w:szCs w:val="20"/>
                <w:lang w:val="sl-SI" w:eastAsia="sl-SI"/>
              </w:rPr>
            </w:pPr>
          </w:p>
        </w:tc>
        <w:tc>
          <w:tcPr>
            <w:tcW w:w="345" w:type="dxa"/>
            <w:gridSpan w:val="2"/>
            <w:noWrap/>
            <w:vAlign w:val="bottom"/>
            <w:hideMark/>
          </w:tcPr>
          <w:p w14:paraId="6CD69695" w14:textId="77777777" w:rsidR="001A127C" w:rsidRDefault="001A127C">
            <w:pPr>
              <w:spacing w:line="240" w:lineRule="auto"/>
              <w:rPr>
                <w:rFonts w:ascii="Times New Roman" w:hAnsi="Times New Roman"/>
                <w:szCs w:val="20"/>
                <w:lang w:val="sl-SI" w:eastAsia="sl-SI"/>
              </w:rPr>
            </w:pPr>
          </w:p>
        </w:tc>
        <w:tc>
          <w:tcPr>
            <w:tcW w:w="554" w:type="dxa"/>
            <w:noWrap/>
            <w:vAlign w:val="bottom"/>
            <w:hideMark/>
          </w:tcPr>
          <w:p w14:paraId="7F5BBDF2" w14:textId="77777777" w:rsidR="001A127C" w:rsidRDefault="001A127C">
            <w:pPr>
              <w:spacing w:line="240" w:lineRule="auto"/>
              <w:rPr>
                <w:rFonts w:ascii="Times New Roman" w:hAnsi="Times New Roman"/>
                <w:szCs w:val="20"/>
                <w:lang w:val="sl-SI" w:eastAsia="sl-SI"/>
              </w:rPr>
            </w:pPr>
          </w:p>
        </w:tc>
        <w:tc>
          <w:tcPr>
            <w:tcW w:w="663" w:type="dxa"/>
            <w:gridSpan w:val="2"/>
            <w:noWrap/>
            <w:vAlign w:val="bottom"/>
            <w:hideMark/>
          </w:tcPr>
          <w:p w14:paraId="7D92FBCD" w14:textId="77777777" w:rsidR="001A127C" w:rsidRDefault="001A127C">
            <w:pPr>
              <w:spacing w:line="240" w:lineRule="auto"/>
              <w:rPr>
                <w:rFonts w:ascii="Times New Roman" w:hAnsi="Times New Roman"/>
                <w:szCs w:val="20"/>
                <w:lang w:val="sl-SI" w:eastAsia="sl-SI"/>
              </w:rPr>
            </w:pPr>
          </w:p>
        </w:tc>
        <w:tc>
          <w:tcPr>
            <w:tcW w:w="637" w:type="dxa"/>
            <w:noWrap/>
            <w:vAlign w:val="bottom"/>
            <w:hideMark/>
          </w:tcPr>
          <w:p w14:paraId="0AD2D04D" w14:textId="77777777" w:rsidR="001A127C" w:rsidRDefault="001A127C">
            <w:pPr>
              <w:spacing w:line="240" w:lineRule="auto"/>
              <w:rPr>
                <w:rFonts w:ascii="Times New Roman" w:hAnsi="Times New Roman"/>
                <w:szCs w:val="20"/>
                <w:lang w:val="sl-SI" w:eastAsia="sl-SI"/>
              </w:rPr>
            </w:pPr>
          </w:p>
        </w:tc>
        <w:tc>
          <w:tcPr>
            <w:tcW w:w="881" w:type="dxa"/>
            <w:noWrap/>
            <w:vAlign w:val="bottom"/>
            <w:hideMark/>
          </w:tcPr>
          <w:p w14:paraId="548DD1F1" w14:textId="77777777" w:rsidR="001A127C" w:rsidRDefault="001A127C">
            <w:pPr>
              <w:spacing w:line="240" w:lineRule="auto"/>
              <w:rPr>
                <w:rFonts w:ascii="Times New Roman" w:hAnsi="Times New Roman"/>
                <w:szCs w:val="20"/>
                <w:lang w:val="sl-SI" w:eastAsia="sl-SI"/>
              </w:rPr>
            </w:pPr>
          </w:p>
        </w:tc>
        <w:tc>
          <w:tcPr>
            <w:tcW w:w="1105" w:type="dxa"/>
            <w:gridSpan w:val="2"/>
            <w:noWrap/>
            <w:vAlign w:val="bottom"/>
            <w:hideMark/>
          </w:tcPr>
          <w:p w14:paraId="5FBBFEB0" w14:textId="77777777" w:rsidR="001A127C" w:rsidRDefault="001A127C">
            <w:pPr>
              <w:spacing w:line="240" w:lineRule="auto"/>
              <w:rPr>
                <w:rFonts w:ascii="Times New Roman" w:hAnsi="Times New Roman"/>
                <w:szCs w:val="20"/>
                <w:lang w:val="sl-SI" w:eastAsia="sl-SI"/>
              </w:rPr>
            </w:pPr>
          </w:p>
        </w:tc>
      </w:tr>
      <w:tr w:rsidR="001A127C" w14:paraId="78CBC079" w14:textId="77777777" w:rsidTr="001A127C">
        <w:trPr>
          <w:trHeight w:val="292"/>
        </w:trPr>
        <w:tc>
          <w:tcPr>
            <w:tcW w:w="1419" w:type="dxa"/>
            <w:tcBorders>
              <w:top w:val="single" w:sz="8" w:space="0" w:color="auto"/>
              <w:left w:val="single" w:sz="8" w:space="0" w:color="auto"/>
              <w:bottom w:val="single" w:sz="4" w:space="0" w:color="auto"/>
              <w:right w:val="single" w:sz="4" w:space="0" w:color="auto"/>
            </w:tcBorders>
            <w:shd w:val="clear" w:color="auto" w:fill="BDD7EE"/>
            <w:noWrap/>
            <w:vAlign w:val="bottom"/>
            <w:hideMark/>
          </w:tcPr>
          <w:p w14:paraId="451FE303" w14:textId="77777777" w:rsidR="001A127C" w:rsidRDefault="001A127C">
            <w:pPr>
              <w:spacing w:line="240" w:lineRule="auto"/>
              <w:rPr>
                <w:rFonts w:cs="Arial"/>
                <w:color w:val="000000"/>
                <w:sz w:val="16"/>
                <w:szCs w:val="16"/>
                <w:lang w:val="sl-SI" w:eastAsia="sl-SI"/>
              </w:rPr>
            </w:pPr>
            <w:r>
              <w:rPr>
                <w:rFonts w:cs="Arial"/>
                <w:color w:val="000000"/>
                <w:sz w:val="16"/>
                <w:szCs w:val="16"/>
                <w:lang w:val="sl-SI" w:eastAsia="sl-SI"/>
              </w:rPr>
              <w:t> </w:t>
            </w:r>
          </w:p>
        </w:tc>
        <w:tc>
          <w:tcPr>
            <w:tcW w:w="992" w:type="dxa"/>
            <w:tcBorders>
              <w:top w:val="single" w:sz="8" w:space="0" w:color="auto"/>
              <w:left w:val="nil"/>
              <w:bottom w:val="single" w:sz="4" w:space="0" w:color="auto"/>
              <w:right w:val="single" w:sz="4" w:space="0" w:color="auto"/>
            </w:tcBorders>
            <w:shd w:val="clear" w:color="auto" w:fill="BDD7EE"/>
            <w:noWrap/>
            <w:vAlign w:val="bottom"/>
            <w:hideMark/>
          </w:tcPr>
          <w:p w14:paraId="7354C8B9"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2023</w:t>
            </w:r>
          </w:p>
        </w:tc>
        <w:tc>
          <w:tcPr>
            <w:tcW w:w="992" w:type="dxa"/>
            <w:gridSpan w:val="2"/>
            <w:tcBorders>
              <w:top w:val="single" w:sz="8" w:space="0" w:color="auto"/>
              <w:left w:val="nil"/>
              <w:bottom w:val="single" w:sz="4" w:space="0" w:color="auto"/>
              <w:right w:val="single" w:sz="4" w:space="0" w:color="auto"/>
            </w:tcBorders>
            <w:shd w:val="clear" w:color="auto" w:fill="BDD7EE"/>
            <w:noWrap/>
            <w:vAlign w:val="bottom"/>
            <w:hideMark/>
          </w:tcPr>
          <w:p w14:paraId="16A54ADC"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2024</w:t>
            </w:r>
          </w:p>
        </w:tc>
        <w:tc>
          <w:tcPr>
            <w:tcW w:w="992" w:type="dxa"/>
            <w:tcBorders>
              <w:top w:val="single" w:sz="8" w:space="0" w:color="auto"/>
              <w:left w:val="nil"/>
              <w:bottom w:val="single" w:sz="4" w:space="0" w:color="auto"/>
              <w:right w:val="single" w:sz="4" w:space="0" w:color="auto"/>
            </w:tcBorders>
            <w:shd w:val="clear" w:color="auto" w:fill="BDD7EE"/>
            <w:noWrap/>
            <w:vAlign w:val="bottom"/>
            <w:hideMark/>
          </w:tcPr>
          <w:p w14:paraId="5E3591E4"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2025</w:t>
            </w:r>
          </w:p>
        </w:tc>
        <w:tc>
          <w:tcPr>
            <w:tcW w:w="993" w:type="dxa"/>
            <w:gridSpan w:val="3"/>
            <w:tcBorders>
              <w:top w:val="single" w:sz="8" w:space="0" w:color="auto"/>
              <w:left w:val="nil"/>
              <w:bottom w:val="single" w:sz="4" w:space="0" w:color="auto"/>
              <w:right w:val="single" w:sz="4" w:space="0" w:color="auto"/>
            </w:tcBorders>
            <w:shd w:val="clear" w:color="auto" w:fill="BDD7EE"/>
            <w:noWrap/>
            <w:vAlign w:val="bottom"/>
            <w:hideMark/>
          </w:tcPr>
          <w:p w14:paraId="482ACBF8"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2026</w:t>
            </w:r>
          </w:p>
        </w:tc>
        <w:tc>
          <w:tcPr>
            <w:tcW w:w="1028" w:type="dxa"/>
            <w:gridSpan w:val="3"/>
            <w:tcBorders>
              <w:top w:val="single" w:sz="8" w:space="0" w:color="auto"/>
              <w:left w:val="nil"/>
              <w:bottom w:val="single" w:sz="4" w:space="0" w:color="auto"/>
              <w:right w:val="single" w:sz="4" w:space="0" w:color="auto"/>
            </w:tcBorders>
            <w:shd w:val="clear" w:color="auto" w:fill="BDD7EE"/>
            <w:noWrap/>
            <w:vAlign w:val="bottom"/>
            <w:hideMark/>
          </w:tcPr>
          <w:p w14:paraId="2CDFB167"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2027</w:t>
            </w:r>
          </w:p>
        </w:tc>
        <w:tc>
          <w:tcPr>
            <w:tcW w:w="955" w:type="dxa"/>
            <w:gridSpan w:val="2"/>
            <w:tcBorders>
              <w:top w:val="single" w:sz="8" w:space="0" w:color="auto"/>
              <w:left w:val="nil"/>
              <w:bottom w:val="single" w:sz="4" w:space="0" w:color="auto"/>
              <w:right w:val="single" w:sz="4" w:space="0" w:color="auto"/>
            </w:tcBorders>
            <w:shd w:val="clear" w:color="auto" w:fill="BDD7EE"/>
            <w:noWrap/>
            <w:vAlign w:val="bottom"/>
            <w:hideMark/>
          </w:tcPr>
          <w:p w14:paraId="1CA57AC3"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2028</w:t>
            </w:r>
          </w:p>
        </w:tc>
        <w:tc>
          <w:tcPr>
            <w:tcW w:w="993" w:type="dxa"/>
            <w:gridSpan w:val="2"/>
            <w:tcBorders>
              <w:top w:val="single" w:sz="8" w:space="0" w:color="auto"/>
              <w:left w:val="nil"/>
              <w:bottom w:val="single" w:sz="4" w:space="0" w:color="auto"/>
              <w:right w:val="nil"/>
            </w:tcBorders>
            <w:shd w:val="clear" w:color="auto" w:fill="BDD7EE"/>
            <w:noWrap/>
            <w:vAlign w:val="bottom"/>
            <w:hideMark/>
          </w:tcPr>
          <w:p w14:paraId="1363431D"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2029</w:t>
            </w:r>
          </w:p>
        </w:tc>
        <w:tc>
          <w:tcPr>
            <w:tcW w:w="993" w:type="dxa"/>
            <w:tcBorders>
              <w:top w:val="single" w:sz="8" w:space="0" w:color="auto"/>
              <w:left w:val="single" w:sz="4" w:space="0" w:color="auto"/>
              <w:bottom w:val="single" w:sz="4" w:space="0" w:color="auto"/>
              <w:right w:val="single" w:sz="8" w:space="0" w:color="auto"/>
            </w:tcBorders>
            <w:shd w:val="clear" w:color="auto" w:fill="BDD7EE"/>
            <w:noWrap/>
            <w:vAlign w:val="bottom"/>
            <w:hideMark/>
          </w:tcPr>
          <w:p w14:paraId="621272D2" w14:textId="77777777" w:rsidR="001A127C" w:rsidRDefault="001A127C">
            <w:pPr>
              <w:spacing w:line="240" w:lineRule="auto"/>
              <w:jc w:val="center"/>
              <w:rPr>
                <w:rFonts w:cs="Arial"/>
                <w:color w:val="000000"/>
                <w:sz w:val="16"/>
                <w:szCs w:val="16"/>
                <w:lang w:val="sl-SI" w:eastAsia="sl-SI"/>
              </w:rPr>
            </w:pPr>
            <w:r>
              <w:rPr>
                <w:rFonts w:cs="Arial"/>
                <w:color w:val="000000"/>
                <w:sz w:val="16"/>
                <w:szCs w:val="16"/>
                <w:lang w:val="sl-SI" w:eastAsia="sl-SI"/>
              </w:rPr>
              <w:t>2030</w:t>
            </w:r>
          </w:p>
        </w:tc>
      </w:tr>
      <w:tr w:rsidR="001A127C" w14:paraId="69968BB1" w14:textId="77777777" w:rsidTr="001A127C">
        <w:trPr>
          <w:trHeight w:val="292"/>
        </w:trPr>
        <w:tc>
          <w:tcPr>
            <w:tcW w:w="1419" w:type="dxa"/>
            <w:tcBorders>
              <w:top w:val="nil"/>
              <w:left w:val="single" w:sz="8" w:space="0" w:color="auto"/>
              <w:bottom w:val="single" w:sz="4" w:space="0" w:color="auto"/>
              <w:right w:val="single" w:sz="4" w:space="0" w:color="auto"/>
            </w:tcBorders>
            <w:noWrap/>
            <w:vAlign w:val="bottom"/>
            <w:hideMark/>
          </w:tcPr>
          <w:p w14:paraId="3BA3C829" w14:textId="77777777" w:rsidR="001A127C" w:rsidRDefault="001A127C">
            <w:pPr>
              <w:spacing w:line="240" w:lineRule="auto"/>
              <w:rPr>
                <w:rFonts w:cs="Arial"/>
                <w:color w:val="000000"/>
                <w:sz w:val="16"/>
                <w:szCs w:val="16"/>
                <w:lang w:val="sl-SI" w:eastAsia="sl-SI"/>
              </w:rPr>
            </w:pPr>
            <w:r>
              <w:rPr>
                <w:rFonts w:cs="Arial"/>
                <w:color w:val="000000"/>
                <w:sz w:val="16"/>
                <w:szCs w:val="16"/>
                <w:lang w:val="sl-SI" w:eastAsia="sl-SI"/>
              </w:rPr>
              <w:t xml:space="preserve">stroški poslovanja družbe </w:t>
            </w:r>
          </w:p>
        </w:tc>
        <w:tc>
          <w:tcPr>
            <w:tcW w:w="992" w:type="dxa"/>
            <w:tcBorders>
              <w:top w:val="nil"/>
              <w:left w:val="nil"/>
              <w:bottom w:val="single" w:sz="4" w:space="0" w:color="auto"/>
              <w:right w:val="single" w:sz="4" w:space="0" w:color="auto"/>
            </w:tcBorders>
            <w:noWrap/>
            <w:vAlign w:val="bottom"/>
            <w:hideMark/>
          </w:tcPr>
          <w:p w14:paraId="15429D72"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1.331.930</w:t>
            </w:r>
          </w:p>
        </w:tc>
        <w:tc>
          <w:tcPr>
            <w:tcW w:w="992" w:type="dxa"/>
            <w:gridSpan w:val="2"/>
            <w:tcBorders>
              <w:top w:val="nil"/>
              <w:left w:val="nil"/>
              <w:bottom w:val="single" w:sz="4" w:space="0" w:color="auto"/>
              <w:right w:val="single" w:sz="4" w:space="0" w:color="auto"/>
            </w:tcBorders>
            <w:noWrap/>
            <w:vAlign w:val="bottom"/>
            <w:hideMark/>
          </w:tcPr>
          <w:p w14:paraId="379EDC02"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1.520.000</w:t>
            </w:r>
          </w:p>
        </w:tc>
        <w:tc>
          <w:tcPr>
            <w:tcW w:w="992" w:type="dxa"/>
            <w:tcBorders>
              <w:top w:val="nil"/>
              <w:left w:val="nil"/>
              <w:bottom w:val="single" w:sz="4" w:space="0" w:color="auto"/>
              <w:right w:val="single" w:sz="4" w:space="0" w:color="auto"/>
            </w:tcBorders>
            <w:noWrap/>
            <w:vAlign w:val="bottom"/>
            <w:hideMark/>
          </w:tcPr>
          <w:p w14:paraId="646AF80A"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1.550.000</w:t>
            </w:r>
          </w:p>
        </w:tc>
        <w:tc>
          <w:tcPr>
            <w:tcW w:w="993" w:type="dxa"/>
            <w:gridSpan w:val="3"/>
            <w:tcBorders>
              <w:top w:val="nil"/>
              <w:left w:val="nil"/>
              <w:bottom w:val="single" w:sz="4" w:space="0" w:color="auto"/>
              <w:right w:val="single" w:sz="4" w:space="0" w:color="auto"/>
            </w:tcBorders>
            <w:noWrap/>
            <w:vAlign w:val="bottom"/>
            <w:hideMark/>
          </w:tcPr>
          <w:p w14:paraId="76BA8420"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1.600.000</w:t>
            </w:r>
          </w:p>
        </w:tc>
        <w:tc>
          <w:tcPr>
            <w:tcW w:w="1028" w:type="dxa"/>
            <w:gridSpan w:val="3"/>
            <w:tcBorders>
              <w:top w:val="nil"/>
              <w:left w:val="nil"/>
              <w:bottom w:val="single" w:sz="4" w:space="0" w:color="auto"/>
              <w:right w:val="single" w:sz="4" w:space="0" w:color="auto"/>
            </w:tcBorders>
            <w:noWrap/>
            <w:vAlign w:val="bottom"/>
            <w:hideMark/>
          </w:tcPr>
          <w:p w14:paraId="6C6BC06D"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1.650.000</w:t>
            </w:r>
          </w:p>
        </w:tc>
        <w:tc>
          <w:tcPr>
            <w:tcW w:w="955" w:type="dxa"/>
            <w:gridSpan w:val="2"/>
            <w:tcBorders>
              <w:top w:val="nil"/>
              <w:left w:val="nil"/>
              <w:bottom w:val="single" w:sz="4" w:space="0" w:color="auto"/>
              <w:right w:val="single" w:sz="4" w:space="0" w:color="auto"/>
            </w:tcBorders>
            <w:noWrap/>
            <w:vAlign w:val="bottom"/>
            <w:hideMark/>
          </w:tcPr>
          <w:p w14:paraId="7CC1F8B9"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1.700.000</w:t>
            </w:r>
          </w:p>
        </w:tc>
        <w:tc>
          <w:tcPr>
            <w:tcW w:w="993" w:type="dxa"/>
            <w:gridSpan w:val="2"/>
            <w:tcBorders>
              <w:top w:val="nil"/>
              <w:left w:val="nil"/>
              <w:bottom w:val="single" w:sz="4" w:space="0" w:color="auto"/>
              <w:right w:val="nil"/>
            </w:tcBorders>
            <w:noWrap/>
            <w:vAlign w:val="bottom"/>
            <w:hideMark/>
          </w:tcPr>
          <w:p w14:paraId="386FDD66"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1.750.000</w:t>
            </w:r>
          </w:p>
        </w:tc>
        <w:tc>
          <w:tcPr>
            <w:tcW w:w="993" w:type="dxa"/>
            <w:tcBorders>
              <w:top w:val="nil"/>
              <w:left w:val="single" w:sz="4" w:space="0" w:color="auto"/>
              <w:bottom w:val="single" w:sz="4" w:space="0" w:color="auto"/>
              <w:right w:val="single" w:sz="8" w:space="0" w:color="auto"/>
            </w:tcBorders>
            <w:noWrap/>
            <w:vAlign w:val="bottom"/>
            <w:hideMark/>
          </w:tcPr>
          <w:p w14:paraId="368D6633"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1.800.000</w:t>
            </w:r>
          </w:p>
        </w:tc>
      </w:tr>
      <w:tr w:rsidR="001A127C" w14:paraId="4C6E7C26" w14:textId="77777777" w:rsidTr="001A127C">
        <w:trPr>
          <w:trHeight w:val="292"/>
        </w:trPr>
        <w:tc>
          <w:tcPr>
            <w:tcW w:w="1419" w:type="dxa"/>
            <w:tcBorders>
              <w:top w:val="nil"/>
              <w:left w:val="single" w:sz="8" w:space="0" w:color="auto"/>
              <w:bottom w:val="single" w:sz="4" w:space="0" w:color="auto"/>
              <w:right w:val="single" w:sz="4" w:space="0" w:color="auto"/>
            </w:tcBorders>
            <w:noWrap/>
            <w:vAlign w:val="bottom"/>
            <w:hideMark/>
          </w:tcPr>
          <w:p w14:paraId="4F79E4FC" w14:textId="77777777" w:rsidR="001A127C" w:rsidRDefault="001A127C">
            <w:pPr>
              <w:spacing w:line="240" w:lineRule="auto"/>
              <w:rPr>
                <w:rFonts w:cs="Arial"/>
                <w:color w:val="000000"/>
                <w:sz w:val="16"/>
                <w:szCs w:val="16"/>
                <w:lang w:val="sl-SI" w:eastAsia="sl-SI"/>
              </w:rPr>
            </w:pPr>
            <w:r>
              <w:rPr>
                <w:rFonts w:cs="Arial"/>
                <w:color w:val="000000"/>
                <w:sz w:val="16"/>
                <w:szCs w:val="16"/>
                <w:lang w:val="sl-SI" w:eastAsia="sl-SI"/>
              </w:rPr>
              <w:t>stroški vzdrževanja, obratovanja vseh hidroelektrarn na spodnji Savi</w:t>
            </w:r>
          </w:p>
        </w:tc>
        <w:tc>
          <w:tcPr>
            <w:tcW w:w="992" w:type="dxa"/>
            <w:tcBorders>
              <w:top w:val="nil"/>
              <w:left w:val="nil"/>
              <w:bottom w:val="single" w:sz="4" w:space="0" w:color="auto"/>
              <w:right w:val="single" w:sz="4" w:space="0" w:color="auto"/>
            </w:tcBorders>
            <w:noWrap/>
            <w:vAlign w:val="bottom"/>
            <w:hideMark/>
          </w:tcPr>
          <w:p w14:paraId="12526FAA"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306.237</w:t>
            </w:r>
          </w:p>
        </w:tc>
        <w:tc>
          <w:tcPr>
            <w:tcW w:w="992" w:type="dxa"/>
            <w:gridSpan w:val="2"/>
            <w:tcBorders>
              <w:top w:val="nil"/>
              <w:left w:val="nil"/>
              <w:bottom w:val="single" w:sz="4" w:space="0" w:color="auto"/>
              <w:right w:val="single" w:sz="4" w:space="0" w:color="auto"/>
            </w:tcBorders>
            <w:noWrap/>
            <w:vAlign w:val="bottom"/>
            <w:hideMark/>
          </w:tcPr>
          <w:p w14:paraId="7F92979C"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450.000</w:t>
            </w:r>
          </w:p>
        </w:tc>
        <w:tc>
          <w:tcPr>
            <w:tcW w:w="992" w:type="dxa"/>
            <w:tcBorders>
              <w:top w:val="nil"/>
              <w:left w:val="nil"/>
              <w:bottom w:val="single" w:sz="4" w:space="0" w:color="auto"/>
              <w:right w:val="single" w:sz="4" w:space="0" w:color="auto"/>
            </w:tcBorders>
            <w:noWrap/>
            <w:vAlign w:val="bottom"/>
            <w:hideMark/>
          </w:tcPr>
          <w:p w14:paraId="35CF271F"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455.000</w:t>
            </w:r>
          </w:p>
        </w:tc>
        <w:tc>
          <w:tcPr>
            <w:tcW w:w="993" w:type="dxa"/>
            <w:gridSpan w:val="3"/>
            <w:tcBorders>
              <w:top w:val="nil"/>
              <w:left w:val="nil"/>
              <w:bottom w:val="single" w:sz="4" w:space="0" w:color="auto"/>
              <w:right w:val="single" w:sz="4" w:space="0" w:color="auto"/>
            </w:tcBorders>
            <w:noWrap/>
            <w:vAlign w:val="bottom"/>
            <w:hideMark/>
          </w:tcPr>
          <w:p w14:paraId="671C9605"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500.000</w:t>
            </w:r>
          </w:p>
        </w:tc>
        <w:tc>
          <w:tcPr>
            <w:tcW w:w="1028" w:type="dxa"/>
            <w:gridSpan w:val="3"/>
            <w:tcBorders>
              <w:top w:val="nil"/>
              <w:left w:val="nil"/>
              <w:bottom w:val="single" w:sz="4" w:space="0" w:color="auto"/>
              <w:right w:val="single" w:sz="4" w:space="0" w:color="auto"/>
            </w:tcBorders>
            <w:noWrap/>
            <w:vAlign w:val="bottom"/>
            <w:hideMark/>
          </w:tcPr>
          <w:p w14:paraId="4EB41BC7"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550.000</w:t>
            </w:r>
          </w:p>
        </w:tc>
        <w:tc>
          <w:tcPr>
            <w:tcW w:w="955" w:type="dxa"/>
            <w:gridSpan w:val="2"/>
            <w:tcBorders>
              <w:top w:val="nil"/>
              <w:left w:val="nil"/>
              <w:bottom w:val="single" w:sz="4" w:space="0" w:color="auto"/>
              <w:right w:val="single" w:sz="4" w:space="0" w:color="auto"/>
            </w:tcBorders>
            <w:noWrap/>
            <w:vAlign w:val="bottom"/>
            <w:hideMark/>
          </w:tcPr>
          <w:p w14:paraId="6E9A7296"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600.000</w:t>
            </w:r>
          </w:p>
        </w:tc>
        <w:tc>
          <w:tcPr>
            <w:tcW w:w="993" w:type="dxa"/>
            <w:gridSpan w:val="2"/>
            <w:tcBorders>
              <w:top w:val="nil"/>
              <w:left w:val="nil"/>
              <w:bottom w:val="single" w:sz="4" w:space="0" w:color="auto"/>
              <w:right w:val="nil"/>
            </w:tcBorders>
            <w:noWrap/>
            <w:vAlign w:val="bottom"/>
            <w:hideMark/>
          </w:tcPr>
          <w:p w14:paraId="362AE7C4"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600.000</w:t>
            </w:r>
          </w:p>
        </w:tc>
        <w:tc>
          <w:tcPr>
            <w:tcW w:w="993" w:type="dxa"/>
            <w:tcBorders>
              <w:top w:val="nil"/>
              <w:left w:val="single" w:sz="4" w:space="0" w:color="auto"/>
              <w:bottom w:val="single" w:sz="4" w:space="0" w:color="auto"/>
              <w:right w:val="single" w:sz="8" w:space="0" w:color="auto"/>
            </w:tcBorders>
            <w:noWrap/>
            <w:vAlign w:val="bottom"/>
            <w:hideMark/>
          </w:tcPr>
          <w:p w14:paraId="270A2D09"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400.000</w:t>
            </w:r>
          </w:p>
        </w:tc>
      </w:tr>
      <w:tr w:rsidR="001A127C" w14:paraId="3BE04803" w14:textId="77777777" w:rsidTr="001A127C">
        <w:trPr>
          <w:trHeight w:val="292"/>
        </w:trPr>
        <w:tc>
          <w:tcPr>
            <w:tcW w:w="1419" w:type="dxa"/>
            <w:tcBorders>
              <w:top w:val="nil"/>
              <w:left w:val="single" w:sz="8" w:space="0" w:color="auto"/>
              <w:bottom w:val="single" w:sz="4" w:space="0" w:color="auto"/>
              <w:right w:val="single" w:sz="4" w:space="0" w:color="auto"/>
            </w:tcBorders>
            <w:noWrap/>
            <w:vAlign w:val="bottom"/>
            <w:hideMark/>
          </w:tcPr>
          <w:p w14:paraId="459D9B64" w14:textId="77777777" w:rsidR="001A127C" w:rsidRDefault="001A127C">
            <w:pPr>
              <w:spacing w:line="240" w:lineRule="auto"/>
              <w:rPr>
                <w:rFonts w:cs="Arial"/>
                <w:color w:val="000000"/>
                <w:sz w:val="16"/>
                <w:szCs w:val="16"/>
                <w:lang w:val="sl-SI" w:eastAsia="sl-SI"/>
              </w:rPr>
            </w:pPr>
            <w:r>
              <w:rPr>
                <w:rFonts w:cs="Arial"/>
                <w:color w:val="000000"/>
                <w:sz w:val="16"/>
                <w:szCs w:val="16"/>
                <w:lang w:val="sl-SI" w:eastAsia="sl-SI"/>
              </w:rPr>
              <w:t>stroški investicij vseh hidroelektrarn na spodnji Savi z zemljišči</w:t>
            </w:r>
          </w:p>
        </w:tc>
        <w:tc>
          <w:tcPr>
            <w:tcW w:w="992" w:type="dxa"/>
            <w:tcBorders>
              <w:top w:val="nil"/>
              <w:left w:val="nil"/>
              <w:bottom w:val="single" w:sz="4" w:space="0" w:color="auto"/>
              <w:right w:val="single" w:sz="4" w:space="0" w:color="auto"/>
            </w:tcBorders>
            <w:noWrap/>
            <w:vAlign w:val="bottom"/>
            <w:hideMark/>
          </w:tcPr>
          <w:p w14:paraId="4A5F2026"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14.089.986</w:t>
            </w:r>
          </w:p>
        </w:tc>
        <w:tc>
          <w:tcPr>
            <w:tcW w:w="992" w:type="dxa"/>
            <w:gridSpan w:val="2"/>
            <w:tcBorders>
              <w:top w:val="nil"/>
              <w:left w:val="nil"/>
              <w:bottom w:val="single" w:sz="4" w:space="0" w:color="auto"/>
              <w:right w:val="single" w:sz="4" w:space="0" w:color="auto"/>
            </w:tcBorders>
            <w:noWrap/>
            <w:vAlign w:val="bottom"/>
            <w:hideMark/>
          </w:tcPr>
          <w:p w14:paraId="3E611CF5"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10.555.541</w:t>
            </w:r>
          </w:p>
        </w:tc>
        <w:tc>
          <w:tcPr>
            <w:tcW w:w="992" w:type="dxa"/>
            <w:tcBorders>
              <w:top w:val="nil"/>
              <w:left w:val="nil"/>
              <w:bottom w:val="single" w:sz="4" w:space="0" w:color="auto"/>
              <w:right w:val="single" w:sz="4" w:space="0" w:color="auto"/>
            </w:tcBorders>
            <w:noWrap/>
            <w:vAlign w:val="bottom"/>
            <w:hideMark/>
          </w:tcPr>
          <w:p w14:paraId="2EA0C3F6"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32.350.000</w:t>
            </w:r>
          </w:p>
        </w:tc>
        <w:tc>
          <w:tcPr>
            <w:tcW w:w="993" w:type="dxa"/>
            <w:gridSpan w:val="3"/>
            <w:tcBorders>
              <w:top w:val="nil"/>
              <w:left w:val="nil"/>
              <w:bottom w:val="single" w:sz="4" w:space="0" w:color="auto"/>
              <w:right w:val="single" w:sz="4" w:space="0" w:color="auto"/>
            </w:tcBorders>
            <w:noWrap/>
            <w:vAlign w:val="bottom"/>
            <w:hideMark/>
          </w:tcPr>
          <w:p w14:paraId="688A8FDA"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34.550.000</w:t>
            </w:r>
          </w:p>
        </w:tc>
        <w:tc>
          <w:tcPr>
            <w:tcW w:w="1028" w:type="dxa"/>
            <w:gridSpan w:val="3"/>
            <w:tcBorders>
              <w:top w:val="nil"/>
              <w:left w:val="nil"/>
              <w:bottom w:val="single" w:sz="4" w:space="0" w:color="auto"/>
              <w:right w:val="single" w:sz="4" w:space="0" w:color="auto"/>
            </w:tcBorders>
            <w:noWrap/>
            <w:vAlign w:val="bottom"/>
            <w:hideMark/>
          </w:tcPr>
          <w:p w14:paraId="26BD9615"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15.500.000</w:t>
            </w:r>
          </w:p>
        </w:tc>
        <w:tc>
          <w:tcPr>
            <w:tcW w:w="955" w:type="dxa"/>
            <w:gridSpan w:val="2"/>
            <w:tcBorders>
              <w:top w:val="nil"/>
              <w:left w:val="nil"/>
              <w:bottom w:val="single" w:sz="4" w:space="0" w:color="auto"/>
              <w:right w:val="single" w:sz="4" w:space="0" w:color="auto"/>
            </w:tcBorders>
            <w:noWrap/>
            <w:vAlign w:val="bottom"/>
            <w:hideMark/>
          </w:tcPr>
          <w:p w14:paraId="52336F15"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3.500.000</w:t>
            </w:r>
          </w:p>
        </w:tc>
        <w:tc>
          <w:tcPr>
            <w:tcW w:w="993" w:type="dxa"/>
            <w:gridSpan w:val="2"/>
            <w:tcBorders>
              <w:top w:val="nil"/>
              <w:left w:val="nil"/>
              <w:bottom w:val="single" w:sz="4" w:space="0" w:color="auto"/>
              <w:right w:val="nil"/>
            </w:tcBorders>
            <w:noWrap/>
            <w:vAlign w:val="bottom"/>
            <w:hideMark/>
          </w:tcPr>
          <w:p w14:paraId="1A394F19"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2.000.000</w:t>
            </w:r>
          </w:p>
        </w:tc>
        <w:tc>
          <w:tcPr>
            <w:tcW w:w="993" w:type="dxa"/>
            <w:tcBorders>
              <w:top w:val="nil"/>
              <w:left w:val="single" w:sz="4" w:space="0" w:color="auto"/>
              <w:bottom w:val="single" w:sz="4" w:space="0" w:color="auto"/>
              <w:right w:val="single" w:sz="8" w:space="0" w:color="auto"/>
            </w:tcBorders>
            <w:noWrap/>
            <w:vAlign w:val="bottom"/>
            <w:hideMark/>
          </w:tcPr>
          <w:p w14:paraId="239C3D16" w14:textId="77777777" w:rsidR="001A127C" w:rsidRDefault="001A127C">
            <w:pPr>
              <w:spacing w:line="240" w:lineRule="auto"/>
              <w:jc w:val="right"/>
              <w:rPr>
                <w:rFonts w:cs="Arial"/>
                <w:color w:val="000000"/>
                <w:sz w:val="16"/>
                <w:szCs w:val="16"/>
                <w:lang w:val="sl-SI" w:eastAsia="sl-SI"/>
              </w:rPr>
            </w:pPr>
            <w:r>
              <w:rPr>
                <w:rFonts w:cs="Arial"/>
                <w:color w:val="000000"/>
                <w:sz w:val="16"/>
                <w:szCs w:val="16"/>
                <w:lang w:val="sl-SI" w:eastAsia="sl-SI"/>
              </w:rPr>
              <w:t>500.000</w:t>
            </w:r>
          </w:p>
        </w:tc>
      </w:tr>
      <w:tr w:rsidR="001A127C" w14:paraId="7F47CC0B" w14:textId="77777777" w:rsidTr="001A127C">
        <w:trPr>
          <w:trHeight w:val="300"/>
        </w:trPr>
        <w:tc>
          <w:tcPr>
            <w:tcW w:w="1419" w:type="dxa"/>
            <w:tcBorders>
              <w:top w:val="nil"/>
              <w:left w:val="single" w:sz="8" w:space="0" w:color="auto"/>
              <w:bottom w:val="single" w:sz="8" w:space="0" w:color="auto"/>
              <w:right w:val="single" w:sz="4" w:space="0" w:color="auto"/>
            </w:tcBorders>
            <w:noWrap/>
            <w:vAlign w:val="bottom"/>
            <w:hideMark/>
          </w:tcPr>
          <w:p w14:paraId="26377ED2" w14:textId="77777777" w:rsidR="001A127C" w:rsidRDefault="001A127C">
            <w:pPr>
              <w:spacing w:line="240" w:lineRule="auto"/>
              <w:rPr>
                <w:rFonts w:cs="Arial"/>
                <w:b/>
                <w:color w:val="000000"/>
                <w:sz w:val="16"/>
                <w:szCs w:val="16"/>
                <w:lang w:val="sl-SI" w:eastAsia="sl-SI"/>
              </w:rPr>
            </w:pPr>
            <w:r>
              <w:rPr>
                <w:rFonts w:cs="Arial"/>
                <w:b/>
                <w:color w:val="000000"/>
                <w:sz w:val="16"/>
                <w:szCs w:val="16"/>
                <w:lang w:val="sl-SI" w:eastAsia="sl-SI"/>
              </w:rPr>
              <w:t>SKUPAJ</w:t>
            </w:r>
          </w:p>
        </w:tc>
        <w:tc>
          <w:tcPr>
            <w:tcW w:w="992" w:type="dxa"/>
            <w:tcBorders>
              <w:top w:val="nil"/>
              <w:left w:val="nil"/>
              <w:bottom w:val="single" w:sz="8" w:space="0" w:color="auto"/>
              <w:right w:val="single" w:sz="4" w:space="0" w:color="auto"/>
            </w:tcBorders>
            <w:noWrap/>
            <w:vAlign w:val="bottom"/>
            <w:hideMark/>
          </w:tcPr>
          <w:p w14:paraId="3A090F10"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15.728.153</w:t>
            </w:r>
          </w:p>
        </w:tc>
        <w:tc>
          <w:tcPr>
            <w:tcW w:w="992" w:type="dxa"/>
            <w:gridSpan w:val="2"/>
            <w:tcBorders>
              <w:top w:val="nil"/>
              <w:left w:val="nil"/>
              <w:bottom w:val="single" w:sz="8" w:space="0" w:color="auto"/>
              <w:right w:val="single" w:sz="4" w:space="0" w:color="auto"/>
            </w:tcBorders>
            <w:noWrap/>
            <w:vAlign w:val="bottom"/>
            <w:hideMark/>
          </w:tcPr>
          <w:p w14:paraId="0893AB50"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12.525.541</w:t>
            </w:r>
          </w:p>
        </w:tc>
        <w:tc>
          <w:tcPr>
            <w:tcW w:w="992" w:type="dxa"/>
            <w:tcBorders>
              <w:top w:val="nil"/>
              <w:left w:val="nil"/>
              <w:bottom w:val="single" w:sz="8" w:space="0" w:color="auto"/>
              <w:right w:val="single" w:sz="4" w:space="0" w:color="auto"/>
            </w:tcBorders>
            <w:noWrap/>
            <w:vAlign w:val="bottom"/>
            <w:hideMark/>
          </w:tcPr>
          <w:p w14:paraId="241FCF04"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34.355.000</w:t>
            </w:r>
          </w:p>
        </w:tc>
        <w:tc>
          <w:tcPr>
            <w:tcW w:w="993" w:type="dxa"/>
            <w:gridSpan w:val="3"/>
            <w:tcBorders>
              <w:top w:val="nil"/>
              <w:left w:val="nil"/>
              <w:bottom w:val="single" w:sz="8" w:space="0" w:color="auto"/>
              <w:right w:val="single" w:sz="4" w:space="0" w:color="auto"/>
            </w:tcBorders>
            <w:noWrap/>
            <w:vAlign w:val="bottom"/>
            <w:hideMark/>
          </w:tcPr>
          <w:p w14:paraId="735593B5"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36.650.000</w:t>
            </w:r>
          </w:p>
        </w:tc>
        <w:tc>
          <w:tcPr>
            <w:tcW w:w="1028" w:type="dxa"/>
            <w:gridSpan w:val="3"/>
            <w:tcBorders>
              <w:top w:val="nil"/>
              <w:left w:val="nil"/>
              <w:bottom w:val="single" w:sz="8" w:space="0" w:color="auto"/>
              <w:right w:val="single" w:sz="4" w:space="0" w:color="auto"/>
            </w:tcBorders>
            <w:noWrap/>
            <w:vAlign w:val="bottom"/>
            <w:hideMark/>
          </w:tcPr>
          <w:p w14:paraId="35107CFE"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17.700.000</w:t>
            </w:r>
          </w:p>
        </w:tc>
        <w:tc>
          <w:tcPr>
            <w:tcW w:w="955" w:type="dxa"/>
            <w:gridSpan w:val="2"/>
            <w:tcBorders>
              <w:top w:val="nil"/>
              <w:left w:val="nil"/>
              <w:bottom w:val="single" w:sz="8" w:space="0" w:color="auto"/>
              <w:right w:val="single" w:sz="4" w:space="0" w:color="auto"/>
            </w:tcBorders>
            <w:noWrap/>
            <w:vAlign w:val="bottom"/>
            <w:hideMark/>
          </w:tcPr>
          <w:p w14:paraId="5497E806"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5.800.000</w:t>
            </w:r>
          </w:p>
        </w:tc>
        <w:tc>
          <w:tcPr>
            <w:tcW w:w="993" w:type="dxa"/>
            <w:gridSpan w:val="2"/>
            <w:tcBorders>
              <w:top w:val="nil"/>
              <w:left w:val="nil"/>
              <w:bottom w:val="single" w:sz="8" w:space="0" w:color="auto"/>
              <w:right w:val="nil"/>
            </w:tcBorders>
            <w:noWrap/>
            <w:vAlign w:val="bottom"/>
            <w:hideMark/>
          </w:tcPr>
          <w:p w14:paraId="62AD2085"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4.350.000</w:t>
            </w:r>
          </w:p>
        </w:tc>
        <w:tc>
          <w:tcPr>
            <w:tcW w:w="993" w:type="dxa"/>
            <w:tcBorders>
              <w:top w:val="nil"/>
              <w:left w:val="single" w:sz="4" w:space="0" w:color="auto"/>
              <w:bottom w:val="single" w:sz="8" w:space="0" w:color="auto"/>
              <w:right w:val="single" w:sz="8" w:space="0" w:color="auto"/>
            </w:tcBorders>
            <w:noWrap/>
            <w:vAlign w:val="bottom"/>
            <w:hideMark/>
          </w:tcPr>
          <w:p w14:paraId="26C56F33" w14:textId="77777777" w:rsidR="001A127C" w:rsidRDefault="001A127C">
            <w:pPr>
              <w:spacing w:line="240" w:lineRule="auto"/>
              <w:jc w:val="right"/>
              <w:rPr>
                <w:rFonts w:cs="Arial"/>
                <w:b/>
                <w:color w:val="000000"/>
                <w:sz w:val="16"/>
                <w:szCs w:val="16"/>
                <w:lang w:val="sl-SI" w:eastAsia="sl-SI"/>
              </w:rPr>
            </w:pPr>
            <w:r>
              <w:rPr>
                <w:rFonts w:cs="Arial"/>
                <w:b/>
                <w:color w:val="000000"/>
                <w:sz w:val="16"/>
                <w:szCs w:val="16"/>
                <w:lang w:val="sl-SI" w:eastAsia="sl-SI"/>
              </w:rPr>
              <w:t>2.700.000</w:t>
            </w:r>
          </w:p>
        </w:tc>
      </w:tr>
    </w:tbl>
    <w:p w14:paraId="006BBE02" w14:textId="77777777" w:rsidR="001A127C" w:rsidRDefault="001A127C" w:rsidP="001A127C">
      <w:pPr>
        <w:spacing w:after="200" w:line="312" w:lineRule="auto"/>
        <w:jc w:val="both"/>
        <w:rPr>
          <w:rFonts w:ascii="Calibri" w:eastAsia="Calibri" w:hAnsi="Calibri" w:cs="Arial"/>
          <w:sz w:val="22"/>
          <w:szCs w:val="20"/>
          <w:lang w:val="sl-SI"/>
        </w:rPr>
      </w:pPr>
    </w:p>
    <w:p w14:paraId="4064F784" w14:textId="77777777" w:rsidR="001A127C" w:rsidRDefault="001A127C" w:rsidP="001A127C">
      <w:pPr>
        <w:spacing w:after="200" w:line="312" w:lineRule="auto"/>
        <w:jc w:val="both"/>
        <w:rPr>
          <w:rFonts w:eastAsia="Calibri" w:cs="Arial"/>
          <w:szCs w:val="20"/>
          <w:lang w:val="sl-SI"/>
        </w:rPr>
      </w:pPr>
      <w:r>
        <w:rPr>
          <w:rFonts w:eastAsia="Calibri" w:cs="Arial"/>
          <w:szCs w:val="20"/>
          <w:lang w:val="sl-SI"/>
        </w:rPr>
        <w:t>Skupna ocenjena vrednost za celotno obdobje do dokončanja investicije izgradnje hidroelektrarn na spodnji Savi znaša 129.808.694 EUR.</w:t>
      </w:r>
    </w:p>
    <w:p w14:paraId="7C7863E8" w14:textId="77777777" w:rsidR="001A127C" w:rsidRDefault="001A127C" w:rsidP="001A127C">
      <w:pPr>
        <w:spacing w:line="312" w:lineRule="auto"/>
        <w:jc w:val="both"/>
        <w:rPr>
          <w:rFonts w:cs="Arial"/>
          <w:b/>
          <w:szCs w:val="20"/>
        </w:rPr>
      </w:pPr>
    </w:p>
    <w:p w14:paraId="319DC899" w14:textId="77777777" w:rsidR="001A127C" w:rsidRDefault="001A127C" w:rsidP="001A127C">
      <w:pPr>
        <w:spacing w:line="312" w:lineRule="auto"/>
        <w:jc w:val="both"/>
        <w:rPr>
          <w:rFonts w:cs="Arial"/>
          <w:b/>
          <w:szCs w:val="20"/>
        </w:rPr>
      </w:pPr>
      <w:r>
        <w:rPr>
          <w:rFonts w:cs="Arial"/>
          <w:b/>
          <w:szCs w:val="20"/>
        </w:rPr>
        <w:t xml:space="preserve">4. NAVEDBA, DA SO SREDSTVA ZA IZVAJANJE ZAKONA V DRŽAVNEM PRORAČUNU ZAGOTOVLJENA, ČE PREDLOG ZAKONA PREDVIDEVA PORABO PRORAČUNSKIH SREDSTEV V OBDOBJU, ZA KATERO JE BIL DRŽAVNI PRORAČUN SPREJET </w:t>
      </w:r>
    </w:p>
    <w:p w14:paraId="0D255F3D" w14:textId="77777777" w:rsidR="001A127C" w:rsidRDefault="001A127C" w:rsidP="001A127C">
      <w:pPr>
        <w:spacing w:line="312" w:lineRule="auto"/>
        <w:jc w:val="both"/>
        <w:rPr>
          <w:rFonts w:cs="Arial"/>
          <w:color w:val="FF0000"/>
          <w:szCs w:val="20"/>
        </w:rPr>
      </w:pPr>
    </w:p>
    <w:p w14:paraId="6DC36FD7" w14:textId="77777777" w:rsidR="001A127C" w:rsidRDefault="001A127C" w:rsidP="001A127C">
      <w:pPr>
        <w:spacing w:line="312" w:lineRule="auto"/>
        <w:jc w:val="both"/>
        <w:rPr>
          <w:rFonts w:cs="Arial"/>
          <w:b/>
          <w:szCs w:val="20"/>
        </w:rPr>
      </w:pPr>
    </w:p>
    <w:p w14:paraId="7DA66C49" w14:textId="77777777" w:rsidR="001A127C" w:rsidRDefault="001A127C" w:rsidP="001A127C">
      <w:pPr>
        <w:spacing w:line="312" w:lineRule="auto"/>
        <w:jc w:val="both"/>
        <w:rPr>
          <w:rFonts w:cs="Arial"/>
          <w:b/>
          <w:szCs w:val="20"/>
        </w:rPr>
      </w:pPr>
      <w:r>
        <w:rPr>
          <w:rFonts w:cs="Arial"/>
          <w:b/>
          <w:szCs w:val="20"/>
        </w:rPr>
        <w:t>5. PRIKAZ UREDITVE V DRUGIH PRAVNIH SISTEMIH IN PRILAGOJENOSTI PREDLAGANE UREDITVE PRAVU EVROPSKE UNIJE</w:t>
      </w:r>
    </w:p>
    <w:p w14:paraId="74951CFC" w14:textId="77777777" w:rsidR="001A127C" w:rsidRDefault="001A127C" w:rsidP="001A127C">
      <w:pPr>
        <w:spacing w:line="312" w:lineRule="auto"/>
        <w:jc w:val="both"/>
        <w:rPr>
          <w:rFonts w:cs="Arial"/>
          <w:b/>
          <w:szCs w:val="20"/>
        </w:rPr>
      </w:pPr>
    </w:p>
    <w:p w14:paraId="1785E21D" w14:textId="77777777" w:rsidR="001A127C" w:rsidRDefault="001A127C" w:rsidP="001A127C">
      <w:pPr>
        <w:spacing w:line="312" w:lineRule="auto"/>
        <w:jc w:val="both"/>
        <w:rPr>
          <w:rFonts w:cs="Arial"/>
          <w:b/>
          <w:szCs w:val="20"/>
          <w:lang w:val="sl-SI"/>
        </w:rPr>
      </w:pPr>
      <w:r>
        <w:rPr>
          <w:rFonts w:cs="Arial"/>
          <w:b/>
          <w:szCs w:val="20"/>
          <w:lang w:val="sl-SI"/>
        </w:rPr>
        <w:t xml:space="preserve">5.1 Primerjalna ureditev v drugih pravnih sistemih </w:t>
      </w:r>
    </w:p>
    <w:p w14:paraId="0640420A" w14:textId="77777777" w:rsidR="001A127C" w:rsidRDefault="001A127C" w:rsidP="001A127C">
      <w:pPr>
        <w:spacing w:line="312" w:lineRule="auto"/>
        <w:jc w:val="both"/>
        <w:rPr>
          <w:rFonts w:cs="Arial"/>
          <w:b/>
          <w:bCs/>
          <w:szCs w:val="20"/>
          <w:lang w:val="sl-SI"/>
        </w:rPr>
      </w:pPr>
    </w:p>
    <w:p w14:paraId="6A322264" w14:textId="77777777" w:rsidR="001A127C" w:rsidRDefault="001A127C" w:rsidP="001A127C">
      <w:pPr>
        <w:spacing w:line="312" w:lineRule="auto"/>
        <w:jc w:val="both"/>
        <w:rPr>
          <w:rFonts w:cs="Arial"/>
          <w:b/>
          <w:bCs/>
          <w:szCs w:val="20"/>
          <w:lang w:val="sl-SI"/>
        </w:rPr>
      </w:pPr>
      <w:r>
        <w:rPr>
          <w:rFonts w:cs="Arial"/>
          <w:b/>
          <w:bCs/>
          <w:szCs w:val="20"/>
          <w:lang w:val="sl-SI"/>
        </w:rPr>
        <w:t>Francija</w:t>
      </w:r>
    </w:p>
    <w:p w14:paraId="205E4F57" w14:textId="77777777" w:rsidR="001A127C" w:rsidRDefault="001A127C" w:rsidP="001A127C">
      <w:pPr>
        <w:spacing w:line="312" w:lineRule="auto"/>
        <w:jc w:val="both"/>
        <w:rPr>
          <w:rFonts w:cs="Arial"/>
          <w:szCs w:val="20"/>
          <w:lang w:val="sl-SI"/>
        </w:rPr>
      </w:pPr>
    </w:p>
    <w:p w14:paraId="5D167D7E" w14:textId="77777777" w:rsidR="001A127C" w:rsidRDefault="001A127C" w:rsidP="001A127C">
      <w:pPr>
        <w:spacing w:line="312" w:lineRule="auto"/>
        <w:jc w:val="both"/>
        <w:rPr>
          <w:rFonts w:cs="Arial"/>
          <w:szCs w:val="20"/>
          <w:lang w:val="sl-SI"/>
        </w:rPr>
      </w:pPr>
      <w:r>
        <w:rPr>
          <w:rFonts w:cs="Arial"/>
          <w:szCs w:val="20"/>
          <w:lang w:val="sl-SI"/>
        </w:rPr>
        <w:t xml:space="preserve">Temeljni tipi koncesij po francoskem pravu so koncesije za opravljanje javne službe, koncesije za javna dela, koncesije za ceste in koncesije za rudnike. Pojem javne službe po francoskem pravu obsega širok spekter dejavnosti. Kot </w:t>
      </w:r>
      <w:proofErr w:type="spellStart"/>
      <w:r>
        <w:rPr>
          <w:rFonts w:cs="Arial"/>
          <w:szCs w:val="20"/>
          <w:lang w:val="sl-SI"/>
        </w:rPr>
        <w:t>koncedent</w:t>
      </w:r>
      <w:proofErr w:type="spellEnd"/>
      <w:r>
        <w:rPr>
          <w:rFonts w:cs="Arial"/>
          <w:szCs w:val="20"/>
          <w:lang w:val="sl-SI"/>
        </w:rPr>
        <w:t xml:space="preserve"> v postopku podeljevanja koncesij praviloma nastopa država, pokrajina, departma ali občina (skupnost občin). Po specialnem predpisu pa je lahko </w:t>
      </w:r>
      <w:proofErr w:type="spellStart"/>
      <w:r>
        <w:rPr>
          <w:rFonts w:cs="Arial"/>
          <w:szCs w:val="20"/>
          <w:lang w:val="sl-SI"/>
        </w:rPr>
        <w:t>koncedent</w:t>
      </w:r>
      <w:proofErr w:type="spellEnd"/>
      <w:r>
        <w:rPr>
          <w:rFonts w:cs="Arial"/>
          <w:szCs w:val="20"/>
          <w:lang w:val="sl-SI"/>
        </w:rPr>
        <w:t xml:space="preserve"> tudi druga oseba javnega prava (javno podjetje). Koncesionar je praviloma oseba zasebnega prava, lahko pa tudi oseba javnega prava. Koncesija se podeli praviloma s koncesijskim aktom, redkeje pa s pravno normo (predpisom). Temu sledi podpis koncesijske pogodbe, ki so urejene medsebojne pravice in </w:t>
      </w:r>
      <w:r>
        <w:rPr>
          <w:rFonts w:cs="Arial"/>
          <w:szCs w:val="20"/>
          <w:lang w:val="sl-SI"/>
        </w:rPr>
        <w:lastRenderedPageBreak/>
        <w:t xml:space="preserve">obveznosti. Za postopek podelitve koncesije velja načelna svoboda, obveznosti izvedbe javnega natečaja ni. Pravilo, da se koncesija podeli tistemu prijavitelju, ki je ponudil najugodnejše pogoje, ne velja za izbor koncesionarja javne službe. Koncesijska pogodba mora biti sklenjena v pisni obliki, sestavljata jo </w:t>
      </w:r>
      <w:proofErr w:type="spellStart"/>
      <w:r>
        <w:rPr>
          <w:rFonts w:cs="Arial"/>
          <w:szCs w:val="20"/>
          <w:lang w:val="sl-SI"/>
        </w:rPr>
        <w:t>t.i</w:t>
      </w:r>
      <w:proofErr w:type="spellEnd"/>
      <w:r>
        <w:rPr>
          <w:rFonts w:cs="Arial"/>
          <w:szCs w:val="20"/>
          <w:lang w:val="sl-SI"/>
        </w:rPr>
        <w:t xml:space="preserve">. sporazum med strankama in </w:t>
      </w:r>
      <w:proofErr w:type="spellStart"/>
      <w:r>
        <w:rPr>
          <w:rFonts w:cs="Arial"/>
          <w:szCs w:val="20"/>
          <w:lang w:val="sl-SI"/>
        </w:rPr>
        <w:t>t.i</w:t>
      </w:r>
      <w:proofErr w:type="spellEnd"/>
      <w:r>
        <w:rPr>
          <w:rFonts w:cs="Arial"/>
          <w:szCs w:val="20"/>
          <w:lang w:val="sl-SI"/>
        </w:rPr>
        <w:t xml:space="preserve">. knjiga obveznosti, ki ima naravo javnopravnega akta. </w:t>
      </w:r>
    </w:p>
    <w:p w14:paraId="42D93027" w14:textId="77777777" w:rsidR="001A127C" w:rsidRDefault="001A127C" w:rsidP="001A127C">
      <w:pPr>
        <w:spacing w:line="312" w:lineRule="auto"/>
        <w:jc w:val="both"/>
        <w:rPr>
          <w:rFonts w:cs="Arial"/>
          <w:b/>
          <w:szCs w:val="20"/>
          <w:lang w:val="sl-SI"/>
        </w:rPr>
      </w:pPr>
    </w:p>
    <w:p w14:paraId="211918CB" w14:textId="77777777" w:rsidR="001A127C" w:rsidRDefault="001A127C" w:rsidP="001A127C">
      <w:pPr>
        <w:spacing w:line="312" w:lineRule="auto"/>
        <w:jc w:val="both"/>
        <w:rPr>
          <w:rFonts w:cs="Arial"/>
          <w:b/>
          <w:szCs w:val="20"/>
          <w:lang w:val="sl-SI"/>
        </w:rPr>
      </w:pPr>
      <w:r>
        <w:rPr>
          <w:rFonts w:cs="Arial"/>
          <w:b/>
          <w:szCs w:val="20"/>
          <w:lang w:val="sl-SI"/>
        </w:rPr>
        <w:t>Združeno kraljestvo</w:t>
      </w:r>
    </w:p>
    <w:p w14:paraId="5AD8E84E" w14:textId="77777777" w:rsidR="001A127C" w:rsidRDefault="001A127C" w:rsidP="001A127C">
      <w:pPr>
        <w:spacing w:line="312" w:lineRule="auto"/>
        <w:jc w:val="both"/>
        <w:rPr>
          <w:rFonts w:cs="Arial"/>
          <w:szCs w:val="20"/>
          <w:lang w:val="sl-SI"/>
        </w:rPr>
      </w:pPr>
    </w:p>
    <w:p w14:paraId="4E54D9E4" w14:textId="77777777" w:rsidR="001A127C" w:rsidRDefault="001A127C" w:rsidP="001A127C">
      <w:pPr>
        <w:spacing w:line="312" w:lineRule="auto"/>
        <w:jc w:val="both"/>
        <w:rPr>
          <w:rFonts w:cs="Arial"/>
          <w:szCs w:val="20"/>
          <w:lang w:val="sl-SI"/>
        </w:rPr>
      </w:pPr>
      <w:r>
        <w:rPr>
          <w:rFonts w:cs="Arial"/>
          <w:szCs w:val="20"/>
          <w:lang w:val="sl-SI"/>
        </w:rPr>
        <w:t xml:space="preserve">Upravno pravo Združenega kraljestva ne pozna instituta upravne pogodbe, poznajo pa posebne ureditve v primeru sklepanja pogodb s strani države, ki so primerljive z elementi upravnih pogodb po francoskem pravu. Pregled sodne prakse kaže, da je tudi v pravu Združenega kraljestva mogoče zaslediti zametke posebne pravne ureditve pogodb javnih oblasti, v katerih je pomemben element prevlada javnega interesa. Javni interes je tudi eden izmed možnosti posegov v pogodbo (razdrtje, sprememba). Sodna praksa dopušča tudi razveljavitev pogodbe v javnem interesu. Problem predstavlja neenotno poimenovanje koncesijskih razmerij. Posli so pogosto poimenovani po lastninskem modelu. Bistvena lastnost pa je, da je javno financiranje infrastrukturnega projekta prestati test možno le v primeru, če projekta ni mogoče financirati iz zasebnega kapitala. </w:t>
      </w:r>
    </w:p>
    <w:p w14:paraId="2837ECB3" w14:textId="77777777" w:rsidR="001A127C" w:rsidRDefault="001A127C" w:rsidP="001A127C">
      <w:pPr>
        <w:spacing w:line="312" w:lineRule="auto"/>
        <w:jc w:val="both"/>
        <w:rPr>
          <w:rFonts w:cs="Arial"/>
          <w:szCs w:val="20"/>
          <w:lang w:val="sl-SI"/>
        </w:rPr>
      </w:pPr>
    </w:p>
    <w:p w14:paraId="048065F3" w14:textId="77777777" w:rsidR="001A127C" w:rsidRDefault="001A127C" w:rsidP="001A127C">
      <w:pPr>
        <w:spacing w:line="312" w:lineRule="auto"/>
        <w:jc w:val="both"/>
        <w:rPr>
          <w:rFonts w:cs="Arial"/>
          <w:b/>
          <w:szCs w:val="20"/>
          <w:lang w:val="sl-SI"/>
        </w:rPr>
      </w:pPr>
      <w:r>
        <w:rPr>
          <w:rFonts w:cs="Arial"/>
          <w:b/>
          <w:szCs w:val="20"/>
          <w:lang w:val="sl-SI"/>
        </w:rPr>
        <w:t>Italija</w:t>
      </w:r>
    </w:p>
    <w:p w14:paraId="4CD3C35D" w14:textId="77777777" w:rsidR="001A127C" w:rsidRDefault="001A127C" w:rsidP="001A127C">
      <w:pPr>
        <w:spacing w:line="312" w:lineRule="auto"/>
        <w:jc w:val="both"/>
        <w:rPr>
          <w:rFonts w:cs="Arial"/>
          <w:b/>
          <w:szCs w:val="20"/>
          <w:lang w:val="sl-SI"/>
        </w:rPr>
      </w:pPr>
    </w:p>
    <w:p w14:paraId="72FAA771" w14:textId="77777777" w:rsidR="001A127C" w:rsidRDefault="001A127C" w:rsidP="001A127C">
      <w:pPr>
        <w:spacing w:line="312" w:lineRule="auto"/>
        <w:jc w:val="both"/>
        <w:rPr>
          <w:rFonts w:cs="Arial"/>
          <w:szCs w:val="20"/>
          <w:lang w:val="sl-SI"/>
        </w:rPr>
      </w:pPr>
      <w:r>
        <w:rPr>
          <w:rFonts w:cs="Arial"/>
          <w:szCs w:val="20"/>
          <w:lang w:val="sl-SI"/>
        </w:rPr>
        <w:t xml:space="preserve">Institut koncesije je v Italiji dobro razvit. Najpogostejša je delitev na koncesije javnih služb in koncesije rabe javnega dobra. Teorija in praksa poznata pojem »upravna koncesija«. Koncesija je eden izmed načinov izvajanja komunalnih javnih služb. Poseben pomen v italijanskem pravu imajo koncesije gradenj / storitev, in sicer v razmerju do pogodb o javnih naročilih. Koncesijska  pogodba je po italijanskem pravu in sodni praksi sodi med pogodbe, ki pripadajo upravnemu aktu. Italijanska zakonodajo izrecno izključuje izbiro koncesionarja v postopku s pogajanji. Izbira se praviloma opravi v omejenem postopku, na podlagi preliminarnega projekta </w:t>
      </w:r>
      <w:proofErr w:type="spellStart"/>
      <w:r>
        <w:rPr>
          <w:rFonts w:cs="Arial"/>
          <w:szCs w:val="20"/>
          <w:lang w:val="sl-SI"/>
        </w:rPr>
        <w:t>koncedenta</w:t>
      </w:r>
      <w:proofErr w:type="spellEnd"/>
      <w:r>
        <w:rPr>
          <w:rFonts w:cs="Arial"/>
          <w:szCs w:val="20"/>
          <w:lang w:val="sl-SI"/>
        </w:rPr>
        <w:t xml:space="preserve"> in merila ekonomsko najugodnejše ponudbe. Koncesije so konec 20. stoletja postale način zasebnega financiranja javnih investicij. </w:t>
      </w:r>
    </w:p>
    <w:p w14:paraId="14F68008" w14:textId="77777777" w:rsidR="001A127C" w:rsidRDefault="001A127C" w:rsidP="001A127C">
      <w:pPr>
        <w:spacing w:line="312" w:lineRule="auto"/>
        <w:jc w:val="both"/>
        <w:rPr>
          <w:rFonts w:cs="Arial"/>
          <w:szCs w:val="20"/>
          <w:lang w:val="sl-SI"/>
        </w:rPr>
      </w:pPr>
    </w:p>
    <w:p w14:paraId="4F9A6EA0" w14:textId="77777777" w:rsidR="001A127C" w:rsidRDefault="001A127C" w:rsidP="001A127C">
      <w:pPr>
        <w:spacing w:line="312" w:lineRule="auto"/>
        <w:jc w:val="both"/>
        <w:rPr>
          <w:rFonts w:cs="Arial"/>
          <w:b/>
          <w:szCs w:val="20"/>
          <w:lang w:val="sl-SI"/>
        </w:rPr>
      </w:pPr>
      <w:r>
        <w:rPr>
          <w:rFonts w:cs="Arial"/>
          <w:b/>
          <w:szCs w:val="20"/>
          <w:lang w:val="sl-SI"/>
        </w:rPr>
        <w:t>5.2 Prikaz ureditve v pravnem redu EU</w:t>
      </w:r>
    </w:p>
    <w:p w14:paraId="7292C10B" w14:textId="77777777" w:rsidR="001A127C" w:rsidRDefault="001A127C" w:rsidP="001A127C">
      <w:pPr>
        <w:spacing w:line="312" w:lineRule="auto"/>
        <w:jc w:val="both"/>
        <w:rPr>
          <w:rFonts w:cs="Arial"/>
          <w:szCs w:val="20"/>
          <w:lang w:val="sl-SI"/>
        </w:rPr>
      </w:pPr>
    </w:p>
    <w:p w14:paraId="0304C9CC" w14:textId="77777777" w:rsidR="001A127C" w:rsidRDefault="001A127C" w:rsidP="001A127C">
      <w:pPr>
        <w:spacing w:line="312" w:lineRule="auto"/>
        <w:jc w:val="both"/>
        <w:rPr>
          <w:rFonts w:cs="Arial"/>
          <w:szCs w:val="20"/>
          <w:lang w:val="sl-SI"/>
        </w:rPr>
      </w:pPr>
      <w:r>
        <w:rPr>
          <w:rFonts w:cs="Arial"/>
          <w:szCs w:val="20"/>
          <w:lang w:val="sl-SI"/>
        </w:rPr>
        <w:t>Predlog sprememb in dopolnitev zakona ni predmet usklajevanja s pravnim redom EU.</w:t>
      </w:r>
    </w:p>
    <w:p w14:paraId="69BE41E4" w14:textId="77777777" w:rsidR="001A127C" w:rsidRDefault="001A127C" w:rsidP="001A127C">
      <w:pPr>
        <w:spacing w:line="312" w:lineRule="auto"/>
        <w:jc w:val="both"/>
        <w:rPr>
          <w:rFonts w:cs="Arial"/>
          <w:szCs w:val="20"/>
          <w:lang w:val="sl-SI"/>
        </w:rPr>
      </w:pPr>
    </w:p>
    <w:p w14:paraId="42F2BD2B" w14:textId="77777777" w:rsidR="001A127C" w:rsidRDefault="001A127C" w:rsidP="001A127C">
      <w:pPr>
        <w:spacing w:line="312" w:lineRule="auto"/>
        <w:jc w:val="both"/>
        <w:rPr>
          <w:rFonts w:cs="Arial"/>
          <w:b/>
          <w:szCs w:val="20"/>
          <w:lang w:val="sl-SI"/>
        </w:rPr>
      </w:pPr>
      <w:r>
        <w:rPr>
          <w:rFonts w:cs="Arial"/>
          <w:b/>
          <w:szCs w:val="20"/>
          <w:lang w:val="sl-SI"/>
        </w:rPr>
        <w:t>6. PRESOJA POSLEDIC, KI JIH BO IMEL SPREJEM ZAKONA</w:t>
      </w:r>
    </w:p>
    <w:p w14:paraId="754FF655" w14:textId="77777777" w:rsidR="001A127C" w:rsidRDefault="001A127C" w:rsidP="001A127C">
      <w:pPr>
        <w:spacing w:line="312" w:lineRule="auto"/>
        <w:jc w:val="both"/>
        <w:rPr>
          <w:rFonts w:cs="Arial"/>
          <w:b/>
          <w:szCs w:val="20"/>
          <w:lang w:val="sl-SI"/>
        </w:rPr>
      </w:pPr>
    </w:p>
    <w:p w14:paraId="17AA014F" w14:textId="77777777" w:rsidR="001A127C" w:rsidRDefault="001A127C" w:rsidP="001A127C">
      <w:pPr>
        <w:spacing w:line="312" w:lineRule="auto"/>
        <w:jc w:val="both"/>
        <w:rPr>
          <w:rFonts w:cs="Arial"/>
          <w:b/>
          <w:szCs w:val="20"/>
          <w:lang w:val="sl-SI"/>
        </w:rPr>
      </w:pPr>
      <w:r>
        <w:rPr>
          <w:rFonts w:cs="Arial"/>
          <w:b/>
          <w:szCs w:val="20"/>
          <w:lang w:val="sl-SI"/>
        </w:rPr>
        <w:t>6.1 Presoja administrativnih posledic</w:t>
      </w:r>
    </w:p>
    <w:p w14:paraId="7000F2DC" w14:textId="77777777" w:rsidR="001A127C" w:rsidRDefault="001A127C" w:rsidP="001A127C">
      <w:pPr>
        <w:spacing w:line="312" w:lineRule="auto"/>
        <w:jc w:val="both"/>
        <w:rPr>
          <w:rFonts w:cs="Arial"/>
          <w:b/>
          <w:szCs w:val="20"/>
          <w:lang w:val="sl-SI"/>
        </w:rPr>
      </w:pPr>
      <w:r>
        <w:rPr>
          <w:rFonts w:cs="Arial"/>
          <w:b/>
          <w:szCs w:val="20"/>
          <w:lang w:val="sl-SI"/>
        </w:rPr>
        <w:t>a) v postopkih oziroma poslovanju javne uprave ali pravosodnih organov:</w:t>
      </w:r>
    </w:p>
    <w:p w14:paraId="6F71E6D8" w14:textId="77777777" w:rsidR="001A127C" w:rsidRDefault="001A127C" w:rsidP="001A127C">
      <w:pPr>
        <w:spacing w:line="312" w:lineRule="auto"/>
        <w:jc w:val="both"/>
        <w:rPr>
          <w:rFonts w:cs="Arial"/>
          <w:szCs w:val="20"/>
          <w:lang w:val="sl-SI"/>
        </w:rPr>
      </w:pPr>
    </w:p>
    <w:p w14:paraId="7FB1CF4C" w14:textId="77777777" w:rsidR="001A127C" w:rsidRDefault="001A127C" w:rsidP="001A127C">
      <w:pPr>
        <w:spacing w:line="312" w:lineRule="auto"/>
        <w:jc w:val="both"/>
        <w:rPr>
          <w:rFonts w:cs="Arial"/>
          <w:szCs w:val="20"/>
          <w:lang w:val="sl-SI"/>
        </w:rPr>
      </w:pPr>
      <w:r>
        <w:rPr>
          <w:rFonts w:cs="Arial"/>
          <w:szCs w:val="20"/>
          <w:lang w:val="sl-SI"/>
        </w:rPr>
        <w:t xml:space="preserve">Predlagani zakon ne vključuje spremembe veljavne zakonodaje, s katerimi so bile podeljene vodne pravice za rabo vode na podlagi koncesije. </w:t>
      </w:r>
    </w:p>
    <w:p w14:paraId="636A86ED" w14:textId="77777777" w:rsidR="001A127C" w:rsidRDefault="001A127C" w:rsidP="001A127C">
      <w:pPr>
        <w:spacing w:line="312" w:lineRule="auto"/>
        <w:jc w:val="both"/>
        <w:rPr>
          <w:rFonts w:cs="Arial"/>
          <w:szCs w:val="20"/>
        </w:rPr>
      </w:pPr>
    </w:p>
    <w:p w14:paraId="08C716BB" w14:textId="77777777" w:rsidR="001A127C" w:rsidRDefault="001A127C" w:rsidP="001A127C">
      <w:pPr>
        <w:pStyle w:val="rkovnatokazaodstavkom"/>
        <w:numPr>
          <w:ilvl w:val="0"/>
          <w:numId w:val="0"/>
        </w:numPr>
        <w:spacing w:line="312" w:lineRule="auto"/>
        <w:rPr>
          <w:b/>
          <w:szCs w:val="20"/>
          <w:lang w:val="sl-SI"/>
        </w:rPr>
      </w:pPr>
      <w:r>
        <w:rPr>
          <w:b/>
          <w:lang w:val="sl-SI"/>
        </w:rPr>
        <w:t>b) pri obveznostih strank do javne uprave ali pravosodnih organov:</w:t>
      </w:r>
    </w:p>
    <w:p w14:paraId="58BFB53C" w14:textId="77777777" w:rsidR="001A127C" w:rsidRDefault="001A127C" w:rsidP="001A127C">
      <w:pPr>
        <w:spacing w:line="312" w:lineRule="auto"/>
        <w:jc w:val="both"/>
        <w:rPr>
          <w:rFonts w:cs="Arial"/>
          <w:color w:val="000000"/>
          <w:szCs w:val="20"/>
          <w:lang w:eastAsia="sl-SI"/>
        </w:rPr>
      </w:pPr>
    </w:p>
    <w:p w14:paraId="4D98AC91" w14:textId="77777777" w:rsidR="001A127C" w:rsidRDefault="001A127C" w:rsidP="001A127C">
      <w:pPr>
        <w:spacing w:line="312" w:lineRule="auto"/>
        <w:jc w:val="both"/>
        <w:rPr>
          <w:rFonts w:cs="Arial"/>
          <w:szCs w:val="20"/>
        </w:rPr>
      </w:pPr>
      <w:r>
        <w:rPr>
          <w:rFonts w:cs="Arial"/>
          <w:szCs w:val="20"/>
          <w:lang w:val="sl-SI" w:eastAsia="sl-SI"/>
        </w:rPr>
        <w:t>Sprejetje zakona ne vpliva na obveznosti strank do javne uprave ali pravosodnih organov.</w:t>
      </w:r>
    </w:p>
    <w:tbl>
      <w:tblPr>
        <w:tblW w:w="0" w:type="auto"/>
        <w:tblLook w:val="04A0" w:firstRow="1" w:lastRow="0" w:firstColumn="1" w:lastColumn="0" w:noHBand="0" w:noVBand="1"/>
      </w:tblPr>
      <w:tblGrid>
        <w:gridCol w:w="9072"/>
      </w:tblGrid>
      <w:tr w:rsidR="001A127C" w14:paraId="710BE4CB" w14:textId="77777777" w:rsidTr="001A127C">
        <w:tc>
          <w:tcPr>
            <w:tcW w:w="9213" w:type="dxa"/>
          </w:tcPr>
          <w:p w14:paraId="7521147C" w14:textId="77777777" w:rsidR="001A127C" w:rsidRDefault="001A127C">
            <w:pPr>
              <w:pStyle w:val="Odsek"/>
              <w:numPr>
                <w:ilvl w:val="0"/>
                <w:numId w:val="0"/>
              </w:numPr>
              <w:tabs>
                <w:tab w:val="left" w:pos="708"/>
              </w:tabs>
              <w:spacing w:before="0" w:after="0" w:line="312" w:lineRule="auto"/>
              <w:jc w:val="both"/>
              <w:rPr>
                <w:sz w:val="20"/>
                <w:szCs w:val="20"/>
                <w:lang w:val="sl-SI" w:eastAsia="sl-SI"/>
              </w:rPr>
            </w:pPr>
          </w:p>
          <w:p w14:paraId="111BC2C6" w14:textId="77777777" w:rsidR="001A127C" w:rsidRDefault="001A127C">
            <w:pPr>
              <w:pStyle w:val="Odsek"/>
              <w:numPr>
                <w:ilvl w:val="0"/>
                <w:numId w:val="0"/>
              </w:numPr>
              <w:tabs>
                <w:tab w:val="left" w:pos="708"/>
              </w:tabs>
              <w:spacing w:before="0" w:after="0" w:line="312" w:lineRule="auto"/>
              <w:jc w:val="both"/>
              <w:rPr>
                <w:sz w:val="20"/>
                <w:szCs w:val="20"/>
                <w:lang w:val="sl-SI" w:eastAsia="sl-SI"/>
              </w:rPr>
            </w:pPr>
            <w:r>
              <w:rPr>
                <w:sz w:val="20"/>
                <w:szCs w:val="20"/>
                <w:lang w:val="sl-SI" w:eastAsia="sl-SI"/>
              </w:rPr>
              <w:t>6.2 Presoja posledic za okolje, vključno s prostorskimi in varstvenimi vidiki, in sicer za:</w:t>
            </w:r>
          </w:p>
        </w:tc>
      </w:tr>
    </w:tbl>
    <w:p w14:paraId="705528CB" w14:textId="77777777" w:rsidR="001A127C" w:rsidRDefault="001A127C" w:rsidP="001A127C">
      <w:pPr>
        <w:spacing w:line="312" w:lineRule="auto"/>
        <w:jc w:val="both"/>
        <w:rPr>
          <w:rFonts w:cs="Arial"/>
          <w:szCs w:val="20"/>
        </w:rPr>
      </w:pPr>
    </w:p>
    <w:p w14:paraId="0E0AE710" w14:textId="77777777" w:rsidR="001A127C" w:rsidRDefault="001A127C" w:rsidP="001A127C">
      <w:pPr>
        <w:pStyle w:val="Alineazatoko"/>
        <w:numPr>
          <w:ilvl w:val="0"/>
          <w:numId w:val="0"/>
        </w:numPr>
        <w:spacing w:line="276" w:lineRule="auto"/>
        <w:rPr>
          <w:sz w:val="20"/>
          <w:szCs w:val="20"/>
          <w:lang w:val="sl-SI"/>
        </w:rPr>
      </w:pPr>
      <w:r>
        <w:rPr>
          <w:sz w:val="20"/>
          <w:szCs w:val="20"/>
          <w:lang w:val="sl-SI"/>
        </w:rPr>
        <w:lastRenderedPageBreak/>
        <w:t>Sprejetje zakona ne vpliva na okolje, ki vključuje prostorske in varstvene vidike. Gre zgolj za podaljšanje skrajnega roka dokončanja investicije.</w:t>
      </w:r>
    </w:p>
    <w:p w14:paraId="534F1944" w14:textId="77777777" w:rsidR="001A127C" w:rsidRDefault="001A127C" w:rsidP="001A127C">
      <w:pPr>
        <w:spacing w:line="312" w:lineRule="auto"/>
        <w:jc w:val="both"/>
        <w:rPr>
          <w:rFonts w:cs="Arial"/>
          <w:szCs w:val="20"/>
        </w:rPr>
      </w:pPr>
    </w:p>
    <w:p w14:paraId="1C893859"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6.3 Presoja posledic za gospodarstvo</w:t>
      </w:r>
    </w:p>
    <w:p w14:paraId="57435E5C" w14:textId="77777777" w:rsidR="001A127C" w:rsidRDefault="001A127C" w:rsidP="001A127C">
      <w:pPr>
        <w:overflowPunct w:val="0"/>
        <w:autoSpaceDE w:val="0"/>
        <w:autoSpaceDN w:val="0"/>
        <w:adjustRightInd w:val="0"/>
        <w:spacing w:after="200" w:line="276" w:lineRule="auto"/>
        <w:jc w:val="both"/>
        <w:textAlignment w:val="baseline"/>
        <w:rPr>
          <w:rFonts w:ascii="Calibri" w:eastAsia="Calibri" w:hAnsi="Calibri" w:cs="Arial"/>
          <w:sz w:val="22"/>
          <w:szCs w:val="20"/>
          <w:lang w:val="sl-SI"/>
        </w:rPr>
      </w:pPr>
      <w:r>
        <w:rPr>
          <w:rFonts w:ascii="Calibri" w:eastAsia="Calibri" w:hAnsi="Calibri" w:cs="Arial"/>
          <w:sz w:val="22"/>
          <w:szCs w:val="20"/>
          <w:lang w:val="sl-SI" w:eastAsia="sl-SI"/>
        </w:rPr>
        <w:t>Sprejetje zakona ima neposreden vpliv izključno na gospodarsko družbo, ki izvaja javne službe na podlagi tega zakona, posredno pa na imetnika koncesije za proizvodnjo električne energije na območju spodnje Save.</w:t>
      </w:r>
    </w:p>
    <w:p w14:paraId="4E87D9D2"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 xml:space="preserve">6.4 Presoja posledic na socialnem področju: </w:t>
      </w:r>
    </w:p>
    <w:p w14:paraId="4CBC246E" w14:textId="77777777" w:rsidR="001A127C" w:rsidRDefault="001A127C" w:rsidP="001A127C">
      <w:pPr>
        <w:spacing w:after="200" w:line="312" w:lineRule="auto"/>
        <w:jc w:val="both"/>
        <w:rPr>
          <w:rFonts w:ascii="Calibri" w:eastAsia="Calibri" w:hAnsi="Calibri" w:cs="Arial"/>
          <w:sz w:val="22"/>
          <w:szCs w:val="20"/>
          <w:lang w:val="sl-SI"/>
        </w:rPr>
      </w:pPr>
      <w:r>
        <w:rPr>
          <w:rFonts w:ascii="Calibri" w:eastAsia="Calibri" w:hAnsi="Calibri" w:cs="Arial"/>
          <w:sz w:val="22"/>
          <w:szCs w:val="20"/>
          <w:lang w:val="sl-SI" w:eastAsia="sl-SI"/>
        </w:rPr>
        <w:t>Sprejetje zakona ne vpliva na socialno področje.</w:t>
      </w:r>
    </w:p>
    <w:p w14:paraId="68CE7350"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6.5 Presoja posledic na dokumente razvojnega načrtovanja, in sicer za: /</w:t>
      </w:r>
    </w:p>
    <w:p w14:paraId="532ABEB8" w14:textId="77777777" w:rsidR="001A127C" w:rsidRDefault="001A127C" w:rsidP="001A127C">
      <w:pPr>
        <w:suppressAutoHyphens/>
        <w:overflowPunct w:val="0"/>
        <w:autoSpaceDE w:val="0"/>
        <w:autoSpaceDN w:val="0"/>
        <w:adjustRightInd w:val="0"/>
        <w:spacing w:line="276" w:lineRule="auto"/>
        <w:textAlignment w:val="baseline"/>
        <w:outlineLvl w:val="3"/>
        <w:rPr>
          <w:rFonts w:cs="Arial"/>
          <w:szCs w:val="20"/>
          <w:lang w:val="sl-SI" w:eastAsia="sl-SI"/>
        </w:rPr>
      </w:pPr>
      <w:r>
        <w:rPr>
          <w:rFonts w:cs="Arial"/>
          <w:szCs w:val="20"/>
          <w:lang w:val="sl-SI" w:eastAsia="sl-SI"/>
        </w:rPr>
        <w:t>Sprejetje zakona ne vpliva na dokumente razvojnega načrtovanja.</w:t>
      </w:r>
    </w:p>
    <w:p w14:paraId="29E37FF2" w14:textId="77777777" w:rsidR="001A127C" w:rsidRDefault="001A127C" w:rsidP="001A127C">
      <w:pPr>
        <w:suppressAutoHyphens/>
        <w:overflowPunct w:val="0"/>
        <w:autoSpaceDE w:val="0"/>
        <w:autoSpaceDN w:val="0"/>
        <w:adjustRightInd w:val="0"/>
        <w:spacing w:line="276" w:lineRule="auto"/>
        <w:textAlignment w:val="baseline"/>
        <w:outlineLvl w:val="3"/>
        <w:rPr>
          <w:rFonts w:cs="Arial"/>
          <w:szCs w:val="20"/>
          <w:lang w:val="sl-SI" w:eastAsia="sl-SI"/>
        </w:rPr>
      </w:pPr>
    </w:p>
    <w:p w14:paraId="17B03E5C"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 xml:space="preserve">6.6 Presoja posledic za druga področja: </w:t>
      </w:r>
    </w:p>
    <w:p w14:paraId="5F5501EC" w14:textId="77777777" w:rsidR="001A127C" w:rsidRDefault="001A127C" w:rsidP="001A127C">
      <w:p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Sprejetje zakona ne bo imelo drugih posledic.</w:t>
      </w:r>
    </w:p>
    <w:p w14:paraId="5B37A4E8" w14:textId="77777777" w:rsidR="001A127C" w:rsidRDefault="001A127C" w:rsidP="001A127C">
      <w:pPr>
        <w:overflowPunct w:val="0"/>
        <w:autoSpaceDE w:val="0"/>
        <w:autoSpaceDN w:val="0"/>
        <w:adjustRightInd w:val="0"/>
        <w:spacing w:line="276" w:lineRule="auto"/>
        <w:jc w:val="both"/>
        <w:textAlignment w:val="baseline"/>
        <w:rPr>
          <w:rFonts w:cs="Arial"/>
          <w:szCs w:val="20"/>
          <w:lang w:val="sl-SI" w:eastAsia="sl-SI"/>
        </w:rPr>
      </w:pPr>
    </w:p>
    <w:p w14:paraId="00BE40E3"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6.7 Izvajanje sprejetega predpisa</w:t>
      </w:r>
    </w:p>
    <w:p w14:paraId="1DCBE775" w14:textId="77777777" w:rsidR="001A127C" w:rsidRDefault="001A127C" w:rsidP="001A127C">
      <w:pPr>
        <w:numPr>
          <w:ilvl w:val="0"/>
          <w:numId w:val="5"/>
        </w:numPr>
        <w:overflowPunct w:val="0"/>
        <w:autoSpaceDE w:val="0"/>
        <w:autoSpaceDN w:val="0"/>
        <w:adjustRightInd w:val="0"/>
        <w:spacing w:after="200" w:line="276" w:lineRule="auto"/>
        <w:jc w:val="both"/>
        <w:textAlignment w:val="baseline"/>
        <w:rPr>
          <w:rFonts w:eastAsia="Calibri" w:cs="Arial"/>
          <w:sz w:val="22"/>
          <w:szCs w:val="22"/>
          <w:lang w:val="x-none" w:eastAsia="sl-SI"/>
        </w:rPr>
      </w:pPr>
      <w:r>
        <w:rPr>
          <w:rFonts w:eastAsia="Calibri" w:cs="Arial"/>
          <w:sz w:val="22"/>
          <w:szCs w:val="22"/>
          <w:lang w:val="x-none" w:eastAsia="sl-SI"/>
        </w:rPr>
        <w:t>Predstavitev sprejetega zakona:</w:t>
      </w:r>
    </w:p>
    <w:p w14:paraId="327B46AD" w14:textId="77777777" w:rsidR="001A127C" w:rsidRDefault="001A127C" w:rsidP="001A127C">
      <w:pPr>
        <w:overflowPunct w:val="0"/>
        <w:autoSpaceDE w:val="0"/>
        <w:autoSpaceDN w:val="0"/>
        <w:adjustRightInd w:val="0"/>
        <w:spacing w:line="276" w:lineRule="auto"/>
        <w:jc w:val="both"/>
        <w:textAlignment w:val="baseline"/>
        <w:rPr>
          <w:szCs w:val="20"/>
          <w:lang w:val="x-none" w:eastAsia="x-none"/>
        </w:rPr>
      </w:pPr>
      <w:r>
        <w:rPr>
          <w:szCs w:val="20"/>
          <w:lang w:val="x-none" w:eastAsia="x-none"/>
        </w:rPr>
        <w:t>Sprejeti zakon bo objavljen v Uradnem listu RS.</w:t>
      </w:r>
      <w:r>
        <w:rPr>
          <w:b/>
          <w:szCs w:val="20"/>
          <w:lang w:val="x-none" w:eastAsia="x-none"/>
        </w:rPr>
        <w:t xml:space="preserve"> </w:t>
      </w:r>
    </w:p>
    <w:p w14:paraId="3E5331A7" w14:textId="77777777" w:rsidR="001A127C" w:rsidRDefault="001A127C" w:rsidP="001A127C">
      <w:pPr>
        <w:suppressAutoHyphens/>
        <w:overflowPunct w:val="0"/>
        <w:autoSpaceDE w:val="0"/>
        <w:autoSpaceDN w:val="0"/>
        <w:adjustRightInd w:val="0"/>
        <w:spacing w:line="276" w:lineRule="auto"/>
        <w:jc w:val="both"/>
        <w:textAlignment w:val="baseline"/>
        <w:outlineLvl w:val="3"/>
        <w:rPr>
          <w:rFonts w:cs="Arial"/>
          <w:szCs w:val="20"/>
          <w:lang w:val="sl-SI" w:eastAsia="sl-SI"/>
        </w:rPr>
      </w:pPr>
    </w:p>
    <w:p w14:paraId="18A4AADA" w14:textId="77777777" w:rsidR="001A127C" w:rsidRDefault="001A127C" w:rsidP="001A127C">
      <w:pPr>
        <w:numPr>
          <w:ilvl w:val="0"/>
          <w:numId w:val="5"/>
        </w:numPr>
        <w:suppressAutoHyphens/>
        <w:overflowPunct w:val="0"/>
        <w:autoSpaceDE w:val="0"/>
        <w:autoSpaceDN w:val="0"/>
        <w:adjustRightInd w:val="0"/>
        <w:spacing w:after="200" w:line="276" w:lineRule="auto"/>
        <w:jc w:val="both"/>
        <w:textAlignment w:val="baseline"/>
        <w:outlineLvl w:val="3"/>
        <w:rPr>
          <w:rFonts w:cs="Arial"/>
          <w:szCs w:val="20"/>
          <w:lang w:val="sl-SI" w:eastAsia="sl-SI"/>
        </w:rPr>
      </w:pPr>
      <w:r>
        <w:rPr>
          <w:rFonts w:cs="Arial"/>
          <w:szCs w:val="20"/>
          <w:lang w:val="sl-SI" w:eastAsia="sl-SI"/>
        </w:rPr>
        <w:t>Spremljanje izvajanja sprejetega predpisa:</w:t>
      </w:r>
    </w:p>
    <w:p w14:paraId="003B1A75" w14:textId="77777777" w:rsidR="001A127C" w:rsidRDefault="001A127C" w:rsidP="001A127C">
      <w:pPr>
        <w:overflowPunct w:val="0"/>
        <w:autoSpaceDE w:val="0"/>
        <w:autoSpaceDN w:val="0"/>
        <w:adjustRightInd w:val="0"/>
        <w:spacing w:line="276" w:lineRule="auto"/>
        <w:jc w:val="both"/>
        <w:textAlignment w:val="baseline"/>
        <w:rPr>
          <w:rFonts w:cs="Arial"/>
          <w:bCs/>
          <w:szCs w:val="20"/>
          <w:lang w:val="sl-SI" w:eastAsia="sl-SI"/>
        </w:rPr>
      </w:pPr>
      <w:r>
        <w:rPr>
          <w:rFonts w:cs="Arial"/>
          <w:bCs/>
          <w:szCs w:val="20"/>
          <w:lang w:val="sl-SI" w:eastAsia="sl-SI"/>
        </w:rPr>
        <w:t>Izvajanje predpisa bo spremljalo ministrstvo, pristojno za vode.</w:t>
      </w:r>
    </w:p>
    <w:p w14:paraId="7672A2E3" w14:textId="77777777" w:rsidR="001A127C" w:rsidRDefault="001A127C" w:rsidP="001A127C">
      <w:pPr>
        <w:overflowPunct w:val="0"/>
        <w:autoSpaceDE w:val="0"/>
        <w:autoSpaceDN w:val="0"/>
        <w:adjustRightInd w:val="0"/>
        <w:spacing w:line="276" w:lineRule="auto"/>
        <w:jc w:val="both"/>
        <w:textAlignment w:val="baseline"/>
        <w:rPr>
          <w:rFonts w:cs="Arial"/>
          <w:bCs/>
          <w:szCs w:val="20"/>
          <w:lang w:val="sl-SI" w:eastAsia="sl-SI"/>
        </w:rPr>
      </w:pPr>
    </w:p>
    <w:p w14:paraId="26DFDB00" w14:textId="77777777" w:rsidR="001A127C" w:rsidRDefault="001A127C" w:rsidP="001A127C">
      <w:pPr>
        <w:spacing w:after="200" w:line="312" w:lineRule="auto"/>
        <w:jc w:val="both"/>
        <w:rPr>
          <w:rFonts w:ascii="Calibri" w:eastAsia="Calibri" w:hAnsi="Calibri" w:cs="Arial"/>
          <w:b/>
          <w:sz w:val="22"/>
          <w:szCs w:val="20"/>
          <w:lang w:val="sl-SI"/>
        </w:rPr>
      </w:pPr>
      <w:r>
        <w:rPr>
          <w:rFonts w:ascii="Calibri" w:eastAsia="Calibri" w:hAnsi="Calibri" w:cs="Arial"/>
          <w:b/>
          <w:sz w:val="22"/>
          <w:szCs w:val="20"/>
          <w:lang w:val="sl-SI"/>
        </w:rPr>
        <w:t>6.8 Druge pomembne okoliščine v zvezi z vprašanji, ki jih ureja predlog zakona</w:t>
      </w:r>
    </w:p>
    <w:p w14:paraId="74E14C83" w14:textId="77777777" w:rsidR="001A127C" w:rsidRDefault="001A127C" w:rsidP="001A127C">
      <w:p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Zakon ne ureja vprašanj, povezanih z drugimi pomembnimi okoliščinami</w:t>
      </w:r>
      <w:r>
        <w:rPr>
          <w:rFonts w:ascii="@Arial Unicode MS" w:eastAsia="@Arial Unicode MS" w:hAnsi="Tms Rmn" w:cs="@Arial Unicode MS" w:hint="eastAsia"/>
          <w:iCs/>
          <w:color w:val="000000"/>
          <w:szCs w:val="20"/>
          <w:lang w:val="sl-SI" w:eastAsia="sl-SI"/>
        </w:rPr>
        <w:t>.</w:t>
      </w:r>
    </w:p>
    <w:p w14:paraId="024142AB" w14:textId="77777777" w:rsidR="001A127C" w:rsidRDefault="001A127C" w:rsidP="001A127C">
      <w:pPr>
        <w:suppressAutoHyphens/>
        <w:overflowPunct w:val="0"/>
        <w:autoSpaceDE w:val="0"/>
        <w:autoSpaceDN w:val="0"/>
        <w:adjustRightInd w:val="0"/>
        <w:spacing w:line="312" w:lineRule="auto"/>
        <w:jc w:val="both"/>
        <w:textAlignment w:val="baseline"/>
        <w:outlineLvl w:val="3"/>
        <w:rPr>
          <w:rFonts w:cs="Arial"/>
          <w:b/>
          <w:szCs w:val="20"/>
          <w:lang w:val="sl-SI" w:eastAsia="x-none"/>
        </w:rPr>
      </w:pPr>
    </w:p>
    <w:p w14:paraId="1CA73E04" w14:textId="77777777" w:rsidR="001A127C" w:rsidRDefault="001A127C" w:rsidP="001A127C">
      <w:pPr>
        <w:suppressAutoHyphens/>
        <w:overflowPunct w:val="0"/>
        <w:autoSpaceDE w:val="0"/>
        <w:autoSpaceDN w:val="0"/>
        <w:adjustRightInd w:val="0"/>
        <w:spacing w:line="312" w:lineRule="auto"/>
        <w:jc w:val="both"/>
        <w:textAlignment w:val="baseline"/>
        <w:outlineLvl w:val="3"/>
        <w:rPr>
          <w:rFonts w:cs="Arial"/>
          <w:b/>
          <w:szCs w:val="20"/>
          <w:lang w:val="sl-SI" w:eastAsia="x-none"/>
        </w:rPr>
      </w:pPr>
      <w:r>
        <w:rPr>
          <w:rFonts w:cs="Arial"/>
          <w:b/>
          <w:szCs w:val="20"/>
          <w:lang w:val="sl-SI" w:eastAsia="x-none"/>
        </w:rPr>
        <w:t>7. Prikaz sodelovanja javnosti pri pripravi predloga zakona:</w:t>
      </w:r>
    </w:p>
    <w:p w14:paraId="5702D328" w14:textId="77777777" w:rsidR="001A127C" w:rsidRDefault="001A127C" w:rsidP="001A127C">
      <w:pPr>
        <w:suppressAutoHyphens/>
        <w:overflowPunct w:val="0"/>
        <w:autoSpaceDE w:val="0"/>
        <w:autoSpaceDN w:val="0"/>
        <w:adjustRightInd w:val="0"/>
        <w:spacing w:line="276" w:lineRule="auto"/>
        <w:jc w:val="both"/>
        <w:textAlignment w:val="baseline"/>
        <w:outlineLvl w:val="3"/>
        <w:rPr>
          <w:rFonts w:cs="Arial"/>
          <w:color w:val="000000"/>
          <w:szCs w:val="20"/>
          <w:lang w:val="sl-SI" w:eastAsia="sl-SI"/>
        </w:rPr>
      </w:pPr>
      <w:r>
        <w:rPr>
          <w:rFonts w:cs="Arial"/>
          <w:color w:val="000000"/>
          <w:szCs w:val="20"/>
          <w:lang w:val="sl-SI" w:eastAsia="sl-SI"/>
        </w:rPr>
        <w:t>Predlog zakona je bil objavljen na spletni strani e-Demokracija.</w:t>
      </w:r>
    </w:p>
    <w:p w14:paraId="226B7CC0" w14:textId="77777777" w:rsidR="001A127C" w:rsidRDefault="001A127C" w:rsidP="001A127C">
      <w:pPr>
        <w:suppressAutoHyphens/>
        <w:overflowPunct w:val="0"/>
        <w:autoSpaceDE w:val="0"/>
        <w:autoSpaceDN w:val="0"/>
        <w:adjustRightInd w:val="0"/>
        <w:spacing w:line="276" w:lineRule="auto"/>
        <w:jc w:val="both"/>
        <w:textAlignment w:val="baseline"/>
        <w:outlineLvl w:val="3"/>
        <w:rPr>
          <w:rFonts w:cs="Arial"/>
          <w:color w:val="000000"/>
          <w:szCs w:val="20"/>
          <w:highlight w:val="yellow"/>
          <w:lang w:val="sl-SI" w:eastAsia="sl-SI"/>
        </w:rPr>
      </w:pPr>
    </w:p>
    <w:p w14:paraId="109D95B7" w14:textId="77777777" w:rsidR="001A127C" w:rsidRDefault="001A127C" w:rsidP="001A127C">
      <w:pPr>
        <w:overflowPunct w:val="0"/>
        <w:autoSpaceDE w:val="0"/>
        <w:autoSpaceDN w:val="0"/>
        <w:adjustRightInd w:val="0"/>
        <w:spacing w:line="276" w:lineRule="auto"/>
        <w:jc w:val="both"/>
        <w:textAlignment w:val="baseline"/>
        <w:rPr>
          <w:rFonts w:eastAsia="Calibri"/>
          <w:bCs/>
          <w:color w:val="000000"/>
          <w:sz w:val="22"/>
          <w:szCs w:val="22"/>
          <w:lang w:val="sl-SI" w:eastAsia="sl-SI"/>
        </w:rPr>
      </w:pPr>
      <w:r>
        <w:rPr>
          <w:rFonts w:eastAsia="Calibri"/>
          <w:bCs/>
          <w:color w:val="000000"/>
          <w:sz w:val="22"/>
          <w:szCs w:val="22"/>
          <w:lang w:val="x-none" w:eastAsia="sl-SI"/>
        </w:rPr>
        <w:t xml:space="preserve">Predlog zakona je bil v javni razpravi </w:t>
      </w:r>
      <w:r>
        <w:rPr>
          <w:rFonts w:eastAsia="Calibri"/>
          <w:bCs/>
          <w:color w:val="000000"/>
          <w:sz w:val="22"/>
          <w:szCs w:val="22"/>
          <w:lang w:val="sl-SI" w:eastAsia="sl-SI"/>
        </w:rPr>
        <w:t>v septembru oziroma oktobru 2023.</w:t>
      </w:r>
    </w:p>
    <w:p w14:paraId="0885374B" w14:textId="77777777" w:rsidR="001A127C" w:rsidRDefault="001A127C" w:rsidP="001A127C">
      <w:pPr>
        <w:suppressAutoHyphens/>
        <w:overflowPunct w:val="0"/>
        <w:autoSpaceDE w:val="0"/>
        <w:autoSpaceDN w:val="0"/>
        <w:adjustRightInd w:val="0"/>
        <w:spacing w:after="200" w:line="312" w:lineRule="auto"/>
        <w:jc w:val="both"/>
        <w:textAlignment w:val="baseline"/>
        <w:outlineLvl w:val="3"/>
        <w:rPr>
          <w:rFonts w:ascii="Calibri" w:eastAsia="Calibri" w:hAnsi="Calibri" w:cs="Arial"/>
          <w:b/>
          <w:sz w:val="22"/>
          <w:szCs w:val="20"/>
          <w:lang w:val="sl-SI" w:eastAsia="sl-SI"/>
        </w:rPr>
      </w:pPr>
    </w:p>
    <w:p w14:paraId="79A6F95B" w14:textId="77777777" w:rsidR="001A127C" w:rsidRDefault="001A127C" w:rsidP="001A127C">
      <w:pPr>
        <w:suppressAutoHyphens/>
        <w:overflowPunct w:val="0"/>
        <w:autoSpaceDE w:val="0"/>
        <w:autoSpaceDN w:val="0"/>
        <w:adjustRightInd w:val="0"/>
        <w:spacing w:after="200" w:line="312" w:lineRule="auto"/>
        <w:jc w:val="both"/>
        <w:textAlignment w:val="baseline"/>
        <w:outlineLvl w:val="3"/>
        <w:rPr>
          <w:rFonts w:ascii="Calibri" w:eastAsia="Calibri" w:hAnsi="Calibri" w:cs="Arial"/>
          <w:b/>
          <w:sz w:val="22"/>
          <w:szCs w:val="20"/>
          <w:lang w:val="sl-SI" w:eastAsia="sl-SI"/>
        </w:rPr>
      </w:pPr>
      <w:r>
        <w:rPr>
          <w:rFonts w:ascii="Calibri" w:eastAsia="Calibri" w:hAnsi="Calibri" w:cs="Arial"/>
          <w:b/>
          <w:sz w:val="22"/>
          <w:szCs w:val="20"/>
          <w:lang w:val="sl-SI" w:eastAsia="sl-SI"/>
        </w:rPr>
        <w:t>8. Navedba, kateri predstavniki predlagatelja bodo sodelovali pri delu državnega zbora in delovnih teles</w:t>
      </w:r>
    </w:p>
    <w:p w14:paraId="15B91258" w14:textId="77777777" w:rsidR="001A127C" w:rsidRDefault="001A127C" w:rsidP="001A127C">
      <w:pPr>
        <w:numPr>
          <w:ilvl w:val="0"/>
          <w:numId w:val="6"/>
        </w:numPr>
        <w:autoSpaceDE w:val="0"/>
        <w:autoSpaceDN w:val="0"/>
        <w:adjustRightInd w:val="0"/>
        <w:spacing w:line="240" w:lineRule="auto"/>
        <w:ind w:left="714" w:hanging="357"/>
        <w:rPr>
          <w:rFonts w:eastAsia="Calibri" w:cs="Arial"/>
          <w:szCs w:val="20"/>
          <w:lang w:val="sl-SI" w:eastAsia="sl-SI"/>
        </w:rPr>
      </w:pPr>
      <w:r>
        <w:rPr>
          <w:rFonts w:eastAsia="Calibri" w:cs="Arial"/>
          <w:szCs w:val="20"/>
          <w:lang w:val="sl-SI" w:eastAsia="sl-SI"/>
        </w:rPr>
        <w:t>Uroš Brežan, minister za naravne vire in prostor</w:t>
      </w:r>
    </w:p>
    <w:p w14:paraId="78017E3A" w14:textId="77777777" w:rsidR="001A127C" w:rsidRDefault="001A127C" w:rsidP="001A127C">
      <w:pPr>
        <w:numPr>
          <w:ilvl w:val="0"/>
          <w:numId w:val="6"/>
        </w:numPr>
        <w:autoSpaceDE w:val="0"/>
        <w:autoSpaceDN w:val="0"/>
        <w:adjustRightInd w:val="0"/>
        <w:spacing w:line="240" w:lineRule="auto"/>
        <w:ind w:left="714" w:hanging="357"/>
        <w:rPr>
          <w:rFonts w:eastAsia="Calibri" w:cs="Arial"/>
          <w:szCs w:val="20"/>
          <w:lang w:val="sl-SI" w:eastAsia="sl-SI"/>
        </w:rPr>
      </w:pPr>
      <w:r>
        <w:rPr>
          <w:rFonts w:eastAsia="Calibri" w:cs="Arial"/>
          <w:szCs w:val="20"/>
          <w:lang w:val="sl-SI" w:eastAsia="sl-SI"/>
        </w:rPr>
        <w:t>mag. Matej Skočir, državni sekretar</w:t>
      </w:r>
    </w:p>
    <w:p w14:paraId="6C54631D" w14:textId="77777777" w:rsidR="001A127C" w:rsidRDefault="001A127C" w:rsidP="001A127C">
      <w:pPr>
        <w:numPr>
          <w:ilvl w:val="0"/>
          <w:numId w:val="6"/>
        </w:numPr>
        <w:autoSpaceDE w:val="0"/>
        <w:autoSpaceDN w:val="0"/>
        <w:adjustRightInd w:val="0"/>
        <w:spacing w:line="240" w:lineRule="auto"/>
        <w:ind w:left="714" w:hanging="357"/>
        <w:rPr>
          <w:rFonts w:eastAsia="Calibri" w:cs="Arial"/>
          <w:szCs w:val="20"/>
          <w:lang w:val="sl-SI" w:eastAsia="sl-SI"/>
        </w:rPr>
      </w:pPr>
      <w:r>
        <w:rPr>
          <w:rFonts w:eastAsia="Calibri" w:cs="Arial"/>
          <w:szCs w:val="20"/>
          <w:lang w:val="sl-SI" w:eastAsia="sl-SI"/>
        </w:rPr>
        <w:t xml:space="preserve">Gregor Umek, </w:t>
      </w:r>
      <w:proofErr w:type="spellStart"/>
      <w:r>
        <w:rPr>
          <w:rFonts w:eastAsia="Calibri" w:cs="Arial"/>
          <w:szCs w:val="20"/>
          <w:lang w:val="sl-SI" w:eastAsia="sl-SI"/>
        </w:rPr>
        <w:t>v.d</w:t>
      </w:r>
      <w:proofErr w:type="spellEnd"/>
      <w:r>
        <w:rPr>
          <w:rFonts w:eastAsia="Calibri" w:cs="Arial"/>
          <w:szCs w:val="20"/>
          <w:lang w:val="sl-SI" w:eastAsia="sl-SI"/>
        </w:rPr>
        <w:t>. generalni direktor, Direktorat za vode</w:t>
      </w:r>
    </w:p>
    <w:p w14:paraId="7C6B4D09" w14:textId="77777777" w:rsidR="001A127C" w:rsidRDefault="001A127C" w:rsidP="001A127C">
      <w:pPr>
        <w:pStyle w:val="Telobesedila2"/>
        <w:ind w:left="4956" w:firstLine="708"/>
        <w:rPr>
          <w:b/>
          <w:color w:val="FF0000"/>
          <w:lang w:val="sl-SI"/>
        </w:rPr>
      </w:pPr>
    </w:p>
    <w:p w14:paraId="3B775C10" w14:textId="77777777" w:rsidR="001A127C" w:rsidRDefault="001A127C" w:rsidP="001A127C">
      <w:pPr>
        <w:pStyle w:val="Telobesedila2"/>
        <w:ind w:left="4956" w:firstLine="708"/>
        <w:rPr>
          <w:b/>
          <w:color w:val="FF0000"/>
          <w:lang w:val="sl-SI"/>
        </w:rPr>
      </w:pPr>
    </w:p>
    <w:p w14:paraId="6D13AD26" w14:textId="77777777" w:rsidR="001A127C" w:rsidRDefault="001A127C" w:rsidP="001A127C">
      <w:pPr>
        <w:pStyle w:val="Poglavje"/>
        <w:spacing w:before="0" w:after="0" w:line="276" w:lineRule="auto"/>
        <w:jc w:val="left"/>
        <w:rPr>
          <w:sz w:val="20"/>
          <w:szCs w:val="20"/>
        </w:rPr>
      </w:pPr>
    </w:p>
    <w:p w14:paraId="26E674C1" w14:textId="77777777" w:rsidR="001A127C" w:rsidRDefault="001A127C" w:rsidP="001A127C">
      <w:pPr>
        <w:numPr>
          <w:ilvl w:val="0"/>
          <w:numId w:val="7"/>
        </w:numPr>
        <w:spacing w:line="312" w:lineRule="auto"/>
        <w:jc w:val="both"/>
        <w:rPr>
          <w:rFonts w:cs="Arial"/>
          <w:b/>
          <w:szCs w:val="20"/>
        </w:rPr>
      </w:pPr>
      <w:r>
        <w:rPr>
          <w:rFonts w:cs="Arial"/>
          <w:b/>
          <w:szCs w:val="20"/>
        </w:rPr>
        <w:t>BESEDILO ČLENOV</w:t>
      </w:r>
    </w:p>
    <w:p w14:paraId="7219E3F5" w14:textId="77777777" w:rsidR="001A127C" w:rsidRDefault="001A127C" w:rsidP="001A127C">
      <w:pPr>
        <w:spacing w:line="312" w:lineRule="auto"/>
        <w:jc w:val="both"/>
        <w:rPr>
          <w:rFonts w:cs="Arial"/>
          <w:b/>
          <w:szCs w:val="20"/>
        </w:rPr>
      </w:pPr>
    </w:p>
    <w:p w14:paraId="664B11A8" w14:textId="77777777" w:rsidR="001A127C" w:rsidRDefault="001A127C" w:rsidP="001A127C">
      <w:pPr>
        <w:spacing w:line="312" w:lineRule="auto"/>
        <w:jc w:val="center"/>
        <w:rPr>
          <w:rFonts w:cs="Arial"/>
          <w:b/>
          <w:szCs w:val="20"/>
        </w:rPr>
      </w:pPr>
      <w:r>
        <w:rPr>
          <w:rFonts w:cs="Arial"/>
          <w:b/>
          <w:szCs w:val="20"/>
        </w:rPr>
        <w:t>ZAKON O SPREMEMBI IN DOPOLNITVI ZAKONA O POGOJIH KONCESIJE ZA</w:t>
      </w:r>
    </w:p>
    <w:p w14:paraId="68F14A59" w14:textId="77777777" w:rsidR="001A127C" w:rsidRDefault="001A127C" w:rsidP="001A127C">
      <w:pPr>
        <w:spacing w:line="312" w:lineRule="auto"/>
        <w:jc w:val="center"/>
        <w:rPr>
          <w:rFonts w:cs="Arial"/>
          <w:b/>
          <w:szCs w:val="20"/>
        </w:rPr>
      </w:pPr>
      <w:r>
        <w:rPr>
          <w:rFonts w:cs="Arial"/>
          <w:b/>
          <w:szCs w:val="20"/>
        </w:rPr>
        <w:t>IZKORIŠČANJE ENERGETSKEGA POTENCIALA SPODNJE SAVE</w:t>
      </w:r>
    </w:p>
    <w:p w14:paraId="0BBE1CE4" w14:textId="77777777" w:rsidR="001A127C" w:rsidRDefault="001A127C" w:rsidP="001A127C">
      <w:pPr>
        <w:pStyle w:val="odstavek1"/>
        <w:spacing w:before="0" w:line="312" w:lineRule="auto"/>
        <w:ind w:firstLine="0"/>
        <w:rPr>
          <w:sz w:val="20"/>
          <w:szCs w:val="20"/>
        </w:rPr>
      </w:pPr>
    </w:p>
    <w:p w14:paraId="1767012A" w14:textId="77777777" w:rsidR="001A127C" w:rsidRDefault="001A127C" w:rsidP="001A127C">
      <w:pPr>
        <w:spacing w:line="240" w:lineRule="auto"/>
        <w:jc w:val="center"/>
        <w:rPr>
          <w:rFonts w:eastAsia="Calibri" w:cs="Arial"/>
          <w:szCs w:val="20"/>
          <w:lang w:val="sl-SI"/>
        </w:rPr>
      </w:pPr>
      <w:r>
        <w:rPr>
          <w:rFonts w:eastAsia="Calibri" w:cs="Arial"/>
          <w:szCs w:val="20"/>
          <w:lang w:val="sl-SI"/>
        </w:rPr>
        <w:t>1. člen</w:t>
      </w:r>
    </w:p>
    <w:p w14:paraId="65A473C9" w14:textId="77777777" w:rsidR="001A127C" w:rsidRDefault="001A127C" w:rsidP="001A127C">
      <w:pPr>
        <w:spacing w:line="240" w:lineRule="auto"/>
        <w:ind w:left="1021"/>
        <w:jc w:val="center"/>
        <w:rPr>
          <w:rFonts w:cs="Arial"/>
          <w:color w:val="000000"/>
          <w:szCs w:val="20"/>
          <w:lang w:val="sl-SI" w:eastAsia="sl-SI"/>
        </w:rPr>
      </w:pPr>
    </w:p>
    <w:p w14:paraId="70FAC374" w14:textId="77777777" w:rsidR="001A127C" w:rsidRDefault="001A127C" w:rsidP="001A127C">
      <w:pPr>
        <w:spacing w:line="240" w:lineRule="auto"/>
        <w:jc w:val="both"/>
        <w:rPr>
          <w:szCs w:val="20"/>
        </w:rPr>
      </w:pPr>
      <w:r>
        <w:rPr>
          <w:rFonts w:eastAsia="Calibri" w:cs="Arial"/>
          <w:szCs w:val="20"/>
          <w:lang w:val="sl-SI"/>
        </w:rPr>
        <w:t xml:space="preserve">V Zakonu o pogojih koncesije za izkoriščanje energetskega potenciala Spodnje Save (Uradni list RS, št. </w:t>
      </w:r>
      <w:r>
        <w:t>87/11, 25/14 – ZSDH-1, 50/14, 90/15, 67/17, 65/20 in 18/23 – ZDU-1O</w:t>
      </w:r>
      <w:r>
        <w:rPr>
          <w:rFonts w:eastAsia="Calibri" w:cs="Arial"/>
          <w:szCs w:val="20"/>
          <w:lang w:val="sl-SI"/>
        </w:rPr>
        <w:t>) se v 10. členu v prvem odstavku letnica »2022« nadomesti z letnico »2029«, letnica »2023« pa z letnico »2030</w:t>
      </w:r>
      <w:r>
        <w:rPr>
          <w:rFonts w:eastAsia="Calibri" w:cs="Arial"/>
          <w:color w:val="626060"/>
          <w:szCs w:val="20"/>
          <w:lang w:val="sl-SI"/>
        </w:rPr>
        <w:t>«.</w:t>
      </w:r>
    </w:p>
    <w:p w14:paraId="5F292662" w14:textId="77777777" w:rsidR="001A127C" w:rsidRDefault="001A127C" w:rsidP="001A127C">
      <w:pPr>
        <w:spacing w:line="240" w:lineRule="auto"/>
        <w:jc w:val="both"/>
        <w:rPr>
          <w:rFonts w:eastAsia="Calibri" w:cs="Arial"/>
          <w:szCs w:val="20"/>
          <w:lang w:val="sl-SI"/>
        </w:rPr>
      </w:pPr>
    </w:p>
    <w:p w14:paraId="48B27782" w14:textId="77777777" w:rsidR="001A127C" w:rsidRDefault="001A127C" w:rsidP="001A127C">
      <w:pPr>
        <w:spacing w:line="240" w:lineRule="auto"/>
        <w:jc w:val="center"/>
        <w:rPr>
          <w:rFonts w:eastAsia="Calibri" w:cs="Arial"/>
          <w:szCs w:val="20"/>
          <w:lang w:val="sl-SI"/>
        </w:rPr>
      </w:pPr>
      <w:r>
        <w:rPr>
          <w:rFonts w:eastAsia="Calibri" w:cs="Arial"/>
          <w:szCs w:val="20"/>
          <w:lang w:val="sl-SI"/>
        </w:rPr>
        <w:t>2. člen</w:t>
      </w:r>
    </w:p>
    <w:p w14:paraId="019FA460" w14:textId="77777777" w:rsidR="001A127C" w:rsidRDefault="001A127C" w:rsidP="001A127C">
      <w:pPr>
        <w:spacing w:line="240" w:lineRule="auto"/>
        <w:jc w:val="both"/>
        <w:rPr>
          <w:rFonts w:eastAsia="Calibri" w:cs="Arial"/>
          <w:szCs w:val="20"/>
          <w:lang w:val="sl-SI"/>
        </w:rPr>
      </w:pPr>
    </w:p>
    <w:p w14:paraId="6471AACC" w14:textId="77777777" w:rsidR="001A127C" w:rsidRDefault="001A127C" w:rsidP="001A127C">
      <w:pPr>
        <w:spacing w:line="240" w:lineRule="auto"/>
        <w:jc w:val="both"/>
        <w:rPr>
          <w:rFonts w:eastAsia="Calibri" w:cs="Arial"/>
          <w:szCs w:val="20"/>
          <w:lang w:val="sl-SI"/>
        </w:rPr>
      </w:pPr>
      <w:r>
        <w:rPr>
          <w:rFonts w:eastAsia="Calibri" w:cs="Arial"/>
          <w:szCs w:val="20"/>
          <w:lang w:val="sl-SI"/>
        </w:rPr>
        <w:t>Za 17.b členom se doda nov 17.c člen, ki se glasi:</w:t>
      </w:r>
    </w:p>
    <w:p w14:paraId="77B24F97" w14:textId="77777777" w:rsidR="001A127C" w:rsidRDefault="001A127C" w:rsidP="001A127C">
      <w:pPr>
        <w:spacing w:line="240" w:lineRule="auto"/>
        <w:jc w:val="both"/>
        <w:rPr>
          <w:rFonts w:eastAsia="Calibri" w:cs="Arial"/>
          <w:szCs w:val="20"/>
          <w:lang w:val="sl-SI"/>
        </w:rPr>
      </w:pPr>
    </w:p>
    <w:p w14:paraId="0EA44659" w14:textId="77777777" w:rsidR="001A127C" w:rsidRDefault="001A127C" w:rsidP="001A127C">
      <w:pPr>
        <w:spacing w:line="240" w:lineRule="auto"/>
        <w:jc w:val="center"/>
        <w:rPr>
          <w:rFonts w:eastAsia="Calibri" w:cs="Arial"/>
          <w:szCs w:val="20"/>
          <w:lang w:val="sl-SI"/>
        </w:rPr>
      </w:pPr>
      <w:r>
        <w:rPr>
          <w:rFonts w:eastAsia="Calibri" w:cs="Arial"/>
          <w:szCs w:val="20"/>
          <w:lang w:val="sl-SI"/>
        </w:rPr>
        <w:t>»17.c člen</w:t>
      </w:r>
    </w:p>
    <w:p w14:paraId="4F2B8CC9" w14:textId="77777777" w:rsidR="001A127C" w:rsidRDefault="001A127C" w:rsidP="001A127C">
      <w:pPr>
        <w:spacing w:line="240" w:lineRule="auto"/>
        <w:jc w:val="center"/>
        <w:rPr>
          <w:rFonts w:eastAsia="Calibri" w:cs="Arial"/>
          <w:szCs w:val="20"/>
          <w:lang w:val="sl-SI"/>
        </w:rPr>
      </w:pPr>
    </w:p>
    <w:p w14:paraId="54C4EDA9" w14:textId="77777777" w:rsidR="001A127C" w:rsidRDefault="001A127C" w:rsidP="001A127C">
      <w:pPr>
        <w:spacing w:line="240" w:lineRule="auto"/>
        <w:jc w:val="both"/>
        <w:rPr>
          <w:rFonts w:eastAsia="Calibri" w:cs="Arial"/>
          <w:szCs w:val="20"/>
          <w:lang w:val="sl-SI"/>
        </w:rPr>
      </w:pPr>
      <w:r>
        <w:rPr>
          <w:rFonts w:eastAsia="Calibri" w:cs="Arial"/>
          <w:szCs w:val="20"/>
          <w:lang w:val="sl-SI"/>
        </w:rPr>
        <w:t>Ne glede na drugi odstavek 17. člena se lahko za financiranje objektov vodne infrastrukture, objektov vodne in energetske infrastrukture v nedeljivem razmerju, državne in lokalne infrastrukture ter odkup zemljišč za dokončanje izgradnje hidroelektrarne Mokrice v roku, ki je določen za pridobitev uporabnega dovoljenja v 10. členu tega zakona, zagotovijo poleg sredstev Sklada za vode, tudi sredstva Sklada za podnebne spremembe, državnega proračuna ali koncesionarja.«.</w:t>
      </w:r>
    </w:p>
    <w:p w14:paraId="21DE42CA" w14:textId="77777777" w:rsidR="001A127C" w:rsidRDefault="001A127C" w:rsidP="001A127C">
      <w:pPr>
        <w:spacing w:line="240" w:lineRule="auto"/>
        <w:jc w:val="both"/>
        <w:rPr>
          <w:rFonts w:eastAsia="Calibri" w:cs="Arial"/>
          <w:szCs w:val="20"/>
          <w:lang w:val="sl-SI"/>
        </w:rPr>
      </w:pPr>
    </w:p>
    <w:p w14:paraId="66B5036A" w14:textId="77777777" w:rsidR="001A127C" w:rsidRDefault="001A127C" w:rsidP="001A127C">
      <w:pPr>
        <w:autoSpaceDE w:val="0"/>
        <w:autoSpaceDN w:val="0"/>
        <w:adjustRightInd w:val="0"/>
        <w:spacing w:line="240" w:lineRule="auto"/>
        <w:jc w:val="both"/>
        <w:rPr>
          <w:rFonts w:eastAsia="Calibri" w:cs="Arial"/>
          <w:szCs w:val="20"/>
          <w:lang w:val="sl-SI"/>
        </w:rPr>
      </w:pPr>
    </w:p>
    <w:p w14:paraId="4950F703" w14:textId="77777777" w:rsidR="001A127C" w:rsidRDefault="001A127C" w:rsidP="001A127C">
      <w:pPr>
        <w:autoSpaceDE w:val="0"/>
        <w:autoSpaceDN w:val="0"/>
        <w:adjustRightInd w:val="0"/>
        <w:spacing w:line="240" w:lineRule="auto"/>
        <w:rPr>
          <w:rFonts w:eastAsia="Calibri" w:cs="Arial"/>
          <w:b/>
          <w:szCs w:val="20"/>
          <w:lang w:val="sl-SI"/>
        </w:rPr>
      </w:pPr>
      <w:r>
        <w:rPr>
          <w:rFonts w:eastAsia="Calibri" w:cs="Arial"/>
          <w:b/>
          <w:szCs w:val="20"/>
          <w:lang w:val="sl-SI"/>
        </w:rPr>
        <w:t>KONČNA DOLOČBA</w:t>
      </w:r>
    </w:p>
    <w:p w14:paraId="42211172" w14:textId="77777777" w:rsidR="001A127C" w:rsidRDefault="001A127C" w:rsidP="001A127C">
      <w:pPr>
        <w:autoSpaceDE w:val="0"/>
        <w:autoSpaceDN w:val="0"/>
        <w:adjustRightInd w:val="0"/>
        <w:spacing w:line="240" w:lineRule="auto"/>
        <w:jc w:val="center"/>
        <w:rPr>
          <w:rFonts w:eastAsia="Calibri" w:cs="Arial"/>
          <w:color w:val="000000"/>
          <w:szCs w:val="20"/>
          <w:lang w:val="sl-SI" w:eastAsia="sl-SI"/>
        </w:rPr>
      </w:pPr>
    </w:p>
    <w:p w14:paraId="09A716B6" w14:textId="77777777" w:rsidR="001A127C" w:rsidRDefault="001A127C" w:rsidP="001A127C">
      <w:pPr>
        <w:spacing w:line="240" w:lineRule="auto"/>
        <w:jc w:val="center"/>
        <w:rPr>
          <w:rFonts w:eastAsia="Calibri" w:cs="Arial"/>
          <w:szCs w:val="20"/>
          <w:lang w:val="sl-SI"/>
        </w:rPr>
      </w:pPr>
      <w:r>
        <w:rPr>
          <w:rFonts w:eastAsia="Calibri" w:cs="Arial"/>
          <w:szCs w:val="20"/>
          <w:lang w:val="sl-SI"/>
        </w:rPr>
        <w:t>3. člen</w:t>
      </w:r>
    </w:p>
    <w:p w14:paraId="6A1F04DA" w14:textId="77777777" w:rsidR="001A127C" w:rsidRDefault="001A127C" w:rsidP="001A127C">
      <w:pPr>
        <w:autoSpaceDE w:val="0"/>
        <w:autoSpaceDN w:val="0"/>
        <w:adjustRightInd w:val="0"/>
        <w:spacing w:line="240" w:lineRule="auto"/>
        <w:jc w:val="center"/>
        <w:rPr>
          <w:rFonts w:eastAsia="Calibri" w:cs="Arial"/>
          <w:color w:val="000000"/>
          <w:szCs w:val="20"/>
          <w:lang w:val="sl-SI" w:eastAsia="sl-SI"/>
        </w:rPr>
      </w:pPr>
      <w:r>
        <w:rPr>
          <w:rFonts w:eastAsia="Calibri" w:cs="Arial"/>
          <w:color w:val="000000"/>
          <w:szCs w:val="20"/>
          <w:lang w:val="sl-SI" w:eastAsia="sl-SI"/>
        </w:rPr>
        <w:t xml:space="preserve">    (začetek veljavnosti)</w:t>
      </w:r>
    </w:p>
    <w:p w14:paraId="430A1D00" w14:textId="77777777" w:rsidR="001A127C" w:rsidRDefault="001A127C" w:rsidP="001A127C">
      <w:pPr>
        <w:autoSpaceDE w:val="0"/>
        <w:autoSpaceDN w:val="0"/>
        <w:adjustRightInd w:val="0"/>
        <w:spacing w:line="240" w:lineRule="auto"/>
        <w:jc w:val="both"/>
        <w:rPr>
          <w:rFonts w:eastAsia="Calibri" w:cs="Arial"/>
          <w:color w:val="000000"/>
          <w:szCs w:val="20"/>
          <w:lang w:val="sl-SI" w:eastAsia="sl-SI"/>
        </w:rPr>
      </w:pPr>
    </w:p>
    <w:p w14:paraId="760761DD" w14:textId="77777777" w:rsidR="001A127C" w:rsidRDefault="001A127C" w:rsidP="001A127C">
      <w:pPr>
        <w:autoSpaceDE w:val="0"/>
        <w:autoSpaceDN w:val="0"/>
        <w:adjustRightInd w:val="0"/>
        <w:spacing w:line="240" w:lineRule="auto"/>
        <w:jc w:val="both"/>
        <w:rPr>
          <w:rFonts w:eastAsia="Calibri" w:cs="Arial"/>
          <w:color w:val="000000"/>
          <w:szCs w:val="20"/>
          <w:lang w:val="sl-SI" w:eastAsia="sl-SI"/>
        </w:rPr>
      </w:pPr>
      <w:r>
        <w:rPr>
          <w:rFonts w:eastAsia="Calibri" w:cs="Arial"/>
          <w:color w:val="000000"/>
          <w:szCs w:val="20"/>
          <w:lang w:val="sl-SI" w:eastAsia="sl-SI"/>
        </w:rPr>
        <w:t xml:space="preserve">Ta zakon začne veljati petnajsti dan po objavi v Uradnem listu Republike Slovenije. </w:t>
      </w:r>
    </w:p>
    <w:p w14:paraId="14424576" w14:textId="77777777" w:rsidR="001A127C" w:rsidRDefault="001A127C" w:rsidP="001A127C">
      <w:pPr>
        <w:autoSpaceDE w:val="0"/>
        <w:autoSpaceDN w:val="0"/>
        <w:adjustRightInd w:val="0"/>
        <w:spacing w:line="240" w:lineRule="auto"/>
        <w:jc w:val="both"/>
        <w:rPr>
          <w:rFonts w:eastAsia="Calibri" w:cs="Arial"/>
          <w:color w:val="000000"/>
          <w:szCs w:val="20"/>
          <w:lang w:val="sl-SI" w:eastAsia="sl-SI"/>
        </w:rPr>
      </w:pPr>
      <w:r>
        <w:rPr>
          <w:rFonts w:eastAsia="Calibri" w:cs="Arial"/>
          <w:color w:val="000000"/>
          <w:szCs w:val="20"/>
          <w:lang w:val="sl-SI" w:eastAsia="sl-SI"/>
        </w:rPr>
        <w:br w:type="page"/>
      </w:r>
    </w:p>
    <w:p w14:paraId="4D6F822E" w14:textId="77777777" w:rsidR="001A127C" w:rsidRDefault="001A127C" w:rsidP="001A127C">
      <w:pPr>
        <w:autoSpaceDE w:val="0"/>
        <w:autoSpaceDN w:val="0"/>
        <w:adjustRightInd w:val="0"/>
        <w:spacing w:line="260" w:lineRule="exact"/>
        <w:jc w:val="both"/>
        <w:rPr>
          <w:rFonts w:cs="Arial"/>
          <w:b/>
          <w:szCs w:val="20"/>
          <w:lang w:val="sl-SI"/>
        </w:rPr>
      </w:pPr>
      <w:r>
        <w:rPr>
          <w:rFonts w:cs="Arial"/>
          <w:b/>
          <w:szCs w:val="20"/>
          <w:lang w:val="sl-SI"/>
        </w:rPr>
        <w:lastRenderedPageBreak/>
        <w:t>III. OBRAZLOŽITEV</w:t>
      </w:r>
    </w:p>
    <w:p w14:paraId="49E1EF09" w14:textId="77777777" w:rsidR="001A127C" w:rsidRDefault="001A127C" w:rsidP="001A127C">
      <w:pPr>
        <w:autoSpaceDE w:val="0"/>
        <w:autoSpaceDN w:val="0"/>
        <w:adjustRightInd w:val="0"/>
        <w:spacing w:line="260" w:lineRule="exact"/>
        <w:jc w:val="both"/>
        <w:rPr>
          <w:rFonts w:cs="Arial"/>
          <w:szCs w:val="20"/>
          <w:lang w:val="sl-SI"/>
        </w:rPr>
      </w:pPr>
    </w:p>
    <w:p w14:paraId="7B9BFB51" w14:textId="77777777" w:rsidR="001A127C" w:rsidRDefault="001A127C" w:rsidP="001A127C">
      <w:pPr>
        <w:autoSpaceDE w:val="0"/>
        <w:autoSpaceDN w:val="0"/>
        <w:adjustRightInd w:val="0"/>
        <w:spacing w:line="312" w:lineRule="auto"/>
        <w:jc w:val="both"/>
        <w:rPr>
          <w:rFonts w:cs="Arial"/>
          <w:szCs w:val="20"/>
          <w:lang w:val="sl-SI"/>
        </w:rPr>
      </w:pPr>
      <w:r>
        <w:rPr>
          <w:rFonts w:cs="Arial"/>
          <w:szCs w:val="20"/>
          <w:lang w:val="sl-SI"/>
        </w:rPr>
        <w:t>K 1. členu</w:t>
      </w:r>
    </w:p>
    <w:p w14:paraId="2A054478" w14:textId="77777777" w:rsidR="001A127C" w:rsidRDefault="001A127C" w:rsidP="001A127C">
      <w:pPr>
        <w:autoSpaceDE w:val="0"/>
        <w:autoSpaceDN w:val="0"/>
        <w:adjustRightInd w:val="0"/>
        <w:spacing w:line="312" w:lineRule="auto"/>
        <w:jc w:val="both"/>
        <w:rPr>
          <w:rFonts w:cs="Arial"/>
          <w:i/>
          <w:iCs/>
          <w:szCs w:val="20"/>
          <w:lang w:val="sl-SI"/>
        </w:rPr>
      </w:pPr>
    </w:p>
    <w:p w14:paraId="272074C1" w14:textId="77777777" w:rsidR="001A127C" w:rsidRDefault="001A127C" w:rsidP="001A127C">
      <w:pPr>
        <w:autoSpaceDE w:val="0"/>
        <w:autoSpaceDN w:val="0"/>
        <w:adjustRightInd w:val="0"/>
        <w:spacing w:line="312" w:lineRule="auto"/>
        <w:jc w:val="both"/>
        <w:rPr>
          <w:rFonts w:cs="Arial"/>
          <w:szCs w:val="20"/>
          <w:lang w:val="sl-SI"/>
        </w:rPr>
      </w:pPr>
      <w:r>
        <w:rPr>
          <w:rFonts w:cs="Arial"/>
          <w:i/>
          <w:iCs/>
          <w:szCs w:val="20"/>
          <w:lang w:val="sl-SI"/>
        </w:rPr>
        <w:t>Spreminja se končni rok za dokončanje verige hidroelektrarn, in sicer zaradi nekaterih izzivov v zvezi s pridobitvijo</w:t>
      </w:r>
      <w:r>
        <w:rPr>
          <w:rFonts w:cs="Arial"/>
          <w:szCs w:val="20"/>
          <w:lang w:val="sl-SI"/>
        </w:rPr>
        <w:t xml:space="preserve"> dokumentacije za pričetek gradnje HE Mokrice. Celotna veriga hidroelektrarn še ni zgrajena, zato se spreminjajo roki ter podaljšuje ureditev na podlagi tega zakona. Na podlagi spremembe mora biti hidroelektrarna Mokrice zgrajena najkasneje do konca leta 2029, uporabno dovoljenje pa pridobljeno do konca leta 2030. Sprememba bo omogočila izdelavo potrebne investicijske dokumentacije in omogočila nadaljnje financiranje izvajanja </w:t>
      </w:r>
      <w:proofErr w:type="spellStart"/>
      <w:r>
        <w:rPr>
          <w:rFonts w:cs="Arial"/>
          <w:szCs w:val="20"/>
          <w:lang w:val="sl-SI"/>
        </w:rPr>
        <w:t>dolownih</w:t>
      </w:r>
      <w:proofErr w:type="spellEnd"/>
      <w:r>
        <w:rPr>
          <w:rFonts w:cs="Arial"/>
          <w:szCs w:val="20"/>
          <w:lang w:val="sl-SI"/>
        </w:rPr>
        <w:t xml:space="preserve"> ureditev v okviru javne službe. Z izgradnjo hidroelektrarne Mokrice bi bila veriga hidroelektrarn dokončana.</w:t>
      </w:r>
    </w:p>
    <w:p w14:paraId="232BDCB1" w14:textId="77777777" w:rsidR="001A127C" w:rsidRDefault="001A127C" w:rsidP="001A127C">
      <w:pPr>
        <w:autoSpaceDE w:val="0"/>
        <w:autoSpaceDN w:val="0"/>
        <w:adjustRightInd w:val="0"/>
        <w:spacing w:line="312" w:lineRule="auto"/>
        <w:jc w:val="both"/>
        <w:rPr>
          <w:rFonts w:cs="Arial"/>
          <w:szCs w:val="20"/>
          <w:lang w:val="sl-SI"/>
        </w:rPr>
      </w:pPr>
    </w:p>
    <w:p w14:paraId="64BE3E34" w14:textId="77777777" w:rsidR="001A127C" w:rsidRDefault="001A127C" w:rsidP="001A127C">
      <w:pPr>
        <w:autoSpaceDE w:val="0"/>
        <w:autoSpaceDN w:val="0"/>
        <w:adjustRightInd w:val="0"/>
        <w:spacing w:line="312" w:lineRule="auto"/>
        <w:jc w:val="both"/>
        <w:rPr>
          <w:rFonts w:cs="Arial"/>
          <w:szCs w:val="20"/>
          <w:lang w:val="sl-SI"/>
        </w:rPr>
      </w:pPr>
      <w:r>
        <w:rPr>
          <w:rFonts w:cs="Arial"/>
          <w:szCs w:val="20"/>
          <w:lang w:val="sl-SI"/>
        </w:rPr>
        <w:t>K 2. členu</w:t>
      </w:r>
    </w:p>
    <w:p w14:paraId="71652ACD" w14:textId="77777777" w:rsidR="001A127C" w:rsidRDefault="001A127C" w:rsidP="001A127C">
      <w:pPr>
        <w:autoSpaceDE w:val="0"/>
        <w:autoSpaceDN w:val="0"/>
        <w:adjustRightInd w:val="0"/>
        <w:spacing w:line="312" w:lineRule="auto"/>
        <w:jc w:val="both"/>
        <w:rPr>
          <w:rFonts w:cs="Arial"/>
          <w:szCs w:val="20"/>
          <w:lang w:val="sl-SI"/>
        </w:rPr>
      </w:pPr>
    </w:p>
    <w:p w14:paraId="5127F97A" w14:textId="77777777" w:rsidR="001A127C" w:rsidRDefault="001A127C" w:rsidP="001A127C">
      <w:pPr>
        <w:autoSpaceDE w:val="0"/>
        <w:autoSpaceDN w:val="0"/>
        <w:adjustRightInd w:val="0"/>
        <w:spacing w:line="312" w:lineRule="auto"/>
        <w:jc w:val="both"/>
        <w:rPr>
          <w:rFonts w:cs="Arial"/>
          <w:szCs w:val="20"/>
          <w:lang w:val="sl-SI"/>
        </w:rPr>
      </w:pPr>
      <w:r>
        <w:rPr>
          <w:rFonts w:cs="Arial"/>
          <w:szCs w:val="20"/>
          <w:lang w:val="sl-SI"/>
        </w:rPr>
        <w:t>Predlagana rešitev bo omogočila zagotovitev dodatnih virov financiranja dokončanja verige hidroelektrarn tudi v primeru, če v času pridobitve potrebne dokumentacije za graditev hidroelektrarne Mokrice ne bodo na voljo sicer predvidena sredstva Sklada za vode, na primer zaradi posledic naravne nesreče ali spremembe drugih zakonov. Gre zlasti za sredstva Podnebnega sklada, sredstva integralnega proračuna oziroma za sredstva koncesionarja, v primeru dogovora glede sofinanciranja s koncesionarjem, ki je imetnik koncesije za rabo vode za proizvodnjo električne energije v hidroelektrarnah z instalirano močjo nad 10 MW na območju spodnje Save. Predlagana rešitev je vsebinsko podobna rešitvi iz obstoječega 17.b člena tega zakona.</w:t>
      </w:r>
    </w:p>
    <w:p w14:paraId="059A92AB" w14:textId="77777777" w:rsidR="001A127C" w:rsidRDefault="001A127C" w:rsidP="001A127C">
      <w:pPr>
        <w:autoSpaceDE w:val="0"/>
        <w:autoSpaceDN w:val="0"/>
        <w:adjustRightInd w:val="0"/>
        <w:spacing w:line="312" w:lineRule="auto"/>
        <w:jc w:val="both"/>
        <w:rPr>
          <w:rFonts w:cs="Arial"/>
          <w:szCs w:val="20"/>
          <w:lang w:val="sl-SI"/>
        </w:rPr>
      </w:pPr>
    </w:p>
    <w:p w14:paraId="15F95954" w14:textId="77777777" w:rsidR="001A127C" w:rsidRDefault="001A127C" w:rsidP="001A127C">
      <w:pPr>
        <w:autoSpaceDE w:val="0"/>
        <w:autoSpaceDN w:val="0"/>
        <w:adjustRightInd w:val="0"/>
        <w:spacing w:line="312" w:lineRule="auto"/>
        <w:jc w:val="both"/>
        <w:rPr>
          <w:rFonts w:cs="Arial"/>
          <w:szCs w:val="20"/>
          <w:lang w:val="sl-SI"/>
        </w:rPr>
      </w:pPr>
      <w:r>
        <w:rPr>
          <w:rFonts w:cs="Arial"/>
          <w:szCs w:val="20"/>
          <w:lang w:val="sl-SI"/>
        </w:rPr>
        <w:t>K 3. členu</w:t>
      </w:r>
    </w:p>
    <w:p w14:paraId="19E4AFA1" w14:textId="77777777" w:rsidR="001A127C" w:rsidRDefault="001A127C" w:rsidP="001A127C">
      <w:pPr>
        <w:autoSpaceDE w:val="0"/>
        <w:autoSpaceDN w:val="0"/>
        <w:adjustRightInd w:val="0"/>
        <w:spacing w:line="312" w:lineRule="auto"/>
        <w:jc w:val="both"/>
        <w:rPr>
          <w:rFonts w:cs="Arial"/>
          <w:szCs w:val="20"/>
          <w:lang w:val="sl-SI"/>
        </w:rPr>
      </w:pPr>
    </w:p>
    <w:p w14:paraId="75326B3B" w14:textId="77777777" w:rsidR="001A127C" w:rsidRDefault="001A127C" w:rsidP="001A127C">
      <w:pPr>
        <w:autoSpaceDE w:val="0"/>
        <w:autoSpaceDN w:val="0"/>
        <w:adjustRightInd w:val="0"/>
        <w:spacing w:line="312" w:lineRule="auto"/>
        <w:jc w:val="both"/>
        <w:rPr>
          <w:rFonts w:cs="Arial"/>
          <w:szCs w:val="20"/>
          <w:lang w:val="sl-SI"/>
        </w:rPr>
      </w:pPr>
      <w:r>
        <w:rPr>
          <w:rFonts w:cs="Arial"/>
          <w:szCs w:val="20"/>
          <w:lang w:val="sl-SI"/>
        </w:rPr>
        <w:t xml:space="preserve">Člen določa končno določbo, in sicer ureja začetek veljavnosti zakona, ki je 15 dan po objavi v Uradnem listu RS. </w:t>
      </w:r>
    </w:p>
    <w:p w14:paraId="2A48BC08" w14:textId="77777777" w:rsidR="001A127C" w:rsidRDefault="001A127C" w:rsidP="001A127C">
      <w:pPr>
        <w:autoSpaceDE w:val="0"/>
        <w:autoSpaceDN w:val="0"/>
        <w:adjustRightInd w:val="0"/>
        <w:spacing w:line="260" w:lineRule="exact"/>
        <w:jc w:val="both"/>
        <w:rPr>
          <w:rFonts w:cs="Arial"/>
          <w:szCs w:val="20"/>
          <w:lang w:val="sl-SI"/>
        </w:rPr>
      </w:pPr>
    </w:p>
    <w:p w14:paraId="436253A6" w14:textId="77777777" w:rsidR="001A127C" w:rsidRDefault="001A127C" w:rsidP="001A127C">
      <w:pPr>
        <w:autoSpaceDE w:val="0"/>
        <w:autoSpaceDN w:val="0"/>
        <w:adjustRightInd w:val="0"/>
        <w:spacing w:line="260" w:lineRule="exact"/>
        <w:jc w:val="both"/>
        <w:rPr>
          <w:rFonts w:cs="Arial"/>
          <w:szCs w:val="20"/>
          <w:lang w:val="sl-SI"/>
        </w:rPr>
      </w:pPr>
      <w:r>
        <w:rPr>
          <w:rFonts w:cs="Arial"/>
          <w:szCs w:val="20"/>
          <w:lang w:val="sl-SI"/>
        </w:rPr>
        <w:t xml:space="preserve"> </w:t>
      </w:r>
    </w:p>
    <w:p w14:paraId="2E2FF1DB" w14:textId="77777777" w:rsidR="001A127C" w:rsidRDefault="001A127C" w:rsidP="001A127C">
      <w:pPr>
        <w:autoSpaceDE w:val="0"/>
        <w:autoSpaceDN w:val="0"/>
        <w:adjustRightInd w:val="0"/>
        <w:spacing w:line="260" w:lineRule="exact"/>
        <w:jc w:val="both"/>
        <w:rPr>
          <w:rFonts w:cs="Arial"/>
          <w:b/>
          <w:szCs w:val="20"/>
          <w:lang w:val="sl-SI"/>
        </w:rPr>
      </w:pPr>
      <w:r>
        <w:rPr>
          <w:rFonts w:cs="Arial"/>
          <w:b/>
          <w:szCs w:val="20"/>
          <w:lang w:val="sl-SI"/>
        </w:rPr>
        <w:t xml:space="preserve">IV. BESEDILO ČLENOV, KI SE SPREMINJAJO </w:t>
      </w:r>
    </w:p>
    <w:p w14:paraId="005E1D47" w14:textId="77777777" w:rsidR="001A127C" w:rsidRDefault="001A127C" w:rsidP="001A127C">
      <w:pPr>
        <w:autoSpaceDE w:val="0"/>
        <w:autoSpaceDN w:val="0"/>
        <w:adjustRightInd w:val="0"/>
        <w:spacing w:line="260" w:lineRule="exact"/>
        <w:jc w:val="center"/>
        <w:rPr>
          <w:rFonts w:cs="Arial"/>
          <w:b/>
          <w:szCs w:val="20"/>
          <w:lang w:val="sl-SI"/>
        </w:rPr>
      </w:pPr>
    </w:p>
    <w:p w14:paraId="3595E18B" w14:textId="77777777" w:rsidR="001A127C" w:rsidRDefault="001A127C" w:rsidP="001A127C">
      <w:pPr>
        <w:autoSpaceDE w:val="0"/>
        <w:autoSpaceDN w:val="0"/>
        <w:adjustRightInd w:val="0"/>
        <w:spacing w:line="260" w:lineRule="exact"/>
        <w:jc w:val="center"/>
        <w:rPr>
          <w:rFonts w:cs="Arial"/>
          <w:szCs w:val="20"/>
          <w:lang w:val="sl-SI"/>
        </w:rPr>
      </w:pPr>
    </w:p>
    <w:p w14:paraId="51FA668A" w14:textId="77777777" w:rsidR="001A127C" w:rsidRDefault="001A127C" w:rsidP="001A127C">
      <w:pPr>
        <w:autoSpaceDE w:val="0"/>
        <w:autoSpaceDN w:val="0"/>
        <w:adjustRightInd w:val="0"/>
        <w:spacing w:line="260" w:lineRule="exact"/>
        <w:jc w:val="center"/>
        <w:rPr>
          <w:rFonts w:cs="Arial"/>
          <w:b/>
          <w:szCs w:val="20"/>
          <w:lang w:val="sl-SI"/>
        </w:rPr>
      </w:pPr>
      <w:r>
        <w:rPr>
          <w:rFonts w:cs="Arial"/>
          <w:b/>
          <w:szCs w:val="20"/>
          <w:lang w:val="sl-SI"/>
        </w:rPr>
        <w:t>10. člen</w:t>
      </w:r>
    </w:p>
    <w:p w14:paraId="0E3CAA95" w14:textId="77777777" w:rsidR="001A127C" w:rsidRDefault="001A127C" w:rsidP="001A127C">
      <w:pPr>
        <w:autoSpaceDE w:val="0"/>
        <w:autoSpaceDN w:val="0"/>
        <w:adjustRightInd w:val="0"/>
        <w:spacing w:line="260" w:lineRule="exact"/>
        <w:jc w:val="center"/>
        <w:rPr>
          <w:rFonts w:cs="Arial"/>
          <w:b/>
          <w:szCs w:val="20"/>
          <w:lang w:val="sl-SI"/>
        </w:rPr>
      </w:pPr>
      <w:r>
        <w:rPr>
          <w:rFonts w:cs="Arial"/>
          <w:b/>
          <w:szCs w:val="20"/>
          <w:lang w:val="sl-SI"/>
        </w:rPr>
        <w:t>(postopnost izvedbe ureditev objektov vodne, državne in lokalne infrastrukture)</w:t>
      </w:r>
    </w:p>
    <w:p w14:paraId="4868BF90" w14:textId="77777777" w:rsidR="001A127C" w:rsidRDefault="001A127C" w:rsidP="001A127C">
      <w:pPr>
        <w:autoSpaceDE w:val="0"/>
        <w:autoSpaceDN w:val="0"/>
        <w:adjustRightInd w:val="0"/>
        <w:spacing w:line="260" w:lineRule="exact"/>
        <w:jc w:val="both"/>
        <w:rPr>
          <w:rFonts w:cs="Arial"/>
          <w:bCs/>
          <w:szCs w:val="20"/>
          <w:lang w:val="sl-SI"/>
        </w:rPr>
      </w:pPr>
    </w:p>
    <w:p w14:paraId="7589E24F" w14:textId="77777777" w:rsidR="001A127C" w:rsidRDefault="001A127C" w:rsidP="001A127C">
      <w:pPr>
        <w:autoSpaceDE w:val="0"/>
        <w:autoSpaceDN w:val="0"/>
        <w:adjustRightInd w:val="0"/>
        <w:spacing w:line="260" w:lineRule="exact"/>
        <w:jc w:val="both"/>
        <w:rPr>
          <w:rFonts w:cs="Arial"/>
          <w:bCs/>
          <w:szCs w:val="20"/>
          <w:lang w:val="sl-SI"/>
        </w:rPr>
      </w:pPr>
      <w:r>
        <w:rPr>
          <w:rFonts w:cs="Arial"/>
          <w:bCs/>
          <w:szCs w:val="20"/>
          <w:lang w:val="sl-SI"/>
        </w:rPr>
        <w:t>(1) V državnem prostorskem načrtu je za vsako HE posebej določena tudi postopnost izvedbe ureditev objektov vodne, državne in lokalne infrastrukture. Cela veriga HE mora biti zgrajena najkasneje do konca leta 2022, uporabno dovoljenje pa pridobljeno do konca leta 2023.</w:t>
      </w:r>
    </w:p>
    <w:p w14:paraId="45BBD939" w14:textId="77777777" w:rsidR="001A127C" w:rsidRDefault="001A127C" w:rsidP="001A127C">
      <w:pPr>
        <w:autoSpaceDE w:val="0"/>
        <w:autoSpaceDN w:val="0"/>
        <w:adjustRightInd w:val="0"/>
        <w:spacing w:line="260" w:lineRule="exact"/>
        <w:jc w:val="both"/>
        <w:rPr>
          <w:rFonts w:cs="Arial"/>
          <w:bCs/>
          <w:szCs w:val="20"/>
          <w:lang w:val="sl-SI"/>
        </w:rPr>
      </w:pPr>
    </w:p>
    <w:p w14:paraId="52894888" w14:textId="77777777" w:rsidR="001A127C" w:rsidRDefault="001A127C" w:rsidP="001A127C">
      <w:pPr>
        <w:autoSpaceDE w:val="0"/>
        <w:autoSpaceDN w:val="0"/>
        <w:adjustRightInd w:val="0"/>
        <w:spacing w:line="260" w:lineRule="exact"/>
        <w:jc w:val="both"/>
        <w:rPr>
          <w:rFonts w:cs="Arial"/>
          <w:bCs/>
          <w:szCs w:val="20"/>
          <w:lang w:val="sl-SI"/>
        </w:rPr>
      </w:pPr>
      <w:r>
        <w:rPr>
          <w:rFonts w:cs="Arial"/>
          <w:bCs/>
          <w:szCs w:val="20"/>
          <w:lang w:val="sl-SI"/>
        </w:rPr>
        <w:t>(2) S programom izvedbe se določijo vrstni red prednostnih nalog, viri sredstev za njihovo izvedbo ter dinamika in obseg uresničitve posameznih nalog v planskem obdobju. Program izvedbe mora vsebovati poleg tehnično tehnološkega opisa posameznih ureditev in vrednosti del tudi pregled del, ki jih ne bo izvedel koncesionar.</w:t>
      </w:r>
    </w:p>
    <w:p w14:paraId="77B067AA" w14:textId="77777777" w:rsidR="001A127C" w:rsidRDefault="001A127C" w:rsidP="001A127C">
      <w:pPr>
        <w:autoSpaceDE w:val="0"/>
        <w:autoSpaceDN w:val="0"/>
        <w:adjustRightInd w:val="0"/>
        <w:spacing w:line="260" w:lineRule="exact"/>
        <w:jc w:val="both"/>
        <w:rPr>
          <w:rFonts w:cs="Arial"/>
          <w:bCs/>
          <w:szCs w:val="20"/>
          <w:lang w:val="sl-SI"/>
        </w:rPr>
      </w:pPr>
    </w:p>
    <w:p w14:paraId="4585D1EE" w14:textId="77777777" w:rsidR="001A127C" w:rsidRDefault="001A127C" w:rsidP="001A127C">
      <w:pPr>
        <w:autoSpaceDE w:val="0"/>
        <w:autoSpaceDN w:val="0"/>
        <w:adjustRightInd w:val="0"/>
        <w:spacing w:line="260" w:lineRule="exact"/>
        <w:jc w:val="both"/>
        <w:rPr>
          <w:rFonts w:cs="Arial"/>
          <w:bCs/>
          <w:szCs w:val="20"/>
          <w:lang w:val="sl-SI"/>
        </w:rPr>
      </w:pPr>
      <w:r>
        <w:rPr>
          <w:rFonts w:cs="Arial"/>
          <w:bCs/>
          <w:szCs w:val="20"/>
          <w:lang w:val="sl-SI"/>
        </w:rPr>
        <w:t>(3) Program izvedbe iz drugega odstavka 8. člena tega zakona pripravita koncesionar in izvajalec gospodarske javne službe iz 12. člena tega zakona, za njegovo pripravo za obravnavo na vladi pa je odgovorno ministrstvo, pristojno za vode, in ob soglasju pristojnega organa tiste lokalne skupnosti, ki se nahaja na območju, na katerega se nanaša program izvedbe.</w:t>
      </w:r>
    </w:p>
    <w:p w14:paraId="39D363F7" w14:textId="77777777" w:rsidR="001A127C" w:rsidRDefault="001A127C" w:rsidP="001A127C">
      <w:pPr>
        <w:autoSpaceDE w:val="0"/>
        <w:autoSpaceDN w:val="0"/>
        <w:adjustRightInd w:val="0"/>
        <w:spacing w:line="260" w:lineRule="exact"/>
        <w:jc w:val="both"/>
        <w:rPr>
          <w:rFonts w:cs="Arial"/>
          <w:bCs/>
          <w:szCs w:val="20"/>
          <w:lang w:val="sl-SI"/>
        </w:rPr>
      </w:pPr>
    </w:p>
    <w:p w14:paraId="7DAEBFA9" w14:textId="77777777" w:rsidR="001A127C" w:rsidRDefault="001A127C" w:rsidP="001A127C">
      <w:pPr>
        <w:autoSpaceDE w:val="0"/>
        <w:autoSpaceDN w:val="0"/>
        <w:adjustRightInd w:val="0"/>
        <w:spacing w:line="260" w:lineRule="exact"/>
        <w:jc w:val="both"/>
        <w:rPr>
          <w:rFonts w:cs="Arial"/>
          <w:bCs/>
          <w:szCs w:val="20"/>
          <w:lang w:val="sl-SI"/>
        </w:rPr>
      </w:pPr>
      <w:r>
        <w:rPr>
          <w:rFonts w:cs="Arial"/>
          <w:bCs/>
          <w:szCs w:val="20"/>
          <w:lang w:val="sl-SI"/>
        </w:rPr>
        <w:lastRenderedPageBreak/>
        <w:t>(4) Program izvedbe iz drugega odstavka 8. člena tega zakona je podlaga za uvrstitev projektov v načrt razvojnih programov v proračun Republike Slovenije v skladu s predpisi, ki urejajo javne finance.</w:t>
      </w:r>
    </w:p>
    <w:p w14:paraId="33FBBACB" w14:textId="77777777" w:rsidR="001A127C" w:rsidRDefault="001A127C" w:rsidP="001A127C">
      <w:pPr>
        <w:autoSpaceDE w:val="0"/>
        <w:autoSpaceDN w:val="0"/>
        <w:adjustRightInd w:val="0"/>
        <w:spacing w:line="260" w:lineRule="exact"/>
        <w:jc w:val="both"/>
        <w:rPr>
          <w:rFonts w:cs="Arial"/>
          <w:szCs w:val="20"/>
          <w:lang w:val="sl-SI"/>
        </w:rPr>
      </w:pPr>
    </w:p>
    <w:p w14:paraId="5B39D616" w14:textId="77777777" w:rsidR="001A127C" w:rsidRDefault="001A127C" w:rsidP="001A127C">
      <w:pPr>
        <w:autoSpaceDE w:val="0"/>
        <w:autoSpaceDN w:val="0"/>
        <w:adjustRightInd w:val="0"/>
        <w:spacing w:line="260" w:lineRule="exact"/>
        <w:jc w:val="both"/>
        <w:rPr>
          <w:rFonts w:cs="Arial"/>
          <w:b/>
          <w:szCs w:val="20"/>
          <w:lang w:val="sl-SI"/>
        </w:rPr>
      </w:pPr>
      <w:r>
        <w:rPr>
          <w:rFonts w:cs="Arial"/>
          <w:b/>
          <w:szCs w:val="20"/>
          <w:lang w:val="sl-SI"/>
        </w:rPr>
        <w:t>V. PREDLOG, DA SE PREDLOG ZAKONA OBRAVNAVA PO NUJNEM OZIROMA SKRAJŠANEM POSTOPKU</w:t>
      </w:r>
    </w:p>
    <w:p w14:paraId="54D6E9C0" w14:textId="77777777" w:rsidR="001A127C" w:rsidRDefault="001A127C" w:rsidP="001A127C">
      <w:pPr>
        <w:autoSpaceDE w:val="0"/>
        <w:autoSpaceDN w:val="0"/>
        <w:adjustRightInd w:val="0"/>
        <w:spacing w:line="260" w:lineRule="exact"/>
        <w:jc w:val="both"/>
        <w:rPr>
          <w:rFonts w:cs="Arial"/>
          <w:szCs w:val="20"/>
          <w:lang w:val="sl-SI"/>
        </w:rPr>
      </w:pPr>
    </w:p>
    <w:p w14:paraId="53D249D5" w14:textId="77777777" w:rsidR="001A127C" w:rsidRDefault="001A127C" w:rsidP="001A127C">
      <w:pPr>
        <w:spacing w:line="312" w:lineRule="auto"/>
        <w:jc w:val="both"/>
        <w:rPr>
          <w:rFonts w:cs="Arial"/>
          <w:szCs w:val="20"/>
          <w:lang w:val="sl-SI" w:eastAsia="sl-SI"/>
        </w:rPr>
      </w:pPr>
      <w:r>
        <w:rPr>
          <w:rFonts w:cs="Arial"/>
          <w:szCs w:val="20"/>
          <w:lang w:val="sl-SI" w:eastAsia="sl-SI"/>
        </w:rPr>
        <w:t>Predlagamo, da se predlog Zakona o spremembi in dopolnitvi Zakona o pogojih koncesije za izkoriščanje energetskega potenciala Spodnje Save v Državnem zboru Republike Slovenije obravnava po skrajšanem postopku. Gre za manj zahtevno spremembo in dopolnitev zakona, ki je smiselna zaradi podaljšanja roka dokončanja gradnje oziroma pridobitve uporabnega dovoljenja. Sprememba bo omogočila nadaljevanje financiranja investicije in s tem njeno dokončanje. Dokončanje verige hidroelektrarn bo pomembno prispevalo k zagotavljanju proizvodnje električne energije iz obnovljivih virov.</w:t>
      </w:r>
    </w:p>
    <w:p w14:paraId="45675D79" w14:textId="77777777" w:rsidR="001A127C" w:rsidRDefault="001A127C" w:rsidP="001A127C">
      <w:pPr>
        <w:autoSpaceDE w:val="0"/>
        <w:autoSpaceDN w:val="0"/>
        <w:adjustRightInd w:val="0"/>
        <w:spacing w:line="260" w:lineRule="exact"/>
        <w:jc w:val="both"/>
        <w:rPr>
          <w:rFonts w:cs="Arial"/>
          <w:szCs w:val="20"/>
          <w:lang w:val="sl-SI"/>
        </w:rPr>
      </w:pPr>
    </w:p>
    <w:p w14:paraId="2979D6C8" w14:textId="77777777" w:rsidR="001A127C" w:rsidRDefault="001A127C" w:rsidP="001A127C">
      <w:pPr>
        <w:autoSpaceDE w:val="0"/>
        <w:autoSpaceDN w:val="0"/>
        <w:adjustRightInd w:val="0"/>
        <w:spacing w:line="260" w:lineRule="exact"/>
        <w:jc w:val="both"/>
        <w:rPr>
          <w:rFonts w:cs="Arial"/>
          <w:szCs w:val="20"/>
          <w:lang w:val="sl-SI"/>
        </w:rPr>
      </w:pPr>
    </w:p>
    <w:p w14:paraId="423178BE" w14:textId="77777777" w:rsidR="001A127C" w:rsidRDefault="001A127C" w:rsidP="001A127C">
      <w:pPr>
        <w:spacing w:before="20" w:after="20"/>
        <w:jc w:val="both"/>
        <w:rPr>
          <w:rFonts w:cs="Arial"/>
          <w:sz w:val="22"/>
          <w:szCs w:val="22"/>
          <w:lang w:val="it-IT"/>
        </w:rPr>
      </w:pPr>
    </w:p>
    <w:p w14:paraId="0BB352ED" w14:textId="1976AD83" w:rsidR="00394406" w:rsidRDefault="00394406" w:rsidP="000C74DC"/>
    <w:sectPr w:rsidR="003944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ms Rmn">
    <w:panose1 w:val="020206030405050203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4491D"/>
    <w:multiLevelType w:val="hybridMultilevel"/>
    <w:tmpl w:val="22662D28"/>
    <w:lvl w:ilvl="0" w:tplc="1010BA0A">
      <w:start w:val="1"/>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3E88532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1D0C06D7"/>
    <w:multiLevelType w:val="hybridMultilevel"/>
    <w:tmpl w:val="026C43FC"/>
    <w:lvl w:ilvl="0" w:tplc="A2C25512">
      <w:start w:val="2"/>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4" w15:restartNumberingAfterBreak="0">
    <w:nsid w:val="4DBC6315"/>
    <w:multiLevelType w:val="hybridMultilevel"/>
    <w:tmpl w:val="8C10D0B8"/>
    <w:lvl w:ilvl="0" w:tplc="0424000B">
      <w:start w:val="1"/>
      <w:numFmt w:val="bullet"/>
      <w:pStyle w:val="Alineazatoko"/>
      <w:lvlText w:val=""/>
      <w:lvlJc w:val="left"/>
      <w:pPr>
        <w:ind w:left="360" w:hanging="360"/>
      </w:pPr>
      <w:rPr>
        <w:rFonts w:ascii="Wingdings" w:hAnsi="Wingdings" w:hint="default"/>
      </w:rPr>
    </w:lvl>
    <w:lvl w:ilvl="1" w:tplc="9CDC229E">
      <w:numFmt w:val="bullet"/>
      <w:lvlText w:val="-"/>
      <w:lvlJc w:val="left"/>
      <w:pPr>
        <w:tabs>
          <w:tab w:val="num" w:pos="1440"/>
        </w:tabs>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6" w15:restartNumberingAfterBreak="0">
    <w:nsid w:val="644572DC"/>
    <w:multiLevelType w:val="hybridMultilevel"/>
    <w:tmpl w:val="9B08038A"/>
    <w:lvl w:ilvl="0" w:tplc="18E45962">
      <w:start w:val="100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09607620">
    <w:abstractNumId w:val="6"/>
  </w:num>
  <w:num w:numId="2" w16cid:durableId="679157558">
    <w:abstractNumId w:val="4"/>
    <w:lvlOverride w:ilvl="0"/>
    <w:lvlOverride w:ilvl="1"/>
    <w:lvlOverride w:ilvl="2"/>
    <w:lvlOverride w:ilvl="3"/>
    <w:lvlOverride w:ilvl="4"/>
    <w:lvlOverride w:ilvl="5"/>
    <w:lvlOverride w:ilvl="6"/>
    <w:lvlOverride w:ilvl="7"/>
    <w:lvlOverride w:ilvl="8"/>
  </w:num>
  <w:num w:numId="3" w16cid:durableId="212449167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206306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356286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50893436">
    <w:abstractNumId w:val="0"/>
    <w:lvlOverride w:ilvl="0"/>
    <w:lvlOverride w:ilvl="1"/>
    <w:lvlOverride w:ilvl="2"/>
    <w:lvlOverride w:ilvl="3"/>
    <w:lvlOverride w:ilvl="4"/>
    <w:lvlOverride w:ilvl="5"/>
    <w:lvlOverride w:ilvl="6"/>
    <w:lvlOverride w:ilvl="7"/>
    <w:lvlOverride w:ilvl="8"/>
  </w:num>
  <w:num w:numId="7" w16cid:durableId="101333458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4DC"/>
    <w:rsid w:val="000C74DC"/>
    <w:rsid w:val="00124D51"/>
    <w:rsid w:val="00143CAC"/>
    <w:rsid w:val="001A127C"/>
    <w:rsid w:val="00394406"/>
    <w:rsid w:val="00622ED5"/>
    <w:rsid w:val="0081486F"/>
    <w:rsid w:val="00E40B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5DFDA"/>
  <w15:chartTrackingRefBased/>
  <w15:docId w15:val="{235DD954-0FC7-4A61-BBFF-E9624AEB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A127C"/>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C74DC"/>
    <w:pPr>
      <w:ind w:left="720"/>
      <w:contextualSpacing/>
    </w:pPr>
  </w:style>
  <w:style w:type="paragraph" w:styleId="Telobesedila">
    <w:name w:val="Body Text"/>
    <w:basedOn w:val="Navaden"/>
    <w:link w:val="TelobesedilaZnak"/>
    <w:uiPriority w:val="99"/>
    <w:semiHidden/>
    <w:unhideWhenUsed/>
    <w:rsid w:val="001A127C"/>
    <w:pPr>
      <w:spacing w:after="120"/>
    </w:pPr>
  </w:style>
  <w:style w:type="character" w:customStyle="1" w:styleId="TelobesedilaZnak">
    <w:name w:val="Telo besedila Znak"/>
    <w:basedOn w:val="Privzetapisavaodstavka"/>
    <w:link w:val="Telobesedila"/>
    <w:uiPriority w:val="99"/>
    <w:semiHidden/>
    <w:rsid w:val="001A127C"/>
    <w:rPr>
      <w:rFonts w:ascii="Arial" w:eastAsia="Times New Roman" w:hAnsi="Arial" w:cs="Times New Roman"/>
      <w:sz w:val="20"/>
      <w:szCs w:val="24"/>
      <w:lang w:val="en-US"/>
    </w:rPr>
  </w:style>
  <w:style w:type="paragraph" w:styleId="Telobesedila2">
    <w:name w:val="Body Text 2"/>
    <w:basedOn w:val="Navaden"/>
    <w:link w:val="Telobesedila2Znak"/>
    <w:uiPriority w:val="99"/>
    <w:semiHidden/>
    <w:unhideWhenUsed/>
    <w:rsid w:val="001A127C"/>
    <w:pPr>
      <w:spacing w:after="120" w:line="480" w:lineRule="auto"/>
    </w:pPr>
  </w:style>
  <w:style w:type="character" w:customStyle="1" w:styleId="Telobesedila2Znak">
    <w:name w:val="Telo besedila 2 Znak"/>
    <w:basedOn w:val="Privzetapisavaodstavka"/>
    <w:link w:val="Telobesedila2"/>
    <w:uiPriority w:val="99"/>
    <w:semiHidden/>
    <w:rsid w:val="001A127C"/>
    <w:rPr>
      <w:rFonts w:ascii="Arial" w:eastAsia="Times New Roman" w:hAnsi="Arial" w:cs="Times New Roman"/>
      <w:sz w:val="20"/>
      <w:szCs w:val="24"/>
      <w:lang w:val="en-US"/>
    </w:rPr>
  </w:style>
  <w:style w:type="character" w:customStyle="1" w:styleId="NaslovpredpisaZnak">
    <w:name w:val="Naslov_predpisa Znak"/>
    <w:link w:val="Naslovpredpisa"/>
    <w:locked/>
    <w:rsid w:val="001A127C"/>
    <w:rPr>
      <w:rFonts w:ascii="Arial" w:hAnsi="Arial" w:cs="Arial"/>
      <w:b/>
      <w:lang w:val="x-none" w:eastAsia="x-none"/>
    </w:rPr>
  </w:style>
  <w:style w:type="paragraph" w:customStyle="1" w:styleId="Naslovpredpisa">
    <w:name w:val="Naslov_predpisa"/>
    <w:basedOn w:val="Navaden"/>
    <w:link w:val="NaslovpredpisaZnak"/>
    <w:qFormat/>
    <w:rsid w:val="001A127C"/>
    <w:pPr>
      <w:suppressAutoHyphens/>
      <w:overflowPunct w:val="0"/>
      <w:autoSpaceDE w:val="0"/>
      <w:autoSpaceDN w:val="0"/>
      <w:adjustRightInd w:val="0"/>
      <w:spacing w:before="120" w:after="160" w:line="200" w:lineRule="exact"/>
      <w:jc w:val="center"/>
    </w:pPr>
    <w:rPr>
      <w:rFonts w:eastAsiaTheme="minorHAnsi" w:cs="Arial"/>
      <w:b/>
      <w:sz w:val="22"/>
      <w:szCs w:val="22"/>
      <w:lang w:val="x-none" w:eastAsia="x-none"/>
    </w:rPr>
  </w:style>
  <w:style w:type="paragraph" w:customStyle="1" w:styleId="Poglavje">
    <w:name w:val="Poglavje"/>
    <w:basedOn w:val="Navaden"/>
    <w:qFormat/>
    <w:rsid w:val="001A127C"/>
    <w:pPr>
      <w:suppressAutoHyphens/>
      <w:overflowPunct w:val="0"/>
      <w:autoSpaceDE w:val="0"/>
      <w:autoSpaceDN w:val="0"/>
      <w:adjustRightInd w:val="0"/>
      <w:spacing w:before="360" w:after="60" w:line="200" w:lineRule="exact"/>
      <w:jc w:val="center"/>
      <w:outlineLvl w:val="3"/>
    </w:pPr>
    <w:rPr>
      <w:rFonts w:cs="Arial"/>
      <w:b/>
      <w:sz w:val="22"/>
      <w:szCs w:val="22"/>
      <w:lang w:val="sl-SI" w:eastAsia="sl-SI"/>
    </w:rPr>
  </w:style>
  <w:style w:type="character" w:customStyle="1" w:styleId="AlineazatokoZnak">
    <w:name w:val="Alinea za točko Znak"/>
    <w:link w:val="Alineazatoko"/>
    <w:locked/>
    <w:rsid w:val="001A127C"/>
    <w:rPr>
      <w:rFonts w:ascii="Arial" w:hAnsi="Arial" w:cs="Arial"/>
      <w:lang w:val="x-none" w:eastAsia="x-none"/>
    </w:rPr>
  </w:style>
  <w:style w:type="paragraph" w:customStyle="1" w:styleId="Alineazatoko">
    <w:name w:val="Alinea za točko"/>
    <w:basedOn w:val="Navaden"/>
    <w:link w:val="AlineazatokoZnak"/>
    <w:qFormat/>
    <w:rsid w:val="001A127C"/>
    <w:pPr>
      <w:numPr>
        <w:numId w:val="2"/>
      </w:numPr>
      <w:overflowPunct w:val="0"/>
      <w:autoSpaceDE w:val="0"/>
      <w:autoSpaceDN w:val="0"/>
      <w:adjustRightInd w:val="0"/>
      <w:spacing w:line="200" w:lineRule="exact"/>
      <w:jc w:val="both"/>
    </w:pPr>
    <w:rPr>
      <w:rFonts w:eastAsiaTheme="minorHAnsi" w:cs="Arial"/>
      <w:sz w:val="22"/>
      <w:szCs w:val="22"/>
      <w:lang w:val="x-none" w:eastAsia="x-none"/>
    </w:rPr>
  </w:style>
  <w:style w:type="character" w:customStyle="1" w:styleId="rkovnatokazaodstavkomZnak">
    <w:name w:val="Črkovna točka_za odstavkom Znak"/>
    <w:link w:val="rkovnatokazaodstavkom"/>
    <w:locked/>
    <w:rsid w:val="001A127C"/>
    <w:rPr>
      <w:rFonts w:ascii="Arial" w:hAnsi="Arial" w:cs="Arial"/>
      <w:lang w:val="x-none" w:eastAsia="x-none"/>
    </w:rPr>
  </w:style>
  <w:style w:type="paragraph" w:customStyle="1" w:styleId="rkovnatokazaodstavkom">
    <w:name w:val="Črkovna točka_za odstavkom"/>
    <w:basedOn w:val="Navaden"/>
    <w:link w:val="rkovnatokazaodstavkomZnak"/>
    <w:qFormat/>
    <w:rsid w:val="001A127C"/>
    <w:pPr>
      <w:numPr>
        <w:numId w:val="3"/>
      </w:numPr>
      <w:overflowPunct w:val="0"/>
      <w:autoSpaceDE w:val="0"/>
      <w:autoSpaceDN w:val="0"/>
      <w:adjustRightInd w:val="0"/>
      <w:spacing w:line="200" w:lineRule="exact"/>
      <w:jc w:val="both"/>
    </w:pPr>
    <w:rPr>
      <w:rFonts w:eastAsiaTheme="minorHAnsi" w:cs="Arial"/>
      <w:sz w:val="22"/>
      <w:szCs w:val="22"/>
      <w:lang w:val="x-none" w:eastAsia="x-none"/>
    </w:rPr>
  </w:style>
  <w:style w:type="character" w:customStyle="1" w:styleId="OdsekZnak">
    <w:name w:val="Odsek Znak"/>
    <w:link w:val="Odsek"/>
    <w:locked/>
    <w:rsid w:val="001A127C"/>
    <w:rPr>
      <w:rFonts w:ascii="Arial" w:hAnsi="Arial" w:cs="Arial"/>
      <w:b/>
      <w:lang w:val="x-none" w:eastAsia="x-none"/>
    </w:rPr>
  </w:style>
  <w:style w:type="paragraph" w:customStyle="1" w:styleId="Odsek">
    <w:name w:val="Odsek"/>
    <w:basedOn w:val="Navaden"/>
    <w:link w:val="OdsekZnak"/>
    <w:qFormat/>
    <w:rsid w:val="001A127C"/>
    <w:pPr>
      <w:numPr>
        <w:numId w:val="4"/>
      </w:numPr>
      <w:suppressAutoHyphens/>
      <w:overflowPunct w:val="0"/>
      <w:autoSpaceDE w:val="0"/>
      <w:autoSpaceDN w:val="0"/>
      <w:adjustRightInd w:val="0"/>
      <w:spacing w:before="280" w:after="60" w:line="200" w:lineRule="exact"/>
      <w:ind w:left="0" w:firstLine="0"/>
      <w:jc w:val="center"/>
      <w:outlineLvl w:val="3"/>
    </w:pPr>
    <w:rPr>
      <w:rFonts w:eastAsiaTheme="minorHAnsi" w:cs="Arial"/>
      <w:b/>
      <w:sz w:val="22"/>
      <w:szCs w:val="22"/>
      <w:lang w:val="x-none" w:eastAsia="x-none"/>
    </w:rPr>
  </w:style>
  <w:style w:type="paragraph" w:customStyle="1" w:styleId="odstavek1">
    <w:name w:val="odstavek1"/>
    <w:basedOn w:val="Navaden"/>
    <w:rsid w:val="001A127C"/>
    <w:pPr>
      <w:spacing w:before="240" w:line="240" w:lineRule="auto"/>
      <w:ind w:firstLine="1021"/>
      <w:jc w:val="both"/>
    </w:pPr>
    <w:rPr>
      <w:rFonts w:cs="Arial"/>
      <w:sz w:val="22"/>
      <w:szCs w:val="22"/>
      <w:lang w:val="sl-SI" w:eastAsia="sl-SI"/>
    </w:rPr>
  </w:style>
  <w:style w:type="paragraph" w:customStyle="1" w:styleId="dtparial">
    <w:name w:val="dtparial"/>
    <w:basedOn w:val="Navaden"/>
    <w:rsid w:val="001A127C"/>
    <w:pPr>
      <w:spacing w:before="100" w:beforeAutospacing="1" w:after="100" w:afterAutospacing="1" w:line="240" w:lineRule="auto"/>
    </w:pPr>
    <w:rPr>
      <w:rFonts w:cs="Arial"/>
      <w:color w:val="000000"/>
      <w:sz w:val="18"/>
      <w:szCs w:val="18"/>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156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2378</Words>
  <Characters>13557</Characters>
  <Application>Microsoft Office Word</Application>
  <DocSecurity>0</DocSecurity>
  <Lines>112</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Jeraj</dc:creator>
  <cp:keywords/>
  <dc:description/>
  <cp:lastModifiedBy>Aleš Jeraj</cp:lastModifiedBy>
  <cp:revision>2</cp:revision>
  <dcterms:created xsi:type="dcterms:W3CDTF">2023-09-29T14:56:00Z</dcterms:created>
  <dcterms:modified xsi:type="dcterms:W3CDTF">2023-09-29T14:56:00Z</dcterms:modified>
</cp:coreProperties>
</file>