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1A51" w:rsidRPr="002760DC" w:rsidRDefault="000F1A51" w:rsidP="000F1A51">
      <w:pPr>
        <w:pStyle w:val="datumtevilka"/>
      </w:pPr>
      <w:r w:rsidRPr="002760DC">
        <w:rPr>
          <w:rFonts w:cs="Arial"/>
          <w:color w:val="000000"/>
        </w:rPr>
        <w:t>EVA:</w:t>
      </w:r>
      <w:r w:rsidRPr="002760DC">
        <w:rPr>
          <w:rFonts w:cs="Arial"/>
          <w:color w:val="000000"/>
        </w:rPr>
        <w:tab/>
      </w:r>
      <w:r>
        <w:rPr>
          <w:rFonts w:cs="Arial"/>
          <w:color w:val="000000"/>
        </w:rPr>
        <w:t>2016-2030-0030</w:t>
      </w:r>
    </w:p>
    <w:p w:rsidR="000F1A51" w:rsidRPr="002760DC" w:rsidRDefault="000F1A51" w:rsidP="000F1A51">
      <w:pPr>
        <w:pStyle w:val="datumtevilka"/>
      </w:pPr>
      <w:r w:rsidRPr="002760DC">
        <w:t xml:space="preserve">Številka: </w:t>
      </w:r>
      <w:r w:rsidRPr="002760DC">
        <w:tab/>
      </w:r>
      <w:r>
        <w:rPr>
          <w:rFonts w:cs="Arial"/>
          <w:color w:val="000000"/>
        </w:rPr>
        <w:t>00704-146/2023/21</w:t>
      </w:r>
    </w:p>
    <w:p w:rsidR="000F1A51" w:rsidRDefault="000F1A51" w:rsidP="000F1A51">
      <w:pPr>
        <w:pStyle w:val="datumtevilka"/>
      </w:pPr>
      <w:r>
        <w:t>Datum:</w:t>
      </w:r>
      <w:r w:rsidRPr="002760DC">
        <w:tab/>
      </w:r>
      <w:r>
        <w:rPr>
          <w:rFonts w:cs="Arial"/>
          <w:color w:val="000000"/>
        </w:rPr>
        <w:t>12. 9. 2023</w:t>
      </w:r>
      <w:r w:rsidRPr="002760DC">
        <w:t xml:space="preserve"> </w:t>
      </w:r>
    </w:p>
    <w:p w:rsidR="000F1A51" w:rsidRDefault="000F1A51" w:rsidP="000F1A51">
      <w:pPr>
        <w:pStyle w:val="datumtevilka"/>
      </w:pPr>
    </w:p>
    <w:p w:rsidR="000F1A51" w:rsidRPr="002760DC" w:rsidRDefault="000F1A51" w:rsidP="000F1A51">
      <w:pPr>
        <w:pStyle w:val="datumtevilka"/>
      </w:pPr>
    </w:p>
    <w:p w:rsidR="000F1A51" w:rsidRPr="000F1A51" w:rsidRDefault="000F1A51" w:rsidP="000F1A51">
      <w:pPr>
        <w:autoSpaceDE w:val="0"/>
        <w:autoSpaceDN w:val="0"/>
        <w:adjustRightInd w:val="0"/>
        <w:jc w:val="center"/>
        <w:rPr>
          <w:rFonts w:cs="Arial"/>
          <w:b/>
          <w:color w:val="000000"/>
          <w:szCs w:val="20"/>
        </w:rPr>
      </w:pPr>
      <w:r>
        <w:rPr>
          <w:rFonts w:cs="Arial"/>
          <w:b/>
          <w:color w:val="000000"/>
          <w:szCs w:val="20"/>
        </w:rPr>
        <w:t>Predlog</w:t>
      </w:r>
      <w:r w:rsidRPr="000F1A51">
        <w:rPr>
          <w:rFonts w:cs="Arial"/>
          <w:b/>
          <w:color w:val="000000"/>
          <w:szCs w:val="20"/>
        </w:rPr>
        <w:t xml:space="preserve"> amandmajev k Predlogu zakona o spremembah in dopolnitvah Zakona o finančnem poslovanju, postopkih zaradi insolventnosti in prisilnem prenehanju</w:t>
      </w:r>
    </w:p>
    <w:p w:rsidR="00A51D9C" w:rsidRDefault="00A51D9C" w:rsidP="000F1A51"/>
    <w:p w:rsidR="000F1A51" w:rsidRDefault="000F1A51" w:rsidP="000F1A51"/>
    <w:p w:rsidR="000F1A51" w:rsidRPr="00363167" w:rsidRDefault="000F1A51" w:rsidP="000F1A51">
      <w:pPr>
        <w:jc w:val="both"/>
        <w:rPr>
          <w:rFonts w:cs="Arial"/>
          <w:szCs w:val="20"/>
        </w:rPr>
      </w:pPr>
    </w:p>
    <w:p w:rsidR="000F1A51" w:rsidRPr="00363167" w:rsidRDefault="000F1A51" w:rsidP="000F1A51">
      <w:pPr>
        <w:pStyle w:val="Odstavekseznama"/>
        <w:numPr>
          <w:ilvl w:val="0"/>
          <w:numId w:val="11"/>
        </w:numPr>
        <w:overflowPunct w:val="0"/>
        <w:autoSpaceDE w:val="0"/>
        <w:autoSpaceDN w:val="0"/>
        <w:adjustRightInd w:val="0"/>
        <w:contextualSpacing w:val="0"/>
        <w:jc w:val="both"/>
        <w:textAlignment w:val="baseline"/>
        <w:rPr>
          <w:rFonts w:cs="Arial"/>
          <w:b/>
          <w:bCs/>
          <w:szCs w:val="20"/>
        </w:rPr>
      </w:pPr>
      <w:r w:rsidRPr="00363167">
        <w:rPr>
          <w:rFonts w:cs="Arial"/>
          <w:b/>
          <w:bCs/>
          <w:szCs w:val="20"/>
        </w:rPr>
        <w:t>K 75. členu:</w:t>
      </w:r>
      <w:bookmarkStart w:id="0" w:name="_GoBack"/>
      <w:bookmarkEnd w:id="0"/>
    </w:p>
    <w:p w:rsidR="000F1A51" w:rsidRPr="00363167" w:rsidRDefault="000F1A51" w:rsidP="000F1A51">
      <w:pPr>
        <w:jc w:val="both"/>
        <w:rPr>
          <w:rFonts w:cs="Arial"/>
          <w:b/>
          <w:bCs/>
          <w:szCs w:val="20"/>
        </w:rPr>
      </w:pPr>
    </w:p>
    <w:p w:rsidR="000F1A51" w:rsidRPr="00363167" w:rsidRDefault="000F1A51" w:rsidP="000F1A51">
      <w:pPr>
        <w:jc w:val="both"/>
        <w:rPr>
          <w:rFonts w:cs="Arial"/>
          <w:szCs w:val="20"/>
        </w:rPr>
      </w:pPr>
      <w:r w:rsidRPr="00363167">
        <w:rPr>
          <w:rFonts w:cs="Arial"/>
          <w:szCs w:val="20"/>
        </w:rPr>
        <w:t xml:space="preserve">V 75. členu se v </w:t>
      </w:r>
      <w:r w:rsidRPr="00363167">
        <w:rPr>
          <w:rFonts w:cs="Arial"/>
          <w:b/>
          <w:bCs/>
          <w:szCs w:val="20"/>
        </w:rPr>
        <w:t>221.ab členu</w:t>
      </w:r>
      <w:r w:rsidRPr="00363167">
        <w:rPr>
          <w:rFonts w:cs="Arial"/>
          <w:szCs w:val="20"/>
        </w:rPr>
        <w:t xml:space="preserve"> v naslovu člena za besedo »pravila« doda beseda »postopka«.</w:t>
      </w:r>
    </w:p>
    <w:p w:rsidR="000F1A51" w:rsidRPr="00363167" w:rsidRDefault="000F1A51" w:rsidP="000F1A51">
      <w:pPr>
        <w:jc w:val="both"/>
        <w:rPr>
          <w:rFonts w:cs="Arial"/>
          <w:szCs w:val="20"/>
        </w:rPr>
      </w:pPr>
    </w:p>
    <w:p w:rsidR="000F1A51" w:rsidRPr="00363167" w:rsidRDefault="000F1A51" w:rsidP="000F1A51">
      <w:pPr>
        <w:jc w:val="both"/>
        <w:rPr>
          <w:rFonts w:cs="Arial"/>
          <w:szCs w:val="20"/>
        </w:rPr>
      </w:pPr>
      <w:r w:rsidRPr="00363167">
        <w:rPr>
          <w:rFonts w:cs="Arial"/>
          <w:szCs w:val="20"/>
        </w:rPr>
        <w:t>Za desetim odstavkom se doda nov enajsti odstavek, ki se glasi:</w:t>
      </w:r>
    </w:p>
    <w:p w:rsidR="000F1A51" w:rsidRPr="00363167" w:rsidRDefault="000F1A51" w:rsidP="000F1A51">
      <w:pPr>
        <w:jc w:val="both"/>
        <w:rPr>
          <w:rFonts w:cs="Arial"/>
          <w:szCs w:val="20"/>
        </w:rPr>
      </w:pPr>
    </w:p>
    <w:p w:rsidR="000F1A51" w:rsidRPr="00363167" w:rsidRDefault="000F1A51" w:rsidP="000F1A51">
      <w:pPr>
        <w:jc w:val="both"/>
        <w:rPr>
          <w:rFonts w:cs="Arial"/>
          <w:szCs w:val="20"/>
        </w:rPr>
      </w:pPr>
      <w:r w:rsidRPr="00363167">
        <w:rPr>
          <w:rFonts w:cs="Arial"/>
          <w:szCs w:val="20"/>
        </w:rPr>
        <w:t>»(11) Niti začetek postopka sodnega prestrukturiranja za odpravo grozeče insolventnosti niti sklep o potrditvi prisilne poravnave v postopku sodnega prestrukturiranja za odpravo grozeče insolventnosti ne učinkujeta za finančno zavarovanje po zakonu, ki ureja finančna zavarovanja, in terjatev, zavarovano s takim zavarovanjem.«.</w:t>
      </w:r>
    </w:p>
    <w:p w:rsidR="000F1A51" w:rsidRPr="00363167" w:rsidRDefault="000F1A51" w:rsidP="000F1A51">
      <w:pPr>
        <w:jc w:val="both"/>
        <w:rPr>
          <w:rFonts w:cs="Arial"/>
          <w:szCs w:val="20"/>
        </w:rPr>
      </w:pPr>
    </w:p>
    <w:p w:rsidR="000F1A51" w:rsidRPr="00363167" w:rsidRDefault="000F1A51" w:rsidP="000F1A51">
      <w:pPr>
        <w:jc w:val="both"/>
        <w:rPr>
          <w:rFonts w:cs="Arial"/>
          <w:szCs w:val="20"/>
        </w:rPr>
      </w:pPr>
      <w:r w:rsidRPr="00363167">
        <w:rPr>
          <w:rFonts w:cs="Arial"/>
          <w:szCs w:val="20"/>
        </w:rPr>
        <w:t xml:space="preserve">V </w:t>
      </w:r>
      <w:r w:rsidRPr="00363167">
        <w:rPr>
          <w:rFonts w:cs="Arial"/>
          <w:b/>
          <w:bCs/>
          <w:szCs w:val="20"/>
        </w:rPr>
        <w:t>221.ad členu</w:t>
      </w:r>
      <w:r w:rsidRPr="00363167">
        <w:rPr>
          <w:rFonts w:cs="Arial"/>
          <w:szCs w:val="20"/>
        </w:rPr>
        <w:t xml:space="preserve"> se v prvem odstavku doda nov drugi stavek, ki se glasi: »V primeru iz prejšnjega stavka se uporabljajo posebna pravila iz pododdelka 5.3.7.«.  </w:t>
      </w:r>
    </w:p>
    <w:p w:rsidR="000F1A51" w:rsidRPr="00363167" w:rsidRDefault="000F1A51" w:rsidP="000F1A51">
      <w:pPr>
        <w:jc w:val="both"/>
        <w:rPr>
          <w:rFonts w:cs="Arial"/>
          <w:b/>
          <w:bCs/>
          <w:szCs w:val="20"/>
        </w:rPr>
      </w:pPr>
    </w:p>
    <w:p w:rsidR="000F1A51" w:rsidRPr="00363167" w:rsidRDefault="000F1A51" w:rsidP="000F1A51">
      <w:pPr>
        <w:jc w:val="both"/>
        <w:rPr>
          <w:rFonts w:cs="Arial"/>
          <w:b/>
          <w:bCs/>
          <w:szCs w:val="20"/>
        </w:rPr>
      </w:pPr>
      <w:r w:rsidRPr="00363167">
        <w:rPr>
          <w:rFonts w:cs="Arial"/>
          <w:b/>
          <w:bCs/>
          <w:szCs w:val="20"/>
        </w:rPr>
        <w:t>Obrazložitev:</w:t>
      </w:r>
    </w:p>
    <w:p w:rsidR="000F1A51" w:rsidRPr="00363167" w:rsidRDefault="000F1A51" w:rsidP="000F1A51">
      <w:pPr>
        <w:jc w:val="both"/>
        <w:rPr>
          <w:rFonts w:cs="Arial"/>
          <w:b/>
          <w:bCs/>
          <w:szCs w:val="20"/>
        </w:rPr>
      </w:pPr>
    </w:p>
    <w:p w:rsidR="000F1A51" w:rsidRPr="00363167" w:rsidRDefault="000F1A51" w:rsidP="000F1A51">
      <w:pPr>
        <w:jc w:val="both"/>
        <w:rPr>
          <w:rFonts w:cs="Arial"/>
          <w:szCs w:val="20"/>
        </w:rPr>
      </w:pPr>
      <w:r w:rsidRPr="00363167">
        <w:rPr>
          <w:rFonts w:cs="Arial"/>
          <w:szCs w:val="20"/>
        </w:rPr>
        <w:t>Z amandmajem se naslov 221.ab člena (temeljna pravila sodnega prestrukturiranja zaradi odprave grozeče insolventnosti) redakcijsko popravi tako, da se pravilno glasi: temeljna pravila postopka sodnega prestrukturiranja zaradi odprave grozeče insolventnosti.</w:t>
      </w:r>
    </w:p>
    <w:p w:rsidR="000F1A51" w:rsidRPr="00363167" w:rsidRDefault="000F1A51" w:rsidP="000F1A51">
      <w:pPr>
        <w:jc w:val="both"/>
        <w:rPr>
          <w:rFonts w:cs="Arial"/>
          <w:szCs w:val="20"/>
        </w:rPr>
      </w:pPr>
    </w:p>
    <w:p w:rsidR="000F1A51" w:rsidRPr="00363167" w:rsidRDefault="000F1A51" w:rsidP="000F1A51">
      <w:pPr>
        <w:jc w:val="both"/>
        <w:rPr>
          <w:rFonts w:cs="Arial"/>
          <w:szCs w:val="20"/>
        </w:rPr>
      </w:pPr>
      <w:r w:rsidRPr="00363167">
        <w:rPr>
          <w:rFonts w:cs="Arial"/>
          <w:szCs w:val="20"/>
        </w:rPr>
        <w:t xml:space="preserve">S predlaganim novim enajstim odstavkom se jasno določa, da novi postopek sodnega prestrukturiranja za odpravo grozeče insolventnosti ne učinkuje za finančno zavarovanje po zakonu, ki ureja finančna zavarovanja, in terjatev, zavarovano s takim zavarovanjem. 11. člen Zakona o finančnih zavarovanjih (Uradni list RS, št. 67/11 – uradno prečiščeno besedilo, 82/13 in 90/15 – </w:t>
      </w:r>
      <w:proofErr w:type="spellStart"/>
      <w:r w:rsidRPr="00363167">
        <w:rPr>
          <w:rFonts w:cs="Arial"/>
          <w:szCs w:val="20"/>
        </w:rPr>
        <w:t>odl</w:t>
      </w:r>
      <w:proofErr w:type="spellEnd"/>
      <w:r w:rsidRPr="00363167">
        <w:rPr>
          <w:rFonts w:cs="Arial"/>
          <w:szCs w:val="20"/>
        </w:rPr>
        <w:t xml:space="preserve">. US) določa, da pogodba o finančnem zavarovanju in na njeni podlagi pridobljene pravice, vključno s pravicami do izvršitve zavarovanja, ostanejo v veljavi tudi potem, ko se začne in traja proti prejemniku ali dajalcu finančnega zavarovanja postopek prisilne poravnave, stečaja ali neprostovoljne likvidacije. Predlagatelj meni, da mora enako veljati tudi za novi postopek sodnega prestrukturiranja za odpravo grozeče insolventnosti. Slednje je tudi v skladu s temeljnim pravilom iz prvega odstavka 221.ab člena, ki določa, da se za postopek sodnega prestrukturiranja zaradi odprave grozeče insolventnosti smiselno uporabljajo pravila, ki urejajo postopek prisilne poravnave, če ni v tem oddelku določeno drugače. </w:t>
      </w:r>
    </w:p>
    <w:p w:rsidR="000F1A51" w:rsidRPr="00363167" w:rsidRDefault="000F1A51" w:rsidP="000F1A51">
      <w:pPr>
        <w:jc w:val="both"/>
        <w:rPr>
          <w:rFonts w:cs="Arial"/>
          <w:szCs w:val="20"/>
        </w:rPr>
      </w:pPr>
    </w:p>
    <w:p w:rsidR="000F1A51" w:rsidRPr="00363167" w:rsidRDefault="000F1A51" w:rsidP="000F1A51">
      <w:pPr>
        <w:jc w:val="both"/>
        <w:rPr>
          <w:rFonts w:cs="Arial"/>
          <w:szCs w:val="20"/>
        </w:rPr>
      </w:pPr>
      <w:r w:rsidRPr="00363167">
        <w:rPr>
          <w:rFonts w:cs="Arial"/>
          <w:szCs w:val="20"/>
        </w:rPr>
        <w:t xml:space="preserve">Z dopolnitvijo v 221.ad členu pa se odpravlja morebitna razlagalna dilema, ali se vsa posebna pravila iz pododdelka 5.3.7. uporabljajo v primerih, ko sodišče predlog za začetek postopka sodnega prestrukturiranja zaradi odprave grozeče insolventnosti zavrne, ker ugodi ugovoru zoper vodenje postopka iz razloga, da je dolžnik insolventen, ali iz razloga iz 6. točke 172. člena tega zakona, ustavi postopek sodnega prestrukturiranja zaradi odprave grozeče insolventnosti in po uradni dolžnosti izda sklep o začetku stečajnega postopka. Predlagatelj enako kot zgoraj meni, </w:t>
      </w:r>
      <w:r w:rsidRPr="00363167">
        <w:rPr>
          <w:rFonts w:cs="Arial"/>
          <w:szCs w:val="20"/>
        </w:rPr>
        <w:lastRenderedPageBreak/>
        <w:t>da glede na dejstvo, da se za postopek sodnega prestrukturiranja zaradi odprave grozeče insolventnosti smiselno uporabljajo pravila, ki urejajo postopek prisilne poravnave, če ni v tem oddelku določeno drugače, se s predlagano dopolnitvijo odpravlja morebitna razlagalna dilema in jasno določa, da se v primeru te procesne situacije (začetka stečajnega postopka po uradni dolžnosti) uporabljajo vsa posebna pravila, ki jih ureja pododdelek 5.3.7, torej posebna pravila o pravnih posledicah, če je bil stečajni postopek začet v postopku prisilne poravnave.</w:t>
      </w:r>
    </w:p>
    <w:p w:rsidR="000F1A51" w:rsidRPr="00363167" w:rsidRDefault="000F1A51" w:rsidP="000F1A51">
      <w:pPr>
        <w:jc w:val="both"/>
        <w:rPr>
          <w:rFonts w:cs="Arial"/>
          <w:b/>
          <w:bCs/>
          <w:szCs w:val="20"/>
        </w:rPr>
      </w:pPr>
    </w:p>
    <w:p w:rsidR="000F1A51" w:rsidRPr="00363167" w:rsidRDefault="000F1A51" w:rsidP="000F1A51">
      <w:pPr>
        <w:pStyle w:val="Odstavekseznama"/>
        <w:numPr>
          <w:ilvl w:val="0"/>
          <w:numId w:val="11"/>
        </w:numPr>
        <w:overflowPunct w:val="0"/>
        <w:autoSpaceDE w:val="0"/>
        <w:autoSpaceDN w:val="0"/>
        <w:adjustRightInd w:val="0"/>
        <w:contextualSpacing w:val="0"/>
        <w:jc w:val="both"/>
        <w:textAlignment w:val="baseline"/>
        <w:rPr>
          <w:rFonts w:cs="Arial"/>
          <w:b/>
          <w:bCs/>
          <w:szCs w:val="20"/>
        </w:rPr>
      </w:pPr>
      <w:r w:rsidRPr="00363167">
        <w:rPr>
          <w:rFonts w:cs="Arial"/>
          <w:b/>
          <w:bCs/>
          <w:szCs w:val="20"/>
        </w:rPr>
        <w:t>Za novi 139.a člen</w:t>
      </w:r>
    </w:p>
    <w:p w:rsidR="000F1A51" w:rsidRPr="00363167" w:rsidRDefault="000F1A51" w:rsidP="000F1A51">
      <w:pPr>
        <w:jc w:val="both"/>
        <w:rPr>
          <w:rFonts w:cs="Arial"/>
          <w:b/>
          <w:bCs/>
          <w:szCs w:val="20"/>
        </w:rPr>
      </w:pPr>
    </w:p>
    <w:p w:rsidR="000F1A51" w:rsidRPr="00363167" w:rsidRDefault="000F1A51" w:rsidP="000F1A51">
      <w:pPr>
        <w:jc w:val="both"/>
        <w:rPr>
          <w:rFonts w:cs="Arial"/>
          <w:szCs w:val="20"/>
        </w:rPr>
      </w:pPr>
      <w:r w:rsidRPr="00363167">
        <w:rPr>
          <w:rFonts w:cs="Arial"/>
          <w:szCs w:val="20"/>
        </w:rPr>
        <w:t>Za 139. členom se doda nov 139.a člen, ki se glasi:</w:t>
      </w:r>
    </w:p>
    <w:p w:rsidR="000F1A51" w:rsidRPr="00363167" w:rsidRDefault="000F1A51" w:rsidP="000F1A51">
      <w:pPr>
        <w:jc w:val="both"/>
        <w:rPr>
          <w:rFonts w:cs="Arial"/>
          <w:b/>
          <w:bCs/>
          <w:szCs w:val="20"/>
        </w:rPr>
      </w:pPr>
    </w:p>
    <w:p w:rsidR="000F1A51" w:rsidRPr="00363167" w:rsidRDefault="000F1A51" w:rsidP="000F1A51">
      <w:pPr>
        <w:jc w:val="both"/>
        <w:rPr>
          <w:rFonts w:cs="Arial"/>
          <w:szCs w:val="20"/>
        </w:rPr>
      </w:pPr>
      <w:r w:rsidRPr="00363167">
        <w:rPr>
          <w:rFonts w:cs="Arial"/>
          <w:szCs w:val="20"/>
        </w:rPr>
        <w:t>»139.a člen</w:t>
      </w:r>
    </w:p>
    <w:p w:rsidR="000F1A51" w:rsidRPr="00363167" w:rsidRDefault="000F1A51" w:rsidP="000F1A51">
      <w:pPr>
        <w:jc w:val="both"/>
        <w:rPr>
          <w:rFonts w:cs="Arial"/>
          <w:szCs w:val="20"/>
        </w:rPr>
      </w:pPr>
      <w:r w:rsidRPr="00363167">
        <w:rPr>
          <w:rFonts w:cs="Arial"/>
          <w:szCs w:val="20"/>
        </w:rPr>
        <w:t>(uporaba spremenjenih drugega in tretjega odstavka 38. člena zakona)</w:t>
      </w:r>
    </w:p>
    <w:p w:rsidR="000F1A51" w:rsidRPr="00363167" w:rsidRDefault="000F1A51" w:rsidP="000F1A51">
      <w:pPr>
        <w:jc w:val="both"/>
        <w:rPr>
          <w:rFonts w:cs="Arial"/>
          <w:szCs w:val="20"/>
        </w:rPr>
      </w:pPr>
    </w:p>
    <w:p w:rsidR="000F1A51" w:rsidRPr="00363167" w:rsidRDefault="000F1A51" w:rsidP="000F1A51">
      <w:pPr>
        <w:jc w:val="both"/>
        <w:rPr>
          <w:rFonts w:cs="Arial"/>
          <w:szCs w:val="20"/>
        </w:rPr>
      </w:pPr>
      <w:r w:rsidRPr="00363167">
        <w:rPr>
          <w:rFonts w:cs="Arial"/>
          <w:szCs w:val="20"/>
        </w:rPr>
        <w:t>Če so razlog za insolventnost poplave in zemeljski plazovi iz avgusta 2023 in je insolventnost nastala do uveljavitve tega zakona, začne rok za vložitev predloga za začetek postopka zaradi insolventnosti po spremenjenem drugem in tretjem odstavku 38. člena zakona teči z dnem uveljavitve tega zakona.«.</w:t>
      </w:r>
    </w:p>
    <w:p w:rsidR="000F1A51" w:rsidRPr="00363167" w:rsidRDefault="000F1A51" w:rsidP="000F1A51">
      <w:pPr>
        <w:jc w:val="both"/>
        <w:rPr>
          <w:rFonts w:cs="Arial"/>
          <w:b/>
          <w:bCs/>
          <w:szCs w:val="20"/>
        </w:rPr>
      </w:pPr>
    </w:p>
    <w:p w:rsidR="000F1A51" w:rsidRPr="00363167" w:rsidRDefault="000F1A51" w:rsidP="000F1A51">
      <w:pPr>
        <w:jc w:val="both"/>
        <w:rPr>
          <w:rFonts w:cs="Arial"/>
          <w:b/>
          <w:bCs/>
          <w:szCs w:val="20"/>
        </w:rPr>
      </w:pPr>
      <w:r w:rsidRPr="00363167">
        <w:rPr>
          <w:rFonts w:cs="Arial"/>
          <w:b/>
          <w:bCs/>
          <w:szCs w:val="20"/>
        </w:rPr>
        <w:t>Obrazložitev:</w:t>
      </w:r>
    </w:p>
    <w:p w:rsidR="000F1A51" w:rsidRPr="00363167" w:rsidRDefault="000F1A51" w:rsidP="000F1A51">
      <w:pPr>
        <w:jc w:val="both"/>
        <w:rPr>
          <w:rFonts w:cs="Arial"/>
          <w:b/>
          <w:bCs/>
          <w:szCs w:val="20"/>
        </w:rPr>
      </w:pPr>
    </w:p>
    <w:p w:rsidR="000F1A51" w:rsidRPr="00363167" w:rsidRDefault="000F1A51" w:rsidP="000F1A51">
      <w:pPr>
        <w:jc w:val="both"/>
        <w:rPr>
          <w:rFonts w:cs="Arial"/>
          <w:szCs w:val="20"/>
        </w:rPr>
      </w:pPr>
      <w:r w:rsidRPr="00363167">
        <w:rPr>
          <w:rFonts w:cs="Arial"/>
          <w:szCs w:val="20"/>
        </w:rPr>
        <w:t>S predlogom zakona se 38. člen zakona spremeni tako, da veljajo naslednja pravila:</w:t>
      </w:r>
    </w:p>
    <w:p w:rsidR="000F1A51" w:rsidRPr="00363167" w:rsidRDefault="000F1A51" w:rsidP="000F1A51">
      <w:pPr>
        <w:jc w:val="both"/>
        <w:rPr>
          <w:rFonts w:cs="Arial"/>
          <w:szCs w:val="20"/>
        </w:rPr>
      </w:pPr>
    </w:p>
    <w:p w:rsidR="000F1A51" w:rsidRPr="00363167" w:rsidRDefault="000F1A51" w:rsidP="000F1A51">
      <w:pPr>
        <w:jc w:val="both"/>
        <w:rPr>
          <w:rFonts w:cs="Arial"/>
          <w:szCs w:val="20"/>
        </w:rPr>
      </w:pPr>
      <w:r w:rsidRPr="00363167">
        <w:rPr>
          <w:rFonts w:cs="Arial"/>
          <w:szCs w:val="20"/>
        </w:rPr>
        <w:t xml:space="preserve">»(1) Če družba postane insolventna, mora poslovodstvo brez odlašanja, vendar najpozneje v enem mesecu po nastanku insolventnosti vložiti predlog za začetek postopka zaradi insolventnosti. </w:t>
      </w:r>
    </w:p>
    <w:p w:rsidR="000F1A51" w:rsidRPr="00363167" w:rsidRDefault="000F1A51" w:rsidP="000F1A51">
      <w:pPr>
        <w:jc w:val="both"/>
        <w:rPr>
          <w:rFonts w:cs="Arial"/>
          <w:szCs w:val="20"/>
        </w:rPr>
      </w:pPr>
      <w:r w:rsidRPr="00363167">
        <w:rPr>
          <w:rFonts w:cs="Arial"/>
          <w:szCs w:val="20"/>
        </w:rPr>
        <w:t xml:space="preserve">(2) Če je razlog za insolventnost naravna nesreča ali druga hujša nesreča, epidemija ali drug podoben izredni dogodek, mora poslovodstvo vložiti predlog za začetek postopka zaradi insolventnosti v treh mesecih po nastanku insolventnosti. </w:t>
      </w:r>
    </w:p>
    <w:p w:rsidR="000F1A51" w:rsidRPr="00363167" w:rsidRDefault="000F1A51" w:rsidP="000F1A51">
      <w:pPr>
        <w:jc w:val="both"/>
        <w:rPr>
          <w:rFonts w:cs="Arial"/>
          <w:szCs w:val="20"/>
        </w:rPr>
      </w:pPr>
      <w:r w:rsidRPr="00363167">
        <w:rPr>
          <w:rFonts w:cs="Arial"/>
          <w:szCs w:val="20"/>
        </w:rPr>
        <w:t>(3) Če družba nima poslovodstva, mora v primeru družbe z omejeno odgovornostjo vsak družbenik, v primeru delniške družbe vsak član nadzornega sveta, v primeru drugih pravnih oseb pa njen ustanovitelj vložiti predlog za začetek stečajnega postopka v roku iz prvega oziroma drugega odstavka tega člena od dneva seznanitve z insolventnostjo in dejstvom, da družba nima poslovodstva.«.</w:t>
      </w:r>
    </w:p>
    <w:p w:rsidR="000F1A51" w:rsidRPr="00363167" w:rsidRDefault="000F1A51" w:rsidP="000F1A51">
      <w:pPr>
        <w:jc w:val="both"/>
        <w:rPr>
          <w:rFonts w:cs="Arial"/>
          <w:szCs w:val="20"/>
        </w:rPr>
      </w:pPr>
    </w:p>
    <w:p w:rsidR="000F1A51" w:rsidRPr="00363167" w:rsidRDefault="000F1A51" w:rsidP="000F1A51">
      <w:pPr>
        <w:jc w:val="both"/>
        <w:rPr>
          <w:rFonts w:cs="Arial"/>
          <w:szCs w:val="20"/>
        </w:rPr>
      </w:pPr>
      <w:r w:rsidRPr="00363167">
        <w:rPr>
          <w:rFonts w:cs="Arial"/>
          <w:szCs w:val="20"/>
        </w:rPr>
        <w:t>Če bo torej po novem (po uveljavitvi tega zakona) razlog za insolventnost naravna nesreča, je določena izjema od splošnega pravila tako, da je poslovodstvo dolžno vložiti predlog za začetek postopka zaradi insolventnosti v treh mesecih po nastanku insolventnosti in ne v enem mesecu, kot sicer določa splošno pravilo.</w:t>
      </w:r>
    </w:p>
    <w:p w:rsidR="000F1A51" w:rsidRPr="00363167" w:rsidRDefault="000F1A51" w:rsidP="000F1A51">
      <w:pPr>
        <w:jc w:val="both"/>
        <w:rPr>
          <w:rFonts w:cs="Arial"/>
          <w:szCs w:val="20"/>
        </w:rPr>
      </w:pPr>
    </w:p>
    <w:p w:rsidR="000F1A51" w:rsidRPr="00F164CF" w:rsidRDefault="000F1A51" w:rsidP="000F1A51">
      <w:pPr>
        <w:jc w:val="both"/>
        <w:rPr>
          <w:rFonts w:cs="Arial"/>
          <w:szCs w:val="20"/>
        </w:rPr>
      </w:pPr>
      <w:r w:rsidRPr="00363167">
        <w:rPr>
          <w:rFonts w:cs="Arial"/>
          <w:color w:val="000000" w:themeColor="text1"/>
          <w:szCs w:val="20"/>
        </w:rPr>
        <w:t xml:space="preserve">Predlagatelj ocenjuje, da obstojijo razlogi in je glede na nedavne okoliščine nujno, da se uporaba pravil te nove predlagane ureditve zagotovi tudi že vsem gospodarskim družbam in samostojnim podjetnikom posameznikom, ki so oziroma bodo do uveljavitve tega zakona (že) postali insolventni zaradi nedavne hude naravne nesreče, to je poplav in zemeljskih plazov, ki smo jim bili priča v avgustu 2023. </w:t>
      </w:r>
      <w:r w:rsidRPr="00363167">
        <w:rPr>
          <w:rFonts w:cs="Arial"/>
          <w:szCs w:val="20"/>
        </w:rPr>
        <w:t>Z amandmajem se zato določa, da če so razlog za insolventnost poplave in zemeljski plazovi iz avgusta 2023 in je insolventnost nastala do uveljavitve tega zakona, začne rok za vložitev predloga za začetek postopka zaradi insolventnosti po spremenjenem drugem in tretjem odstavku 38. člena zakona teči z dnem uveljavitve tega zakona. Če bo insolventnost kot posledica te naravne nesreče nastopila po uveljavitvi tega zakona, bodo (že) veljala tudi pravila spremenjenega 38. člena, ki bodo omogočala vložitev predloga za začetek postopka zaradi insolventnosti v treh mesecih po nastanku insolventnosti.</w:t>
      </w:r>
    </w:p>
    <w:p w:rsidR="000F1A51" w:rsidRPr="000F1A51" w:rsidRDefault="000F1A51" w:rsidP="000F1A51"/>
    <w:sectPr w:rsidR="000F1A51" w:rsidRPr="000F1A51" w:rsidSect="00DE0772">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7EE8" w:rsidRDefault="00EC7EE8" w:rsidP="00767987">
      <w:pPr>
        <w:spacing w:line="240" w:lineRule="auto"/>
      </w:pPr>
      <w:r>
        <w:separator/>
      </w:r>
    </w:p>
  </w:endnote>
  <w:endnote w:type="continuationSeparator" w:id="0">
    <w:p w:rsidR="00EC7EE8" w:rsidRDefault="00EC7EE8"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Times New Roman"/>
    <w:charset w:val="01"/>
    <w:family w:val="auto"/>
    <w:pitch w:val="default"/>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7EE8" w:rsidRDefault="00EC7EE8">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7EE8" w:rsidRDefault="00EC7EE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7EE8" w:rsidRDefault="00EC7EE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7EE8" w:rsidRDefault="00EC7EE8" w:rsidP="00767987">
      <w:pPr>
        <w:spacing w:line="240" w:lineRule="auto"/>
      </w:pPr>
      <w:r>
        <w:separator/>
      </w:r>
    </w:p>
  </w:footnote>
  <w:footnote w:type="continuationSeparator" w:id="0">
    <w:p w:rsidR="00EC7EE8" w:rsidRDefault="00EC7EE8"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7EE8" w:rsidRDefault="00EC7EE8">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7EE8" w:rsidRDefault="00EC7EE8">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0772" w:rsidRPr="00A9231D" w:rsidRDefault="00DE0772" w:rsidP="00DE0772">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469E4761" wp14:editId="4125272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DE0772" w:rsidRPr="00A9231D" w:rsidRDefault="00DE0772" w:rsidP="00DE0772">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DE0772" w:rsidRPr="00A9231D" w:rsidRDefault="00DE0772" w:rsidP="00DE077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DE0772" w:rsidRPr="00A9231D" w:rsidRDefault="00DE0772" w:rsidP="00DE077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DE0772" w:rsidRPr="00A9231D" w:rsidRDefault="00DE0772" w:rsidP="00DE077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ED5DCF"/>
    <w:multiLevelType w:val="hybridMultilevel"/>
    <w:tmpl w:val="4A6A23DC"/>
    <w:lvl w:ilvl="0" w:tplc="5684846C">
      <w:start w:val="1"/>
      <w:numFmt w:val="bullet"/>
      <w:lvlText w:val="–"/>
      <w:lvlJc w:val="left"/>
      <w:pPr>
        <w:ind w:left="743" w:hanging="360"/>
      </w:pPr>
      <w:rPr>
        <w:rFonts w:ascii="Arial" w:hAnsi="Arial" w:hint="default"/>
      </w:rPr>
    </w:lvl>
    <w:lvl w:ilvl="1" w:tplc="04090003" w:tentative="1">
      <w:start w:val="1"/>
      <w:numFmt w:val="bullet"/>
      <w:lvlText w:val="o"/>
      <w:lvlJc w:val="left"/>
      <w:pPr>
        <w:ind w:left="1463" w:hanging="360"/>
      </w:pPr>
      <w:rPr>
        <w:rFonts w:ascii="Courier New" w:hAnsi="Courier New" w:cs="Courier New" w:hint="default"/>
      </w:rPr>
    </w:lvl>
    <w:lvl w:ilvl="2" w:tplc="04090005" w:tentative="1">
      <w:start w:val="1"/>
      <w:numFmt w:val="bullet"/>
      <w:lvlText w:val=""/>
      <w:lvlJc w:val="left"/>
      <w:pPr>
        <w:ind w:left="2183" w:hanging="360"/>
      </w:pPr>
      <w:rPr>
        <w:rFonts w:ascii="Wingdings" w:hAnsi="Wingdings" w:hint="default"/>
      </w:rPr>
    </w:lvl>
    <w:lvl w:ilvl="3" w:tplc="04090001" w:tentative="1">
      <w:start w:val="1"/>
      <w:numFmt w:val="bullet"/>
      <w:lvlText w:val=""/>
      <w:lvlJc w:val="left"/>
      <w:pPr>
        <w:ind w:left="2903" w:hanging="360"/>
      </w:pPr>
      <w:rPr>
        <w:rFonts w:ascii="Symbol" w:hAnsi="Symbol" w:hint="default"/>
      </w:rPr>
    </w:lvl>
    <w:lvl w:ilvl="4" w:tplc="04090003" w:tentative="1">
      <w:start w:val="1"/>
      <w:numFmt w:val="bullet"/>
      <w:lvlText w:val="o"/>
      <w:lvlJc w:val="left"/>
      <w:pPr>
        <w:ind w:left="3623" w:hanging="360"/>
      </w:pPr>
      <w:rPr>
        <w:rFonts w:ascii="Courier New" w:hAnsi="Courier New" w:cs="Courier New" w:hint="default"/>
      </w:rPr>
    </w:lvl>
    <w:lvl w:ilvl="5" w:tplc="04090005" w:tentative="1">
      <w:start w:val="1"/>
      <w:numFmt w:val="bullet"/>
      <w:lvlText w:val=""/>
      <w:lvlJc w:val="left"/>
      <w:pPr>
        <w:ind w:left="4343" w:hanging="360"/>
      </w:pPr>
      <w:rPr>
        <w:rFonts w:ascii="Wingdings" w:hAnsi="Wingdings" w:hint="default"/>
      </w:rPr>
    </w:lvl>
    <w:lvl w:ilvl="6" w:tplc="04090001" w:tentative="1">
      <w:start w:val="1"/>
      <w:numFmt w:val="bullet"/>
      <w:lvlText w:val=""/>
      <w:lvlJc w:val="left"/>
      <w:pPr>
        <w:ind w:left="5063" w:hanging="360"/>
      </w:pPr>
      <w:rPr>
        <w:rFonts w:ascii="Symbol" w:hAnsi="Symbol" w:hint="default"/>
      </w:rPr>
    </w:lvl>
    <w:lvl w:ilvl="7" w:tplc="04090003" w:tentative="1">
      <w:start w:val="1"/>
      <w:numFmt w:val="bullet"/>
      <w:lvlText w:val="o"/>
      <w:lvlJc w:val="left"/>
      <w:pPr>
        <w:ind w:left="5783" w:hanging="360"/>
      </w:pPr>
      <w:rPr>
        <w:rFonts w:ascii="Courier New" w:hAnsi="Courier New" w:cs="Courier New" w:hint="default"/>
      </w:rPr>
    </w:lvl>
    <w:lvl w:ilvl="8" w:tplc="04090005" w:tentative="1">
      <w:start w:val="1"/>
      <w:numFmt w:val="bullet"/>
      <w:lvlText w:val=""/>
      <w:lvlJc w:val="left"/>
      <w:pPr>
        <w:ind w:left="6503" w:hanging="360"/>
      </w:pPr>
      <w:rPr>
        <w:rFonts w:ascii="Wingdings" w:hAnsi="Wingdings" w:hint="default"/>
      </w:rPr>
    </w:lvl>
  </w:abstractNum>
  <w:abstractNum w:abstractNumId="1" w15:restartNumberingAfterBreak="0">
    <w:nsid w:val="10CC236C"/>
    <w:multiLevelType w:val="hybridMultilevel"/>
    <w:tmpl w:val="682E07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592326B"/>
    <w:multiLevelType w:val="hybridMultilevel"/>
    <w:tmpl w:val="FDB25824"/>
    <w:lvl w:ilvl="0" w:tplc="F7181F9E">
      <w:start w:val="1"/>
      <w:numFmt w:val="decimal"/>
      <w:lvlText w:val="%1."/>
      <w:lvlJc w:val="left"/>
      <w:pPr>
        <w:ind w:left="1065" w:hanging="705"/>
      </w:pPr>
      <w:rPr>
        <w:rFonts w:hint="default"/>
      </w:rPr>
    </w:lvl>
    <w:lvl w:ilvl="1" w:tplc="701ECC6A" w:tentative="1">
      <w:start w:val="1"/>
      <w:numFmt w:val="lowerLetter"/>
      <w:lvlText w:val="%2."/>
      <w:lvlJc w:val="left"/>
      <w:pPr>
        <w:ind w:left="1440" w:hanging="360"/>
      </w:pPr>
    </w:lvl>
    <w:lvl w:ilvl="2" w:tplc="B986B926" w:tentative="1">
      <w:start w:val="1"/>
      <w:numFmt w:val="lowerRoman"/>
      <w:lvlText w:val="%3."/>
      <w:lvlJc w:val="right"/>
      <w:pPr>
        <w:ind w:left="2160" w:hanging="180"/>
      </w:pPr>
    </w:lvl>
    <w:lvl w:ilvl="3" w:tplc="7A082720" w:tentative="1">
      <w:start w:val="1"/>
      <w:numFmt w:val="decimal"/>
      <w:lvlText w:val="%4."/>
      <w:lvlJc w:val="left"/>
      <w:pPr>
        <w:ind w:left="2880" w:hanging="360"/>
      </w:pPr>
    </w:lvl>
    <w:lvl w:ilvl="4" w:tplc="4502C51C" w:tentative="1">
      <w:start w:val="1"/>
      <w:numFmt w:val="lowerLetter"/>
      <w:lvlText w:val="%5."/>
      <w:lvlJc w:val="left"/>
      <w:pPr>
        <w:ind w:left="3600" w:hanging="360"/>
      </w:pPr>
    </w:lvl>
    <w:lvl w:ilvl="5" w:tplc="3B4E9C50" w:tentative="1">
      <w:start w:val="1"/>
      <w:numFmt w:val="lowerRoman"/>
      <w:lvlText w:val="%6."/>
      <w:lvlJc w:val="right"/>
      <w:pPr>
        <w:ind w:left="4320" w:hanging="180"/>
      </w:pPr>
    </w:lvl>
    <w:lvl w:ilvl="6" w:tplc="4B06AE48" w:tentative="1">
      <w:start w:val="1"/>
      <w:numFmt w:val="decimal"/>
      <w:lvlText w:val="%7."/>
      <w:lvlJc w:val="left"/>
      <w:pPr>
        <w:ind w:left="5040" w:hanging="360"/>
      </w:pPr>
    </w:lvl>
    <w:lvl w:ilvl="7" w:tplc="7BA2750E" w:tentative="1">
      <w:start w:val="1"/>
      <w:numFmt w:val="lowerLetter"/>
      <w:lvlText w:val="%8."/>
      <w:lvlJc w:val="left"/>
      <w:pPr>
        <w:ind w:left="5760" w:hanging="360"/>
      </w:pPr>
    </w:lvl>
    <w:lvl w:ilvl="8" w:tplc="26DEA0F2" w:tentative="1">
      <w:start w:val="1"/>
      <w:numFmt w:val="lowerRoman"/>
      <w:lvlText w:val="%9."/>
      <w:lvlJc w:val="right"/>
      <w:pPr>
        <w:ind w:left="6480" w:hanging="180"/>
      </w:pPr>
    </w:lvl>
  </w:abstractNum>
  <w:abstractNum w:abstractNumId="3" w15:restartNumberingAfterBreak="0">
    <w:nsid w:val="2BEC4112"/>
    <w:multiLevelType w:val="hybridMultilevel"/>
    <w:tmpl w:val="A0541D8C"/>
    <w:lvl w:ilvl="0" w:tplc="0FEE8EC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83B66C8"/>
    <w:multiLevelType w:val="hybridMultilevel"/>
    <w:tmpl w:val="27368970"/>
    <w:lvl w:ilvl="0" w:tplc="CD969E8E">
      <w:start w:val="1"/>
      <w:numFmt w:val="lowerRoman"/>
      <w:lvlText w:val="(%1)"/>
      <w:lvlJc w:val="left"/>
      <w:pPr>
        <w:ind w:left="720" w:hanging="72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3CAA06EB"/>
    <w:multiLevelType w:val="hybridMultilevel"/>
    <w:tmpl w:val="0C16EB7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456C7C56"/>
    <w:multiLevelType w:val="multilevel"/>
    <w:tmpl w:val="84484704"/>
    <w:lvl w:ilvl="0">
      <w:start w:val="1"/>
      <w:numFmt w:val="bullet"/>
      <w:lvlText w:val=""/>
      <w:lvlJc w:val="left"/>
      <w:pPr>
        <w:tabs>
          <w:tab w:val="num" w:pos="284"/>
        </w:tabs>
        <w:ind w:left="284" w:hanging="360"/>
      </w:pPr>
      <w:rPr>
        <w:rFonts w:ascii="Symbol" w:hAnsi="Symbol" w:cs="Symbol" w:hint="default"/>
      </w:rPr>
    </w:lvl>
    <w:lvl w:ilvl="1">
      <w:start w:val="1"/>
      <w:numFmt w:val="bullet"/>
      <w:lvlText w:val=""/>
      <w:lvlJc w:val="left"/>
      <w:pPr>
        <w:tabs>
          <w:tab w:val="num" w:pos="644"/>
        </w:tabs>
        <w:ind w:left="644" w:hanging="360"/>
      </w:pPr>
      <w:rPr>
        <w:rFonts w:ascii="Symbol" w:hAnsi="Symbol" w:cs="Symbol" w:hint="default"/>
      </w:rPr>
    </w:lvl>
    <w:lvl w:ilvl="2">
      <w:start w:val="1"/>
      <w:numFmt w:val="bullet"/>
      <w:lvlText w:val="▪"/>
      <w:lvlJc w:val="left"/>
      <w:pPr>
        <w:tabs>
          <w:tab w:val="num" w:pos="1004"/>
        </w:tabs>
        <w:ind w:left="1004" w:hanging="360"/>
      </w:pPr>
      <w:rPr>
        <w:rFonts w:ascii="OpenSymbol" w:hAnsi="OpenSymbol" w:cs="OpenSymbol" w:hint="default"/>
      </w:rPr>
    </w:lvl>
    <w:lvl w:ilvl="3">
      <w:start w:val="1"/>
      <w:numFmt w:val="bullet"/>
      <w:lvlText w:val=""/>
      <w:lvlJc w:val="left"/>
      <w:pPr>
        <w:tabs>
          <w:tab w:val="num" w:pos="1364"/>
        </w:tabs>
        <w:ind w:left="1364" w:hanging="360"/>
      </w:pPr>
      <w:rPr>
        <w:rFonts w:ascii="Symbol" w:hAnsi="Symbol" w:cs="Symbol" w:hint="default"/>
      </w:rPr>
    </w:lvl>
    <w:lvl w:ilvl="4">
      <w:start w:val="1"/>
      <w:numFmt w:val="bullet"/>
      <w:lvlText w:val="◦"/>
      <w:lvlJc w:val="left"/>
      <w:pPr>
        <w:tabs>
          <w:tab w:val="num" w:pos="1724"/>
        </w:tabs>
        <w:ind w:left="1724" w:hanging="360"/>
      </w:pPr>
      <w:rPr>
        <w:rFonts w:ascii="OpenSymbol" w:hAnsi="OpenSymbol" w:cs="OpenSymbol" w:hint="default"/>
      </w:rPr>
    </w:lvl>
    <w:lvl w:ilvl="5">
      <w:start w:val="1"/>
      <w:numFmt w:val="bullet"/>
      <w:lvlText w:val="▪"/>
      <w:lvlJc w:val="left"/>
      <w:pPr>
        <w:tabs>
          <w:tab w:val="num" w:pos="2084"/>
        </w:tabs>
        <w:ind w:left="2084" w:hanging="360"/>
      </w:pPr>
      <w:rPr>
        <w:rFonts w:ascii="OpenSymbol" w:hAnsi="OpenSymbol" w:cs="OpenSymbol" w:hint="default"/>
      </w:rPr>
    </w:lvl>
    <w:lvl w:ilvl="6">
      <w:start w:val="1"/>
      <w:numFmt w:val="bullet"/>
      <w:lvlText w:val=""/>
      <w:lvlJc w:val="left"/>
      <w:pPr>
        <w:tabs>
          <w:tab w:val="num" w:pos="2444"/>
        </w:tabs>
        <w:ind w:left="2444" w:hanging="360"/>
      </w:pPr>
      <w:rPr>
        <w:rFonts w:ascii="Symbol" w:hAnsi="Symbol" w:cs="Symbol" w:hint="default"/>
      </w:rPr>
    </w:lvl>
    <w:lvl w:ilvl="7">
      <w:start w:val="1"/>
      <w:numFmt w:val="bullet"/>
      <w:lvlText w:val="◦"/>
      <w:lvlJc w:val="left"/>
      <w:pPr>
        <w:tabs>
          <w:tab w:val="num" w:pos="2804"/>
        </w:tabs>
        <w:ind w:left="2804" w:hanging="360"/>
      </w:pPr>
      <w:rPr>
        <w:rFonts w:ascii="OpenSymbol" w:hAnsi="OpenSymbol" w:cs="OpenSymbol" w:hint="default"/>
      </w:rPr>
    </w:lvl>
    <w:lvl w:ilvl="8">
      <w:start w:val="1"/>
      <w:numFmt w:val="bullet"/>
      <w:lvlText w:val="▪"/>
      <w:lvlJc w:val="left"/>
      <w:pPr>
        <w:tabs>
          <w:tab w:val="num" w:pos="3164"/>
        </w:tabs>
        <w:ind w:left="3164" w:hanging="360"/>
      </w:pPr>
      <w:rPr>
        <w:rFonts w:ascii="OpenSymbol" w:hAnsi="OpenSymbol" w:cs="OpenSymbol" w:hint="default"/>
      </w:rPr>
    </w:lvl>
  </w:abstractNum>
  <w:abstractNum w:abstractNumId="7" w15:restartNumberingAfterBreak="0">
    <w:nsid w:val="52BA648E"/>
    <w:multiLevelType w:val="hybridMultilevel"/>
    <w:tmpl w:val="DAF6AF9C"/>
    <w:lvl w:ilvl="0" w:tplc="04240001">
      <w:start w:val="1"/>
      <w:numFmt w:val="bullet"/>
      <w:lvlText w:val=""/>
      <w:lvlJc w:val="left"/>
      <w:pPr>
        <w:ind w:left="1068" w:hanging="360"/>
      </w:pPr>
      <w:rPr>
        <w:rFonts w:ascii="Symbol" w:hAnsi="Symbol" w:hint="default"/>
      </w:rPr>
    </w:lvl>
    <w:lvl w:ilvl="1" w:tplc="04240001">
      <w:start w:val="1"/>
      <w:numFmt w:val="bullet"/>
      <w:lvlText w:val=""/>
      <w:lvlJc w:val="left"/>
      <w:pPr>
        <w:ind w:left="1788" w:hanging="360"/>
      </w:pPr>
      <w:rPr>
        <w:rFonts w:ascii="Symbol" w:hAnsi="Symbo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 w15:restartNumberingAfterBreak="0">
    <w:nsid w:val="589B06C6"/>
    <w:multiLevelType w:val="hybridMultilevel"/>
    <w:tmpl w:val="CA90A7C6"/>
    <w:lvl w:ilvl="0" w:tplc="E168F85C">
      <w:numFmt w:val="bullet"/>
      <w:lvlText w:val="-"/>
      <w:lvlJc w:val="left"/>
      <w:pPr>
        <w:ind w:left="720" w:hanging="360"/>
      </w:pPr>
      <w:rPr>
        <w:rFonts w:ascii="Arial" w:eastAsia="Times New Roman" w:hAnsi="Arial" w:cs="Arial" w:hint="default"/>
      </w:rPr>
    </w:lvl>
    <w:lvl w:ilvl="1" w:tplc="6E3088A0" w:tentative="1">
      <w:start w:val="1"/>
      <w:numFmt w:val="bullet"/>
      <w:lvlText w:val="o"/>
      <w:lvlJc w:val="left"/>
      <w:pPr>
        <w:ind w:left="1440" w:hanging="360"/>
      </w:pPr>
      <w:rPr>
        <w:rFonts w:ascii="Courier New" w:hAnsi="Courier New" w:cs="Courier New" w:hint="default"/>
      </w:rPr>
    </w:lvl>
    <w:lvl w:ilvl="2" w:tplc="F294AB28" w:tentative="1">
      <w:start w:val="1"/>
      <w:numFmt w:val="bullet"/>
      <w:lvlText w:val=""/>
      <w:lvlJc w:val="left"/>
      <w:pPr>
        <w:ind w:left="2160" w:hanging="360"/>
      </w:pPr>
      <w:rPr>
        <w:rFonts w:ascii="Wingdings" w:hAnsi="Wingdings" w:hint="default"/>
      </w:rPr>
    </w:lvl>
    <w:lvl w:ilvl="3" w:tplc="C6F65A5A" w:tentative="1">
      <w:start w:val="1"/>
      <w:numFmt w:val="bullet"/>
      <w:lvlText w:val=""/>
      <w:lvlJc w:val="left"/>
      <w:pPr>
        <w:ind w:left="2880" w:hanging="360"/>
      </w:pPr>
      <w:rPr>
        <w:rFonts w:ascii="Symbol" w:hAnsi="Symbol" w:hint="default"/>
      </w:rPr>
    </w:lvl>
    <w:lvl w:ilvl="4" w:tplc="C26C3DEC" w:tentative="1">
      <w:start w:val="1"/>
      <w:numFmt w:val="bullet"/>
      <w:lvlText w:val="o"/>
      <w:lvlJc w:val="left"/>
      <w:pPr>
        <w:ind w:left="3600" w:hanging="360"/>
      </w:pPr>
      <w:rPr>
        <w:rFonts w:ascii="Courier New" w:hAnsi="Courier New" w:cs="Courier New" w:hint="default"/>
      </w:rPr>
    </w:lvl>
    <w:lvl w:ilvl="5" w:tplc="EF40EB68" w:tentative="1">
      <w:start w:val="1"/>
      <w:numFmt w:val="bullet"/>
      <w:lvlText w:val=""/>
      <w:lvlJc w:val="left"/>
      <w:pPr>
        <w:ind w:left="4320" w:hanging="360"/>
      </w:pPr>
      <w:rPr>
        <w:rFonts w:ascii="Wingdings" w:hAnsi="Wingdings" w:hint="default"/>
      </w:rPr>
    </w:lvl>
    <w:lvl w:ilvl="6" w:tplc="90A6DE32" w:tentative="1">
      <w:start w:val="1"/>
      <w:numFmt w:val="bullet"/>
      <w:lvlText w:val=""/>
      <w:lvlJc w:val="left"/>
      <w:pPr>
        <w:ind w:left="5040" w:hanging="360"/>
      </w:pPr>
      <w:rPr>
        <w:rFonts w:ascii="Symbol" w:hAnsi="Symbol" w:hint="default"/>
      </w:rPr>
    </w:lvl>
    <w:lvl w:ilvl="7" w:tplc="AEE8A530" w:tentative="1">
      <w:start w:val="1"/>
      <w:numFmt w:val="bullet"/>
      <w:lvlText w:val="o"/>
      <w:lvlJc w:val="left"/>
      <w:pPr>
        <w:ind w:left="5760" w:hanging="360"/>
      </w:pPr>
      <w:rPr>
        <w:rFonts w:ascii="Courier New" w:hAnsi="Courier New" w:cs="Courier New" w:hint="default"/>
      </w:rPr>
    </w:lvl>
    <w:lvl w:ilvl="8" w:tplc="8C842D7E" w:tentative="1">
      <w:start w:val="1"/>
      <w:numFmt w:val="bullet"/>
      <w:lvlText w:val=""/>
      <w:lvlJc w:val="left"/>
      <w:pPr>
        <w:ind w:left="6480" w:hanging="360"/>
      </w:pPr>
      <w:rPr>
        <w:rFonts w:ascii="Wingdings" w:hAnsi="Wingdings" w:hint="default"/>
      </w:rPr>
    </w:lvl>
  </w:abstractNum>
  <w:abstractNum w:abstractNumId="9"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10" w15:restartNumberingAfterBreak="0">
    <w:nsid w:val="71937303"/>
    <w:multiLevelType w:val="multilevel"/>
    <w:tmpl w:val="1D56EA2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num w:numId="1">
    <w:abstractNumId w:val="9"/>
  </w:num>
  <w:num w:numId="2">
    <w:abstractNumId w:val="0"/>
  </w:num>
  <w:num w:numId="3">
    <w:abstractNumId w:val="3"/>
  </w:num>
  <w:num w:numId="4">
    <w:abstractNumId w:val="6"/>
  </w:num>
  <w:num w:numId="5">
    <w:abstractNumId w:val="10"/>
  </w:num>
  <w:num w:numId="6">
    <w:abstractNumId w:val="4"/>
  </w:num>
  <w:num w:numId="7">
    <w:abstractNumId w:val="5"/>
  </w:num>
  <w:num w:numId="8">
    <w:abstractNumId w:val="7"/>
  </w:num>
  <w:num w:numId="9">
    <w:abstractNumId w:val="2"/>
  </w:num>
  <w:num w:numId="10">
    <w:abstractNumId w:val="8"/>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A0B9A"/>
    <w:rsid w:val="000B3FE6"/>
    <w:rsid w:val="000F1A51"/>
    <w:rsid w:val="00123FFD"/>
    <w:rsid w:val="00194DA7"/>
    <w:rsid w:val="002F6E93"/>
    <w:rsid w:val="0035524A"/>
    <w:rsid w:val="00366636"/>
    <w:rsid w:val="00367DE6"/>
    <w:rsid w:val="00387468"/>
    <w:rsid w:val="003B3E19"/>
    <w:rsid w:val="003F6990"/>
    <w:rsid w:val="004076C6"/>
    <w:rsid w:val="00457A58"/>
    <w:rsid w:val="004B7F76"/>
    <w:rsid w:val="004D0FAA"/>
    <w:rsid w:val="004E1BCE"/>
    <w:rsid w:val="00592079"/>
    <w:rsid w:val="005C12A8"/>
    <w:rsid w:val="00682FFE"/>
    <w:rsid w:val="00684751"/>
    <w:rsid w:val="006908E3"/>
    <w:rsid w:val="006C69EC"/>
    <w:rsid w:val="007039D0"/>
    <w:rsid w:val="007458AA"/>
    <w:rsid w:val="00767987"/>
    <w:rsid w:val="00782FD4"/>
    <w:rsid w:val="007E1230"/>
    <w:rsid w:val="00811140"/>
    <w:rsid w:val="00854AB9"/>
    <w:rsid w:val="00904A48"/>
    <w:rsid w:val="00912DEF"/>
    <w:rsid w:val="00980294"/>
    <w:rsid w:val="009C5392"/>
    <w:rsid w:val="009F6C50"/>
    <w:rsid w:val="00A50E4B"/>
    <w:rsid w:val="00A51D9C"/>
    <w:rsid w:val="00A9231D"/>
    <w:rsid w:val="00AB52CD"/>
    <w:rsid w:val="00AD3BB3"/>
    <w:rsid w:val="00BC4568"/>
    <w:rsid w:val="00C0216A"/>
    <w:rsid w:val="00CD6077"/>
    <w:rsid w:val="00CE234E"/>
    <w:rsid w:val="00CE3DE2"/>
    <w:rsid w:val="00D02973"/>
    <w:rsid w:val="00D4244B"/>
    <w:rsid w:val="00D57EA5"/>
    <w:rsid w:val="00D6427A"/>
    <w:rsid w:val="00D852CB"/>
    <w:rsid w:val="00DA09BE"/>
    <w:rsid w:val="00DE0772"/>
    <w:rsid w:val="00E83A83"/>
    <w:rsid w:val="00EB2EB7"/>
    <w:rsid w:val="00EC7EE8"/>
    <w:rsid w:val="00F2726D"/>
    <w:rsid w:val="00FB00DD"/>
    <w:rsid w:val="00FF5E8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5:docId w15:val="{505B8EC9-5846-4579-9CD4-C5E45318B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854AB9"/>
    <w:pPr>
      <w:tabs>
        <w:tab w:val="left" w:pos="3402"/>
      </w:tabs>
    </w:pPr>
    <w:rPr>
      <w:lang w:val="it-IT"/>
    </w:rPr>
  </w:style>
  <w:style w:type="paragraph" w:styleId="Besedilooblaka">
    <w:name w:val="Balloon Text"/>
    <w:basedOn w:val="Navaden"/>
    <w:link w:val="BesedilooblakaZnak"/>
    <w:uiPriority w:val="99"/>
    <w:semiHidden/>
    <w:unhideWhenUsed/>
    <w:rsid w:val="006908E3"/>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908E3"/>
    <w:rPr>
      <w:rFonts w:ascii="Tahoma" w:eastAsia="Times New Roman" w:hAnsi="Tahoma" w:cs="Tahoma"/>
      <w:sz w:val="16"/>
      <w:szCs w:val="16"/>
    </w:rPr>
  </w:style>
  <w:style w:type="paragraph" w:styleId="Odstavekseznama">
    <w:name w:val="List Paragraph"/>
    <w:aliases w:val="numbered list"/>
    <w:basedOn w:val="Navaden"/>
    <w:link w:val="OdstavekseznamaZnak"/>
    <w:uiPriority w:val="34"/>
    <w:qFormat/>
    <w:rsid w:val="00FF5E83"/>
    <w:pPr>
      <w:ind w:left="720"/>
      <w:contextualSpacing/>
    </w:pPr>
  </w:style>
  <w:style w:type="character" w:styleId="Hiperpovezava">
    <w:name w:val="Hyperlink"/>
    <w:rsid w:val="007458AA"/>
    <w:rPr>
      <w:color w:val="0000FF"/>
      <w:u w:val="single"/>
    </w:rPr>
  </w:style>
  <w:style w:type="paragraph" w:customStyle="1" w:styleId="Naslovpredpisa">
    <w:name w:val="Naslov_predpisa"/>
    <w:basedOn w:val="Navaden"/>
    <w:link w:val="NaslovpredpisaZnak"/>
    <w:qFormat/>
    <w:rsid w:val="00F2726D"/>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F2726D"/>
    <w:rPr>
      <w:rFonts w:ascii="Arial" w:eastAsia="Times New Roman" w:hAnsi="Arial" w:cs="Arial"/>
      <w:b/>
      <w:lang w:eastAsia="sl-SI"/>
    </w:rPr>
  </w:style>
  <w:style w:type="paragraph" w:styleId="Brezrazmikov">
    <w:name w:val="No Spacing"/>
    <w:uiPriority w:val="1"/>
    <w:qFormat/>
    <w:rsid w:val="0035524A"/>
    <w:pPr>
      <w:spacing w:after="0" w:line="240" w:lineRule="auto"/>
    </w:pPr>
    <w:rPr>
      <w:rFonts w:ascii="Calibri" w:eastAsia="Calibri" w:hAnsi="Calibri" w:cs="Times New Roman"/>
    </w:rPr>
  </w:style>
  <w:style w:type="paragraph" w:styleId="Telobesedila-zamik">
    <w:name w:val="Body Text Indent"/>
    <w:basedOn w:val="Navaden"/>
    <w:link w:val="Telobesedila-zamikZnak"/>
    <w:rsid w:val="00D852CB"/>
    <w:pPr>
      <w:tabs>
        <w:tab w:val="left" w:pos="5812"/>
      </w:tabs>
      <w:suppressAutoHyphens/>
      <w:spacing w:line="240" w:lineRule="auto"/>
      <w:ind w:left="360"/>
      <w:jc w:val="both"/>
    </w:pPr>
    <w:rPr>
      <w:rFonts w:ascii="Times New Roman" w:hAnsi="Times New Roman"/>
      <w:bCs/>
      <w:i/>
      <w:iCs/>
      <w:sz w:val="24"/>
      <w:szCs w:val="20"/>
    </w:rPr>
  </w:style>
  <w:style w:type="character" w:customStyle="1" w:styleId="Telobesedila-zamikZnak">
    <w:name w:val="Telo besedila - zamik Znak"/>
    <w:basedOn w:val="Privzetapisavaodstavka"/>
    <w:link w:val="Telobesedila-zamik"/>
    <w:rsid w:val="00D852CB"/>
    <w:rPr>
      <w:rFonts w:ascii="Times New Roman" w:eastAsia="Times New Roman" w:hAnsi="Times New Roman" w:cs="Times New Roman"/>
      <w:bCs/>
      <w:i/>
      <w:iCs/>
      <w:sz w:val="24"/>
      <w:szCs w:val="20"/>
    </w:rPr>
  </w:style>
  <w:style w:type="table" w:styleId="Tabelamrea">
    <w:name w:val="Table Grid"/>
    <w:basedOn w:val="Navadnatabela"/>
    <w:uiPriority w:val="39"/>
    <w:rsid w:val="00D852CB"/>
    <w:pPr>
      <w:suppressAutoHyphens/>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OdstavekseznamaZnak">
    <w:name w:val="Odstavek seznama Znak"/>
    <w:aliases w:val="numbered list Znak"/>
    <w:basedOn w:val="Privzetapisavaodstavka"/>
    <w:link w:val="Odstavekseznama"/>
    <w:uiPriority w:val="34"/>
    <w:rsid w:val="00D852CB"/>
    <w:rPr>
      <w:rFonts w:ascii="Arial" w:eastAsia="Times New Roman" w:hAnsi="Arial" w:cs="Times New Roman"/>
      <w:sz w:val="20"/>
      <w:szCs w:val="24"/>
    </w:rPr>
  </w:style>
  <w:style w:type="paragraph" w:customStyle="1" w:styleId="Neotevilenodstavek">
    <w:name w:val="Neoštevilčen odstavek"/>
    <w:basedOn w:val="Navaden"/>
    <w:link w:val="NeotevilenodstavekZnak"/>
    <w:qFormat/>
    <w:rsid w:val="000A0B9A"/>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0A0B9A"/>
    <w:rPr>
      <w:rFonts w:ascii="Arial" w:eastAsia="Times New Roman" w:hAnsi="Arial" w:cs="Arial"/>
      <w:lang w:eastAsia="sl-SI"/>
    </w:rPr>
  </w:style>
  <w:style w:type="character" w:customStyle="1" w:styleId="Bodytext2">
    <w:name w:val="Body text (2)_"/>
    <w:basedOn w:val="Privzetapisavaodstavka"/>
    <w:link w:val="Bodytext20"/>
    <w:rsid w:val="00A51D9C"/>
    <w:rPr>
      <w:rFonts w:ascii="Arial" w:eastAsia="Arial" w:hAnsi="Arial" w:cs="Arial"/>
      <w:shd w:val="clear" w:color="auto" w:fill="FFFFFF"/>
    </w:rPr>
  </w:style>
  <w:style w:type="paragraph" w:customStyle="1" w:styleId="Bodytext20">
    <w:name w:val="Body text (2)"/>
    <w:basedOn w:val="Navaden"/>
    <w:link w:val="Bodytext2"/>
    <w:rsid w:val="00A51D9C"/>
    <w:pPr>
      <w:widowControl w:val="0"/>
      <w:shd w:val="clear" w:color="auto" w:fill="FFFFFF"/>
      <w:spacing w:before="1500" w:line="0" w:lineRule="atLeast"/>
      <w:jc w:val="both"/>
    </w:pPr>
    <w:rPr>
      <w:rFonts w:eastAsia="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905</Words>
  <Characters>5162</Characters>
  <Application>Microsoft Office Word</Application>
  <DocSecurity>0</DocSecurity>
  <Lines>43</Lines>
  <Paragraphs>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6055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Ingrid Hribar</dc:creator>
  <cp:keywords/>
  <dc:description/>
  <cp:lastModifiedBy>Ingrid Rupčič</cp:lastModifiedBy>
  <cp:revision>2</cp:revision>
  <dcterms:created xsi:type="dcterms:W3CDTF">2023-09-12T05:06:00Z</dcterms:created>
  <dcterms:modified xsi:type="dcterms:W3CDTF">2023-09-12T05:06:00Z</dcterms:modified>
</cp:coreProperties>
</file>