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347" w:rsidRPr="00331347" w:rsidRDefault="00D07C1F" w:rsidP="00331347">
      <w:pPr>
        <w:rPr>
          <w:b/>
        </w:rPr>
      </w:pPr>
      <w:bookmarkStart w:id="0" w:name="_GoBack"/>
      <w:bookmarkEnd w:id="0"/>
      <w:r>
        <w:rPr>
          <w:b/>
        </w:rPr>
        <w:t>Priloga 3</w:t>
      </w:r>
      <w:r w:rsidR="00331347" w:rsidRPr="00331347">
        <w:rPr>
          <w:b/>
        </w:rPr>
        <w:t>: Katalog kršitev in sankcij</w:t>
      </w:r>
    </w:p>
    <w:p w:rsidR="00331347" w:rsidRDefault="00331347" w:rsidP="00331347"/>
    <w:p w:rsidR="00331347" w:rsidRDefault="00331347" w:rsidP="00331347"/>
    <w:p w:rsidR="00331347" w:rsidRDefault="00331347" w:rsidP="00331347">
      <w:r>
        <w:t>–</w:t>
      </w:r>
      <w:r>
        <w:tab/>
        <w:t>Če upravičenec krši določbo 1. točke 11. člena te uredbe, mora v proračun Republike Slovenije vrniti vsa že izplačana sredstva skupaj z zakonitimi zamudnimi obrestmi, kot to določa Zakon o kmetijstvu, drugi obrok podpore pa se mu ne izplača.</w:t>
      </w:r>
    </w:p>
    <w:p w:rsidR="00331347" w:rsidRDefault="00331347" w:rsidP="00331347">
      <w:r>
        <w:t>–</w:t>
      </w:r>
      <w:r>
        <w:tab/>
        <w:t>Če upravičenec krši določbo 3. točke 11. člena te uredbe na način, da se mu odvzame status skupine ali organizacije proizvajalcev oziroma ne pridobi certifikata o ekološki pridelavi oziroma predelavi kmetijskih pridelkov oziroma živil, znotraj obdobja upravičenosti do podpore, mora v proračun vrniti vsa pridobljena sredstva, izključi se ga iz intervencije, kot to določa Zakon o kmetijstvu.</w:t>
      </w:r>
    </w:p>
    <w:p w:rsidR="00331347" w:rsidRDefault="00331347" w:rsidP="00331347">
      <w:r>
        <w:t>–</w:t>
      </w:r>
      <w:r>
        <w:tab/>
        <w:t>Če upravičenec krši določbo 3. točke 11. člena te uredbe na način, da se mu odvzame status skupine ali organizacije proizvajalcev oziroma ne pridobi certifikata o ekološki pridelavi oziroma predelavi kmetijskih pridelkov oziroma živil po izteku obdobja upravičenosti vendar znotraj treh koledarskih let od vložitve zadnjega zahtevka za izplačilo, mora v proračun Republike Slovenije vrniti 20 odstotkov izplačanih sredstev.</w:t>
      </w:r>
    </w:p>
    <w:p w:rsidR="00331347" w:rsidRDefault="00331347" w:rsidP="00331347">
      <w:r>
        <w:t>–</w:t>
      </w:r>
      <w:r>
        <w:tab/>
        <w:t xml:space="preserve">Če upravičenec krši določbo 6. točke 11. člena mora v proračun Republike Slovenije vrniti 20 odstotkov izplačanih sredstev. </w:t>
      </w:r>
    </w:p>
    <w:p w:rsidR="002F6A7E" w:rsidRDefault="00331347" w:rsidP="00331347">
      <w:r>
        <w:t>–</w:t>
      </w:r>
      <w:r>
        <w:tab/>
        <w:t xml:space="preserve">Če upravičenec po pozivu AKTRP ne predloži poročila o realizaciji ciljev oziroma poročila o napredku v skladu s </w:t>
      </w:r>
      <w:r w:rsidR="003B3C5C">
        <w:t>četrtim odstavkom 13. člena</w:t>
      </w:r>
      <w:r>
        <w:t xml:space="preserve"> te uredbe, mora v proračun Republike Slovenije vrniti 10 odstotkov izplačanih sredstev.</w:t>
      </w:r>
    </w:p>
    <w:sectPr w:rsidR="002F6A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347"/>
    <w:rsid w:val="002F6A7E"/>
    <w:rsid w:val="00331347"/>
    <w:rsid w:val="003B3C5C"/>
    <w:rsid w:val="005A74F9"/>
    <w:rsid w:val="00D0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0D694F-C5DE-4AF8-ADE9-019BDB9A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Pirkovič</dc:creator>
  <cp:keywords/>
  <dc:description/>
  <cp:lastModifiedBy>Robert Pirkovič</cp:lastModifiedBy>
  <cp:revision>2</cp:revision>
  <dcterms:created xsi:type="dcterms:W3CDTF">2023-06-28T09:52:00Z</dcterms:created>
  <dcterms:modified xsi:type="dcterms:W3CDTF">2023-06-28T09:52:00Z</dcterms:modified>
</cp:coreProperties>
</file>