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267F3" w14:textId="15E39727" w:rsidR="00C3311D" w:rsidRDefault="00C3311D" w:rsidP="00345201">
      <w:pPr>
        <w:pStyle w:val="Heading1"/>
        <w:numPr>
          <w:ilvl w:val="0"/>
          <w:numId w:val="0"/>
        </w:numPr>
        <w:spacing w:before="0" w:after="0"/>
        <w:ind w:left="431" w:right="40" w:hanging="431"/>
        <w:jc w:val="center"/>
      </w:pPr>
      <w:bookmarkStart w:id="0" w:name="_Toc135405147"/>
      <w:r>
        <w:t xml:space="preserve">Pravilnik o </w:t>
      </w:r>
      <w:r>
        <w:rPr>
          <w:bCs/>
        </w:rPr>
        <w:t>minimalnih zahtevah glede na celotno energetsko učinkovitost, ustrezno velikost, prilagoditev in nadzor nad sistemi za avtomatizacijo in nadzor stavb</w:t>
      </w:r>
      <w:bookmarkEnd w:id="0"/>
    </w:p>
    <w:p w14:paraId="731A9F61" w14:textId="77777777" w:rsidR="00C3311D" w:rsidRDefault="00C3311D" w:rsidP="00C3311D">
      <w:pPr>
        <w:spacing w:beforeLines="60" w:before="144"/>
      </w:pPr>
    </w:p>
    <w:p w14:paraId="5F613EBA" w14:textId="77777777" w:rsidR="00C3311D" w:rsidRDefault="00C3311D" w:rsidP="00C3311D">
      <w:pPr>
        <w:rPr>
          <w:rFonts w:asciiTheme="minorHAnsi" w:hAnsiTheme="minorHAnsi"/>
          <w:color w:val="000000" w:themeColor="text1"/>
          <w:szCs w:val="22"/>
          <w:lang w:eastAsia="en-US"/>
        </w:rPr>
      </w:pPr>
      <w:r>
        <w:rPr>
          <w:color w:val="000000" w:themeColor="text1"/>
        </w:rPr>
        <w:t>Na podlagi tretjega odstavka 37. člena Zakona o učinkoviti rabi energije (Uradni list RS, št. 158/20) minister za okolje, podnebje in energijo izdaja</w:t>
      </w:r>
    </w:p>
    <w:p w14:paraId="30B05464" w14:textId="77777777" w:rsidR="00C3311D" w:rsidRDefault="00C3311D" w:rsidP="00C3311D">
      <w:pPr>
        <w:overflowPunct w:val="0"/>
        <w:autoSpaceDE w:val="0"/>
        <w:autoSpaceDN w:val="0"/>
        <w:adjustRightInd w:val="0"/>
        <w:spacing w:line="260" w:lineRule="atLeast"/>
        <w:jc w:val="center"/>
        <w:textAlignment w:val="baseline"/>
        <w:rPr>
          <w:rFonts w:cs="Arial"/>
          <w:b/>
          <w:sz w:val="24"/>
          <w:szCs w:val="28"/>
        </w:rPr>
      </w:pPr>
    </w:p>
    <w:p w14:paraId="77A24C9A" w14:textId="77777777" w:rsidR="00C3311D" w:rsidRDefault="00C3311D" w:rsidP="00C3311D">
      <w:pPr>
        <w:jc w:val="center"/>
        <w:rPr>
          <w:rFonts w:asciiTheme="minorHAnsi" w:hAnsiTheme="minorHAnsi" w:cstheme="minorBidi"/>
          <w:b/>
          <w:bCs/>
          <w:szCs w:val="22"/>
        </w:rPr>
      </w:pPr>
      <w:r>
        <w:rPr>
          <w:b/>
          <w:bCs/>
        </w:rPr>
        <w:t>PRAVILNIK</w:t>
      </w:r>
    </w:p>
    <w:p w14:paraId="2861ACB4" w14:textId="77777777" w:rsidR="00C3311D" w:rsidRDefault="00C3311D" w:rsidP="00C3311D">
      <w:pPr>
        <w:overflowPunct w:val="0"/>
        <w:autoSpaceDE w:val="0"/>
        <w:autoSpaceDN w:val="0"/>
        <w:adjustRightInd w:val="0"/>
        <w:spacing w:line="260" w:lineRule="atLeast"/>
        <w:jc w:val="center"/>
        <w:textAlignment w:val="baseline"/>
        <w:rPr>
          <w:rFonts w:cs="Arial"/>
          <w:b/>
          <w:sz w:val="24"/>
          <w:szCs w:val="28"/>
        </w:rPr>
      </w:pPr>
      <w:r>
        <w:rPr>
          <w:rFonts w:cstheme="minorHAnsi"/>
          <w:b/>
        </w:rPr>
        <w:t>o minimalnih zahtevah glede na celotno energetsko učinkovitost, ustrezno velikost, prilagoditev in nadzor nad sistemi za avtomatizacijo in nadzor stavb</w:t>
      </w:r>
    </w:p>
    <w:p w14:paraId="462B3980" w14:textId="77777777" w:rsidR="00C3311D" w:rsidRDefault="00C3311D" w:rsidP="00C3311D">
      <w:pPr>
        <w:pStyle w:val="podpisi"/>
        <w:jc w:val="center"/>
        <w:rPr>
          <w:szCs w:val="20"/>
          <w:lang w:val="sl-SI"/>
        </w:rPr>
      </w:pPr>
    </w:p>
    <w:p w14:paraId="0349C19D" w14:textId="77777777" w:rsidR="00C3311D" w:rsidRDefault="00C3311D" w:rsidP="00C3311D">
      <w:pPr>
        <w:pStyle w:val="podpisi"/>
        <w:jc w:val="center"/>
        <w:rPr>
          <w:szCs w:val="20"/>
          <w:lang w:val="sl-SI"/>
        </w:rPr>
      </w:pPr>
    </w:p>
    <w:p w14:paraId="3F955CE8" w14:textId="77777777" w:rsidR="00C3311D" w:rsidRDefault="00C3311D" w:rsidP="00C3311D">
      <w:pPr>
        <w:jc w:val="center"/>
        <w:rPr>
          <w:rFonts w:cstheme="minorHAnsi"/>
          <w:szCs w:val="22"/>
        </w:rPr>
      </w:pPr>
      <w:r>
        <w:rPr>
          <w:rFonts w:cstheme="minorHAnsi"/>
        </w:rPr>
        <w:t>I. SPLOŠNE DOLOČBE</w:t>
      </w:r>
    </w:p>
    <w:p w14:paraId="601A04F3" w14:textId="77777777" w:rsidR="00C3311D" w:rsidRDefault="00C3311D" w:rsidP="00C3311D">
      <w:pPr>
        <w:pStyle w:val="lenbesedilo"/>
        <w:rPr>
          <w:rFonts w:asciiTheme="minorHAnsi" w:hAnsiTheme="minorHAnsi" w:cstheme="minorHAnsi"/>
          <w:szCs w:val="22"/>
        </w:rPr>
      </w:pPr>
    </w:p>
    <w:p w14:paraId="613CD8DC" w14:textId="77777777" w:rsidR="00C3311D" w:rsidRDefault="00C3311D" w:rsidP="00C3311D">
      <w:pPr>
        <w:pStyle w:val="Caption"/>
        <w:spacing w:after="0" w:line="254" w:lineRule="auto"/>
        <w:rPr>
          <w:rFonts w:asciiTheme="minorHAnsi" w:hAnsiTheme="minorHAnsi" w:cstheme="minorHAnsi"/>
          <w:b/>
          <w:bCs/>
          <w:i w:val="0"/>
          <w:color w:val="000000" w:themeColor="text1"/>
          <w:szCs w:val="22"/>
        </w:rPr>
      </w:pP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begin"/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instrText xml:space="preserve"> SEQ Člen \* ARABIC </w:instrTex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separate"/>
      </w:r>
      <w:r>
        <w:rPr>
          <w:rFonts w:cstheme="minorHAnsi"/>
          <w:b/>
          <w:bCs/>
          <w:i w:val="0"/>
          <w:iCs/>
          <w:noProof/>
          <w:color w:val="000000" w:themeColor="text1"/>
          <w:szCs w:val="22"/>
        </w:rPr>
        <w:t>1</w: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end"/>
      </w:r>
      <w:r>
        <w:rPr>
          <w:b/>
          <w:bCs/>
          <w:i w:val="0"/>
          <w:iCs/>
          <w:color w:val="000000" w:themeColor="text1"/>
          <w:szCs w:val="22"/>
        </w:rPr>
        <w:t>. člen</w:t>
      </w:r>
    </w:p>
    <w:p w14:paraId="7658500D" w14:textId="77777777" w:rsidR="00C3311D" w:rsidRDefault="00C3311D" w:rsidP="00C3311D">
      <w:pPr>
        <w:jc w:val="center"/>
        <w:rPr>
          <w:rFonts w:cstheme="minorHAnsi"/>
          <w:b/>
          <w:bCs/>
          <w:szCs w:val="22"/>
          <w:lang w:eastAsia="en-US"/>
        </w:rPr>
      </w:pPr>
      <w:r>
        <w:rPr>
          <w:rFonts w:cstheme="minorHAnsi"/>
          <w:b/>
          <w:bCs/>
        </w:rPr>
        <w:t>(vsebina)</w:t>
      </w:r>
    </w:p>
    <w:p w14:paraId="350404A6" w14:textId="77777777" w:rsidR="00C3311D" w:rsidRDefault="00C3311D" w:rsidP="00C3311D">
      <w:pPr>
        <w:jc w:val="center"/>
        <w:rPr>
          <w:rFonts w:cstheme="minorHAnsi"/>
          <w:b/>
          <w:bCs/>
        </w:rPr>
      </w:pPr>
    </w:p>
    <w:p w14:paraId="76332CF1" w14:textId="77777777" w:rsidR="00C3311D" w:rsidRDefault="00C3311D" w:rsidP="00C3311D">
      <w:pPr>
        <w:ind w:firstLine="284"/>
        <w:rPr>
          <w:rFonts w:cstheme="minorHAnsi"/>
          <w:lang w:eastAsia="sl-SI"/>
        </w:rPr>
      </w:pPr>
      <w:r>
        <w:rPr>
          <w:rFonts w:cstheme="minorHAnsi"/>
          <w:lang w:eastAsia="sl-SI"/>
        </w:rPr>
        <w:t xml:space="preserve">Ta pravilnik določa </w:t>
      </w:r>
      <w:bookmarkStart w:id="1" w:name="_Hlk134092752"/>
      <w:r>
        <w:rPr>
          <w:rFonts w:cstheme="minorHAnsi"/>
          <w:lang w:eastAsia="sl-SI"/>
        </w:rPr>
        <w:t xml:space="preserve">minimalne zahteve glede na celotno energetsko učinkovitost, ustrezno velikost, prilagoditev in nadzor nad sistem za avtomatizacijo in nadzor stavb </w:t>
      </w:r>
      <w:bookmarkEnd w:id="1"/>
      <w:r>
        <w:rPr>
          <w:rFonts w:cstheme="minorHAnsi"/>
          <w:lang w:eastAsia="sl-SI"/>
        </w:rPr>
        <w:t>(v nadaljnjem besedilu: sistem BAC).</w:t>
      </w:r>
    </w:p>
    <w:p w14:paraId="2450152F" w14:textId="77777777" w:rsidR="00C3311D" w:rsidRDefault="00C3311D" w:rsidP="00C3311D">
      <w:pPr>
        <w:rPr>
          <w:rFonts w:cstheme="minorHAnsi"/>
          <w:b/>
          <w:bCs/>
          <w:lang w:eastAsia="en-US"/>
        </w:rPr>
      </w:pPr>
    </w:p>
    <w:p w14:paraId="2F497AD3" w14:textId="77777777" w:rsidR="00C3311D" w:rsidRDefault="00C3311D" w:rsidP="00C3311D">
      <w:pPr>
        <w:pStyle w:val="Caption"/>
        <w:spacing w:after="0" w:line="254" w:lineRule="auto"/>
        <w:rPr>
          <w:rFonts w:cstheme="minorHAnsi"/>
          <w:b/>
          <w:bCs/>
          <w:i w:val="0"/>
          <w:color w:val="000000" w:themeColor="text1"/>
          <w:szCs w:val="22"/>
        </w:rPr>
      </w:pP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begin"/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instrText xml:space="preserve"> SEQ Člen \* ARABIC </w:instrTex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separate"/>
      </w:r>
      <w:r>
        <w:rPr>
          <w:rFonts w:cstheme="minorHAnsi"/>
          <w:b/>
          <w:bCs/>
          <w:i w:val="0"/>
          <w:iCs/>
          <w:noProof/>
          <w:color w:val="000000" w:themeColor="text1"/>
          <w:szCs w:val="22"/>
        </w:rPr>
        <w:t>2</w: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end"/>
      </w:r>
      <w:r>
        <w:rPr>
          <w:b/>
          <w:bCs/>
          <w:i w:val="0"/>
          <w:iCs/>
          <w:color w:val="000000" w:themeColor="text1"/>
          <w:szCs w:val="22"/>
        </w:rPr>
        <w:t>. člen</w:t>
      </w:r>
    </w:p>
    <w:p w14:paraId="30F9C6D2" w14:textId="77777777" w:rsidR="00C3311D" w:rsidRDefault="00C3311D" w:rsidP="00C3311D">
      <w:pPr>
        <w:jc w:val="center"/>
        <w:rPr>
          <w:rFonts w:cstheme="minorHAnsi"/>
          <w:b/>
          <w:bCs/>
          <w:szCs w:val="22"/>
          <w:lang w:eastAsia="en-US"/>
        </w:rPr>
      </w:pPr>
      <w:r>
        <w:rPr>
          <w:rFonts w:cstheme="minorHAnsi"/>
          <w:b/>
          <w:bCs/>
        </w:rPr>
        <w:t>(obseg)</w:t>
      </w:r>
    </w:p>
    <w:p w14:paraId="794D3BC7" w14:textId="77777777" w:rsidR="00C3311D" w:rsidRDefault="00C3311D" w:rsidP="00C3311D">
      <w:pPr>
        <w:rPr>
          <w:rFonts w:cstheme="minorHAnsi"/>
        </w:rPr>
      </w:pPr>
    </w:p>
    <w:p w14:paraId="22FB4B2A" w14:textId="6C6B3A15" w:rsidR="00C3311D" w:rsidRDefault="00C3311D" w:rsidP="00C3311D">
      <w:pPr>
        <w:ind w:firstLine="284"/>
        <w:rPr>
          <w:rFonts w:cstheme="minorHAnsi"/>
          <w:lang w:eastAsia="sl-SI"/>
        </w:rPr>
      </w:pPr>
      <w:r>
        <w:rPr>
          <w:rFonts w:cstheme="minorHAnsi"/>
        </w:rPr>
        <w:t xml:space="preserve">Ta pravilnik velja za </w:t>
      </w:r>
      <w:r>
        <w:rPr>
          <w:rFonts w:cstheme="minorHAnsi"/>
          <w:lang w:eastAsia="sl-SI"/>
        </w:rPr>
        <w:t>nestanovanjske stavbe, ki imajo nameščen ogrevalni sistem, klimatski sistem, sistem za kombinirano ogrevanje in prezračevanje ali sistem za kombinirano klimatizacijo in prezračevanje z nazivno izhodno močjo nad 290 kW. Te stavbe morajo biti opremljene s sistemi za avtomatizacijo in nadzor stavb, kjer je to tehnično</w:t>
      </w:r>
      <w:r w:rsidR="00CA5C22">
        <w:rPr>
          <w:rFonts w:cstheme="minorHAnsi"/>
          <w:lang w:eastAsia="sl-SI"/>
        </w:rPr>
        <w:t xml:space="preserve"> izvedljivo</w:t>
      </w:r>
      <w:r>
        <w:rPr>
          <w:rFonts w:cstheme="minorHAnsi"/>
          <w:lang w:eastAsia="sl-SI"/>
        </w:rPr>
        <w:t xml:space="preserve"> in ekonomsko</w:t>
      </w:r>
      <w:r w:rsidR="00CA5C22">
        <w:rPr>
          <w:rFonts w:cstheme="minorHAnsi"/>
          <w:lang w:eastAsia="sl-SI"/>
        </w:rPr>
        <w:t xml:space="preserve"> upravičeno.</w:t>
      </w:r>
      <w:r>
        <w:rPr>
          <w:rFonts w:cstheme="minorHAnsi"/>
          <w:lang w:eastAsia="sl-SI"/>
        </w:rPr>
        <w:t xml:space="preserve"> </w:t>
      </w:r>
    </w:p>
    <w:p w14:paraId="1D7F4621" w14:textId="77777777" w:rsidR="00C3311D" w:rsidRDefault="00C3311D" w:rsidP="00C3311D">
      <w:pPr>
        <w:pStyle w:val="podpisi"/>
        <w:jc w:val="center"/>
        <w:rPr>
          <w:szCs w:val="20"/>
          <w:lang w:val="sl-SI"/>
        </w:rPr>
      </w:pPr>
    </w:p>
    <w:p w14:paraId="36B2187C" w14:textId="77777777" w:rsidR="00C3311D" w:rsidRDefault="00C3311D" w:rsidP="00C3311D">
      <w:pPr>
        <w:pStyle w:val="Caption"/>
        <w:spacing w:after="0" w:line="254" w:lineRule="auto"/>
        <w:rPr>
          <w:rFonts w:cstheme="minorHAnsi"/>
          <w:b/>
          <w:bCs/>
          <w:i w:val="0"/>
          <w:color w:val="000000" w:themeColor="text1"/>
          <w:szCs w:val="22"/>
        </w:rPr>
      </w:pP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begin"/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instrText xml:space="preserve"> SEQ Člen \* ARABIC </w:instrTex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separate"/>
      </w:r>
      <w:r>
        <w:rPr>
          <w:rFonts w:cstheme="minorHAnsi"/>
          <w:b/>
          <w:bCs/>
          <w:i w:val="0"/>
          <w:iCs/>
          <w:noProof/>
          <w:color w:val="000000" w:themeColor="text1"/>
          <w:szCs w:val="22"/>
        </w:rPr>
        <w:t>3</w: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end"/>
      </w:r>
      <w:r>
        <w:rPr>
          <w:b/>
          <w:bCs/>
          <w:i w:val="0"/>
          <w:iCs/>
          <w:color w:val="000000" w:themeColor="text1"/>
          <w:szCs w:val="22"/>
        </w:rPr>
        <w:t>. člen</w:t>
      </w:r>
    </w:p>
    <w:p w14:paraId="6962253C" w14:textId="77777777" w:rsidR="00C3311D" w:rsidRDefault="00C3311D" w:rsidP="00C3311D">
      <w:pPr>
        <w:jc w:val="center"/>
        <w:rPr>
          <w:rFonts w:cstheme="minorHAnsi"/>
          <w:b/>
          <w:bCs/>
          <w:szCs w:val="22"/>
          <w:lang w:eastAsia="en-US"/>
        </w:rPr>
      </w:pPr>
      <w:r>
        <w:rPr>
          <w:rFonts w:cstheme="minorHAnsi"/>
          <w:b/>
          <w:bCs/>
        </w:rPr>
        <w:t>(določanje nazivne izhodne moči)</w:t>
      </w:r>
    </w:p>
    <w:p w14:paraId="753B66FB" w14:textId="77777777" w:rsidR="00C3311D" w:rsidRDefault="00C3311D" w:rsidP="00C3311D">
      <w:pPr>
        <w:rPr>
          <w:rFonts w:cstheme="minorHAnsi"/>
        </w:rPr>
      </w:pPr>
    </w:p>
    <w:p w14:paraId="02EA9284" w14:textId="5670F8E7" w:rsidR="00C3311D" w:rsidRDefault="00C3311D" w:rsidP="00C3311D">
      <w:pPr>
        <w:ind w:firstLine="360"/>
        <w:rPr>
          <w:rFonts w:cstheme="minorBidi"/>
          <w:lang w:eastAsia="sl-SI"/>
        </w:rPr>
      </w:pPr>
      <w:r>
        <w:rPr>
          <w:lang w:eastAsia="sl-SI"/>
        </w:rPr>
        <w:t>Pri določanju</w:t>
      </w:r>
      <w:r w:rsidR="00B83F9A">
        <w:rPr>
          <w:lang w:eastAsia="sl-SI"/>
        </w:rPr>
        <w:t xml:space="preserve"> nazivne izhodne moči</w:t>
      </w:r>
      <w:r>
        <w:rPr>
          <w:lang w:eastAsia="sl-SI"/>
        </w:rPr>
        <w:t xml:space="preserve"> </w:t>
      </w:r>
      <w:r w:rsidR="00B83F9A">
        <w:rPr>
          <w:lang w:eastAsia="sl-SI"/>
        </w:rPr>
        <w:t xml:space="preserve">se upošteva </w:t>
      </w:r>
      <w:r>
        <w:rPr>
          <w:lang w:eastAsia="sl-SI"/>
        </w:rPr>
        <w:t>vsoto nazivnih izhodnih moči:</w:t>
      </w:r>
    </w:p>
    <w:p w14:paraId="7C0371A5" w14:textId="77777777" w:rsidR="00C3311D" w:rsidRDefault="00C3311D" w:rsidP="00C3311D">
      <w:pPr>
        <w:pStyle w:val="ListParagraph"/>
        <w:numPr>
          <w:ilvl w:val="0"/>
          <w:numId w:val="10"/>
        </w:numPr>
        <w:spacing w:before="0" w:line="254" w:lineRule="auto"/>
        <w:contextualSpacing/>
      </w:pPr>
      <w:r>
        <w:t>ogrevalnih sistemov z vsemi podsistemi in napravami za proizvodnjo toplote (vseh generatorjev toplote za ogrevanje stavbe, vključno z glavno ogrevalno opremo v prostorih, npr. toplotno črpalko, kotlom, solarnim ogrevalnim sistemom, SPTE in priključno opremo za proizvodnjo toplote v prostorih, npr. električnim neposrednim grelnikom),</w:t>
      </w:r>
    </w:p>
    <w:p w14:paraId="2B2BC0C7" w14:textId="77777777" w:rsidR="00C3311D" w:rsidRDefault="00C3311D" w:rsidP="00C3311D">
      <w:pPr>
        <w:pStyle w:val="ListParagraph"/>
        <w:numPr>
          <w:ilvl w:val="0"/>
          <w:numId w:val="10"/>
        </w:numPr>
        <w:spacing w:before="0" w:line="254" w:lineRule="auto"/>
        <w:contextualSpacing/>
      </w:pPr>
      <w:r>
        <w:t>klimatskih sistemov z vsemi podsistemi in napravami za proizvodnjo hladu (vseh generatorjev hladu v stavbi, vključno z glavno hladilno opremo v prostorih, npr. hladilnimi napravami, toplotnimi črpalkami in priključno opremo za proizvodnjo hladu v prostorih),</w:t>
      </w:r>
    </w:p>
    <w:p w14:paraId="488F6A2F" w14:textId="77777777" w:rsidR="00C3311D" w:rsidRDefault="00C3311D" w:rsidP="00C3311D">
      <w:pPr>
        <w:rPr>
          <w:lang w:eastAsia="sl-SI"/>
        </w:rPr>
      </w:pPr>
      <w:r>
        <w:rPr>
          <w:lang w:eastAsia="sl-SI"/>
        </w:rPr>
        <w:t>v, na, ob stavbi ali v neposredni bližini stavbe.</w:t>
      </w:r>
    </w:p>
    <w:p w14:paraId="40E96963" w14:textId="77777777" w:rsidR="00C3311D" w:rsidRDefault="00C3311D" w:rsidP="00C3311D">
      <w:pPr>
        <w:rPr>
          <w:lang w:eastAsia="sl-SI"/>
        </w:rPr>
      </w:pPr>
    </w:p>
    <w:p w14:paraId="557CCC69" w14:textId="77777777" w:rsidR="00C3311D" w:rsidRDefault="00C3311D" w:rsidP="00C3311D">
      <w:pPr>
        <w:pStyle w:val="lenbesedilo"/>
        <w:rPr>
          <w:rFonts w:asciiTheme="minorHAnsi" w:hAnsiTheme="minorHAnsi" w:cstheme="minorHAnsi"/>
          <w:szCs w:val="22"/>
        </w:rPr>
      </w:pPr>
    </w:p>
    <w:p w14:paraId="2FBAC2FE" w14:textId="77777777" w:rsidR="00C3311D" w:rsidRDefault="00C3311D" w:rsidP="00C3311D">
      <w:pPr>
        <w:jc w:val="center"/>
        <w:rPr>
          <w:rFonts w:asciiTheme="minorHAnsi" w:hAnsiTheme="minorHAnsi" w:cstheme="minorHAnsi"/>
          <w:szCs w:val="22"/>
        </w:rPr>
      </w:pPr>
      <w:r>
        <w:rPr>
          <w:rFonts w:cstheme="minorHAnsi"/>
        </w:rPr>
        <w:t>II. MINIMALNE ZAHTEVE GLEDE NA CELOTNO ENERGETSKO UČINKOVITOST, USTREZNO VELIKOST, PRILAGODITEV IN NADZOR NAD SISTEMI ZA AVTOMATIZACIJO IN NADZOR STAVB</w:t>
      </w:r>
    </w:p>
    <w:p w14:paraId="2AD764DD" w14:textId="77777777" w:rsidR="00C3311D" w:rsidRDefault="00C3311D" w:rsidP="00C3311D">
      <w:pPr>
        <w:pStyle w:val="lenbesedilo"/>
        <w:rPr>
          <w:rFonts w:asciiTheme="minorHAnsi" w:hAnsiTheme="minorHAnsi" w:cstheme="minorHAnsi"/>
          <w:szCs w:val="22"/>
        </w:rPr>
      </w:pPr>
    </w:p>
    <w:p w14:paraId="24453CEA" w14:textId="77777777" w:rsidR="00C3311D" w:rsidRDefault="00C3311D" w:rsidP="00C3311D">
      <w:pPr>
        <w:pStyle w:val="Caption"/>
        <w:spacing w:after="0" w:line="254" w:lineRule="auto"/>
        <w:rPr>
          <w:rFonts w:asciiTheme="minorHAnsi" w:hAnsiTheme="minorHAnsi" w:cstheme="minorHAnsi"/>
          <w:b/>
          <w:bCs/>
          <w:i w:val="0"/>
          <w:color w:val="000000" w:themeColor="text1"/>
          <w:szCs w:val="22"/>
        </w:rPr>
      </w:pP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begin"/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instrText xml:space="preserve"> SEQ Člen \* ARABIC </w:instrTex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separate"/>
      </w:r>
      <w:r>
        <w:rPr>
          <w:rFonts w:cstheme="minorHAnsi"/>
          <w:b/>
          <w:bCs/>
          <w:i w:val="0"/>
          <w:iCs/>
          <w:noProof/>
          <w:color w:val="000000" w:themeColor="text1"/>
          <w:szCs w:val="22"/>
        </w:rPr>
        <w:t>4</w:t>
      </w:r>
      <w:r>
        <w:rPr>
          <w:rFonts w:cstheme="minorHAnsi"/>
          <w:b/>
          <w:bCs/>
          <w:i w:val="0"/>
          <w:iCs/>
          <w:color w:val="000000" w:themeColor="text1"/>
          <w:szCs w:val="22"/>
        </w:rPr>
        <w:fldChar w:fldCharType="end"/>
      </w:r>
      <w:r>
        <w:rPr>
          <w:b/>
          <w:bCs/>
          <w:i w:val="0"/>
          <w:iCs/>
          <w:color w:val="000000" w:themeColor="text1"/>
          <w:szCs w:val="22"/>
        </w:rPr>
        <w:t>. člen</w:t>
      </w:r>
    </w:p>
    <w:p w14:paraId="0F3EB38E" w14:textId="77777777" w:rsidR="00C3311D" w:rsidRDefault="00C3311D" w:rsidP="00C3311D">
      <w:pPr>
        <w:jc w:val="center"/>
        <w:rPr>
          <w:rFonts w:cstheme="minorHAnsi"/>
          <w:b/>
          <w:bCs/>
          <w:szCs w:val="22"/>
          <w:lang w:eastAsia="en-US"/>
        </w:rPr>
      </w:pPr>
      <w:r>
        <w:rPr>
          <w:rFonts w:cstheme="minorHAnsi"/>
          <w:b/>
          <w:bCs/>
        </w:rPr>
        <w:t>(minimalne zahteve za sistem BAC)</w:t>
      </w:r>
    </w:p>
    <w:p w14:paraId="737AFA31" w14:textId="77777777" w:rsidR="00C3311D" w:rsidRDefault="00C3311D" w:rsidP="00C3311D">
      <w:pPr>
        <w:pStyle w:val="lenbesedilo"/>
        <w:rPr>
          <w:rFonts w:asciiTheme="minorHAnsi" w:hAnsiTheme="minorHAnsi" w:cstheme="minorHAnsi"/>
          <w:szCs w:val="22"/>
        </w:rPr>
      </w:pPr>
    </w:p>
    <w:p w14:paraId="4FDD1F10" w14:textId="28E0435C" w:rsidR="00C3311D" w:rsidRDefault="00C3311D" w:rsidP="00C3311D">
      <w:pPr>
        <w:ind w:firstLine="360"/>
        <w:rPr>
          <w:rFonts w:asciiTheme="minorHAnsi" w:hAnsiTheme="minorHAnsi" w:cstheme="minorBidi"/>
          <w:szCs w:val="22"/>
        </w:rPr>
      </w:pPr>
      <w:r>
        <w:t>(1) Minimalne zahteve za sistem BAC so glede na napravo ali tehnični stavbni sistem</w:t>
      </w:r>
      <w:r w:rsidR="00B83F9A">
        <w:t>,</w:t>
      </w:r>
      <w:r>
        <w:t xml:space="preserve"> vgrajen v stavbi, ki ga sistem BAC nadzoruje ali spremlja</w:t>
      </w:r>
      <w:bookmarkStart w:id="2" w:name="_Hlk135140187"/>
      <w:r>
        <w:t xml:space="preserve">, opredeljene v </w:t>
      </w:r>
      <w:r w:rsidR="006F5CE7">
        <w:t>Prilogi</w:t>
      </w:r>
      <w:r>
        <w:t>, ki je sestavni del tega pravilnika</w:t>
      </w:r>
      <w:bookmarkEnd w:id="2"/>
      <w:r>
        <w:t>.</w:t>
      </w:r>
    </w:p>
    <w:p w14:paraId="70FD8CFD" w14:textId="77777777" w:rsidR="00C3311D" w:rsidRDefault="00C3311D" w:rsidP="00C3311D">
      <w:pPr>
        <w:rPr>
          <w:rFonts w:cstheme="minorHAnsi"/>
        </w:rPr>
      </w:pPr>
    </w:p>
    <w:p w14:paraId="4A16C07E" w14:textId="77777777" w:rsidR="00C3311D" w:rsidRDefault="00C3311D" w:rsidP="00C3311D">
      <w:pPr>
        <w:ind w:firstLine="360"/>
        <w:rPr>
          <w:rFonts w:cstheme="minorBidi"/>
        </w:rPr>
      </w:pPr>
    </w:p>
    <w:p w14:paraId="65E381E8" w14:textId="72587041" w:rsidR="00C3311D" w:rsidRDefault="00C3311D" w:rsidP="00C3311D">
      <w:pPr>
        <w:ind w:firstLine="360"/>
      </w:pPr>
      <w:r>
        <w:t xml:space="preserve">(2) Sistem BAC mora nadzorovati vsaj 80 % </w:t>
      </w:r>
      <w:r w:rsidR="006F5CE7">
        <w:t xml:space="preserve">skupne </w:t>
      </w:r>
      <w:r>
        <w:t>nazivne</w:t>
      </w:r>
      <w:r w:rsidR="006F5CE7">
        <w:t xml:space="preserve"> izhodne</w:t>
      </w:r>
      <w:r>
        <w:t xml:space="preserve"> moči:</w:t>
      </w:r>
    </w:p>
    <w:p w14:paraId="63FB7CD7" w14:textId="77777777" w:rsidR="00C3311D" w:rsidRDefault="00C3311D" w:rsidP="00C3311D">
      <w:pPr>
        <w:pStyle w:val="ListParagraph"/>
        <w:numPr>
          <w:ilvl w:val="0"/>
          <w:numId w:val="12"/>
        </w:numPr>
        <w:spacing w:before="0" w:line="254" w:lineRule="auto"/>
        <w:contextualSpacing/>
        <w:jc w:val="left"/>
      </w:pPr>
      <w:r>
        <w:t>ogrevalnih sistemov,</w:t>
      </w:r>
    </w:p>
    <w:p w14:paraId="41F142F6" w14:textId="77777777" w:rsidR="00C3311D" w:rsidRDefault="00C3311D" w:rsidP="00C3311D">
      <w:pPr>
        <w:pStyle w:val="ListParagraph"/>
        <w:numPr>
          <w:ilvl w:val="0"/>
          <w:numId w:val="12"/>
        </w:numPr>
        <w:spacing w:before="0" w:line="254" w:lineRule="auto"/>
        <w:contextualSpacing/>
        <w:jc w:val="left"/>
      </w:pPr>
      <w:r>
        <w:t>klimatskih sistemov,</w:t>
      </w:r>
    </w:p>
    <w:p w14:paraId="5FA29EB3" w14:textId="77777777" w:rsidR="00C3311D" w:rsidRDefault="00C3311D" w:rsidP="00C3311D">
      <w:pPr>
        <w:pStyle w:val="ListParagraph"/>
        <w:numPr>
          <w:ilvl w:val="0"/>
          <w:numId w:val="12"/>
        </w:numPr>
        <w:spacing w:before="0" w:line="254" w:lineRule="auto"/>
        <w:contextualSpacing/>
        <w:jc w:val="left"/>
      </w:pPr>
      <w:r>
        <w:t>prezračevalnih sistemov.</w:t>
      </w:r>
    </w:p>
    <w:p w14:paraId="7CAF0FDE" w14:textId="77777777" w:rsidR="00C3311D" w:rsidRDefault="00C3311D" w:rsidP="00C3311D">
      <w:pPr>
        <w:rPr>
          <w:rFonts w:cstheme="minorHAnsi"/>
        </w:rPr>
      </w:pPr>
    </w:p>
    <w:p w14:paraId="6300A57E" w14:textId="77777777" w:rsidR="00C3311D" w:rsidRDefault="00C3311D" w:rsidP="00C3311D">
      <w:pPr>
        <w:ind w:firstLine="360"/>
        <w:rPr>
          <w:rFonts w:cstheme="minorBidi"/>
        </w:rPr>
      </w:pPr>
      <w:r>
        <w:t>(3) V sistem BAC mora biti vključena regulacija prostorov oziroma con, ki skupaj predstavljajo vsaj 80 % kondicionirane površine stavbe, namenjene neprekinjeni uporabi v času obratovanja stavbe.</w:t>
      </w:r>
    </w:p>
    <w:p w14:paraId="2AD9B7B4" w14:textId="77777777" w:rsidR="00C3311D" w:rsidRDefault="00C3311D" w:rsidP="00C3311D"/>
    <w:p w14:paraId="7D694190" w14:textId="57BE62BE" w:rsidR="00C3311D" w:rsidRDefault="00C3311D" w:rsidP="00C3311D">
      <w:pPr>
        <w:ind w:firstLine="360"/>
      </w:pPr>
      <w:r>
        <w:t xml:space="preserve">(4) </w:t>
      </w:r>
      <w:r w:rsidR="006F5CE7">
        <w:t xml:space="preserve">Zahteve </w:t>
      </w:r>
      <w:r>
        <w:t>iz prvih treh odstavkov tega člena ne veljajo, če namestitev sistema BAC pri obstoječih stavbah ni izvedljiva ali dopustna iz enega ali več naslednjih razlogov:</w:t>
      </w:r>
    </w:p>
    <w:p w14:paraId="4A0534F6" w14:textId="0FB34FD3" w:rsidR="00C3311D" w:rsidRDefault="0004082B" w:rsidP="00C3311D">
      <w:pPr>
        <w:pStyle w:val="ListParagraph"/>
        <w:numPr>
          <w:ilvl w:val="0"/>
          <w:numId w:val="14"/>
        </w:numPr>
        <w:spacing w:before="0" w:line="254" w:lineRule="auto"/>
        <w:contextualSpacing/>
        <w:jc w:val="left"/>
      </w:pPr>
      <w:r>
        <w:t xml:space="preserve">postavitev je </w:t>
      </w:r>
      <w:r w:rsidR="006678AA">
        <w:t>tehničn</w:t>
      </w:r>
      <w:r>
        <w:t>o</w:t>
      </w:r>
      <w:r w:rsidR="006678AA">
        <w:t xml:space="preserve"> neizvedljiv</w:t>
      </w:r>
      <w:r>
        <w:t>a</w:t>
      </w:r>
      <w:r w:rsidR="00C3311D">
        <w:t>,</w:t>
      </w:r>
    </w:p>
    <w:p w14:paraId="44CDA0C0" w14:textId="4BE8FC19" w:rsidR="00C3311D" w:rsidRDefault="00C3311D" w:rsidP="00C3311D">
      <w:pPr>
        <w:pStyle w:val="ListParagraph"/>
        <w:numPr>
          <w:ilvl w:val="0"/>
          <w:numId w:val="14"/>
        </w:numPr>
        <w:spacing w:before="0" w:line="254" w:lineRule="auto"/>
        <w:contextualSpacing/>
        <w:jc w:val="left"/>
      </w:pPr>
      <w:r>
        <w:t xml:space="preserve">postavitev je v nasprotju z javnimi interesi s področja varovanja kulturne dediščine, obrambe ali drugimi </w:t>
      </w:r>
      <w:r w:rsidR="00AC7096">
        <w:t xml:space="preserve">gradbenimi </w:t>
      </w:r>
      <w:r>
        <w:t>predpisi, ki veljajo za stavbo,</w:t>
      </w:r>
    </w:p>
    <w:p w14:paraId="1F9CC85C" w14:textId="1BBBC73E" w:rsidR="00C3311D" w:rsidRDefault="00C3311D" w:rsidP="00C3311D">
      <w:pPr>
        <w:pStyle w:val="ListParagraph"/>
        <w:numPr>
          <w:ilvl w:val="0"/>
          <w:numId w:val="14"/>
        </w:numPr>
        <w:spacing w:before="0" w:line="254" w:lineRule="auto"/>
        <w:contextualSpacing/>
        <w:jc w:val="left"/>
      </w:pPr>
      <w:r>
        <w:t xml:space="preserve">postavitev ekonomsko ni </w:t>
      </w:r>
      <w:r w:rsidR="00985726">
        <w:t>upravičena</w:t>
      </w:r>
      <w:r>
        <w:t>.</w:t>
      </w:r>
    </w:p>
    <w:p w14:paraId="5CBF2665" w14:textId="77777777" w:rsidR="00C3311D" w:rsidRDefault="00C3311D" w:rsidP="00C3311D"/>
    <w:p w14:paraId="2C30DAA4" w14:textId="4DF0BCDE" w:rsidR="00C3311D" w:rsidRDefault="00C3311D" w:rsidP="00C3311D">
      <w:pPr>
        <w:ind w:firstLine="360"/>
      </w:pPr>
      <w:r>
        <w:t xml:space="preserve">(5) Stroški in </w:t>
      </w:r>
      <w:r w:rsidR="00985726">
        <w:t>koristi</w:t>
      </w:r>
      <w:r>
        <w:t xml:space="preserve">, ki se upoštevajo za določitev ekonomske </w:t>
      </w:r>
      <w:r w:rsidR="00985726">
        <w:t>upravičenosti</w:t>
      </w:r>
      <w:r>
        <w:t xml:space="preserve"> so:</w:t>
      </w:r>
    </w:p>
    <w:p w14:paraId="69409945" w14:textId="77777777" w:rsidR="00C3311D" w:rsidRDefault="00C3311D" w:rsidP="00C3311D">
      <w:pPr>
        <w:pStyle w:val="ListParagraph"/>
        <w:numPr>
          <w:ilvl w:val="0"/>
          <w:numId w:val="16"/>
        </w:numPr>
        <w:spacing w:before="0" w:line="254" w:lineRule="auto"/>
        <w:contextualSpacing/>
        <w:jc w:val="left"/>
      </w:pPr>
      <w:r>
        <w:t>investicijski in obratovalni stroški, stroški investicijskega in tekočega vzdrževanja,</w:t>
      </w:r>
    </w:p>
    <w:p w14:paraId="6E44E825" w14:textId="2EF46F83" w:rsidR="00C3311D" w:rsidRDefault="00C3311D" w:rsidP="00C3311D">
      <w:pPr>
        <w:pStyle w:val="ListParagraph"/>
        <w:numPr>
          <w:ilvl w:val="0"/>
          <w:numId w:val="16"/>
        </w:numPr>
        <w:spacing w:before="0" w:line="254" w:lineRule="auto"/>
        <w:contextualSpacing/>
        <w:jc w:val="left"/>
      </w:pPr>
      <w:r>
        <w:t xml:space="preserve">prihranki energentov zaradi delovanja sistema BAC po metodologiji opredeljeni v </w:t>
      </w:r>
      <w:r w:rsidR="006F5CE7">
        <w:t>Prilogi</w:t>
      </w:r>
      <w:r>
        <w:t>,</w:t>
      </w:r>
    </w:p>
    <w:p w14:paraId="648ACBD9" w14:textId="77777777" w:rsidR="00C3311D" w:rsidRDefault="00C3311D" w:rsidP="00C3311D">
      <w:pPr>
        <w:pStyle w:val="ListParagraph"/>
        <w:numPr>
          <w:ilvl w:val="0"/>
          <w:numId w:val="16"/>
        </w:numPr>
        <w:spacing w:before="0" w:line="254" w:lineRule="auto"/>
        <w:contextualSpacing/>
        <w:jc w:val="left"/>
      </w:pPr>
      <w:r>
        <w:t>prihranki celotnih emisij CO</w:t>
      </w:r>
      <w:r>
        <w:rPr>
          <w:vertAlign w:val="subscript"/>
        </w:rPr>
        <w:t>2</w:t>
      </w:r>
      <w:r>
        <w:t>.</w:t>
      </w:r>
    </w:p>
    <w:p w14:paraId="3BBB4023" w14:textId="77777777" w:rsidR="00C3311D" w:rsidRDefault="00C3311D" w:rsidP="00C3311D">
      <w:pPr>
        <w:ind w:left="360"/>
      </w:pPr>
    </w:p>
    <w:p w14:paraId="199865AB" w14:textId="77777777" w:rsidR="00C3311D" w:rsidRDefault="00C3311D" w:rsidP="00C3311D">
      <w:pPr>
        <w:ind w:firstLine="360"/>
      </w:pPr>
      <w:r>
        <w:t>(6) Predpostavke za projekcije stroškov in koristi morajo biti utemeljene in verodostojne.</w:t>
      </w:r>
    </w:p>
    <w:p w14:paraId="06811AA1" w14:textId="77777777" w:rsidR="00C3311D" w:rsidRDefault="00C3311D" w:rsidP="00C3311D"/>
    <w:p w14:paraId="21E74D3C" w14:textId="4F44D749" w:rsidR="00C3311D" w:rsidRDefault="00C3311D" w:rsidP="00C3311D">
      <w:pPr>
        <w:ind w:firstLine="360"/>
      </w:pPr>
      <w:r>
        <w:t xml:space="preserve">(7) Vsi stroški in koristi se obravnavajo na primerljivih osnovah, in sicer na osnovi cen, ki veljajo v času izdelave izračuna ekonomske </w:t>
      </w:r>
      <w:r w:rsidR="00414534">
        <w:t>upravičenosti</w:t>
      </w:r>
      <w:r>
        <w:t xml:space="preserve"> (stalne cene), in pretvarjanja prihodnjih denarnih vrednosti v primerljivo </w:t>
      </w:r>
      <w:r w:rsidR="00162888">
        <w:t xml:space="preserve">trenutno </w:t>
      </w:r>
      <w:r>
        <w:t>vrednost s pomočjo diskontne stopnje (diskontiranje).</w:t>
      </w:r>
    </w:p>
    <w:p w14:paraId="418AB9DC" w14:textId="77777777" w:rsidR="00C3311D" w:rsidRDefault="00C3311D" w:rsidP="00C3311D"/>
    <w:p w14:paraId="0208F635" w14:textId="05D31A83" w:rsidR="00C3311D" w:rsidRDefault="00C3311D" w:rsidP="00C3311D">
      <w:pPr>
        <w:ind w:firstLine="360"/>
      </w:pPr>
      <w:r>
        <w:t>(</w:t>
      </w:r>
      <w:r>
        <w:rPr>
          <w:szCs w:val="20"/>
          <w:lang w:eastAsia="sl-SI"/>
        </w:rPr>
        <w:t>8</w:t>
      </w:r>
      <w:r>
        <w:t xml:space="preserve">) Ekonomsko </w:t>
      </w:r>
      <w:r w:rsidR="00985726">
        <w:t>upravičena je</w:t>
      </w:r>
      <w:r>
        <w:t xml:space="preserve"> namestitev sistema BAC v primeru, da je finančna interna stopnja donosnosti višja od predpisane vrednosti za javni sektor, ki je predpisana skladno z </w:t>
      </w:r>
      <w:r>
        <w:lastRenderedPageBreak/>
        <w:t>uredbo, ki ureja enotno metodologijo za pripravo in obravnavo investicijske dokumentacije na področju javnih financ.</w:t>
      </w:r>
    </w:p>
    <w:p w14:paraId="2CD9F518" w14:textId="77777777" w:rsidR="00C3311D" w:rsidRDefault="00C3311D" w:rsidP="00C3311D"/>
    <w:p w14:paraId="409C6925" w14:textId="77777777" w:rsidR="00C3311D" w:rsidRDefault="00C3311D" w:rsidP="00C3311D"/>
    <w:p w14:paraId="4B7A8F9A" w14:textId="77777777" w:rsidR="00C3311D" w:rsidRDefault="00C3311D" w:rsidP="00C3311D">
      <w:pPr>
        <w:jc w:val="center"/>
        <w:rPr>
          <w:rFonts w:cstheme="minorHAnsi"/>
          <w:color w:val="000000"/>
        </w:rPr>
      </w:pPr>
      <w:r>
        <w:rPr>
          <w:rFonts w:cstheme="minorHAnsi"/>
          <w:color w:val="000000"/>
        </w:rPr>
        <w:t xml:space="preserve">III. </w:t>
      </w:r>
      <w:r>
        <w:rPr>
          <w:caps/>
        </w:rPr>
        <w:t>KONČNA DOLOČBA</w:t>
      </w:r>
    </w:p>
    <w:p w14:paraId="37E3D4A6" w14:textId="77777777" w:rsidR="00C3311D" w:rsidRDefault="00C3311D" w:rsidP="00C3311D">
      <w:pPr>
        <w:pStyle w:val="lenbesedilo"/>
        <w:rPr>
          <w:rFonts w:asciiTheme="minorHAnsi" w:hAnsiTheme="minorHAnsi" w:cstheme="minorHAnsi"/>
          <w:szCs w:val="22"/>
        </w:rPr>
      </w:pPr>
    </w:p>
    <w:p w14:paraId="3A61A5A5" w14:textId="77777777" w:rsidR="00C3311D" w:rsidRDefault="00C3311D" w:rsidP="00C3311D">
      <w:pPr>
        <w:jc w:val="center"/>
        <w:rPr>
          <w:rFonts w:asciiTheme="minorHAnsi" w:hAnsiTheme="minorHAnsi" w:cstheme="minorBidi"/>
          <w:b/>
          <w:bCs/>
          <w:szCs w:val="22"/>
        </w:rPr>
      </w:pPr>
      <w:r>
        <w:rPr>
          <w:rFonts w:cstheme="minorHAnsi"/>
          <w:b/>
          <w:bCs/>
          <w:i/>
          <w:iCs/>
          <w:color w:val="000000" w:themeColor="text1"/>
          <w:lang w:eastAsia="sl-SI"/>
        </w:rPr>
        <w:fldChar w:fldCharType="begin"/>
      </w:r>
      <w:r>
        <w:rPr>
          <w:rFonts w:cstheme="minorHAnsi"/>
          <w:b/>
          <w:bCs/>
          <w:color w:val="000000" w:themeColor="text1"/>
          <w:lang w:eastAsia="sl-SI"/>
        </w:rPr>
        <w:instrText xml:space="preserve"> SEQ Člen \* ARABIC </w:instrText>
      </w:r>
      <w:r>
        <w:rPr>
          <w:rFonts w:cstheme="minorHAnsi"/>
          <w:b/>
          <w:bCs/>
          <w:i/>
          <w:iCs/>
          <w:color w:val="000000" w:themeColor="text1"/>
          <w:lang w:eastAsia="sl-SI"/>
        </w:rPr>
        <w:fldChar w:fldCharType="separate"/>
      </w:r>
      <w:r>
        <w:rPr>
          <w:rFonts w:cstheme="minorHAnsi"/>
          <w:b/>
          <w:bCs/>
          <w:noProof/>
          <w:color w:val="000000" w:themeColor="text1"/>
          <w:lang w:eastAsia="sl-SI"/>
        </w:rPr>
        <w:t>5</w:t>
      </w:r>
      <w:r>
        <w:rPr>
          <w:rFonts w:cstheme="minorHAnsi"/>
          <w:b/>
          <w:bCs/>
          <w:i/>
          <w:iCs/>
          <w:color w:val="000000" w:themeColor="text1"/>
          <w:lang w:eastAsia="sl-SI"/>
        </w:rPr>
        <w:fldChar w:fldCharType="end"/>
      </w:r>
      <w:r>
        <w:rPr>
          <w:b/>
          <w:bCs/>
          <w:color w:val="000000" w:themeColor="text1"/>
        </w:rPr>
        <w:t>. člen</w:t>
      </w:r>
    </w:p>
    <w:p w14:paraId="4F1C6D67" w14:textId="77777777" w:rsidR="00C3311D" w:rsidRDefault="00C3311D" w:rsidP="00C3311D">
      <w:pPr>
        <w:jc w:val="center"/>
        <w:rPr>
          <w:b/>
          <w:bCs/>
        </w:rPr>
      </w:pPr>
      <w:r>
        <w:rPr>
          <w:b/>
          <w:bCs/>
        </w:rPr>
        <w:t>(začetek veljavnosti)</w:t>
      </w:r>
    </w:p>
    <w:p w14:paraId="109DE6AE" w14:textId="77777777" w:rsidR="00C3311D" w:rsidRDefault="00C3311D" w:rsidP="00C3311D">
      <w:pPr>
        <w:rPr>
          <w:rFonts w:cstheme="minorHAnsi"/>
          <w:color w:val="000000"/>
        </w:rPr>
      </w:pPr>
    </w:p>
    <w:p w14:paraId="14A76805" w14:textId="1A97144A" w:rsidR="00C3311D" w:rsidRDefault="00C3311D" w:rsidP="00C3311D">
      <w:pPr>
        <w:ind w:firstLine="284"/>
        <w:rPr>
          <w:rFonts w:cstheme="minorHAnsi"/>
          <w:color w:val="000000"/>
        </w:rPr>
      </w:pPr>
      <w:r>
        <w:t>Ta pravilnik začne veljati</w:t>
      </w:r>
      <w:r w:rsidR="00162888">
        <w:t xml:space="preserve"> petnajsti</w:t>
      </w:r>
      <w:r>
        <w:t xml:space="preserve"> dan po objavi v Uradnem listu Republike Slovenije.</w:t>
      </w:r>
    </w:p>
    <w:p w14:paraId="754E543E" w14:textId="77777777" w:rsidR="00C3311D" w:rsidRDefault="00C3311D" w:rsidP="00C3311D">
      <w:pPr>
        <w:rPr>
          <w:rFonts w:cstheme="minorHAnsi"/>
          <w:color w:val="000000"/>
        </w:rPr>
      </w:pPr>
    </w:p>
    <w:p w14:paraId="5902B2DA" w14:textId="77777777" w:rsidR="00C3311D" w:rsidRDefault="00C3311D" w:rsidP="00C3311D">
      <w:pPr>
        <w:rPr>
          <w:rFonts w:cstheme="minorHAnsi"/>
          <w:color w:val="000000"/>
        </w:rPr>
      </w:pPr>
    </w:p>
    <w:p w14:paraId="5794376D" w14:textId="77777777" w:rsidR="00C3311D" w:rsidRDefault="00C3311D" w:rsidP="00C3311D">
      <w:pPr>
        <w:rPr>
          <w:rFonts w:cstheme="minorHAnsi"/>
          <w:color w:val="000000"/>
        </w:rPr>
      </w:pPr>
    </w:p>
    <w:p w14:paraId="6C1F2F74" w14:textId="77777777" w:rsidR="00C3311D" w:rsidRDefault="00C3311D" w:rsidP="00C3311D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Št. …/2023</w:t>
      </w:r>
    </w:p>
    <w:p w14:paraId="036C73B3" w14:textId="77777777" w:rsidR="00C3311D" w:rsidRDefault="00C3311D" w:rsidP="00C3311D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Ljubljana, dne … 2023</w:t>
      </w:r>
    </w:p>
    <w:p w14:paraId="729F458F" w14:textId="77777777" w:rsidR="00C3311D" w:rsidRDefault="00C3311D" w:rsidP="00C3311D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EVA 2023-…</w:t>
      </w:r>
    </w:p>
    <w:p w14:paraId="633C6D3E" w14:textId="77777777" w:rsidR="00C3311D" w:rsidRDefault="00C3311D" w:rsidP="00C3311D">
      <w:pPr>
        <w:rPr>
          <w:rFonts w:cstheme="minorHAnsi"/>
          <w:color w:val="000000"/>
        </w:rPr>
      </w:pPr>
    </w:p>
    <w:p w14:paraId="2037CBC0" w14:textId="77777777" w:rsidR="00C3311D" w:rsidRDefault="00C3311D" w:rsidP="00C3311D">
      <w:pPr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Mag. Bojan Kumer</w:t>
      </w:r>
    </w:p>
    <w:p w14:paraId="179051A1" w14:textId="77777777" w:rsidR="00C3311D" w:rsidRDefault="00C3311D" w:rsidP="00C3311D">
      <w:pPr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minister</w:t>
      </w:r>
    </w:p>
    <w:p w14:paraId="4B76F6A3" w14:textId="77777777" w:rsidR="00AC7096" w:rsidRDefault="00C3311D" w:rsidP="00C3311D">
      <w:pPr>
        <w:jc w:val="right"/>
        <w:rPr>
          <w:rFonts w:cstheme="minorHAnsi"/>
          <w:color w:val="000000"/>
        </w:rPr>
      </w:pPr>
      <w:r>
        <w:rPr>
          <w:rFonts w:cstheme="minorHAnsi"/>
          <w:color w:val="000000"/>
        </w:rPr>
        <w:t>za okolje, podnebje in energijo</w:t>
      </w:r>
    </w:p>
    <w:p w14:paraId="4080DBF0" w14:textId="77777777" w:rsidR="00AC7096" w:rsidRDefault="00AC7096" w:rsidP="00C3311D">
      <w:pPr>
        <w:jc w:val="right"/>
        <w:rPr>
          <w:rFonts w:cstheme="minorHAnsi"/>
          <w:color w:val="000000"/>
        </w:rPr>
      </w:pPr>
    </w:p>
    <w:p w14:paraId="3ABF3E27" w14:textId="77777777" w:rsidR="00AC7096" w:rsidRDefault="00AC7096" w:rsidP="00330EB1">
      <w:pPr>
        <w:rPr>
          <w:rFonts w:cstheme="minorHAnsi"/>
          <w:color w:val="000000"/>
        </w:rPr>
      </w:pPr>
    </w:p>
    <w:p w14:paraId="0F31A4AF" w14:textId="77777777" w:rsidR="00AC7096" w:rsidRDefault="00AC7096" w:rsidP="00C3311D">
      <w:pPr>
        <w:jc w:val="right"/>
        <w:rPr>
          <w:rFonts w:cstheme="minorHAnsi"/>
          <w:color w:val="000000"/>
        </w:rPr>
      </w:pPr>
    </w:p>
    <w:p w14:paraId="5CD73D8D" w14:textId="7C5308C1" w:rsidR="00AC7096" w:rsidRDefault="00AC7096" w:rsidP="00B811D6">
      <w:pPr>
        <w:ind w:left="1410" w:hanging="1410"/>
        <w:rPr>
          <w:rFonts w:cstheme="minorHAnsi"/>
        </w:rPr>
      </w:pPr>
      <w:r>
        <w:rPr>
          <w:rFonts w:cstheme="minorHAnsi"/>
          <w:color w:val="000000"/>
        </w:rPr>
        <w:t>Priloga:</w:t>
      </w:r>
      <w:r>
        <w:rPr>
          <w:rFonts w:cstheme="minorHAnsi"/>
          <w:color w:val="000000"/>
        </w:rPr>
        <w:tab/>
      </w:r>
      <w:r w:rsidR="00C60CEB" w:rsidRPr="00C60CEB">
        <w:rPr>
          <w:rFonts w:cstheme="minorHAnsi"/>
        </w:rPr>
        <w:t>Minimalne zahteve za sistem</w:t>
      </w:r>
      <w:r w:rsidR="00C60CEB">
        <w:rPr>
          <w:rFonts w:cstheme="minorHAnsi"/>
        </w:rPr>
        <w:t>e</w:t>
      </w:r>
      <w:r w:rsidR="00C60CEB" w:rsidRPr="00C60CEB">
        <w:rPr>
          <w:rFonts w:cstheme="minorHAnsi"/>
        </w:rPr>
        <w:t xml:space="preserve"> BAC</w:t>
      </w:r>
    </w:p>
    <w:p w14:paraId="19C1C07F" w14:textId="77777777" w:rsidR="00AC7096" w:rsidRDefault="00AC7096">
      <w:pPr>
        <w:spacing w:before="0" w:after="160" w:line="259" w:lineRule="auto"/>
        <w:jc w:val="left"/>
        <w:rPr>
          <w:b/>
          <w:bCs/>
        </w:rPr>
      </w:pPr>
      <w:r>
        <w:rPr>
          <w:b/>
          <w:bCs/>
        </w:rPr>
        <w:br w:type="page"/>
      </w:r>
    </w:p>
    <w:p w14:paraId="48613BBD" w14:textId="7CD530E5" w:rsidR="00AC7096" w:rsidRDefault="00AC7096" w:rsidP="00AC7096">
      <w:pPr>
        <w:rPr>
          <w:b/>
          <w:bCs/>
        </w:rPr>
      </w:pPr>
      <w:r>
        <w:rPr>
          <w:b/>
          <w:bCs/>
        </w:rPr>
        <w:lastRenderedPageBreak/>
        <w:t>Priloga</w:t>
      </w:r>
    </w:p>
    <w:p w14:paraId="73B6790A" w14:textId="2CA6D7B3" w:rsidR="00CC20ED" w:rsidRPr="00CC20ED" w:rsidRDefault="00AC7096" w:rsidP="00CC20ED">
      <w:pPr>
        <w:rPr>
          <w:rFonts w:cstheme="minorHAnsi"/>
        </w:rPr>
      </w:pPr>
      <w:r>
        <w:t xml:space="preserve">Tabela 1: </w:t>
      </w:r>
      <w:r w:rsidR="000D374C">
        <w:rPr>
          <w:b/>
          <w:bCs/>
        </w:rPr>
        <w:t>Minimalne zahteve za sistem BAC – ogrevalni sistem</w:t>
      </w:r>
      <w:r w:rsidR="009414B0">
        <w:rPr>
          <w:b/>
          <w:bCs/>
        </w:rPr>
        <w:t xml:space="preserve"> (</w:t>
      </w:r>
      <w:r w:rsidR="009414B0">
        <w:rPr>
          <w:rFonts w:cstheme="minorHAnsi"/>
        </w:rPr>
        <w:t>povzeto po standardu SIST EN ISO 52120-1)</w:t>
      </w:r>
    </w:p>
    <w:tbl>
      <w:tblPr>
        <w:tblW w:w="66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9"/>
      </w:tblGrid>
      <w:tr w:rsidR="00C3311D" w14:paraId="024A5798" w14:textId="77777777" w:rsidTr="00E2086F">
        <w:trPr>
          <w:trHeight w:val="25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C68F9F8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OGREVALNI SISTEM</w:t>
            </w:r>
          </w:p>
        </w:tc>
      </w:tr>
      <w:tr w:rsidR="00335579" w14:paraId="61848739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F140B" w14:textId="77777777" w:rsidR="00335579" w:rsidRDefault="00335579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ogreval: Na nivoju prostora, s komunikacijo s centralnim nadzornim sistemom (v nadaljevanju CNS)</w:t>
            </w:r>
          </w:p>
        </w:tc>
      </w:tr>
      <w:tr w:rsidR="00335579" w14:paraId="561CEDD1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48161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toplotno aktivirane gradbene konstrukcije: Napredna samodejna centralna regulacija</w:t>
            </w:r>
          </w:p>
        </w:tc>
      </w:tr>
      <w:tr w:rsidR="00335579" w14:paraId="4C20052F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3D59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temperature ogrevne vode: Glede na potrebe</w:t>
            </w:r>
          </w:p>
        </w:tc>
      </w:tr>
      <w:tr w:rsidR="00335579" w14:paraId="25EC3551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AEB9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obtočnih črpalk: Frekvenčna regulacija</w:t>
            </w:r>
          </w:p>
        </w:tc>
      </w:tr>
      <w:tr w:rsidR="00335579" w14:paraId="5CF01571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FB1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Hidravlično uravnoteženje posameznega ogrevala: Dinamično uravnoteženje s tlačno neodvisnimi balansirnimi ali/in termostatskimi ventili</w:t>
            </w:r>
          </w:p>
        </w:tc>
      </w:tr>
      <w:tr w:rsidR="00335579" w14:paraId="66585FF8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3888A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Časovno spremenljivo delovanje ogrevalnega sistema glede na urnik uporabe objekta: Avtomatska regulacija z optimalnim začetkom/koncem</w:t>
            </w:r>
          </w:p>
        </w:tc>
      </w:tr>
      <w:tr w:rsidR="00335579" w14:paraId="7FB4EF26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69B16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generatorja toplote: Variabilna regulacija temperature glede na potrebo</w:t>
            </w:r>
          </w:p>
        </w:tc>
      </w:tr>
      <w:tr w:rsidR="00335579" w14:paraId="382D3E2B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791F8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zunanje enote generatorja toplote: Variabilna regulacija</w:t>
            </w:r>
          </w:p>
        </w:tc>
      </w:tr>
      <w:tr w:rsidR="00335579" w14:paraId="5D22A4E6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6C6AC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Način delovanja več generatorjev toplote: Prioritetno glede na učinkovitost in karakteristike (vzdrževanje, življenjska doba…) posameznega generatorja toplote</w:t>
            </w:r>
          </w:p>
        </w:tc>
      </w:tr>
      <w:tr w:rsidR="00335579" w14:paraId="18AFA6E9" w14:textId="77777777" w:rsidTr="00E2086F">
        <w:trPr>
          <w:trHeight w:val="539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CE4B9" w14:textId="77777777" w:rsidR="00335579" w:rsidRDefault="00335579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zalogovnika toplote: Polnjenje regulirano z vsaj dvema temperaturnima senzorjema</w:t>
            </w:r>
          </w:p>
        </w:tc>
      </w:tr>
      <w:tr w:rsidR="00C3311D" w14:paraId="0F3161A0" w14:textId="77777777" w:rsidTr="00E2086F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D3E0422" w14:textId="34AFF1F2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Če obstoječi sistem BAC ne izpolnjuje vseh zahtev glede regulacije ogrevalnega sistema, se za namen izkazovanja ekonomske </w:t>
            </w:r>
            <w:r w:rsidR="0004082B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ne</w:t>
            </w:r>
            <w:r w:rsidR="00414534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upravičenost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i določi prihranke energije za ogrevanje po enačbi:</w:t>
            </w:r>
          </w:p>
        </w:tc>
      </w:tr>
      <w:tr w:rsidR="00C3311D" w14:paraId="28D7BB05" w14:textId="77777777" w:rsidTr="00E2086F">
        <w:trPr>
          <w:trHeight w:val="480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747ADF5C" w14:textId="48695F5D" w:rsidR="00C3311D" w:rsidRDefault="00C3311D" w:rsidP="00335579">
            <w:pPr>
              <w:spacing w:line="240" w:lineRule="auto"/>
              <w:jc w:val="center"/>
              <w:rPr>
                <w:rFonts w:cs="Arial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noProof/>
                <w:kern w:val="2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4DF94998" wp14:editId="6FCC9912">
                      <wp:simplePos x="0" y="0"/>
                      <wp:positionH relativeFrom="column">
                        <wp:posOffset>1336675</wp:posOffset>
                      </wp:positionH>
                      <wp:positionV relativeFrom="paragraph">
                        <wp:posOffset>64135</wp:posOffset>
                      </wp:positionV>
                      <wp:extent cx="1510030" cy="243205"/>
                      <wp:effectExtent l="0" t="0" r="0" b="0"/>
                      <wp:wrapNone/>
                      <wp:docPr id="1721606396" name="Polje z besedilom 1721606396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FC22CBCD-1B64-45BC-82AB-A28D1C72E35B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10030" cy="24320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14:paraId="209DE1A3" w14:textId="77777777" w:rsidR="00C3311D" w:rsidRPr="00335579" w:rsidRDefault="002C5771" w:rsidP="00C3311D">
                                  <w:pPr>
                                    <w:rPr>
                                      <w:rFonts w:ascii="Cambria Math" w:hAnsi="+mn-cs"/>
                                      <w:i/>
                                      <w:iCs/>
                                      <w:color w:val="000000" w:themeColor="text1"/>
                                    </w:rPr>
                                  </w:pPr>
                                  <m:oMathPara>
                                    <m:oMathParaPr>
                                      <m:jc m:val="left"/>
                                    </m:oMathParaPr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H,prih.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=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H,obst.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∙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BAC,H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wps:txbx>
                            <wps:bodyPr vertOverflow="clip" horzOverflow="clip" wrap="none" lIns="0" tIns="0" rIns="0" bIns="0" rtlCol="0" anchor="t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DF9499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je z besedilom 1721606396" o:spid="_x0000_s1026" type="#_x0000_t202" style="position:absolute;left:0;text-align:left;margin-left:105.25pt;margin-top:5.05pt;width:118.9pt;height:19.15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" filled="f" stroked="f">
                      <v:textbox style="mso-fit-shape-to-text:t" inset="0,0,0,0">
                        <w:txbxContent>
                          <w:p w14:paraId="209DE1A3" w14:textId="77777777" w:rsidR="00C3311D" w:rsidRPr="00335579" w:rsidRDefault="002C5771" w:rsidP="00C3311D">
                            <w:pPr>
                              <w:rPr>
                                <w:rFonts w:ascii="Cambria Math" w:hAnsi="+mn-cs"/>
                                <w:i/>
                                <w:iCs/>
                                <w:color w:val="000000" w:themeColor="text1"/>
                              </w:rPr>
                            </w:pPr>
                            <m:oMathPara>
                              <m:oMathParaPr>
                                <m:jc m:val="left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H,prih.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H,obst.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∙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BAC,H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3311D" w14:paraId="4A132231" w14:textId="77777777" w:rsidTr="00E2086F">
        <w:trPr>
          <w:trHeight w:val="63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72E662F" w14:textId="77777777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kjer je Q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H,prih.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prihranjena energija za ogrevanje, Q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H,obst.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obstoječa energija za ogrevanje in faktor prihranka energije za ogrevanje f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BAC,H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= 0,37.</w:t>
            </w:r>
          </w:p>
        </w:tc>
      </w:tr>
    </w:tbl>
    <w:p w14:paraId="5B139B39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50B3C56A" w14:textId="4DF6D5DC" w:rsidR="00E2086F" w:rsidRDefault="00E2086F" w:rsidP="00E2086F">
      <w:pPr>
        <w:rPr>
          <w:b/>
          <w:bCs/>
        </w:rPr>
      </w:pPr>
      <w:r>
        <w:t xml:space="preserve">Tabela 2: </w:t>
      </w:r>
      <w:r>
        <w:rPr>
          <w:b/>
          <w:bCs/>
        </w:rPr>
        <w:t>Minimalne zahteve za sistem BAC – sanitarna topla voda (</w:t>
      </w:r>
      <w:r>
        <w:rPr>
          <w:rFonts w:cstheme="minorHAnsi"/>
        </w:rPr>
        <w:t>povzeto po standardu SIST EN ISO 52120-1)</w:t>
      </w:r>
    </w:p>
    <w:tbl>
      <w:tblPr>
        <w:tblW w:w="6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</w:tblGrid>
      <w:tr w:rsidR="00C3311D" w14:paraId="58D43FFA" w14:textId="77777777" w:rsidTr="00B811D6">
        <w:trPr>
          <w:trHeight w:val="25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2D74DE6" w14:textId="69078CDE" w:rsidR="00C3311D" w:rsidRDefault="00E2086F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SANITARNA TOPLA VODA</w:t>
            </w:r>
            <w:r w:rsidR="00C3311D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(STV)</w:t>
            </w:r>
          </w:p>
        </w:tc>
      </w:tr>
      <w:tr w:rsidR="00B811D6" w14:paraId="66A6AC83" w14:textId="77777777" w:rsidTr="00B811D6">
        <w:trPr>
          <w:trHeight w:val="105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74856" w14:textId="76FE222C" w:rsidR="00B811D6" w:rsidRDefault="00B811D6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zalogovnika STV z neposrednim električnim grelcem ali integrirano električno toplotno črpalko: Samodejna regulacija vklopa/izklopa, načrtno polnjenje glede na urnik uporabe stavbe in upravljanje zalogovnika na podlagi več temperaturnih senzorjev</w:t>
            </w:r>
          </w:p>
        </w:tc>
      </w:tr>
      <w:tr w:rsidR="00B811D6" w14:paraId="6B0B30C6" w14:textId="77777777" w:rsidTr="00B811D6">
        <w:trPr>
          <w:trHeight w:val="102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506B7" w14:textId="4017EFFD" w:rsidR="00B811D6" w:rsidRDefault="00B811D6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zalogovnika STV posredno ogrevanega s toplo vodo: Samodejna regulacija vklopa/izklopa, načrtno polnjenje glede na urnik uporabe stavbe in regulacija temperature ogrevne vode glede na potrebe ali upravljanje zalogovnika na podlagi več temperaturnih senzorjev</w:t>
            </w:r>
          </w:p>
        </w:tc>
      </w:tr>
      <w:tr w:rsidR="00B811D6" w14:paraId="1DE3C685" w14:textId="77777777" w:rsidTr="00CC20ED">
        <w:trPr>
          <w:trHeight w:val="558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B1EC2" w14:textId="242412F8" w:rsidR="00B811D6" w:rsidRDefault="00B811D6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Regulacija zalogovnika STV ogrevanega s sprejemniki sončne energije in dopolnilnim generatorjem toplote: Samodejna regulacija polnjenja s sprejemniki sončne energije (prioritetno) in dopolnilnim generatorjem toplote z regulacijo temperature ogrevne vode glede 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lastRenderedPageBreak/>
              <w:t>na potrebe ali upravljanjem zalogovnika na podlagi več temperaturnih senzorjev</w:t>
            </w:r>
          </w:p>
        </w:tc>
      </w:tr>
      <w:tr w:rsidR="00B811D6" w14:paraId="6D3581F8" w14:textId="77777777" w:rsidTr="00B811D6">
        <w:trPr>
          <w:trHeight w:val="55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A0BA" w14:textId="1C973803" w:rsidR="00B811D6" w:rsidRDefault="00B811D6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lastRenderedPageBreak/>
              <w:t>Regulacija cirkulacije sistema STV: S časovnim programom in/ali termostatskimi ventili za samodejno uravnoteženje sistema regulacije</w:t>
            </w:r>
          </w:p>
        </w:tc>
      </w:tr>
      <w:tr w:rsidR="00C3311D" w14:paraId="163943A1" w14:textId="77777777" w:rsidTr="00B811D6">
        <w:trPr>
          <w:trHeight w:val="61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345C23C" w14:textId="56D9915F" w:rsidR="005C5D44" w:rsidRPr="005C5D44" w:rsidRDefault="00C3311D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Če obstoječi sistem BAC ne izpolnjuje vseh zahtev glede regulacije priprave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, se za namen izkazovanja ekonomske </w:t>
            </w:r>
            <w:r w:rsidR="0004082B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ne</w:t>
            </w:r>
            <w:r w:rsidR="005C5D44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upravičenosti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določi prihranke energije za pripravo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po enačbi:</w:t>
            </w:r>
          </w:p>
        </w:tc>
      </w:tr>
      <w:tr w:rsidR="00C3311D" w14:paraId="2448A34D" w14:textId="77777777" w:rsidTr="00B811D6">
        <w:trPr>
          <w:trHeight w:val="480"/>
        </w:trPr>
        <w:tc>
          <w:tcPr>
            <w:tcW w:w="60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DE42412" w14:textId="7971B2C1" w:rsidR="00C3311D" w:rsidRDefault="00C3311D">
            <w:pPr>
              <w:spacing w:line="240" w:lineRule="auto"/>
              <w:rPr>
                <w:rFonts w:cs="Arial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noProof/>
                <w:kern w:val="2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6F893C29" wp14:editId="3CE9EFFD">
                      <wp:simplePos x="0" y="0"/>
                      <wp:positionH relativeFrom="column">
                        <wp:posOffset>756285</wp:posOffset>
                      </wp:positionH>
                      <wp:positionV relativeFrom="paragraph">
                        <wp:posOffset>-94615</wp:posOffset>
                      </wp:positionV>
                      <wp:extent cx="1845945" cy="243205"/>
                      <wp:effectExtent l="0" t="0" r="0" b="0"/>
                      <wp:wrapNone/>
                      <wp:docPr id="3" name="Polje z besedilom 3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E3D0964B-0B99-41A1-A880-400DBBA2A42E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45945" cy="24320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14:paraId="060BEEBE" w14:textId="3DE5685F" w:rsidR="00C3311D" w:rsidRDefault="002C5771" w:rsidP="00C3311D">
                                  <w:pPr>
                                    <w:rPr>
                                      <w:rFonts w:ascii="Cambria Math" w:hAnsi="+mn-cs"/>
                                      <w:i/>
                                      <w:iCs/>
                                      <w:color w:val="000000" w:themeColor="text1"/>
                                    </w:rPr>
                                  </w:pPr>
                                  <m:oMathPara>
                                    <m:oMathParaPr>
                                      <m:jc m:val="centerGroup"/>
                                    </m:oMathParaPr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STV,prih.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=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STV,obst.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∙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BAC,STV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wps:txbx>
                            <wps:bodyPr vertOverflow="clip" horzOverflow="clip" wrap="none" lIns="0" tIns="0" rIns="0" bIns="0" rtlCol="0" anchor="t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893C29" id="Polje z besedilom 3" o:spid="_x0000_s1027" type="#_x0000_t202" style="position:absolute;left:0;text-align:left;margin-left:59.55pt;margin-top:-7.45pt;width:145.35pt;height:19.15pt;z-index:25165568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" filled="f" stroked="f">
                      <v:textbox style="mso-fit-shape-to-text:t" inset="0,0,0,0">
                        <w:txbxContent>
                          <w:p w14:paraId="060BEEBE" w14:textId="3DE5685F" w:rsidR="00C3311D" w:rsidRDefault="002C5771" w:rsidP="00C3311D">
                            <w:pPr>
                              <w:rPr>
                                <w:rFonts w:ascii="Cambria Math" w:hAnsi="+mn-cs"/>
                                <w:i/>
                                <w:iCs/>
                                <w:color w:val="000000" w:themeColor="text1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STV,prih.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STV,obst.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∙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BAC,STV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3311D" w14:paraId="4B5B37C5" w14:textId="77777777" w:rsidTr="00B811D6">
        <w:trPr>
          <w:trHeight w:val="630"/>
        </w:trPr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1AD95DF" w14:textId="390E597A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kjer je </w:t>
            </w:r>
            <w:proofErr w:type="spellStart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Q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,prih</w:t>
            </w:r>
            <w:proofErr w:type="spellEnd"/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prihranjena energija za pripravo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, </w:t>
            </w:r>
            <w:proofErr w:type="spellStart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Q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,obst</w:t>
            </w:r>
            <w:proofErr w:type="spellEnd"/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obstoječa energija za pripravo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in faktor prihranka energije za pripravo 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STV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</w:t>
            </w:r>
            <w:proofErr w:type="spellStart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f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BAC,</w:t>
            </w:r>
            <w:r w:rsidR="000C46B3"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STV</w:t>
            </w:r>
            <w:proofErr w:type="spellEnd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= 0,19.</w:t>
            </w:r>
          </w:p>
        </w:tc>
      </w:tr>
    </w:tbl>
    <w:p w14:paraId="05775D68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6C37D876" w14:textId="0B63EAF1" w:rsidR="000C46B3" w:rsidRDefault="000C46B3" w:rsidP="000C46B3">
      <w:pPr>
        <w:rPr>
          <w:b/>
          <w:bCs/>
        </w:rPr>
      </w:pPr>
      <w:r>
        <w:t xml:space="preserve">Tabela </w:t>
      </w:r>
      <w:r w:rsidR="00CC20ED">
        <w:t>3</w:t>
      </w:r>
      <w:r>
        <w:t xml:space="preserve">: </w:t>
      </w:r>
      <w:r>
        <w:rPr>
          <w:b/>
          <w:bCs/>
        </w:rPr>
        <w:t>Minimalne zahteve za sistem BAC – hladilni sistem (</w:t>
      </w:r>
      <w:r>
        <w:rPr>
          <w:rFonts w:cstheme="minorHAnsi"/>
        </w:rPr>
        <w:t>povzeto po standardu SIST EN ISO 52120-1)</w:t>
      </w:r>
    </w:p>
    <w:tbl>
      <w:tblPr>
        <w:tblW w:w="62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</w:tblGrid>
      <w:tr w:rsidR="00C3311D" w14:paraId="17C7C7BF" w14:textId="77777777" w:rsidTr="00CC20ED">
        <w:trPr>
          <w:trHeight w:val="25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74E1DC27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HLADILNI SISTEM</w:t>
            </w:r>
          </w:p>
        </w:tc>
      </w:tr>
      <w:tr w:rsidR="00CC20ED" w14:paraId="670E47BE" w14:textId="77777777" w:rsidTr="00CC20ED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69C5D" w14:textId="77777777" w:rsidR="00CC20ED" w:rsidRDefault="00CC20ED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končnih prenosnikov toplote: Na nivoju prostora, s komunikacijo s CNS</w:t>
            </w:r>
          </w:p>
        </w:tc>
      </w:tr>
      <w:tr w:rsidR="00CC20ED" w14:paraId="2267A828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32C7A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toplotno aktivirane gradbene konstrukcije: Napredna centralna samodejna regulacija</w:t>
            </w:r>
          </w:p>
        </w:tc>
      </w:tr>
      <w:tr w:rsidR="00CC20ED" w14:paraId="66178F16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ABD3A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Regulacija temperature hladilne vode oziroma neposrednih hladilnih naprav v posameznih prostorih (npr. split klime): Glede na 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>potrebe</w:t>
            </w:r>
          </w:p>
        </w:tc>
      </w:tr>
      <w:tr w:rsidR="00CC20ED" w14:paraId="2B7D5D05" w14:textId="77777777" w:rsidTr="00CC20ED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92E0A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obtočnih črpalk: Frekvenčna regulacija</w:t>
            </w:r>
          </w:p>
        </w:tc>
      </w:tr>
      <w:tr w:rsidR="00CC20ED" w14:paraId="3E01A5F6" w14:textId="77777777" w:rsidTr="00CC20ED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654DF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Hidravlično uravnoteženje posameznega končnega prenosnika: Dinamično uravnoteženje s tlačno neodvisnimi balansirnimi ali/in termostatskimi ventili</w:t>
            </w:r>
          </w:p>
        </w:tc>
      </w:tr>
      <w:tr w:rsidR="00CC20ED" w14:paraId="7EED493B" w14:textId="77777777" w:rsidTr="00CC20ED">
        <w:trPr>
          <w:trHeight w:val="78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893C0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Časovno spremenljivo delovanje hladilnega sistema glede na urnik uporabe objekta (en regulator lahko upravlja z več prostori/conami z enakimi vzorci uporabe): Samodejna regulacija z optimalnim začetkom/koncem</w:t>
            </w:r>
          </w:p>
        </w:tc>
      </w:tr>
      <w:tr w:rsidR="00CC20ED" w14:paraId="284570E3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F579D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Sočasno ogrevanje in hlajenje: Delna blokada (odvisno od zmožnosti 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>klimatskega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sistema)</w:t>
            </w:r>
          </w:p>
        </w:tc>
      </w:tr>
      <w:tr w:rsidR="00CC20ED" w14:paraId="78B48465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88325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generatorja hladu: Variabilna regulacija temperature hladilne vode glede na zunanjo temperaturo</w:t>
            </w:r>
          </w:p>
        </w:tc>
      </w:tr>
      <w:tr w:rsidR="00CC20ED" w14:paraId="00026E22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80A28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Način delovanja več generatorjev hladu: Prioritetno glede na učinkovitost in karakteristike (vzdrževanje, življenjska doba…) posameznega generatorja hladu</w:t>
            </w:r>
          </w:p>
        </w:tc>
      </w:tr>
      <w:tr w:rsidR="00CC20ED" w14:paraId="6B136701" w14:textId="77777777" w:rsidTr="00CC20ED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BC48" w14:textId="77777777" w:rsidR="00CC20ED" w:rsidRDefault="00CC20E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zalogovnika hladu: Polnjenje na podlagi predvidene potrebe po hladu</w:t>
            </w:r>
          </w:p>
        </w:tc>
      </w:tr>
      <w:tr w:rsidR="00C3311D" w14:paraId="15957212" w14:textId="77777777" w:rsidTr="00CC20ED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650673D" w14:textId="7C84BDCA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Če obstoječi sistem BAC ne izpolnjuje vseh zahtev glede regulacije hladilnega sistema, se za namen izkazovanja ekonomske </w:t>
            </w:r>
            <w:r w:rsidR="0004082B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ne</w:t>
            </w:r>
            <w:r w:rsidR="005C5D44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upravičenosti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določi prihranke energije za hlajenje po enačbi:</w:t>
            </w:r>
          </w:p>
        </w:tc>
      </w:tr>
      <w:tr w:rsidR="00C3311D" w14:paraId="0CF10AA6" w14:textId="77777777" w:rsidTr="00CC20ED">
        <w:trPr>
          <w:trHeight w:val="480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145C707" w14:textId="4329E707" w:rsidR="00C3311D" w:rsidRDefault="00C3311D">
            <w:pPr>
              <w:spacing w:line="240" w:lineRule="auto"/>
              <w:rPr>
                <w:rFonts w:cs="Arial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noProof/>
                <w:kern w:val="2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ED5D8F7" wp14:editId="488A326F">
                      <wp:simplePos x="0" y="0"/>
                      <wp:positionH relativeFrom="column">
                        <wp:posOffset>1201420</wp:posOffset>
                      </wp:positionH>
                      <wp:positionV relativeFrom="paragraph">
                        <wp:posOffset>-85090</wp:posOffset>
                      </wp:positionV>
                      <wp:extent cx="1471930" cy="243205"/>
                      <wp:effectExtent l="0" t="0" r="0" b="0"/>
                      <wp:wrapNone/>
                      <wp:docPr id="4" name="Polje z besedilom 4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9BD67FBC-17B1-4074-842B-E7FDB73D64E8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71930" cy="24320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14:paraId="34C804A6" w14:textId="77777777" w:rsidR="00C3311D" w:rsidRDefault="002C5771" w:rsidP="00C3311D">
                                  <w:pPr>
                                    <w:rPr>
                                      <w:rFonts w:ascii="Cambria Math" w:hAnsi="+mn-cs"/>
                                      <w:i/>
                                      <w:iCs/>
                                      <w:color w:val="000000" w:themeColor="text1"/>
                                    </w:rPr>
                                  </w:pPr>
                                  <m:oMathPara>
                                    <m:oMathParaPr>
                                      <m:jc m:val="centerGroup"/>
                                    </m:oMathParaPr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C,prih.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=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Q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C,obst.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∙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BAC,C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wps:txbx>
                            <wps:bodyPr vertOverflow="clip" horzOverflow="clip" wrap="none" lIns="0" tIns="0" rIns="0" bIns="0" rtlCol="0" anchor="t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D5D8F7" id="Polje z besedilom 4" o:spid="_x0000_s1028" type="#_x0000_t202" style="position:absolute;left:0;text-align:left;margin-left:94.6pt;margin-top:-6.7pt;width:115.9pt;height:19.15pt;z-index:25165670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" filled="f" stroked="f">
                      <v:textbox style="mso-fit-shape-to-text:t" inset="0,0,0,0">
                        <w:txbxContent>
                          <w:p w14:paraId="34C804A6" w14:textId="77777777" w:rsidR="00C3311D" w:rsidRDefault="002C5771" w:rsidP="00C3311D">
                            <w:pPr>
                              <w:rPr>
                                <w:rFonts w:ascii="Cambria Math" w:hAnsi="+mn-cs"/>
                                <w:i/>
                                <w:iCs/>
                                <w:color w:val="000000" w:themeColor="text1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C,prih.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Q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C,obst.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∙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BAC,C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3311D" w14:paraId="1E93D359" w14:textId="77777777" w:rsidTr="00CC20ED">
        <w:trPr>
          <w:trHeight w:val="63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6323123" w14:textId="77777777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kjer je Q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C,prih.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prihranjena energija za hlajenje, Q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C,obst.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obstoječa energija za hlajenje in faktor prihranka energije za hlajenje f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BAC,C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= 0,42.</w:t>
            </w:r>
          </w:p>
        </w:tc>
      </w:tr>
    </w:tbl>
    <w:p w14:paraId="281FC9B0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72ACA5DF" w14:textId="37B95551" w:rsidR="000C46B3" w:rsidRDefault="000C46B3" w:rsidP="000C46B3">
      <w:pPr>
        <w:rPr>
          <w:b/>
          <w:bCs/>
        </w:rPr>
      </w:pPr>
      <w:r>
        <w:lastRenderedPageBreak/>
        <w:t xml:space="preserve">Tabela 4: </w:t>
      </w:r>
      <w:r>
        <w:rPr>
          <w:b/>
          <w:bCs/>
        </w:rPr>
        <w:t>Minimalne zahteve za sistem BAC – prezračevalni in klimatski sistem (</w:t>
      </w:r>
      <w:r>
        <w:rPr>
          <w:rFonts w:cstheme="minorHAnsi"/>
        </w:rPr>
        <w:t>povzeto po standardu SIST EN ISO 52120-1)</w:t>
      </w:r>
    </w:p>
    <w:tbl>
      <w:tblPr>
        <w:tblW w:w="62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</w:tblGrid>
      <w:tr w:rsidR="00C3311D" w14:paraId="16826AF7" w14:textId="77777777" w:rsidTr="004C583C">
        <w:trPr>
          <w:trHeight w:val="25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3501861A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PREZRAČEVALNI IN KLIMATSKI SISTEM</w:t>
            </w:r>
          </w:p>
        </w:tc>
      </w:tr>
      <w:tr w:rsidR="004C583C" w14:paraId="0898A37E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E3F34" w14:textId="77777777" w:rsidR="004C583C" w:rsidRDefault="004C583C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količine dovedenega zraka na nivoju prostora: Časovna regulacija ali regulacija glede na zasedenost prostora</w:t>
            </w:r>
          </w:p>
        </w:tc>
      </w:tr>
      <w:tr w:rsidR="004C583C" w14:paraId="38FEA197" w14:textId="77777777" w:rsidTr="004C583C">
        <w:trPr>
          <w:trHeight w:val="78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4BF96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temperature zraka v prostor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>u (toplozračno ogrevanje/hlajenje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): Časovna regulacija glede na urnik uporabe in glede na dejansko zasedenost prostora</w:t>
            </w:r>
          </w:p>
        </w:tc>
      </w:tr>
      <w:tr w:rsidR="004C583C" w14:paraId="4C221395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9E112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temperature zraka v prost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>oru (kombinirano vodno in zračno ogrevanje/hlajenje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): Soodvisno delovanje sistemov</w:t>
            </w:r>
          </w:p>
        </w:tc>
      </w:tr>
      <w:tr w:rsidR="004C583C" w14:paraId="3D4B054C" w14:textId="77777777" w:rsidTr="004C583C">
        <w:trPr>
          <w:trHeight w:val="78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6260D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dovodnega zunanjega zraka pri mešalnih siste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>mih: Vsaj dvostopenjsko razmerje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dovedenega zunanjega zraka in notranjega zraka ali dovod zunanjega zraka po urniku ali glede na zasedenost</w:t>
            </w:r>
          </w:p>
        </w:tc>
      </w:tr>
      <w:tr w:rsidR="004C583C" w14:paraId="4A766676" w14:textId="77777777" w:rsidTr="004C583C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71545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pretoka ali tlaka na prezračevalni napravi: Vsaj večstopenjski vklop</w:t>
            </w:r>
          </w:p>
        </w:tc>
      </w:tr>
      <w:tr w:rsidR="004C583C" w14:paraId="4D2F8940" w14:textId="77777777" w:rsidTr="004C583C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58E64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Regulacija </w:t>
            </w:r>
            <w:proofErr w:type="spellStart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rekuperatorja</w:t>
            </w:r>
            <w:proofErr w:type="spellEnd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: Zaščita proti zamrzovanju</w:t>
            </w:r>
          </w:p>
        </w:tc>
      </w:tr>
      <w:tr w:rsidR="004C583C" w14:paraId="28F73A98" w14:textId="77777777" w:rsidTr="004C583C">
        <w:trPr>
          <w:trHeight w:val="51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137BD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Regulacija </w:t>
            </w:r>
            <w:proofErr w:type="spellStart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rekuperatorja</w:t>
            </w:r>
            <w:proofErr w:type="spellEnd"/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: Zaščita proti pregrevanju</w:t>
            </w:r>
          </w:p>
        </w:tc>
      </w:tr>
      <w:tr w:rsidR="004C583C" w14:paraId="3BE3F871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AC3E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Prosto hlajenje z obvodom rekuperatorja ali nočno podhlajevanje</w:t>
            </w:r>
          </w:p>
        </w:tc>
      </w:tr>
      <w:tr w:rsidR="004C583C" w14:paraId="16C33EA6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ED547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temperature dovodnega zraka: Variabilna nastavljena temperatura s kompenzacijo za zunanjo temperaturo</w:t>
            </w:r>
          </w:p>
        </w:tc>
      </w:tr>
      <w:tr w:rsidR="004C583C" w14:paraId="2A90B651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71595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vlažnosti: Direktna regulacija vlažnosti</w:t>
            </w:r>
          </w:p>
        </w:tc>
      </w:tr>
      <w:tr w:rsidR="00C3311D" w14:paraId="18A7F0B6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2DB87687" w14:textId="2291EEDC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Če obstoječi sistem BAC ne izpolnjuje vseh zahtev glede regulacije prezračevalnega sistema, se za namen izkazovanja ekonomske ne</w:t>
            </w:r>
            <w:r w:rsidR="00BD4A14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upravičenosti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določi prihranke energije za prezračevanje po enačbi:</w:t>
            </w:r>
          </w:p>
        </w:tc>
      </w:tr>
      <w:tr w:rsidR="00C3311D" w14:paraId="6FD67422" w14:textId="77777777" w:rsidTr="004C583C">
        <w:trPr>
          <w:trHeight w:val="570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D9D9D9"/>
            <w:vAlign w:val="center"/>
          </w:tcPr>
          <w:p w14:paraId="7DCA3D85" w14:textId="383C931C" w:rsidR="00C3311D" w:rsidRDefault="00C3311D">
            <w:pPr>
              <w:spacing w:before="0" w:line="240" w:lineRule="auto"/>
              <w:rPr>
                <w:rFonts w:cstheme="minorHAnsi"/>
                <w:b/>
                <w:bCs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noProof/>
                <w:kern w:val="2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6CF18778" wp14:editId="1A2D9519">
                      <wp:simplePos x="0" y="0"/>
                      <wp:positionH relativeFrom="column">
                        <wp:posOffset>1295400</wp:posOffset>
                      </wp:positionH>
                      <wp:positionV relativeFrom="paragraph">
                        <wp:posOffset>42545</wp:posOffset>
                      </wp:positionV>
                      <wp:extent cx="1459865" cy="243205"/>
                      <wp:effectExtent l="0" t="0" r="5080" b="4445"/>
                      <wp:wrapNone/>
                      <wp:docPr id="922850806" name="Polje z besedilom 922850806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2926710F-F756-45FC-93F3-6B5C06894A31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59865" cy="2432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14:paraId="279907AE" w14:textId="77777777" w:rsidR="00C3311D" w:rsidRDefault="002C5771" w:rsidP="00C3311D">
                                  <w:pPr>
                                    <w:rPr>
                                      <w:rFonts w:ascii="Cambria Math" w:eastAsia="+mn-ea" w:hAnsi="+mn-cs" w:cs="+mn-cs"/>
                                      <w:i/>
                                      <w:iCs/>
                                      <w:color w:val="000000"/>
                                    </w:rPr>
                                  </w:pPr>
                                  <m:oMathPara>
                                    <m:oMathParaPr>
                                      <m:jc m:val="centerGroup"/>
                                    </m:oMathParaPr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="+mn-ea" w:hAnsi="Cambria Math" w:cs="+mn-cs"/>
                                              <w:i/>
                                              <w:iCs/>
                                              <w:color w:val="000000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E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V,prih.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eastAsia="+mn-ea" w:hAnsi="Cambria Math" w:cs="+mn-cs"/>
                                          <w:color w:val="000000"/>
                                        </w:rPr>
                                        <m:t>=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="+mn-ea" w:hAnsi="Cambria Math" w:cs="+mn-cs"/>
                                              <w:i/>
                                              <w:iCs/>
                                              <w:color w:val="000000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E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V,obst.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eastAsia="+mn-ea" w:hAnsi="Cambria Math" w:cs="+mn-cs"/>
                                          <w:color w:val="000000"/>
                                        </w:rPr>
                                        <m:t>∙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="+mn-ea" w:hAnsi="Cambria Math" w:cs="+mn-cs"/>
                                              <w:i/>
                                              <w:iCs/>
                                              <w:color w:val="000000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eastAsia="+mn-ea" w:hAnsi="Cambria Math" w:cs="+mn-cs"/>
                                              <w:color w:val="000000"/>
                                            </w:rPr>
                                            <m:t>BAC,V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wps:txbx>
                            <wps:bodyPr vertOverflow="clip" horzOverflow="clip" wrap="none" lIns="0" tIns="0" rIns="0" bIns="0" rtlCol="0" anchor="t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F18778" id="Polje z besedilom 922850806" o:spid="_x0000_s1029" type="#_x0000_t202" style="position:absolute;left:0;text-align:left;margin-left:102pt;margin-top:3.35pt;width:114.95pt;height:19.15pt;z-index:2516577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" filled="f" stroked="f">
                      <v:textbox style="mso-fit-shape-to-text:t" inset="0,0,0,0">
                        <w:txbxContent>
                          <w:p w14:paraId="279907AE" w14:textId="77777777" w:rsidR="00C3311D" w:rsidRDefault="002C5771" w:rsidP="00C3311D">
                            <w:pPr>
                              <w:rPr>
                                <w:rFonts w:ascii="Cambria Math" w:eastAsia="+mn-ea" w:hAnsi="+mn-cs" w:cs="+mn-cs"/>
                                <w:i/>
                                <w:iCs/>
                                <w:color w:val="000000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="+mn-ea" w:hAnsi="Cambria Math" w:cs="+mn-cs"/>
                                        <w:i/>
                                        <w:iCs/>
                                        <w:color w:val="000000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V,prih.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="+mn-ea" w:hAnsi="Cambria Math" w:cs="+mn-cs"/>
                                    <w:color w:val="000000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="+mn-ea" w:hAnsi="Cambria Math" w:cs="+mn-cs"/>
                                        <w:i/>
                                        <w:iCs/>
                                        <w:color w:val="000000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V,obst.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eastAsia="+mn-ea" w:hAnsi="Cambria Math" w:cs="+mn-cs"/>
                                    <w:color w:val="000000"/>
                                  </w:rPr>
                                  <m:t>∙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="+mn-ea" w:hAnsi="Cambria Math" w:cs="+mn-cs"/>
                                        <w:i/>
                                        <w:iCs/>
                                        <w:color w:val="000000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eastAsia="+mn-ea" w:hAnsi="Cambria Math" w:cs="+mn-cs"/>
                                        <w:color w:val="000000"/>
                                      </w:rPr>
                                      <m:t>BAC,V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A71B7D" w14:textId="77777777" w:rsidR="00C3311D" w:rsidRDefault="00C3311D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</w:p>
        </w:tc>
      </w:tr>
      <w:tr w:rsidR="00C3311D" w14:paraId="4B3C3418" w14:textId="77777777" w:rsidTr="004C583C">
        <w:trPr>
          <w:trHeight w:val="570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11322182" w14:textId="77777777" w:rsidR="00C3311D" w:rsidRDefault="00C3311D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kjer je EV,prih. prihranjena energija za prezračevanje, EV,obst. obstoječa energija za prezračevanje in faktor prihranka energije za prezračevanje fBAC,V = 0,18.</w:t>
            </w:r>
          </w:p>
        </w:tc>
      </w:tr>
    </w:tbl>
    <w:p w14:paraId="3872267C" w14:textId="77777777" w:rsidR="000C46B3" w:rsidRDefault="000C46B3" w:rsidP="000C46B3"/>
    <w:p w14:paraId="1812F3FE" w14:textId="781AF6C6" w:rsidR="000C46B3" w:rsidRDefault="000C46B3" w:rsidP="000C46B3">
      <w:pPr>
        <w:rPr>
          <w:b/>
          <w:bCs/>
        </w:rPr>
      </w:pPr>
      <w:r>
        <w:t xml:space="preserve">Tabela 5: </w:t>
      </w:r>
      <w:r>
        <w:rPr>
          <w:b/>
          <w:bCs/>
        </w:rPr>
        <w:t>Minimalne zahteve za sistem BAC – razsvetljava (</w:t>
      </w:r>
      <w:r>
        <w:rPr>
          <w:rFonts w:cstheme="minorHAnsi"/>
        </w:rPr>
        <w:t>povzeto po standardu SIST EN ISO 52120-1)</w:t>
      </w:r>
    </w:p>
    <w:tbl>
      <w:tblPr>
        <w:tblW w:w="63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4"/>
      </w:tblGrid>
      <w:tr w:rsidR="00C3311D" w14:paraId="373DCCD4" w14:textId="77777777" w:rsidTr="004C583C">
        <w:trPr>
          <w:trHeight w:val="255"/>
        </w:trPr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327114F5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RAZSVETLJAVA</w:t>
            </w:r>
          </w:p>
        </w:tc>
      </w:tr>
      <w:tr w:rsidR="004C583C" w14:paraId="65CD9E1F" w14:textId="77777777" w:rsidTr="004C583C">
        <w:trPr>
          <w:trHeight w:val="795"/>
        </w:trPr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7A1FA" w14:textId="77777777" w:rsidR="004C583C" w:rsidRDefault="004C583C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glede na zasedenost: Prostori s povišano prisotnostjo z ročnim vklopom/izklopom + samodejni izklop enkrat dnevno; manj zasedeni prostori glede na senzor prisotnosti</w:t>
            </w:r>
          </w:p>
        </w:tc>
      </w:tr>
      <w:tr w:rsidR="004C583C" w14:paraId="105800D1" w14:textId="77777777" w:rsidTr="004C583C">
        <w:trPr>
          <w:trHeight w:val="570"/>
        </w:trPr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7F690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glede na osvetlitev/naravno svetlobo: Samodejni vklop/izklop razsvetljave glede na naravno osvetlitev</w:t>
            </w:r>
          </w:p>
        </w:tc>
      </w:tr>
      <w:tr w:rsidR="00C3311D" w14:paraId="727D619E" w14:textId="77777777" w:rsidTr="004C583C">
        <w:trPr>
          <w:trHeight w:val="630"/>
        </w:trPr>
        <w:tc>
          <w:tcPr>
            <w:tcW w:w="63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BD26BC7" w14:textId="5116ABE8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Če obstoječi sistem BAC ne izpolnjuje vseh zahtev glede regulacije razsvetljave, se za namen izkazovanja ekonomske ne</w:t>
            </w:r>
            <w:r w:rsidR="00BD4A14"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upravičenosti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določi prihranke energije za razsvetljavo po enačbi:</w:t>
            </w:r>
          </w:p>
        </w:tc>
      </w:tr>
      <w:tr w:rsidR="00C3311D" w14:paraId="3E1BBD24" w14:textId="77777777" w:rsidTr="004C583C">
        <w:trPr>
          <w:trHeight w:val="480"/>
        </w:trPr>
        <w:tc>
          <w:tcPr>
            <w:tcW w:w="63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4F16F0AB" w14:textId="01AB64A0" w:rsidR="00C3311D" w:rsidRDefault="00C3311D">
            <w:pPr>
              <w:spacing w:line="240" w:lineRule="auto"/>
              <w:rPr>
                <w:rFonts w:cs="Arial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noProof/>
                <w:kern w:val="2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08E6FDA9" wp14:editId="551BB18E">
                      <wp:simplePos x="0" y="0"/>
                      <wp:positionH relativeFrom="column">
                        <wp:posOffset>1271905</wp:posOffset>
                      </wp:positionH>
                      <wp:positionV relativeFrom="paragraph">
                        <wp:posOffset>-85725</wp:posOffset>
                      </wp:positionV>
                      <wp:extent cx="1427480" cy="243205"/>
                      <wp:effectExtent l="0" t="0" r="0" b="0"/>
                      <wp:wrapNone/>
                      <wp:docPr id="6" name="Polje z besedilom 6">
                        <a:extLst xmlns:a="http://schemas.openxmlformats.org/drawingml/2006/main">
                          <a:ext uri="{FF2B5EF4-FFF2-40B4-BE49-F238E27FC236}">
                            <a16:creationId xmlns:a16="http://schemas.microsoft.com/office/drawing/2014/main" id="{4E60F2A5-089E-4631-9FFF-ACC7B82E1F4B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27480" cy="243205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tx1"/>
                              </a:fontRef>
                            </wps:style>
                            <wps:txbx>
                              <w:txbxContent>
                                <w:p w14:paraId="045A19F5" w14:textId="77777777" w:rsidR="00C3311D" w:rsidRDefault="002C5771" w:rsidP="00C3311D">
                                  <w:pPr>
                                    <w:rPr>
                                      <w:rFonts w:ascii="Cambria Math" w:hAnsi="+mn-cs"/>
                                      <w:i/>
                                      <w:iCs/>
                                      <w:color w:val="000000" w:themeColor="text1"/>
                                    </w:rPr>
                                  </w:pPr>
                                  <m:oMathPara>
                                    <m:oMathParaPr>
                                      <m:jc m:val="centerGroup"/>
                                    </m:oMathParaPr>
                                    <m:oMath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E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L,prih.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=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E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L,obst.</m:t>
                                          </m:r>
                                        </m:sub>
                                      </m:sSub>
                                      <m:r>
                                        <w:rPr>
                                          <w:rFonts w:ascii="Cambria Math" w:hAnsi="Cambria Math"/>
                                          <w:color w:val="000000" w:themeColor="text1"/>
                                        </w:rPr>
                                        <m:t>∙</m:t>
                                      </m:r>
                                      <m:sSub>
                                        <m:sSubPr>
                                          <m:ctrlPr>
                                            <w:rPr>
                                              <w:rFonts w:ascii="Cambria Math" w:eastAsiaTheme="minorEastAsia" w:hAnsi="Cambria Math"/>
                                              <w:i/>
                                              <w:iCs/>
                                              <w:color w:val="000000" w:themeColor="text1"/>
                                              <w:kern w:val="2"/>
                                              <w:szCs w:val="22"/>
                                              <w:lang w:eastAsia="en-US"/>
                                              <w14:ligatures w14:val="standardContextual"/>
                                            </w:rPr>
                                          </m:ctrlPr>
                                        </m:sSubPr>
                                        <m:e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f</m:t>
                                          </m:r>
                                        </m:e>
                                        <m:sub>
                                          <m:r>
                                            <w:rPr>
                                              <w:rFonts w:ascii="Cambria Math" w:hAnsi="Cambria Math"/>
                                              <w:color w:val="000000" w:themeColor="text1"/>
                                            </w:rPr>
                                            <m:t>BAC,L</m:t>
                                          </m:r>
                                        </m:sub>
                                      </m:sSub>
                                    </m:oMath>
                                  </m:oMathPara>
                                </w:p>
                              </w:txbxContent>
                            </wps:txbx>
                            <wps:bodyPr vertOverflow="clip" horzOverflow="clip" wrap="none" lIns="0" tIns="0" rIns="0" bIns="0" rtlCol="0" anchor="t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6FDA9" id="Polje z besedilom 6" o:spid="_x0000_s1030" type="#_x0000_t202" style="position:absolute;left:0;text-align:left;margin-left:100.15pt;margin-top:-6.75pt;width:112.4pt;height:19.15pt;z-index:25165977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" filled="f" stroked="f">
                      <v:textbox style="mso-fit-shape-to-text:t" inset="0,0,0,0">
                        <w:txbxContent>
                          <w:p w14:paraId="045A19F5" w14:textId="77777777" w:rsidR="00C3311D" w:rsidRDefault="002C5771" w:rsidP="00C3311D">
                            <w:pPr>
                              <w:rPr>
                                <w:rFonts w:ascii="Cambria Math" w:hAnsi="+mn-cs"/>
                                <w:i/>
                                <w:iCs/>
                                <w:color w:val="000000" w:themeColor="text1"/>
                              </w:rPr>
                            </w:pPr>
                            <m:oMathPara>
                              <m:oMathParaPr>
                                <m:jc m:val="centerGroup"/>
                              </m:oMathParaPr>
                              <m:oMath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L,prih.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=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E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L,obst.</m:t>
                                    </m:r>
                                  </m:sub>
                                </m:sSub>
                                <m:r>
                                  <w:rPr>
                                    <w:rFonts w:ascii="Cambria Math" w:hAnsi="Cambria Math"/>
                                    <w:color w:val="000000" w:themeColor="text1"/>
                                  </w:rPr>
                                  <m:t>∙</m:t>
                                </m:r>
                                <m:sSub>
                                  <m:sSubPr>
                                    <m:ctrlPr>
                                      <w:rPr>
                                        <w:rFonts w:ascii="Cambria Math" w:eastAsiaTheme="minorEastAsia" w:hAnsi="Cambria Math"/>
                                        <w:i/>
                                        <w:iCs/>
                                        <w:color w:val="000000" w:themeColor="text1"/>
                                        <w:kern w:val="2"/>
                                        <w:szCs w:val="22"/>
                                        <w:lang w:eastAsia="en-US"/>
                                        <w14:ligatures w14:val="standardContextual"/>
                                      </w:rPr>
                                    </m:ctrlPr>
                                  </m:sSubPr>
                                  <m:e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f</m:t>
                                    </m:r>
                                  </m:e>
                                  <m:sub>
                                    <m:r>
                                      <w:rPr>
                                        <w:rFonts w:ascii="Cambria Math" w:hAnsi="Cambria Math"/>
                                        <w:color w:val="000000" w:themeColor="text1"/>
                                      </w:rPr>
                                      <m:t>BAC,L</m:t>
                                    </m:r>
                                  </m:sub>
                                </m:sSub>
                              </m:oMath>
                            </m:oMathPara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3311D" w14:paraId="68FB8108" w14:textId="77777777" w:rsidTr="004C583C">
        <w:trPr>
          <w:trHeight w:val="630"/>
        </w:trPr>
        <w:tc>
          <w:tcPr>
            <w:tcW w:w="63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933F2EE" w14:textId="77777777" w:rsidR="00C3311D" w:rsidRDefault="00C3311D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kjer je E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L,prih.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prihranjena energija za razsvetljavo, E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L,obst.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obstoječa energija za razsvetljavo in faktor prihranka energije za razsvetljavo f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vertAlign w:val="subscript"/>
                <w:lang w:eastAsia="sl-SI"/>
                <w14:ligatures w14:val="standardContextual"/>
              </w:rPr>
              <w:t>BAC,L</w:t>
            </w: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= 0,18.</w:t>
            </w:r>
          </w:p>
        </w:tc>
      </w:tr>
    </w:tbl>
    <w:p w14:paraId="1391F151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4E2C7686" w14:textId="5481008B" w:rsidR="000C46B3" w:rsidRDefault="000C46B3" w:rsidP="000C46B3">
      <w:pPr>
        <w:rPr>
          <w:b/>
          <w:bCs/>
        </w:rPr>
      </w:pPr>
      <w:r>
        <w:t xml:space="preserve">Tabela 6: </w:t>
      </w:r>
      <w:r>
        <w:rPr>
          <w:b/>
          <w:bCs/>
        </w:rPr>
        <w:t>Minimalne zahteve za sistem BAC – senčila (</w:t>
      </w:r>
      <w:r>
        <w:rPr>
          <w:rFonts w:cstheme="minorHAnsi"/>
        </w:rPr>
        <w:t>povzeto po standardu SIST EN ISO 52120-1)</w:t>
      </w:r>
    </w:p>
    <w:tbl>
      <w:tblPr>
        <w:tblW w:w="62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</w:tblGrid>
      <w:tr w:rsidR="00C3311D" w14:paraId="202CA8D0" w14:textId="77777777" w:rsidTr="004C583C">
        <w:trPr>
          <w:trHeight w:val="25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F3FDDCD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SENČILA</w:t>
            </w:r>
          </w:p>
        </w:tc>
      </w:tr>
      <w:tr w:rsidR="004C583C" w14:paraId="495C0104" w14:textId="77777777" w:rsidTr="004C583C">
        <w:trPr>
          <w:trHeight w:val="570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4F4E6" w14:textId="77777777" w:rsidR="004C583C" w:rsidRDefault="004C583C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Regulacija senčil: Soodvisna regulacija razsvetljave/senčil/klimatskega sistema</w:t>
            </w:r>
          </w:p>
        </w:tc>
      </w:tr>
    </w:tbl>
    <w:p w14:paraId="51115277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03ECCB61" w14:textId="38D300EE" w:rsidR="000C46B3" w:rsidRDefault="000C46B3" w:rsidP="000C46B3">
      <w:pPr>
        <w:rPr>
          <w:b/>
          <w:bCs/>
        </w:rPr>
      </w:pPr>
      <w:r>
        <w:t xml:space="preserve">Tabela 7: </w:t>
      </w:r>
      <w:r>
        <w:rPr>
          <w:b/>
          <w:bCs/>
        </w:rPr>
        <w:t>Minimalne zahteve za sistem BAC – tehnično upravljanje stavbe (</w:t>
      </w:r>
      <w:r>
        <w:rPr>
          <w:rFonts w:cstheme="minorHAnsi"/>
        </w:rPr>
        <w:t>povzeto po standardu SIST EN ISO 52120-1)</w:t>
      </w:r>
    </w:p>
    <w:tbl>
      <w:tblPr>
        <w:tblW w:w="65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6"/>
      </w:tblGrid>
      <w:tr w:rsidR="00C3311D" w14:paraId="076325F8" w14:textId="77777777" w:rsidTr="004C583C">
        <w:trPr>
          <w:trHeight w:val="255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32CC3E0" w14:textId="77777777" w:rsidR="00C3311D" w:rsidRDefault="00C3311D">
            <w:pPr>
              <w:spacing w:line="240" w:lineRule="auto"/>
              <w:jc w:val="center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TEHNIČNO UPRAVLJANJE STAVBE</w:t>
            </w:r>
          </w:p>
        </w:tc>
      </w:tr>
      <w:tr w:rsidR="004C583C" w14:paraId="52CB623C" w14:textId="77777777" w:rsidTr="004C583C">
        <w:trPr>
          <w:trHeight w:val="57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45A6A" w14:textId="77777777" w:rsidR="004C583C" w:rsidRDefault="004C583C">
            <w:pPr>
              <w:spacing w:line="240" w:lineRule="auto"/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Upravljanje nastavljene temperature: Centralno prilagajanje</w:t>
            </w:r>
          </w:p>
        </w:tc>
      </w:tr>
      <w:tr w:rsidR="004C583C" w14:paraId="41C631D2" w14:textId="77777777" w:rsidTr="004C583C">
        <w:trPr>
          <w:trHeight w:val="57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846B7D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Upravljanje delovanja: Individualna nastavitev po vnaprej določenem urniku; centralno prilagajanje; prilagodljiv čas</w:t>
            </w:r>
            <w:r>
              <w:rPr>
                <w:rFonts w:cstheme="minorHAnsi"/>
                <w:kern w:val="2"/>
                <w:sz w:val="20"/>
                <w:szCs w:val="20"/>
                <w:lang w:eastAsia="sl-SI"/>
                <w14:ligatures w14:val="standardContextual"/>
              </w:rPr>
              <w:t xml:space="preserve"> predkondicioniranja</w:t>
            </w:r>
          </w:p>
        </w:tc>
      </w:tr>
      <w:tr w:rsidR="004C583C" w14:paraId="6BBBD89E" w14:textId="77777777" w:rsidTr="004C583C">
        <w:trPr>
          <w:trHeight w:val="78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21B3B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Zaznavanje napak na tehničnih stavbnih sistemih in pomoč pri diagnozi teh napak: S centralnim prikazom zaznanih napak in alarmi/diagnostičnimi funkcijami</w:t>
            </w:r>
          </w:p>
        </w:tc>
      </w:tr>
      <w:tr w:rsidR="004C583C" w14:paraId="0025CB92" w14:textId="77777777" w:rsidTr="004C583C">
        <w:trPr>
          <w:trHeight w:val="129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21472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Energetsko knjigovodstvo: spremljanje, zapisovanje in analiziranje karakterističnih kazalnikov glavnih energetskih tokov. Primerjava z referenčnimi vrednostmi, odkrivanje izgub učinkovitosti tehničnih stavbnih sistemov. Obvešča osebe, ki so odgovorne za stavbo ali tehnično upravljanje stavbe, o možnostih za izboljšanje energetske učinkovitosti.</w:t>
            </w:r>
          </w:p>
        </w:tc>
      </w:tr>
      <w:tr w:rsidR="004C583C" w14:paraId="2D19C020" w14:textId="77777777" w:rsidTr="004C583C">
        <w:trPr>
          <w:trHeight w:val="87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F5CF5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CNS: omogoča komunikacijo s povezanimi tehničnimi stavbnimi sistemi in drugimi napravami v stavbi ter so interoperabilni s tehničnimi stavbnimi sistemi med različnimi vrstami tehnologij, naprav in proizvajalcev.</w:t>
            </w:r>
          </w:p>
        </w:tc>
      </w:tr>
      <w:tr w:rsidR="004C583C" w14:paraId="225A4B5A" w14:textId="77777777" w:rsidTr="004C583C">
        <w:trPr>
          <w:trHeight w:val="643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5DE5" w14:textId="77777777" w:rsidR="004C583C" w:rsidRDefault="004C583C">
            <w:pPr>
              <w:spacing w:line="240" w:lineRule="auto"/>
              <w:rPr>
                <w:rFonts w:asciiTheme="minorHAnsi" w:hAnsiTheme="minorHAnsi"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</w:pPr>
            <w:r>
              <w:rPr>
                <w:rFonts w:cstheme="minorHAnsi"/>
                <w:color w:val="000000"/>
                <w:kern w:val="2"/>
                <w:sz w:val="20"/>
                <w:szCs w:val="20"/>
                <w:lang w:eastAsia="sl-SI"/>
                <w14:ligatures w14:val="standardContextual"/>
              </w:rPr>
              <w:t>Izkoriščanje odpadne toplote: Upravljane z odpadno toploto, predvsem v kombinaciji z drugimi generatorji toplote</w:t>
            </w:r>
          </w:p>
        </w:tc>
      </w:tr>
    </w:tbl>
    <w:p w14:paraId="08029116" w14:textId="77777777" w:rsidR="00C3311D" w:rsidRDefault="00C3311D" w:rsidP="00C3311D">
      <w:pPr>
        <w:rPr>
          <w:rFonts w:asciiTheme="minorHAnsi" w:eastAsiaTheme="minorHAnsi" w:hAnsiTheme="minorHAnsi" w:cstheme="minorHAnsi"/>
          <w:szCs w:val="22"/>
          <w:lang w:eastAsia="en-US"/>
        </w:rPr>
      </w:pPr>
    </w:p>
    <w:p w14:paraId="6584B396" w14:textId="77777777" w:rsidR="00C3311D" w:rsidRDefault="00C3311D" w:rsidP="00C3311D">
      <w:pPr>
        <w:rPr>
          <w:rFonts w:cstheme="minorHAnsi"/>
        </w:rPr>
      </w:pPr>
    </w:p>
    <w:p w14:paraId="2EEA5CFB" w14:textId="77777777" w:rsidR="00C3311D" w:rsidRDefault="00C3311D" w:rsidP="00C3311D">
      <w:pPr>
        <w:spacing w:beforeLines="60" w:before="144"/>
      </w:pPr>
    </w:p>
    <w:p w14:paraId="6FFDDAB4" w14:textId="77777777" w:rsidR="00C3311D" w:rsidRDefault="00C3311D" w:rsidP="00C3311D">
      <w:pPr>
        <w:spacing w:beforeLines="60" w:before="144"/>
      </w:pPr>
    </w:p>
    <w:p w14:paraId="78BC1D34" w14:textId="77777777" w:rsidR="00C3311D" w:rsidRDefault="00C3311D" w:rsidP="00C3311D">
      <w:pPr>
        <w:spacing w:beforeLines="60" w:before="144"/>
        <w:rPr>
          <w:rFonts w:cs="Tahoma"/>
        </w:rPr>
      </w:pPr>
    </w:p>
    <w:p w14:paraId="63B950CB" w14:textId="77777777" w:rsidR="00C3311D" w:rsidRDefault="00C3311D" w:rsidP="00C3311D">
      <w:pPr>
        <w:spacing w:beforeLines="60" w:before="144"/>
        <w:rPr>
          <w:rFonts w:cs="Tahoma"/>
        </w:rPr>
      </w:pPr>
    </w:p>
    <w:p w14:paraId="575D7428" w14:textId="77777777" w:rsidR="00C3311D" w:rsidRDefault="00C3311D" w:rsidP="00C3311D">
      <w:pPr>
        <w:spacing w:beforeLines="60" w:before="144"/>
        <w:rPr>
          <w:rFonts w:cs="Tahoma"/>
        </w:rPr>
      </w:pPr>
    </w:p>
    <w:p w14:paraId="373DF866" w14:textId="77777777" w:rsidR="00C3311D" w:rsidRDefault="00C3311D" w:rsidP="00C3311D">
      <w:pPr>
        <w:spacing w:beforeLines="60" w:before="144"/>
        <w:rPr>
          <w:rFonts w:cs="Tahoma"/>
        </w:rPr>
      </w:pPr>
    </w:p>
    <w:p w14:paraId="59E55B4D" w14:textId="77777777" w:rsidR="00AF3459" w:rsidRDefault="00AF3459"/>
    <w:sectPr w:rsidR="00AF34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+mn-cs">
    <w:panose1 w:val="00000000000000000000"/>
    <w:charset w:val="00"/>
    <w:family w:val="roman"/>
    <w:notTrueType/>
    <w:pitch w:val="default"/>
  </w:font>
  <w:font w:name="+mn-ea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442D9"/>
    <w:multiLevelType w:val="hybridMultilevel"/>
    <w:tmpl w:val="666E20FE"/>
    <w:lvl w:ilvl="0" w:tplc="3C82AD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80C36"/>
    <w:multiLevelType w:val="hybridMultilevel"/>
    <w:tmpl w:val="39A6FD50"/>
    <w:lvl w:ilvl="0" w:tplc="3C82AD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F56CFA"/>
    <w:multiLevelType w:val="hybridMultilevel"/>
    <w:tmpl w:val="05A01302"/>
    <w:lvl w:ilvl="0" w:tplc="04240001">
      <w:start w:val="1"/>
      <w:numFmt w:val="bullet"/>
      <w:pStyle w:val="Lis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  <w:color w:val="auto"/>
      </w:rPr>
    </w:lvl>
    <w:lvl w:ilvl="1" w:tplc="D2B86D0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7C02F1"/>
    <w:multiLevelType w:val="hybridMultilevel"/>
    <w:tmpl w:val="C19C289A"/>
    <w:lvl w:ilvl="0" w:tplc="FD646E60">
      <w:start w:val="1"/>
      <w:numFmt w:val="decimal"/>
      <w:pStyle w:val="ukrepi"/>
      <w:lvlText w:val="Ukrep %1: "/>
      <w:lvlJc w:val="left"/>
      <w:pPr>
        <w:ind w:left="360" w:hanging="360"/>
      </w:pPr>
      <w:rPr>
        <w:b/>
      </w:rPr>
    </w:lvl>
    <w:lvl w:ilvl="1" w:tplc="04240003">
      <w:start w:val="1"/>
      <w:numFmt w:val="lowerLetter"/>
      <w:lvlText w:val="%2."/>
      <w:lvlJc w:val="left"/>
      <w:pPr>
        <w:ind w:left="1440" w:hanging="360"/>
      </w:pPr>
    </w:lvl>
    <w:lvl w:ilvl="2" w:tplc="04240005">
      <w:start w:val="1"/>
      <w:numFmt w:val="lowerRoman"/>
      <w:lvlText w:val="%3."/>
      <w:lvlJc w:val="right"/>
      <w:pPr>
        <w:ind w:left="2160" w:hanging="180"/>
      </w:pPr>
    </w:lvl>
    <w:lvl w:ilvl="3" w:tplc="04240001">
      <w:start w:val="1"/>
      <w:numFmt w:val="decimal"/>
      <w:lvlText w:val="%4."/>
      <w:lvlJc w:val="left"/>
      <w:pPr>
        <w:ind w:left="2880" w:hanging="360"/>
      </w:pPr>
    </w:lvl>
    <w:lvl w:ilvl="4" w:tplc="04240003">
      <w:start w:val="1"/>
      <w:numFmt w:val="lowerLetter"/>
      <w:lvlText w:val="%5."/>
      <w:lvlJc w:val="left"/>
      <w:pPr>
        <w:ind w:left="3600" w:hanging="360"/>
      </w:pPr>
    </w:lvl>
    <w:lvl w:ilvl="5" w:tplc="04240005">
      <w:start w:val="1"/>
      <w:numFmt w:val="lowerRoman"/>
      <w:lvlText w:val="%6."/>
      <w:lvlJc w:val="right"/>
      <w:pPr>
        <w:ind w:left="4320" w:hanging="180"/>
      </w:pPr>
    </w:lvl>
    <w:lvl w:ilvl="6" w:tplc="04240001">
      <w:start w:val="1"/>
      <w:numFmt w:val="decimal"/>
      <w:lvlText w:val="%7."/>
      <w:lvlJc w:val="left"/>
      <w:pPr>
        <w:ind w:left="5040" w:hanging="360"/>
      </w:pPr>
    </w:lvl>
    <w:lvl w:ilvl="7" w:tplc="04240003">
      <w:start w:val="1"/>
      <w:numFmt w:val="lowerLetter"/>
      <w:lvlText w:val="%8."/>
      <w:lvlJc w:val="left"/>
      <w:pPr>
        <w:ind w:left="5760" w:hanging="360"/>
      </w:pPr>
    </w:lvl>
    <w:lvl w:ilvl="8" w:tplc="04240005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DB0288"/>
    <w:multiLevelType w:val="hybridMultilevel"/>
    <w:tmpl w:val="A7DADCFA"/>
    <w:lvl w:ilvl="0" w:tplc="222098EC">
      <w:start w:val="1"/>
      <w:numFmt w:val="bullet"/>
      <w:pStyle w:val="Seznam1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60543BBB"/>
    <w:multiLevelType w:val="hybridMultilevel"/>
    <w:tmpl w:val="6644A5BE"/>
    <w:lvl w:ilvl="0" w:tplc="3C82AD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5B56FB"/>
    <w:multiLevelType w:val="hybridMultilevel"/>
    <w:tmpl w:val="61882224"/>
    <w:lvl w:ilvl="0" w:tplc="3C82AD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515892"/>
    <w:multiLevelType w:val="multilevel"/>
    <w:tmpl w:val="1152D22E"/>
    <w:lvl w:ilvl="0">
      <w:start w:val="1"/>
      <w:numFmt w:val="decimal"/>
      <w:pStyle w:val="Heading1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711"/>
        </w:tabs>
        <w:ind w:left="1711" w:hanging="576"/>
      </w:pPr>
      <w:rPr>
        <w:b/>
        <w:bCs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."/>
      <w:lvlJc w:val="left"/>
      <w:pPr>
        <w:tabs>
          <w:tab w:val="num" w:pos="864"/>
        </w:tabs>
        <w:ind w:left="864" w:hanging="864"/>
      </w:pPr>
    </w:lvl>
    <w:lvl w:ilvl="4">
      <w:start w:val="1"/>
      <w:numFmt w:val="lowerLetter"/>
      <w:pStyle w:val="Heading5"/>
      <w:lvlText w:val="%5."/>
      <w:lvlJc w:val="left"/>
      <w:pPr>
        <w:tabs>
          <w:tab w:val="num" w:pos="1008"/>
        </w:tabs>
        <w:ind w:left="1008" w:hanging="1008"/>
      </w:pPr>
    </w:lvl>
    <w:lvl w:ilvl="5">
      <w:start w:val="1"/>
      <w:numFmt w:val="lowerRoman"/>
      <w:pStyle w:val="Heading6"/>
      <w:lvlText w:val="%6.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601063454">
    <w:abstractNumId w:val="7"/>
  </w:num>
  <w:num w:numId="2" w16cid:durableId="2192437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30096380">
    <w:abstractNumId w:val="2"/>
  </w:num>
  <w:num w:numId="4" w16cid:durableId="1801650676">
    <w:abstractNumId w:val="2"/>
  </w:num>
  <w:num w:numId="5" w16cid:durableId="1381631493">
    <w:abstractNumId w:val="4"/>
  </w:num>
  <w:num w:numId="6" w16cid:durableId="747077037">
    <w:abstractNumId w:val="4"/>
  </w:num>
  <w:num w:numId="7" w16cid:durableId="1391805189">
    <w:abstractNumId w:val="3"/>
  </w:num>
  <w:num w:numId="8" w16cid:durableId="9631241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22228778">
    <w:abstractNumId w:val="6"/>
  </w:num>
  <w:num w:numId="10" w16cid:durableId="102696511">
    <w:abstractNumId w:val="6"/>
  </w:num>
  <w:num w:numId="11" w16cid:durableId="137458320">
    <w:abstractNumId w:val="1"/>
  </w:num>
  <w:num w:numId="12" w16cid:durableId="429544856">
    <w:abstractNumId w:val="1"/>
  </w:num>
  <w:num w:numId="13" w16cid:durableId="2084519568">
    <w:abstractNumId w:val="0"/>
  </w:num>
  <w:num w:numId="14" w16cid:durableId="1468473354">
    <w:abstractNumId w:val="0"/>
  </w:num>
  <w:num w:numId="15" w16cid:durableId="2147038821">
    <w:abstractNumId w:val="5"/>
  </w:num>
  <w:num w:numId="16" w16cid:durableId="1170697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QwNjUxM7c0MjMxMDRU0lEKTi0uzszPAykwrAUAzK8rDSwAAAA="/>
  </w:docVars>
  <w:rsids>
    <w:rsidRoot w:val="00C3311D"/>
    <w:rsid w:val="0004082B"/>
    <w:rsid w:val="000479F1"/>
    <w:rsid w:val="000C46B3"/>
    <w:rsid w:val="000D374C"/>
    <w:rsid w:val="00162888"/>
    <w:rsid w:val="0022320B"/>
    <w:rsid w:val="002911DB"/>
    <w:rsid w:val="00330EB1"/>
    <w:rsid w:val="00335579"/>
    <w:rsid w:val="0034329C"/>
    <w:rsid w:val="00345201"/>
    <w:rsid w:val="0039075E"/>
    <w:rsid w:val="004010F4"/>
    <w:rsid w:val="00414534"/>
    <w:rsid w:val="00475980"/>
    <w:rsid w:val="00495F20"/>
    <w:rsid w:val="004C583C"/>
    <w:rsid w:val="00571EA9"/>
    <w:rsid w:val="005C5D44"/>
    <w:rsid w:val="005E2FE9"/>
    <w:rsid w:val="00632CC4"/>
    <w:rsid w:val="00657210"/>
    <w:rsid w:val="006678AA"/>
    <w:rsid w:val="006E4635"/>
    <w:rsid w:val="006F5CE7"/>
    <w:rsid w:val="00737340"/>
    <w:rsid w:val="007B0D42"/>
    <w:rsid w:val="007D5D0E"/>
    <w:rsid w:val="0087615A"/>
    <w:rsid w:val="009414B0"/>
    <w:rsid w:val="009528D3"/>
    <w:rsid w:val="00985726"/>
    <w:rsid w:val="009F2C97"/>
    <w:rsid w:val="00A64377"/>
    <w:rsid w:val="00AC7096"/>
    <w:rsid w:val="00AD4329"/>
    <w:rsid w:val="00AF3459"/>
    <w:rsid w:val="00B74A30"/>
    <w:rsid w:val="00B811D6"/>
    <w:rsid w:val="00B83F9A"/>
    <w:rsid w:val="00BA5E7C"/>
    <w:rsid w:val="00BD4A14"/>
    <w:rsid w:val="00C3311D"/>
    <w:rsid w:val="00C467CC"/>
    <w:rsid w:val="00C60CEB"/>
    <w:rsid w:val="00C65CC1"/>
    <w:rsid w:val="00CA5C22"/>
    <w:rsid w:val="00CC20ED"/>
    <w:rsid w:val="00D23D88"/>
    <w:rsid w:val="00D4473A"/>
    <w:rsid w:val="00D45E9B"/>
    <w:rsid w:val="00DD63E1"/>
    <w:rsid w:val="00DE39AD"/>
    <w:rsid w:val="00E2086F"/>
    <w:rsid w:val="00F17DD0"/>
    <w:rsid w:val="00FF2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9E8B80"/>
  <w15:chartTrackingRefBased/>
  <w15:docId w15:val="{F8A6135B-882C-4434-9416-9DEAB729C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iPriority="0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311D"/>
    <w:pPr>
      <w:spacing w:before="60" w:after="0" w:line="276" w:lineRule="auto"/>
      <w:jc w:val="both"/>
    </w:pPr>
    <w:rPr>
      <w:rFonts w:ascii="Arial" w:eastAsia="Times New Roman" w:hAnsi="Arial" w:cs="Times New Roman"/>
      <w:szCs w:val="24"/>
      <w:lang w:eastAsia="en-GB"/>
    </w:rPr>
  </w:style>
  <w:style w:type="paragraph" w:styleId="Heading1">
    <w:name w:val="heading 1"/>
    <w:basedOn w:val="Normal"/>
    <w:next w:val="BodyText"/>
    <w:link w:val="Heading1Char"/>
    <w:uiPriority w:val="9"/>
    <w:qFormat/>
    <w:rsid w:val="00C3311D"/>
    <w:pPr>
      <w:keepNext/>
      <w:pageBreakBefore/>
      <w:numPr>
        <w:numId w:val="1"/>
      </w:numPr>
      <w:pBdr>
        <w:bottom w:val="single" w:sz="12" w:space="1" w:color="auto"/>
      </w:pBdr>
      <w:tabs>
        <w:tab w:val="left" w:pos="1080"/>
      </w:tabs>
      <w:spacing w:before="240" w:after="120"/>
      <w:ind w:left="431" w:hanging="431"/>
      <w:outlineLvl w:val="0"/>
    </w:pPr>
    <w:rPr>
      <w:b/>
      <w:caps/>
      <w:sz w:val="28"/>
      <w:szCs w:val="28"/>
    </w:rPr>
  </w:style>
  <w:style w:type="paragraph" w:styleId="Heading2">
    <w:name w:val="heading 2"/>
    <w:basedOn w:val="Normal"/>
    <w:next w:val="BodyText"/>
    <w:link w:val="Heading2Char"/>
    <w:semiHidden/>
    <w:unhideWhenUsed/>
    <w:qFormat/>
    <w:rsid w:val="00C3311D"/>
    <w:pPr>
      <w:keepNext/>
      <w:numPr>
        <w:ilvl w:val="1"/>
        <w:numId w:val="1"/>
      </w:numPr>
      <w:spacing w:before="360"/>
      <w:ind w:left="578" w:hanging="578"/>
      <w:outlineLvl w:val="1"/>
    </w:pPr>
    <w:rPr>
      <w:rFonts w:cs="Arial"/>
      <w:b/>
      <w:bCs/>
      <w:iCs/>
      <w:sz w:val="26"/>
      <w:szCs w:val="26"/>
    </w:rPr>
  </w:style>
  <w:style w:type="paragraph" w:styleId="Heading3">
    <w:name w:val="heading 3"/>
    <w:basedOn w:val="Normal"/>
    <w:next w:val="BodyText"/>
    <w:link w:val="Heading3Char"/>
    <w:semiHidden/>
    <w:unhideWhenUsed/>
    <w:qFormat/>
    <w:rsid w:val="00C3311D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</w:rPr>
  </w:style>
  <w:style w:type="paragraph" w:styleId="Heading4">
    <w:name w:val="heading 4"/>
    <w:basedOn w:val="Normal"/>
    <w:next w:val="BodyText"/>
    <w:link w:val="Heading4Char"/>
    <w:semiHidden/>
    <w:unhideWhenUsed/>
    <w:qFormat/>
    <w:rsid w:val="00C3311D"/>
    <w:pPr>
      <w:keepNext/>
      <w:numPr>
        <w:ilvl w:val="3"/>
        <w:numId w:val="1"/>
      </w:numPr>
      <w:spacing w:before="240" w:after="60"/>
      <w:outlineLvl w:val="3"/>
    </w:pPr>
    <w:rPr>
      <w:b/>
      <w:i/>
      <w:szCs w:val="20"/>
      <w:lang w:eastAsia="en-US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3311D"/>
    <w:pPr>
      <w:numPr>
        <w:ilvl w:val="4"/>
        <w:numId w:val="1"/>
      </w:numPr>
      <w:spacing w:before="240" w:after="60"/>
      <w:outlineLvl w:val="4"/>
    </w:pPr>
    <w:rPr>
      <w:b/>
      <w:bCs/>
      <w:iCs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C3311D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C3311D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C3311D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C3311D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Naslov1Znak">
    <w:name w:val="Naslov 1 Znak"/>
    <w:basedOn w:val="DefaultParagraphFont"/>
    <w:uiPriority w:val="9"/>
    <w:rsid w:val="00C3311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GB"/>
    </w:rPr>
  </w:style>
  <w:style w:type="character" w:customStyle="1" w:styleId="Heading2Char">
    <w:name w:val="Heading 2 Char"/>
    <w:basedOn w:val="DefaultParagraphFont"/>
    <w:link w:val="Heading2"/>
    <w:semiHidden/>
    <w:rsid w:val="00C3311D"/>
    <w:rPr>
      <w:rFonts w:ascii="Arial" w:eastAsia="Times New Roman" w:hAnsi="Arial" w:cs="Arial"/>
      <w:b/>
      <w:bCs/>
      <w:iCs/>
      <w:sz w:val="26"/>
      <w:szCs w:val="26"/>
      <w:lang w:eastAsia="en-GB"/>
    </w:rPr>
  </w:style>
  <w:style w:type="character" w:customStyle="1" w:styleId="Heading3Char">
    <w:name w:val="Heading 3 Char"/>
    <w:basedOn w:val="DefaultParagraphFont"/>
    <w:link w:val="Heading3"/>
    <w:semiHidden/>
    <w:rsid w:val="00C3311D"/>
    <w:rPr>
      <w:rFonts w:ascii="Arial" w:eastAsia="Times New Roman" w:hAnsi="Arial" w:cs="Arial"/>
      <w:b/>
      <w:bCs/>
      <w:sz w:val="24"/>
      <w:szCs w:val="24"/>
      <w:lang w:eastAsia="en-GB"/>
    </w:rPr>
  </w:style>
  <w:style w:type="character" w:customStyle="1" w:styleId="Heading4Char">
    <w:name w:val="Heading 4 Char"/>
    <w:basedOn w:val="DefaultParagraphFont"/>
    <w:link w:val="Heading4"/>
    <w:semiHidden/>
    <w:rsid w:val="00C3311D"/>
    <w:rPr>
      <w:rFonts w:ascii="Arial" w:eastAsia="Times New Roman" w:hAnsi="Arial" w:cs="Times New Roman"/>
      <w:b/>
      <w:i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3311D"/>
    <w:rPr>
      <w:rFonts w:ascii="Arial" w:eastAsia="Times New Roman" w:hAnsi="Arial" w:cs="Times New Roman"/>
      <w:b/>
      <w:bCs/>
      <w:iCs/>
      <w:szCs w:val="24"/>
      <w:lang w:eastAsia="en-GB"/>
    </w:rPr>
  </w:style>
  <w:style w:type="character" w:customStyle="1" w:styleId="Heading6Char">
    <w:name w:val="Heading 6 Char"/>
    <w:basedOn w:val="DefaultParagraphFont"/>
    <w:link w:val="Heading6"/>
    <w:semiHidden/>
    <w:rsid w:val="00C3311D"/>
    <w:rPr>
      <w:rFonts w:ascii="Arial" w:eastAsia="Times New Roman" w:hAnsi="Arial" w:cs="Times New Roman"/>
      <w:b/>
      <w:bCs/>
      <w:lang w:eastAsia="en-GB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C3311D"/>
    <w:rPr>
      <w:rFonts w:ascii="Arial" w:eastAsia="Times New Roman" w:hAnsi="Arial" w:cs="Times New Roman"/>
      <w:szCs w:val="24"/>
      <w:lang w:eastAsia="en-GB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C3311D"/>
    <w:rPr>
      <w:rFonts w:ascii="Arial" w:eastAsia="Times New Roman" w:hAnsi="Arial" w:cs="Times New Roman"/>
      <w:i/>
      <w:iCs/>
      <w:szCs w:val="24"/>
      <w:lang w:eastAsia="en-GB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C3311D"/>
    <w:rPr>
      <w:rFonts w:ascii="Arial" w:eastAsia="Times New Roman" w:hAnsi="Arial" w:cs="Arial"/>
      <w:lang w:eastAsia="en-GB"/>
    </w:rPr>
  </w:style>
  <w:style w:type="character" w:styleId="Hyperlink">
    <w:name w:val="Hyperlink"/>
    <w:uiPriority w:val="99"/>
    <w:semiHidden/>
    <w:unhideWhenUsed/>
    <w:rsid w:val="00C3311D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C3311D"/>
    <w:rPr>
      <w:color w:val="954F72" w:themeColor="followedHyperlink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C3311D"/>
    <w:pPr>
      <w:spacing w:before="120" w:line="288" w:lineRule="atLeast"/>
    </w:pPr>
    <w:rPr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C3311D"/>
    <w:rPr>
      <w:rFonts w:ascii="Arial" w:eastAsia="Times New Roman" w:hAnsi="Arial" w:cs="Times New Roman"/>
      <w:szCs w:val="20"/>
    </w:rPr>
  </w:style>
  <w:style w:type="paragraph" w:customStyle="1" w:styleId="msonormal0">
    <w:name w:val="msonormal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styleId="NormalWeb">
    <w:name w:val="Normal (Web)"/>
    <w:basedOn w:val="Normal"/>
    <w:uiPriority w:val="99"/>
    <w:semiHidden/>
    <w:unhideWhenUsed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styleId="TOC1">
    <w:name w:val="toc 1"/>
    <w:basedOn w:val="Normal"/>
    <w:next w:val="Normal"/>
    <w:autoRedefine/>
    <w:uiPriority w:val="39"/>
    <w:semiHidden/>
    <w:unhideWhenUsed/>
    <w:qFormat/>
    <w:rsid w:val="00C3311D"/>
    <w:pPr>
      <w:tabs>
        <w:tab w:val="left" w:pos="709"/>
        <w:tab w:val="right" w:leader="dot" w:pos="9639"/>
      </w:tabs>
      <w:spacing w:before="120"/>
      <w:ind w:left="709" w:right="284" w:hanging="709"/>
    </w:pPr>
    <w:rPr>
      <w:b/>
      <w:caps/>
      <w:lang w:eastAsia="en-US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C3311D"/>
    <w:pPr>
      <w:tabs>
        <w:tab w:val="left" w:pos="709"/>
        <w:tab w:val="right" w:leader="dot" w:pos="9639"/>
      </w:tabs>
      <w:ind w:left="709" w:right="284" w:hanging="709"/>
    </w:pPr>
    <w:rPr>
      <w:smallCaps/>
      <w:lang w:eastAsia="en-US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C3311D"/>
    <w:pPr>
      <w:tabs>
        <w:tab w:val="left" w:pos="709"/>
        <w:tab w:val="right" w:leader="dot" w:pos="9639"/>
      </w:tabs>
      <w:ind w:left="709" w:right="284" w:hanging="709"/>
    </w:pPr>
    <w:rPr>
      <w:sz w:val="20"/>
      <w:szCs w:val="20"/>
      <w:lang w:eastAsia="en-US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3311D"/>
    <w:pPr>
      <w:tabs>
        <w:tab w:val="right" w:leader="dot" w:pos="9129"/>
      </w:tabs>
      <w:ind w:left="72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3311D"/>
    <w:pPr>
      <w:ind w:left="96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3311D"/>
    <w:pPr>
      <w:ind w:left="12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3311D"/>
    <w:pPr>
      <w:ind w:left="144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3311D"/>
    <w:pPr>
      <w:ind w:left="168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3311D"/>
    <w:pPr>
      <w:ind w:left="1920"/>
    </w:pPr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3311D"/>
    <w:pPr>
      <w:spacing w:before="0" w:line="240" w:lineRule="auto"/>
    </w:pPr>
    <w:rPr>
      <w:rFonts w:asciiTheme="minorHAnsi" w:hAnsiTheme="minorHAnsi" w:cs="Arial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3311D"/>
    <w:rPr>
      <w:rFonts w:eastAsia="Times New Roman" w:cs="Arial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C331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3311D"/>
    <w:rPr>
      <w:rFonts w:ascii="Arial" w:eastAsia="Times New Roman" w:hAnsi="Arial" w:cs="Times New Roman"/>
      <w:sz w:val="20"/>
      <w:szCs w:val="20"/>
      <w:lang w:eastAsia="en-GB"/>
    </w:rPr>
  </w:style>
  <w:style w:type="paragraph" w:styleId="Header">
    <w:name w:val="header"/>
    <w:basedOn w:val="Normal"/>
    <w:link w:val="HeaderChar"/>
    <w:uiPriority w:val="99"/>
    <w:semiHidden/>
    <w:unhideWhenUsed/>
    <w:rsid w:val="00C3311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3311D"/>
    <w:rPr>
      <w:rFonts w:ascii="Arial" w:eastAsia="Times New Roman" w:hAnsi="Arial" w:cs="Times New Roman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C3311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3311D"/>
    <w:rPr>
      <w:rFonts w:ascii="Arial" w:eastAsia="Times New Roman" w:hAnsi="Arial" w:cs="Times New Roman"/>
      <w:szCs w:val="24"/>
      <w:lang w:eastAsia="en-GB"/>
    </w:rPr>
  </w:style>
  <w:style w:type="paragraph" w:styleId="Caption">
    <w:name w:val="caption"/>
    <w:basedOn w:val="Normal"/>
    <w:next w:val="BodyText"/>
    <w:uiPriority w:val="35"/>
    <w:semiHidden/>
    <w:unhideWhenUsed/>
    <w:qFormat/>
    <w:rsid w:val="00C3311D"/>
    <w:pPr>
      <w:spacing w:before="120" w:after="120" w:line="288" w:lineRule="atLeast"/>
      <w:jc w:val="center"/>
    </w:pPr>
    <w:rPr>
      <w:i/>
      <w:szCs w:val="20"/>
      <w:lang w:eastAsia="sl-SI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C3311D"/>
  </w:style>
  <w:style w:type="paragraph" w:styleId="List">
    <w:name w:val="List"/>
    <w:basedOn w:val="Normal"/>
    <w:uiPriority w:val="99"/>
    <w:semiHidden/>
    <w:unhideWhenUsed/>
    <w:rsid w:val="00C3311D"/>
    <w:pPr>
      <w:numPr>
        <w:numId w:val="3"/>
      </w:numPr>
    </w:pPr>
    <w:rPr>
      <w:lang w:eastAsia="sl-SI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3311D"/>
    <w:pPr>
      <w:spacing w:after="120"/>
      <w:ind w:left="283"/>
    </w:pPr>
    <w:rPr>
      <w:lang w:eastAsia="sl-SI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3311D"/>
    <w:rPr>
      <w:rFonts w:ascii="Arial" w:eastAsia="Times New Roman" w:hAnsi="Arial" w:cs="Times New Roman"/>
      <w:szCs w:val="24"/>
      <w:lang w:eastAsia="sl-SI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C3311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C3311D"/>
    <w:rPr>
      <w:rFonts w:ascii="Arial" w:eastAsia="Times New Roman" w:hAnsi="Arial" w:cs="Times New Roman"/>
      <w:szCs w:val="24"/>
      <w:lang w:eastAsia="en-GB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C3311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C3311D"/>
    <w:rPr>
      <w:rFonts w:ascii="Arial" w:eastAsia="Times New Roman" w:hAnsi="Arial" w:cs="Times New Roman"/>
      <w:sz w:val="16"/>
      <w:szCs w:val="16"/>
      <w:lang w:eastAsia="en-GB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C3311D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C3311D"/>
    <w:rPr>
      <w:rFonts w:ascii="Tahoma" w:eastAsia="Times New Roman" w:hAnsi="Tahoma" w:cs="Tahoma"/>
      <w:sz w:val="20"/>
      <w:szCs w:val="20"/>
      <w:shd w:val="clear" w:color="auto" w:fill="00008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31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311D"/>
    <w:rPr>
      <w:rFonts w:ascii="Arial" w:eastAsia="Times New Roman" w:hAnsi="Arial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311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311D"/>
    <w:rPr>
      <w:rFonts w:ascii="Tahoma" w:eastAsia="Times New Roman" w:hAnsi="Tahoma" w:cs="Tahoma"/>
      <w:sz w:val="16"/>
      <w:szCs w:val="16"/>
      <w:lang w:eastAsia="en-GB"/>
    </w:rPr>
  </w:style>
  <w:style w:type="paragraph" w:styleId="Revision">
    <w:name w:val="Revision"/>
    <w:uiPriority w:val="99"/>
    <w:semiHidden/>
    <w:rsid w:val="00C3311D"/>
    <w:pPr>
      <w:spacing w:after="0" w:line="240" w:lineRule="auto"/>
    </w:pPr>
    <w:rPr>
      <w:rFonts w:ascii="Arial" w:eastAsia="Times New Roman" w:hAnsi="Arial" w:cs="Times New Roman"/>
      <w:szCs w:val="24"/>
      <w:lang w:eastAsia="en-GB"/>
    </w:rPr>
  </w:style>
  <w:style w:type="character" w:customStyle="1" w:styleId="ListParagraphChar">
    <w:name w:val="List Paragraph Char"/>
    <w:link w:val="ListParagraph"/>
    <w:uiPriority w:val="34"/>
    <w:locked/>
    <w:rsid w:val="00C3311D"/>
    <w:rPr>
      <w:rFonts w:ascii="Arial" w:eastAsia="Times New Roman" w:hAnsi="Arial" w:cs="Times New Roman"/>
      <w:sz w:val="20"/>
      <w:szCs w:val="20"/>
      <w:lang w:eastAsia="sl-SI"/>
    </w:rPr>
  </w:style>
  <w:style w:type="paragraph" w:styleId="ListParagraph">
    <w:name w:val="List Paragraph"/>
    <w:basedOn w:val="Normal"/>
    <w:link w:val="ListParagraphChar"/>
    <w:uiPriority w:val="34"/>
    <w:qFormat/>
    <w:rsid w:val="00C3311D"/>
    <w:pPr>
      <w:ind w:left="708"/>
    </w:pPr>
    <w:rPr>
      <w:sz w:val="20"/>
      <w:szCs w:val="20"/>
      <w:lang w:eastAsia="sl-SI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3311D"/>
    <w:pPr>
      <w:keepLines/>
      <w:numPr>
        <w:numId w:val="0"/>
      </w:numPr>
      <w:pBdr>
        <w:bottom w:val="none" w:sz="0" w:space="0" w:color="auto"/>
      </w:pBdr>
      <w:tabs>
        <w:tab w:val="clear" w:pos="1080"/>
      </w:tabs>
      <w:spacing w:before="480" w:after="0"/>
      <w:outlineLvl w:val="9"/>
    </w:pPr>
    <w:rPr>
      <w:rFonts w:ascii="Cambria" w:hAnsi="Cambria"/>
      <w:bCs/>
      <w:caps w:val="0"/>
      <w:color w:val="365F91"/>
      <w:lang w:eastAsia="en-US"/>
    </w:rPr>
  </w:style>
  <w:style w:type="paragraph" w:customStyle="1" w:styleId="Priloge">
    <w:name w:val="Priloge"/>
    <w:basedOn w:val="Heading1"/>
    <w:next w:val="BodyText"/>
    <w:uiPriority w:val="99"/>
    <w:semiHidden/>
    <w:rsid w:val="00C3311D"/>
    <w:pPr>
      <w:numPr>
        <w:numId w:val="0"/>
      </w:numPr>
      <w:pBdr>
        <w:bottom w:val="none" w:sz="0" w:space="0" w:color="auto"/>
      </w:pBdr>
      <w:spacing w:after="60"/>
    </w:pPr>
    <w:rPr>
      <w:kern w:val="28"/>
      <w:szCs w:val="20"/>
      <w:lang w:val="en-GB" w:eastAsia="en-US"/>
    </w:rPr>
  </w:style>
  <w:style w:type="paragraph" w:customStyle="1" w:styleId="Seznam1">
    <w:name w:val="Seznam1"/>
    <w:basedOn w:val="BodyText"/>
    <w:uiPriority w:val="99"/>
    <w:semiHidden/>
    <w:rsid w:val="00C3311D"/>
    <w:pPr>
      <w:numPr>
        <w:numId w:val="5"/>
      </w:numPr>
      <w:tabs>
        <w:tab w:val="clear" w:pos="1287"/>
        <w:tab w:val="num" w:pos="1440"/>
      </w:tabs>
      <w:spacing w:before="0"/>
      <w:ind w:left="1440" w:hanging="357"/>
    </w:pPr>
  </w:style>
  <w:style w:type="paragraph" w:customStyle="1" w:styleId="Slika">
    <w:name w:val="Slika"/>
    <w:basedOn w:val="Normal"/>
    <w:next w:val="Caption"/>
    <w:uiPriority w:val="99"/>
    <w:semiHidden/>
    <w:rsid w:val="00C3311D"/>
    <w:pPr>
      <w:keepNext/>
      <w:spacing w:before="120" w:after="120" w:line="240" w:lineRule="atLeast"/>
      <w:jc w:val="center"/>
    </w:pPr>
    <w:rPr>
      <w:szCs w:val="20"/>
      <w:lang w:eastAsia="sl-SI"/>
    </w:rPr>
  </w:style>
  <w:style w:type="paragraph" w:customStyle="1" w:styleId="n12">
    <w:name w:val="n 12"/>
    <w:basedOn w:val="Normal"/>
    <w:uiPriority w:val="99"/>
    <w:semiHidden/>
    <w:rsid w:val="00C3311D"/>
    <w:pPr>
      <w:widowControl w:val="0"/>
      <w:tabs>
        <w:tab w:val="left" w:pos="7230"/>
      </w:tabs>
      <w:spacing w:after="120"/>
    </w:pPr>
    <w:rPr>
      <w:szCs w:val="20"/>
      <w:lang w:eastAsia="en-US"/>
    </w:rPr>
  </w:style>
  <w:style w:type="paragraph" w:customStyle="1" w:styleId="Style1">
    <w:name w:val="Style1"/>
    <w:basedOn w:val="BodyText"/>
    <w:uiPriority w:val="99"/>
    <w:semiHidden/>
    <w:rsid w:val="00C3311D"/>
  </w:style>
  <w:style w:type="character" w:customStyle="1" w:styleId="besediloChar1">
    <w:name w:val="besedilo Char1"/>
    <w:link w:val="besedilo"/>
    <w:semiHidden/>
    <w:locked/>
    <w:rsid w:val="00C3311D"/>
    <w:rPr>
      <w:rFonts w:ascii="Arial" w:eastAsia="Times New Roman" w:hAnsi="Arial" w:cs="Arial"/>
      <w:szCs w:val="20"/>
      <w:lang w:eastAsia="en-GB"/>
    </w:rPr>
  </w:style>
  <w:style w:type="paragraph" w:customStyle="1" w:styleId="besedilo">
    <w:name w:val="besedilo"/>
    <w:basedOn w:val="Normal"/>
    <w:link w:val="besediloChar1"/>
    <w:semiHidden/>
    <w:rsid w:val="00C3311D"/>
    <w:pPr>
      <w:tabs>
        <w:tab w:val="center" w:pos="1134"/>
        <w:tab w:val="center" w:pos="2410"/>
        <w:tab w:val="center" w:pos="7371"/>
      </w:tabs>
      <w:spacing w:before="120" w:line="288" w:lineRule="atLeast"/>
    </w:pPr>
    <w:rPr>
      <w:rFonts w:cs="Arial"/>
      <w:szCs w:val="20"/>
    </w:rPr>
  </w:style>
  <w:style w:type="paragraph" w:customStyle="1" w:styleId="Slika1">
    <w:name w:val="Slika1"/>
    <w:basedOn w:val="BodyText"/>
    <w:next w:val="BodyText"/>
    <w:autoRedefine/>
    <w:uiPriority w:val="99"/>
    <w:semiHidden/>
    <w:rsid w:val="00C3311D"/>
    <w:pPr>
      <w:jc w:val="center"/>
    </w:pPr>
    <w:rPr>
      <w:i/>
    </w:rPr>
  </w:style>
  <w:style w:type="paragraph" w:customStyle="1" w:styleId="odstavek">
    <w:name w:val="odstavek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ukrepi">
    <w:name w:val="ukrepi"/>
    <w:basedOn w:val="Normal"/>
    <w:next w:val="Normal"/>
    <w:uiPriority w:val="99"/>
    <w:semiHidden/>
    <w:qFormat/>
    <w:rsid w:val="00C3311D"/>
    <w:pPr>
      <w:numPr>
        <w:numId w:val="7"/>
      </w:numPr>
      <w:spacing w:before="0" w:line="360" w:lineRule="auto"/>
    </w:pPr>
    <w:rPr>
      <w:rFonts w:ascii="Times New Roman" w:hAnsi="Times New Roman"/>
      <w:szCs w:val="20"/>
      <w:lang w:eastAsia="en-US"/>
    </w:rPr>
  </w:style>
  <w:style w:type="paragraph" w:customStyle="1" w:styleId="len">
    <w:name w:val="len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tbl-hdr">
    <w:name w:val="tbl-hdr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tbl-txt">
    <w:name w:val="tbl-txt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Navaden1">
    <w:name w:val="Navaden1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li">
    <w:name w:val="li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annexetitre">
    <w:name w:val="annexetitre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box465367">
    <w:name w:val="box_465367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paragraph" w:customStyle="1" w:styleId="t-9">
    <w:name w:val="t-9"/>
    <w:basedOn w:val="Normal"/>
    <w:uiPriority w:val="99"/>
    <w:semiHidden/>
    <w:rsid w:val="00C3311D"/>
    <w:pPr>
      <w:spacing w:before="100" w:beforeAutospacing="1" w:after="100" w:afterAutospacing="1" w:line="240" w:lineRule="auto"/>
      <w:jc w:val="left"/>
    </w:pPr>
    <w:rPr>
      <w:rFonts w:ascii="Times New Roman" w:hAnsi="Times New Roman"/>
      <w:sz w:val="24"/>
      <w:lang w:eastAsia="sl-SI"/>
    </w:rPr>
  </w:style>
  <w:style w:type="character" w:customStyle="1" w:styleId="podpisiChar">
    <w:name w:val="podpisi Char"/>
    <w:basedOn w:val="DefaultParagraphFont"/>
    <w:link w:val="podpisi"/>
    <w:semiHidden/>
    <w:locked/>
    <w:rsid w:val="00C3311D"/>
    <w:rPr>
      <w:rFonts w:ascii="Arial" w:hAnsi="Arial" w:cs="Arial"/>
      <w:szCs w:val="24"/>
      <w:lang w:val="it-IT"/>
    </w:rPr>
  </w:style>
  <w:style w:type="paragraph" w:customStyle="1" w:styleId="podpisi">
    <w:name w:val="podpisi"/>
    <w:basedOn w:val="Normal"/>
    <w:link w:val="podpisiChar"/>
    <w:semiHidden/>
    <w:qFormat/>
    <w:rsid w:val="00C3311D"/>
    <w:pPr>
      <w:tabs>
        <w:tab w:val="left" w:pos="3402"/>
      </w:tabs>
      <w:spacing w:before="0" w:line="260" w:lineRule="atLeast"/>
      <w:jc w:val="left"/>
    </w:pPr>
    <w:rPr>
      <w:rFonts w:eastAsiaTheme="minorHAnsi" w:cs="Arial"/>
      <w:lang w:val="it-IT" w:eastAsia="en-US"/>
    </w:rPr>
  </w:style>
  <w:style w:type="character" w:customStyle="1" w:styleId="lenbesediloChar">
    <w:name w:val="Člen (besedilo) Char"/>
    <w:basedOn w:val="podpisiChar"/>
    <w:link w:val="lenbesedilo"/>
    <w:semiHidden/>
    <w:locked/>
    <w:rsid w:val="00C3311D"/>
    <w:rPr>
      <w:rFonts w:ascii="Arial" w:hAnsi="Arial" w:cs="Arial"/>
      <w:szCs w:val="24"/>
      <w:lang w:val="it-IT"/>
    </w:rPr>
  </w:style>
  <w:style w:type="paragraph" w:customStyle="1" w:styleId="lenbesedilo">
    <w:name w:val="Člen (besedilo)"/>
    <w:basedOn w:val="podpisi"/>
    <w:link w:val="lenbesediloChar"/>
    <w:semiHidden/>
    <w:qFormat/>
    <w:rsid w:val="00C3311D"/>
    <w:pPr>
      <w:jc w:val="both"/>
    </w:pPr>
  </w:style>
  <w:style w:type="character" w:styleId="FootnoteReference">
    <w:name w:val="footnote reference"/>
    <w:basedOn w:val="DefaultParagraphFont"/>
    <w:uiPriority w:val="99"/>
    <w:semiHidden/>
    <w:unhideWhenUsed/>
    <w:rsid w:val="00C3311D"/>
    <w:rPr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C3311D"/>
    <w:rPr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C3311D"/>
    <w:rPr>
      <w:color w:val="808080"/>
    </w:rPr>
  </w:style>
  <w:style w:type="character" w:customStyle="1" w:styleId="Heading1Char">
    <w:name w:val="Heading 1 Char"/>
    <w:link w:val="Heading1"/>
    <w:uiPriority w:val="9"/>
    <w:locked/>
    <w:rsid w:val="00C3311D"/>
    <w:rPr>
      <w:rFonts w:ascii="Arial" w:eastAsia="Times New Roman" w:hAnsi="Arial" w:cs="Times New Roman"/>
      <w:b/>
      <w:caps/>
      <w:sz w:val="28"/>
      <w:szCs w:val="28"/>
      <w:lang w:eastAsia="en-GB"/>
    </w:rPr>
  </w:style>
  <w:style w:type="character" w:customStyle="1" w:styleId="UnresolvedMention1">
    <w:name w:val="Unresolved Mention1"/>
    <w:basedOn w:val="DefaultParagraphFont"/>
    <w:uiPriority w:val="99"/>
    <w:semiHidden/>
    <w:rsid w:val="00C3311D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C3311D"/>
  </w:style>
  <w:style w:type="character" w:customStyle="1" w:styleId="super">
    <w:name w:val="super"/>
    <w:basedOn w:val="DefaultParagraphFont"/>
    <w:rsid w:val="00C3311D"/>
  </w:style>
  <w:style w:type="character" w:customStyle="1" w:styleId="expanded">
    <w:name w:val="expanded"/>
    <w:basedOn w:val="DefaultParagraphFont"/>
    <w:rsid w:val="00C3311D"/>
  </w:style>
  <w:style w:type="character" w:customStyle="1" w:styleId="bold">
    <w:name w:val="bold"/>
    <w:basedOn w:val="DefaultParagraphFont"/>
    <w:rsid w:val="00C3311D"/>
  </w:style>
  <w:style w:type="character" w:customStyle="1" w:styleId="italic">
    <w:name w:val="italic"/>
    <w:basedOn w:val="DefaultParagraphFont"/>
    <w:rsid w:val="00C3311D"/>
  </w:style>
  <w:style w:type="character" w:customStyle="1" w:styleId="num">
    <w:name w:val="num"/>
    <w:basedOn w:val="DefaultParagraphFont"/>
    <w:rsid w:val="00C3311D"/>
  </w:style>
  <w:style w:type="character" w:customStyle="1" w:styleId="crminorchangeadded">
    <w:name w:val="crminorchangeadded"/>
    <w:basedOn w:val="DefaultParagraphFont"/>
    <w:rsid w:val="00C3311D"/>
  </w:style>
  <w:style w:type="character" w:customStyle="1" w:styleId="kurziv">
    <w:name w:val="kurziv"/>
    <w:basedOn w:val="DefaultParagraphFont"/>
    <w:rsid w:val="00C3311D"/>
  </w:style>
  <w:style w:type="character" w:customStyle="1" w:styleId="fus">
    <w:name w:val="fus"/>
    <w:basedOn w:val="DefaultParagraphFont"/>
    <w:rsid w:val="00C3311D"/>
  </w:style>
  <w:style w:type="table" w:styleId="TableClassic1">
    <w:name w:val="Table Classic 1"/>
    <w:basedOn w:val="TableNormal"/>
    <w:semiHidden/>
    <w:unhideWhenUsed/>
    <w:rsid w:val="00C3311D"/>
    <w:pPr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14:ligatures w14:val="standardContextual"/>
    </w:rPr>
    <w:tblPr>
      <w:tblInd w:w="0" w:type="nil"/>
      <w:tblBorders>
        <w:top w:val="single" w:sz="12" w:space="0" w:color="000000"/>
        <w:bottom w:val="single" w:sz="12" w:space="0" w:color="000000"/>
      </w:tblBorders>
    </w:tbl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C3311D"/>
    <w:pPr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3">
    <w:name w:val="Grid Table 5 Dark Accent 3"/>
    <w:basedOn w:val="TableNormal"/>
    <w:uiPriority w:val="50"/>
    <w:rsid w:val="00C3311D"/>
    <w:pPr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14:ligatures w14:val="standardContextual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ListTable4">
    <w:name w:val="List Table 4"/>
    <w:basedOn w:val="TableNormal"/>
    <w:uiPriority w:val="49"/>
    <w:rsid w:val="00C3311D"/>
    <w:pPr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14:ligatures w14:val="standardContextual"/>
    </w:rPr>
    <w:tblPr>
      <w:tblStyleRowBandSize w:val="1"/>
      <w:tblStyleColBandSize w:val="1"/>
      <w:tblInd w:w="0" w:type="nil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leGrid9">
    <w:name w:val="Table Grid9"/>
    <w:basedOn w:val="TableNormal"/>
    <w:uiPriority w:val="39"/>
    <w:rsid w:val="00C3311D"/>
    <w:pPr>
      <w:spacing w:after="0" w:line="240" w:lineRule="auto"/>
    </w:pPr>
    <w:rPr>
      <w:rFonts w:ascii="Calibri" w:eastAsia="Calibri" w:hAnsi="Calibri" w:cs="Times New Roman"/>
      <w:kern w:val="2"/>
      <w14:ligatures w14:val="standardContextu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02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1882</Words>
  <Characters>10733</Characters>
  <Application>Microsoft Office Word</Application>
  <DocSecurity>0</DocSecurity>
  <Lines>89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 Rašić</dc:creator>
  <cp:keywords/>
  <dc:description/>
  <cp:lastModifiedBy>Davor Rašić</cp:lastModifiedBy>
  <cp:revision>2</cp:revision>
  <dcterms:created xsi:type="dcterms:W3CDTF">2023-06-15T11:39:00Z</dcterms:created>
  <dcterms:modified xsi:type="dcterms:W3CDTF">2023-06-15T11:39:00Z</dcterms:modified>
</cp:coreProperties>
</file>