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8850E7">
      <w:pPr>
        <w:pStyle w:val="datumtevilka"/>
      </w:pPr>
      <w:bookmarkStart w:id="0" w:name="_Hlk61014710"/>
      <w:bookmarkEnd w:id="0"/>
      <w:r w:rsidRPr="002760DC">
        <w:rPr>
          <w:rFonts w:cs="Arial"/>
          <w:color w:val="000000"/>
        </w:rPr>
        <w:t>EVA:</w:t>
      </w:r>
      <w:r w:rsidRPr="002760DC">
        <w:rPr>
          <w:rFonts w:cs="Arial"/>
          <w:color w:val="000000"/>
        </w:rPr>
        <w:tab/>
      </w:r>
      <w:r w:rsidR="00D073BB">
        <w:rPr>
          <w:rFonts w:cs="Arial"/>
          <w:color w:val="000000"/>
        </w:rPr>
        <w:t>2023-2180-0009</w:t>
      </w:r>
    </w:p>
    <w:p w:rsidR="009C657E" w:rsidRPr="002760DC" w:rsidRDefault="009C657E" w:rsidP="008850E7">
      <w:pPr>
        <w:pStyle w:val="datumtevilka"/>
      </w:pPr>
      <w:r w:rsidRPr="002760DC">
        <w:t xml:space="preserve">Številka: </w:t>
      </w:r>
      <w:r w:rsidRPr="002760DC">
        <w:tab/>
      </w:r>
      <w:r w:rsidR="00D073BB">
        <w:rPr>
          <w:rFonts w:cs="Arial"/>
          <w:color w:val="000000"/>
        </w:rPr>
        <w:t>00704-185/2023/14</w:t>
      </w:r>
    </w:p>
    <w:p w:rsidR="009C657E" w:rsidRPr="002760DC" w:rsidRDefault="009C657E" w:rsidP="008850E7">
      <w:pPr>
        <w:pStyle w:val="datumtevilka"/>
      </w:pPr>
      <w:r>
        <w:t>Datum:</w:t>
      </w:r>
      <w:r w:rsidRPr="002760DC">
        <w:tab/>
      </w:r>
      <w:r w:rsidR="00D073BB">
        <w:rPr>
          <w:rFonts w:cs="Arial"/>
          <w:color w:val="000000"/>
        </w:rPr>
        <w:t>8. 6. 2023</w:t>
      </w:r>
      <w:r w:rsidRPr="002760DC">
        <w:t xml:space="preserve"> </w:t>
      </w:r>
    </w:p>
    <w:p w:rsidR="009C657E" w:rsidRPr="002760DC" w:rsidRDefault="009C657E" w:rsidP="008850E7"/>
    <w:p w:rsidR="009C657E" w:rsidRDefault="009C657E" w:rsidP="008850E7">
      <w:pPr>
        <w:autoSpaceDE w:val="0"/>
        <w:autoSpaceDN w:val="0"/>
        <w:adjustRightInd w:val="0"/>
        <w:rPr>
          <w:rFonts w:cs="Arial"/>
          <w:color w:val="000000"/>
          <w:szCs w:val="20"/>
        </w:rPr>
      </w:pPr>
    </w:p>
    <w:p w:rsidR="009C657E" w:rsidRPr="008850E7" w:rsidRDefault="004C7110" w:rsidP="008850E7">
      <w:pPr>
        <w:autoSpaceDE w:val="0"/>
        <w:autoSpaceDN w:val="0"/>
        <w:adjustRightInd w:val="0"/>
        <w:jc w:val="center"/>
        <w:rPr>
          <w:rFonts w:cs="Arial"/>
          <w:b/>
          <w:color w:val="000000"/>
          <w:szCs w:val="20"/>
        </w:rPr>
      </w:pPr>
      <w:r w:rsidRPr="008850E7">
        <w:rPr>
          <w:rFonts w:cs="Arial"/>
          <w:b/>
          <w:color w:val="000000"/>
          <w:szCs w:val="20"/>
        </w:rPr>
        <w:t>P</w:t>
      </w:r>
      <w:r w:rsidR="008850E7" w:rsidRPr="008850E7">
        <w:rPr>
          <w:rFonts w:cs="Arial"/>
          <w:b/>
          <w:color w:val="000000"/>
          <w:szCs w:val="20"/>
        </w:rPr>
        <w:t>redlog</w:t>
      </w:r>
      <w:r w:rsidR="00D073BB" w:rsidRPr="008850E7">
        <w:rPr>
          <w:rFonts w:cs="Arial"/>
          <w:b/>
          <w:color w:val="000000"/>
          <w:szCs w:val="20"/>
        </w:rPr>
        <w:t xml:space="preserve"> amandmajev k Predlogu zakona o spremembah in dopolnitvah Zakona o spodbujanju investicij</w:t>
      </w:r>
    </w:p>
    <w:p w:rsidR="008850E7" w:rsidRDefault="008850E7" w:rsidP="008850E7">
      <w:pPr>
        <w:autoSpaceDE w:val="0"/>
        <w:autoSpaceDN w:val="0"/>
        <w:adjustRightInd w:val="0"/>
        <w:jc w:val="both"/>
        <w:rPr>
          <w:rFonts w:cs="Arial"/>
          <w:color w:val="000000"/>
          <w:szCs w:val="20"/>
        </w:rPr>
      </w:pPr>
    </w:p>
    <w:p w:rsidR="008850E7" w:rsidRDefault="008850E7" w:rsidP="008850E7">
      <w:pPr>
        <w:autoSpaceDE w:val="0"/>
        <w:autoSpaceDN w:val="0"/>
        <w:adjustRightInd w:val="0"/>
        <w:jc w:val="both"/>
        <w:rPr>
          <w:rFonts w:cs="Arial"/>
          <w:color w:val="000000"/>
          <w:szCs w:val="20"/>
        </w:rPr>
      </w:pPr>
    </w:p>
    <w:p w:rsidR="009C657E" w:rsidRDefault="009C657E" w:rsidP="008850E7">
      <w:pPr>
        <w:autoSpaceDE w:val="0"/>
        <w:autoSpaceDN w:val="0"/>
        <w:adjustRightInd w:val="0"/>
        <w:jc w:val="both"/>
        <w:rPr>
          <w:rFonts w:cs="Arial"/>
          <w:color w:val="000000"/>
          <w:szCs w:val="20"/>
          <w:lang w:eastAsia="sl-SI"/>
        </w:rPr>
      </w:pPr>
    </w:p>
    <w:p w:rsidR="008850E7" w:rsidRDefault="008850E7" w:rsidP="008850E7">
      <w:pPr>
        <w:rPr>
          <w:rFonts w:cs="Arial"/>
          <w:b/>
          <w:bCs/>
          <w:szCs w:val="20"/>
        </w:rPr>
      </w:pPr>
      <w:r>
        <w:rPr>
          <w:rFonts w:cs="Arial"/>
          <w:b/>
          <w:bCs/>
          <w:szCs w:val="20"/>
        </w:rPr>
        <w:t>Amandma k 3. členu</w:t>
      </w:r>
    </w:p>
    <w:p w:rsidR="008850E7" w:rsidRDefault="008850E7" w:rsidP="008850E7">
      <w:pPr>
        <w:rPr>
          <w:rFonts w:cs="Arial"/>
          <w:szCs w:val="20"/>
        </w:rPr>
      </w:pPr>
      <w:r>
        <w:rPr>
          <w:rFonts w:cs="Arial"/>
          <w:szCs w:val="20"/>
        </w:rPr>
        <w:t>31.a člen se spremeni tako, da se glasi:</w:t>
      </w:r>
    </w:p>
    <w:p w:rsidR="008850E7" w:rsidRDefault="008850E7" w:rsidP="008850E7">
      <w:pPr>
        <w:overflowPunct w:val="0"/>
        <w:autoSpaceDE w:val="0"/>
        <w:autoSpaceDN w:val="0"/>
        <w:adjustRightInd w:val="0"/>
        <w:ind w:hanging="2"/>
        <w:jc w:val="center"/>
        <w:textAlignment w:val="baseline"/>
        <w:rPr>
          <w:rFonts w:cs="Arial"/>
          <w:b/>
          <w:szCs w:val="20"/>
          <w:lang w:eastAsia="sl-SI"/>
        </w:rPr>
      </w:pPr>
      <w:r>
        <w:rPr>
          <w:rFonts w:cs="Arial"/>
          <w:b/>
          <w:szCs w:val="20"/>
          <w:lang w:eastAsia="sl-SI"/>
        </w:rPr>
        <w:t>»31.a člen</w:t>
      </w:r>
    </w:p>
    <w:p w:rsidR="008850E7" w:rsidRDefault="008850E7" w:rsidP="008850E7">
      <w:pPr>
        <w:overflowPunct w:val="0"/>
        <w:autoSpaceDE w:val="0"/>
        <w:autoSpaceDN w:val="0"/>
        <w:adjustRightInd w:val="0"/>
        <w:ind w:hanging="2"/>
        <w:jc w:val="center"/>
        <w:textAlignment w:val="baseline"/>
        <w:rPr>
          <w:rFonts w:cs="Arial"/>
          <w:b/>
          <w:szCs w:val="20"/>
          <w:lang w:eastAsia="sl-SI"/>
        </w:rPr>
      </w:pPr>
      <w:r>
        <w:rPr>
          <w:rFonts w:cs="Arial"/>
          <w:b/>
          <w:szCs w:val="20"/>
          <w:lang w:eastAsia="sl-SI"/>
        </w:rPr>
        <w:t>(priglasitev neposredne tuje naložbe)</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 xml:space="preserve">(1) Neposredno tujo naložbo na področju dejavnosti </w:t>
      </w:r>
      <w:r>
        <w:rPr>
          <w:rFonts w:cs="Arial"/>
          <w:color w:val="000000"/>
          <w:szCs w:val="20"/>
          <w:lang w:eastAsia="sl-SI"/>
        </w:rPr>
        <w:t xml:space="preserve">iz petega odstavka 31.č člena </w:t>
      </w:r>
      <w:r>
        <w:rPr>
          <w:rFonts w:cs="Arial"/>
          <w:szCs w:val="20"/>
          <w:lang w:eastAsia="sl-SI"/>
        </w:rPr>
        <w:t>tega zakona mora tuji vlagatelj ali ciljna družba ali prevzeta družba priglasiti ministrstvu najpozneje v 15 dneh od sklenitve pravnega posla, s katerim tuji vlagatelj v gospodarski družbi s sedežem v Republiki Sloveniji neposredno ali posredno pridobi najmanj 10 % udeležbe v kapitalu ali v glasovalnih pravicah ali od objave prevzemne ponudbe. Obveznost priglasitve ne preneha, če tuji vlagatelj ali ciljna družba oziroma prevzeta družba priglasitve ne opravi v roku iz prejšnjega stavka.</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 xml:space="preserve">(2) Neposredno tujo naložbo na področju dejavnosti </w:t>
      </w:r>
      <w:r>
        <w:rPr>
          <w:rFonts w:cs="Arial"/>
          <w:color w:val="000000"/>
          <w:szCs w:val="20"/>
          <w:lang w:eastAsia="sl-SI"/>
        </w:rPr>
        <w:t xml:space="preserve">iz petega odstavka 31.č člena </w:t>
      </w:r>
      <w:r>
        <w:rPr>
          <w:rFonts w:cs="Arial"/>
          <w:szCs w:val="20"/>
          <w:lang w:eastAsia="sl-SI"/>
        </w:rPr>
        <w:t>tega zakona, s katero želi tuji vlagatelj izvesti naložbo v opredmetena in neopredmetena sredstva, ki se nanašajo na vzpostavitev nove poslovne enote, s katero tuji vlagatelj v novoustanovljeni gospodarski družbi s sedežem v Republiki Sloveniji neposredno ali posredno pridobi najmanj 10 % udeležbe v kapitalu ali v glasovalnih pravicah, mora tuji vlagatelj ali novoustanovljena gospodarska družba priglasiti najpozneje v 15 dneh od vpisa ustanovitve gospodarske družbe v sodni register v Republiki Sloveniji. Obveznost priglasitve ne preneha, če tuji vlagatelj ali novoustanovljena gospodarska družba priglasitve ne opravi v roku iz prejšnjega stavka.</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(3) Neposredna tuja naložba na področju dejavnosti iz petega odstavka 31.č člena tega zakona se priglasi tako, da se predložijo naslednje informacije in podatki:</w:t>
      </w:r>
    </w:p>
    <w:p w:rsidR="008850E7" w:rsidRDefault="008850E7" w:rsidP="008850E7">
      <w:pPr>
        <w:numPr>
          <w:ilvl w:val="0"/>
          <w:numId w:val="2"/>
        </w:numPr>
        <w:jc w:val="both"/>
        <w:rPr>
          <w:rFonts w:cs="Arial"/>
          <w:szCs w:val="20"/>
          <w:lang w:eastAsia="sl-SI"/>
        </w:rPr>
      </w:pPr>
      <w:r>
        <w:rPr>
          <w:rFonts w:cs="Arial"/>
          <w:szCs w:val="20"/>
          <w:lang w:eastAsia="sl-SI"/>
        </w:rPr>
        <w:t>ime, priimek in prebivališče ali firma in sedež tujega vlagatelja in ciljne družbe ali prevzete družbe ali novoustanovljene družbe,</w:t>
      </w:r>
    </w:p>
    <w:p w:rsidR="008850E7" w:rsidRDefault="008850E7" w:rsidP="008850E7">
      <w:pPr>
        <w:numPr>
          <w:ilvl w:val="0"/>
          <w:numId w:val="2"/>
        </w:numPr>
        <w:jc w:val="both"/>
        <w:rPr>
          <w:rFonts w:cs="Arial"/>
          <w:szCs w:val="20"/>
          <w:lang w:eastAsia="sl-SI"/>
        </w:rPr>
      </w:pPr>
      <w:r>
        <w:rPr>
          <w:rFonts w:cs="Arial"/>
          <w:szCs w:val="20"/>
          <w:lang w:eastAsia="sl-SI"/>
        </w:rPr>
        <w:t>letni promet tujega vlagatelja in ciljne družbe ali prevzete družbe,</w:t>
      </w:r>
    </w:p>
    <w:p w:rsidR="008850E7" w:rsidRDefault="008850E7" w:rsidP="008850E7">
      <w:pPr>
        <w:numPr>
          <w:ilvl w:val="0"/>
          <w:numId w:val="2"/>
        </w:numPr>
        <w:jc w:val="both"/>
        <w:rPr>
          <w:rFonts w:cs="Arial"/>
          <w:szCs w:val="20"/>
          <w:lang w:eastAsia="sl-SI"/>
        </w:rPr>
      </w:pPr>
      <w:r>
        <w:rPr>
          <w:rFonts w:cs="Arial"/>
          <w:szCs w:val="20"/>
          <w:lang w:eastAsia="sl-SI"/>
        </w:rPr>
        <w:t>skupno število zaposlenih pri tujem vlagatelju in ciljni družbi ali prevzeti družbi ali novoustanovljeni družbi,</w:t>
      </w:r>
    </w:p>
    <w:p w:rsidR="008850E7" w:rsidRDefault="008850E7" w:rsidP="008850E7">
      <w:pPr>
        <w:numPr>
          <w:ilvl w:val="0"/>
          <w:numId w:val="2"/>
        </w:numPr>
        <w:jc w:val="both"/>
        <w:rPr>
          <w:rFonts w:cs="Arial"/>
          <w:szCs w:val="20"/>
          <w:lang w:eastAsia="sl-SI"/>
        </w:rPr>
      </w:pPr>
      <w:r>
        <w:rPr>
          <w:rFonts w:cs="Arial"/>
          <w:szCs w:val="20"/>
          <w:lang w:eastAsia="sl-SI"/>
        </w:rPr>
        <w:t>trgovalna koda vrednostnih papirjev tujega vlagatelja in ciljne družbe ali prevzete družbe ali novoustanovljene družbe, če s trgovalno kodo razpolagata,</w:t>
      </w:r>
    </w:p>
    <w:p w:rsidR="008850E7" w:rsidRDefault="008850E7" w:rsidP="008850E7">
      <w:pPr>
        <w:numPr>
          <w:ilvl w:val="0"/>
          <w:numId w:val="2"/>
        </w:numPr>
        <w:jc w:val="both"/>
        <w:rPr>
          <w:rFonts w:cs="Arial"/>
          <w:szCs w:val="20"/>
          <w:lang w:eastAsia="sl-SI"/>
        </w:rPr>
      </w:pPr>
      <w:r>
        <w:rPr>
          <w:rFonts w:cs="Arial"/>
          <w:szCs w:val="20"/>
          <w:lang w:eastAsia="sl-SI"/>
        </w:rPr>
        <w:t>lastniška struktura tujega vlagatelja in ciljne družbe ali prevzete družbe ali novoustanovljene družbe, vključno z informacijami o končnem vlagatelju in udeležbi v kapitalu ter glasovalnih pravicah,</w:t>
      </w:r>
    </w:p>
    <w:p w:rsidR="008850E7" w:rsidRDefault="008850E7" w:rsidP="008850E7">
      <w:pPr>
        <w:numPr>
          <w:ilvl w:val="0"/>
          <w:numId w:val="2"/>
        </w:numPr>
        <w:jc w:val="both"/>
        <w:rPr>
          <w:rFonts w:cs="Arial"/>
          <w:szCs w:val="20"/>
          <w:lang w:eastAsia="sl-SI"/>
        </w:rPr>
      </w:pPr>
      <w:r>
        <w:rPr>
          <w:rFonts w:cs="Arial"/>
          <w:szCs w:val="20"/>
          <w:lang w:eastAsia="sl-SI"/>
        </w:rPr>
        <w:t>vrednost in vir financiranja neposredne tuje naložbe,</w:t>
      </w:r>
    </w:p>
    <w:p w:rsidR="008850E7" w:rsidRDefault="008850E7" w:rsidP="008850E7">
      <w:pPr>
        <w:numPr>
          <w:ilvl w:val="0"/>
          <w:numId w:val="2"/>
        </w:numPr>
        <w:jc w:val="both"/>
        <w:rPr>
          <w:rFonts w:cs="Arial"/>
          <w:szCs w:val="20"/>
          <w:lang w:eastAsia="sl-SI"/>
        </w:rPr>
      </w:pPr>
      <w:r>
        <w:rPr>
          <w:rFonts w:cs="Arial"/>
          <w:szCs w:val="20"/>
          <w:lang w:eastAsia="sl-SI"/>
        </w:rPr>
        <w:t>proizvodi, storitve in poslovne dejavnosti tujega vlagatelja in ciljne družbe ali prevzete družbe ali novoustanovljene družbe (klasifikacija gospodarske dejavnosti SKD),</w:t>
      </w:r>
    </w:p>
    <w:p w:rsidR="008850E7" w:rsidRDefault="008850E7" w:rsidP="008850E7">
      <w:pPr>
        <w:numPr>
          <w:ilvl w:val="0"/>
          <w:numId w:val="2"/>
        </w:numPr>
        <w:jc w:val="both"/>
        <w:rPr>
          <w:rFonts w:cs="Arial"/>
          <w:szCs w:val="20"/>
          <w:lang w:eastAsia="sl-SI"/>
        </w:rPr>
      </w:pPr>
      <w:r>
        <w:rPr>
          <w:rFonts w:cs="Arial"/>
          <w:szCs w:val="20"/>
          <w:lang w:eastAsia="sl-SI"/>
        </w:rPr>
        <w:t>države, v katerih tuji vlagatelj in ciljna družba ali prevzeta družba opravljata pomembne poslovne dejavnosti,</w:t>
      </w:r>
    </w:p>
    <w:p w:rsidR="008850E7" w:rsidRDefault="008850E7" w:rsidP="008850E7">
      <w:pPr>
        <w:numPr>
          <w:ilvl w:val="0"/>
          <w:numId w:val="2"/>
        </w:numPr>
        <w:jc w:val="both"/>
        <w:rPr>
          <w:rFonts w:cs="Arial"/>
          <w:szCs w:val="20"/>
          <w:lang w:eastAsia="sl-SI"/>
        </w:rPr>
      </w:pPr>
      <w:r>
        <w:rPr>
          <w:rFonts w:cs="Arial"/>
          <w:szCs w:val="20"/>
          <w:lang w:eastAsia="sl-SI"/>
        </w:rPr>
        <w:t>datum, ko naj bi bila neposredna tuja naložba končana ali ko je bila končana,</w:t>
      </w:r>
    </w:p>
    <w:p w:rsidR="008850E7" w:rsidRDefault="008850E7" w:rsidP="008850E7">
      <w:pPr>
        <w:numPr>
          <w:ilvl w:val="0"/>
          <w:numId w:val="2"/>
        </w:numPr>
        <w:jc w:val="both"/>
        <w:rPr>
          <w:rFonts w:cs="Arial"/>
          <w:szCs w:val="20"/>
          <w:lang w:eastAsia="sl-SI"/>
        </w:rPr>
      </w:pPr>
      <w:r>
        <w:rPr>
          <w:rFonts w:cs="Arial"/>
          <w:szCs w:val="20"/>
          <w:lang w:eastAsia="sl-SI"/>
        </w:rPr>
        <w:t>podroben opis neposredne tuje naložbe,</w:t>
      </w:r>
    </w:p>
    <w:p w:rsidR="008850E7" w:rsidRDefault="008850E7" w:rsidP="008850E7">
      <w:pPr>
        <w:numPr>
          <w:ilvl w:val="0"/>
          <w:numId w:val="2"/>
        </w:numPr>
        <w:jc w:val="both"/>
        <w:rPr>
          <w:rFonts w:cs="Arial"/>
          <w:szCs w:val="20"/>
          <w:lang w:eastAsia="sl-SI"/>
        </w:rPr>
      </w:pPr>
      <w:r>
        <w:rPr>
          <w:rFonts w:cs="Arial"/>
          <w:szCs w:val="20"/>
          <w:lang w:eastAsia="sl-SI"/>
        </w:rPr>
        <w:t>opredelitev do šestega odstavka 31.č člena tega zakona,</w:t>
      </w:r>
    </w:p>
    <w:p w:rsidR="008850E7" w:rsidRDefault="008850E7" w:rsidP="008850E7">
      <w:pPr>
        <w:numPr>
          <w:ilvl w:val="0"/>
          <w:numId w:val="2"/>
        </w:numPr>
        <w:jc w:val="both"/>
        <w:rPr>
          <w:rFonts w:cs="Arial"/>
          <w:szCs w:val="20"/>
          <w:lang w:eastAsia="sl-SI"/>
        </w:rPr>
      </w:pPr>
      <w:r>
        <w:rPr>
          <w:rFonts w:cs="Arial"/>
          <w:szCs w:val="20"/>
          <w:lang w:eastAsia="sl-SI"/>
        </w:rPr>
        <w:t>opredelitev in predložitev dokazil, ki izkazujejo resničnost podatkov iz tega odstavka.</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lastRenderedPageBreak/>
        <w:t>(4) V kolikor ciljna ali prevzeta družba ali novoustanovljena družba ne razpolagajo s podatki iz prejšnjega odstavka, v priglasitvi to jasno in utemeljeno obrazložijo.</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 xml:space="preserve">(5) Informacije iz tretjega odstavka tega člena se uporabljajo v skladu z namenom Uredbe 2019/452/EU in poglavja </w:t>
      </w:r>
      <w:proofErr w:type="spellStart"/>
      <w:r>
        <w:rPr>
          <w:rFonts w:cs="Arial"/>
          <w:szCs w:val="20"/>
          <w:lang w:eastAsia="sl-SI"/>
        </w:rPr>
        <w:t>VI.a</w:t>
      </w:r>
      <w:proofErr w:type="spellEnd"/>
      <w:r>
        <w:rPr>
          <w:rFonts w:cs="Arial"/>
          <w:szCs w:val="20"/>
          <w:lang w:eastAsia="sl-SI"/>
        </w:rPr>
        <w:t xml:space="preserve"> tega zakona, ki določa postopek priglasitve in pregleda neposrednih tujih naložb ter pristojne organe za izvajanje Uredbe 2019/452/EU.</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(6) Naloge v zvezi z izvajanjem Uredbe 2019/452/EU v Republiki Sloveniji kot kontaktna točka opravlja ministrstvo. Kontaktna točka skrbi za letno poročanje Evropski komisiji, izmenjavo informacij, mnenj in pripomb z Evropsko komisijo in državami članicami.«</w:t>
      </w:r>
    </w:p>
    <w:p w:rsidR="008850E7" w:rsidRDefault="008850E7" w:rsidP="008850E7">
      <w:pPr>
        <w:overflowPunct w:val="0"/>
        <w:autoSpaceDE w:val="0"/>
        <w:autoSpaceDN w:val="0"/>
        <w:adjustRightInd w:val="0"/>
        <w:ind w:hanging="2"/>
        <w:jc w:val="both"/>
        <w:textAlignment w:val="baseline"/>
        <w:rPr>
          <w:rFonts w:cs="Arial"/>
          <w:szCs w:val="20"/>
          <w:lang w:eastAsia="sl-SI"/>
        </w:rPr>
      </w:pPr>
    </w:p>
    <w:p w:rsidR="008850E7" w:rsidRDefault="008850E7" w:rsidP="008850E7">
      <w:pPr>
        <w:jc w:val="both"/>
        <w:rPr>
          <w:rFonts w:cs="Arial"/>
          <w:szCs w:val="20"/>
          <w:lang w:eastAsia="sl-SI"/>
        </w:rPr>
      </w:pPr>
      <w:r>
        <w:rPr>
          <w:rFonts w:cs="Arial"/>
          <w:szCs w:val="20"/>
          <w:lang w:eastAsia="sl-SI"/>
        </w:rPr>
        <w:t>31.b člen se spremeni tako, da se glasi:</w:t>
      </w:r>
    </w:p>
    <w:p w:rsidR="008850E7" w:rsidRDefault="008850E7" w:rsidP="008850E7">
      <w:pPr>
        <w:overflowPunct w:val="0"/>
        <w:autoSpaceDE w:val="0"/>
        <w:autoSpaceDN w:val="0"/>
        <w:adjustRightInd w:val="0"/>
        <w:ind w:left="2" w:hanging="2"/>
        <w:jc w:val="center"/>
        <w:textAlignment w:val="baseline"/>
        <w:rPr>
          <w:rFonts w:cs="Arial"/>
          <w:b/>
          <w:position w:val="-1"/>
          <w:szCs w:val="20"/>
        </w:rPr>
      </w:pPr>
      <w:r>
        <w:rPr>
          <w:rFonts w:cs="Arial"/>
          <w:szCs w:val="20"/>
        </w:rPr>
        <w:t>»</w:t>
      </w:r>
      <w:r>
        <w:rPr>
          <w:rFonts w:cs="Arial"/>
          <w:b/>
          <w:szCs w:val="20"/>
        </w:rPr>
        <w:t>31.b člen</w:t>
      </w:r>
    </w:p>
    <w:p w:rsidR="008850E7" w:rsidRDefault="008850E7" w:rsidP="008850E7">
      <w:pPr>
        <w:overflowPunct w:val="0"/>
        <w:autoSpaceDE w:val="0"/>
        <w:autoSpaceDN w:val="0"/>
        <w:adjustRightInd w:val="0"/>
        <w:ind w:left="2" w:hanging="2"/>
        <w:jc w:val="center"/>
        <w:textAlignment w:val="baseline"/>
        <w:rPr>
          <w:rFonts w:cs="Arial"/>
          <w:b/>
          <w:szCs w:val="20"/>
          <w:lang w:eastAsia="sl-SI"/>
        </w:rPr>
      </w:pPr>
      <w:r>
        <w:rPr>
          <w:rFonts w:cs="Arial"/>
          <w:b/>
          <w:szCs w:val="20"/>
          <w:lang w:eastAsia="sl-SI"/>
        </w:rPr>
        <w:t>(poziv k dodatnim pojasnilom ali obrazložitvi)</w:t>
      </w:r>
    </w:p>
    <w:p w:rsidR="008850E7" w:rsidRDefault="008850E7" w:rsidP="008850E7">
      <w:pPr>
        <w:overflowPunct w:val="0"/>
        <w:autoSpaceDE w:val="0"/>
        <w:autoSpaceDN w:val="0"/>
        <w:adjustRightInd w:val="0"/>
        <w:ind w:left="2" w:hanging="2"/>
        <w:jc w:val="both"/>
        <w:textAlignment w:val="baseline"/>
        <w:rPr>
          <w:rFonts w:eastAsia="Calibri" w:cs="Arial"/>
          <w:szCs w:val="20"/>
        </w:rPr>
      </w:pPr>
      <w:r>
        <w:rPr>
          <w:rFonts w:cs="Arial"/>
          <w:szCs w:val="20"/>
        </w:rPr>
        <w:t xml:space="preserve">Komisija za priglasitve iz prvega odstavka 31.c člena tega zakona in strokovna skupina iz prvega odstavka 31.d člena tega zakona lahko v primeru nejasnosti v okviru izvajanja Uredbe 2019/452/EU tujega vlagatelja ali ciljno družbo ali prevzeto družbo ali novoustanovljeno družbo v Republiki Sloveniji v zvezi z neposredno tujo naložbo na področju dejavnosti iz petega odstavka </w:t>
      </w:r>
      <w:r>
        <w:rPr>
          <w:rFonts w:cs="Arial"/>
          <w:szCs w:val="20"/>
          <w:lang w:eastAsia="sl-SI"/>
        </w:rPr>
        <w:t>31</w:t>
      </w:r>
      <w:r>
        <w:rPr>
          <w:rFonts w:cs="Arial"/>
          <w:szCs w:val="20"/>
        </w:rPr>
        <w:t>.č člena tega zakona pozoveta, naj pisno ali ustno poda pojasnila ali dodatno obrazložitev ter za to predloži ustrezne dokaze v roku, ki ga določi komisija za priglasitve iz prvega odstavka 31.c člena tega zakona oziroma strokovna skupina iz prvega odstavka 31.d člena tega zakona.«</w:t>
      </w:r>
    </w:p>
    <w:p w:rsidR="008850E7" w:rsidRDefault="008850E7" w:rsidP="008850E7">
      <w:pPr>
        <w:jc w:val="both"/>
        <w:rPr>
          <w:rFonts w:cs="Arial"/>
          <w:szCs w:val="20"/>
          <w:lang w:eastAsia="sl-SI"/>
        </w:rPr>
      </w:pPr>
    </w:p>
    <w:p w:rsidR="008850E7" w:rsidRDefault="008850E7" w:rsidP="008850E7">
      <w:pPr>
        <w:jc w:val="both"/>
        <w:rPr>
          <w:rFonts w:cs="Arial"/>
          <w:szCs w:val="20"/>
          <w:lang w:eastAsia="sl-SI"/>
        </w:rPr>
      </w:pPr>
      <w:r>
        <w:rPr>
          <w:rFonts w:cs="Arial"/>
          <w:szCs w:val="20"/>
          <w:lang w:eastAsia="sl-SI"/>
        </w:rPr>
        <w:t>31.c člen se spremeni tako, da se glasi:</w:t>
      </w:r>
    </w:p>
    <w:p w:rsidR="008850E7" w:rsidRDefault="008850E7" w:rsidP="008850E7">
      <w:pPr>
        <w:overflowPunct w:val="0"/>
        <w:autoSpaceDE w:val="0"/>
        <w:autoSpaceDN w:val="0"/>
        <w:adjustRightInd w:val="0"/>
        <w:ind w:hanging="2"/>
        <w:jc w:val="center"/>
        <w:textAlignment w:val="baseline"/>
        <w:rPr>
          <w:rFonts w:cs="Arial"/>
          <w:b/>
          <w:szCs w:val="20"/>
          <w:lang w:eastAsia="sl-SI"/>
        </w:rPr>
      </w:pPr>
      <w:r>
        <w:rPr>
          <w:rFonts w:cs="Arial"/>
          <w:b/>
          <w:szCs w:val="20"/>
          <w:lang w:eastAsia="sl-SI"/>
        </w:rPr>
        <w:t>»31.c člen</w:t>
      </w:r>
    </w:p>
    <w:p w:rsidR="008850E7" w:rsidRDefault="008850E7" w:rsidP="008850E7">
      <w:pPr>
        <w:overflowPunct w:val="0"/>
        <w:autoSpaceDE w:val="0"/>
        <w:autoSpaceDN w:val="0"/>
        <w:adjustRightInd w:val="0"/>
        <w:ind w:hanging="2"/>
        <w:jc w:val="center"/>
        <w:textAlignment w:val="baseline"/>
        <w:rPr>
          <w:rFonts w:cs="Arial"/>
          <w:b/>
          <w:szCs w:val="20"/>
          <w:lang w:eastAsia="sl-SI"/>
        </w:rPr>
      </w:pPr>
      <w:r>
        <w:rPr>
          <w:rFonts w:cs="Arial"/>
          <w:b/>
          <w:szCs w:val="20"/>
          <w:lang w:eastAsia="sl-SI"/>
        </w:rPr>
        <w:t>(predhodni postopek pregleda)</w:t>
      </w:r>
    </w:p>
    <w:p w:rsidR="008850E7" w:rsidRDefault="008850E7" w:rsidP="008850E7">
      <w:pPr>
        <w:overflowPunct w:val="0"/>
        <w:autoSpaceDE w:val="0"/>
        <w:autoSpaceDN w:val="0"/>
        <w:adjustRightInd w:val="0"/>
        <w:ind w:hanging="2"/>
        <w:jc w:val="center"/>
        <w:textAlignment w:val="baseline"/>
        <w:rPr>
          <w:rFonts w:cs="Arial"/>
          <w:b/>
          <w:szCs w:val="20"/>
          <w:lang w:eastAsia="sl-SI"/>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 xml:space="preserve">(1) Priglasitve iz 31.a člena obravnava komisija za priglasitve, ki jo ustanovi minister. Komisija za priglasitve ima predsednika, enega namestnika in najmanj tri člane, od katerih sta dva predstavnika javne agencije. </w:t>
      </w:r>
    </w:p>
    <w:p w:rsidR="008850E7" w:rsidRDefault="008850E7" w:rsidP="008850E7">
      <w:pPr>
        <w:ind w:hanging="2"/>
        <w:contextualSpacing/>
        <w:jc w:val="both"/>
        <w:rPr>
          <w:rFonts w:cs="Arial"/>
          <w:szCs w:val="20"/>
          <w:lang w:eastAsia="sl-SI"/>
        </w:rPr>
      </w:pPr>
    </w:p>
    <w:p w:rsidR="008850E7" w:rsidRDefault="008850E7" w:rsidP="008850E7">
      <w:pPr>
        <w:ind w:hanging="2"/>
        <w:contextualSpacing/>
        <w:jc w:val="both"/>
        <w:rPr>
          <w:rFonts w:cs="Arial"/>
          <w:szCs w:val="20"/>
          <w:lang w:eastAsia="sl-SI"/>
        </w:rPr>
      </w:pPr>
      <w:r>
        <w:rPr>
          <w:rFonts w:cs="Arial"/>
          <w:szCs w:val="20"/>
          <w:lang w:eastAsia="sl-SI"/>
        </w:rPr>
        <w:t>(2) Komisija za priglasitve v predhodnem postopku najprej preizkusi, ali:</w:t>
      </w:r>
    </w:p>
    <w:p w:rsidR="008850E7" w:rsidRDefault="008850E7" w:rsidP="008850E7">
      <w:pPr>
        <w:numPr>
          <w:ilvl w:val="0"/>
          <w:numId w:val="3"/>
        </w:numPr>
        <w:jc w:val="both"/>
        <w:rPr>
          <w:rFonts w:cs="Arial"/>
          <w:color w:val="000000"/>
          <w:szCs w:val="20"/>
          <w:lang w:eastAsia="sl-SI"/>
        </w:rPr>
      </w:pPr>
      <w:r>
        <w:rPr>
          <w:rFonts w:cs="Arial"/>
          <w:color w:val="000000"/>
          <w:szCs w:val="20"/>
          <w:lang w:eastAsia="sl-SI"/>
        </w:rPr>
        <w:t>tuji vlagatelj izpolnjuje pogoje tujega vlagatelja iz trinajste alineje 2. člena tega zakona,</w:t>
      </w:r>
    </w:p>
    <w:p w:rsidR="008850E7" w:rsidRDefault="008850E7" w:rsidP="008850E7">
      <w:pPr>
        <w:numPr>
          <w:ilvl w:val="0"/>
          <w:numId w:val="3"/>
        </w:numPr>
        <w:jc w:val="both"/>
        <w:rPr>
          <w:rFonts w:cs="Arial"/>
          <w:color w:val="000000"/>
          <w:szCs w:val="20"/>
          <w:lang w:eastAsia="sl-SI"/>
        </w:rPr>
      </w:pPr>
      <w:r>
        <w:rPr>
          <w:rFonts w:cs="Arial"/>
          <w:color w:val="000000"/>
          <w:szCs w:val="20"/>
          <w:lang w:eastAsia="sl-SI"/>
        </w:rPr>
        <w:t>priglašeni pravni posel oziroma transakcija je neposredna tuja naložba iz dvanajste alineje 2. člena tega zakona,</w:t>
      </w:r>
    </w:p>
    <w:p w:rsidR="008850E7" w:rsidRDefault="008850E7" w:rsidP="008850E7">
      <w:pPr>
        <w:numPr>
          <w:ilvl w:val="0"/>
          <w:numId w:val="3"/>
        </w:numPr>
        <w:jc w:val="both"/>
        <w:rPr>
          <w:rFonts w:cs="Arial"/>
          <w:szCs w:val="20"/>
          <w:lang w:eastAsia="sl-SI"/>
        </w:rPr>
      </w:pPr>
      <w:r>
        <w:rPr>
          <w:rFonts w:cs="Arial"/>
          <w:szCs w:val="20"/>
          <w:lang w:eastAsia="sl-SI"/>
        </w:rPr>
        <w:t>je bila priglasitev vložena v roku, kot je določen v 31.a členu tega zakona,</w:t>
      </w:r>
    </w:p>
    <w:p w:rsidR="008850E7" w:rsidRDefault="008850E7" w:rsidP="008850E7">
      <w:pPr>
        <w:numPr>
          <w:ilvl w:val="0"/>
          <w:numId w:val="3"/>
        </w:numPr>
        <w:jc w:val="both"/>
        <w:rPr>
          <w:rFonts w:cs="Arial"/>
          <w:szCs w:val="20"/>
          <w:lang w:eastAsia="sl-SI"/>
        </w:rPr>
      </w:pPr>
      <w:r>
        <w:rPr>
          <w:rFonts w:cs="Arial"/>
          <w:szCs w:val="20"/>
          <w:lang w:eastAsia="sl-SI"/>
        </w:rPr>
        <w:t xml:space="preserve">se dejavnost ciljne družbe ali prevzete družbe ali novoustanovljene družbe v Republiki Sloveniji nanaša na kritične dejavnosti iz petega odstavka 31.č člena tega zakona. </w:t>
      </w:r>
    </w:p>
    <w:p w:rsidR="008850E7" w:rsidRDefault="008850E7" w:rsidP="008850E7">
      <w:pPr>
        <w:ind w:hanging="2"/>
        <w:contextualSpacing/>
        <w:jc w:val="both"/>
        <w:rPr>
          <w:rFonts w:cs="Arial"/>
          <w:szCs w:val="20"/>
          <w:lang w:eastAsia="sl-SI"/>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 xml:space="preserve">(3) Če komisija za priglasitve ugotovi, da ni izpolnjen pogoj iz prve ali druge ali četrte alineje prejšnjega odstavka, o tem izda mnenje. </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 xml:space="preserve">(4) Če komisija za priglasitve ugotovi, da so izpolnjeni pogoji iz prve, druge in četrte alineje drugega odstavka tega člena, v nadaljevanju predhodnega postopka vlogo vsebinsko presoja na podlagi meril iz petega in šestega odstavka 31.č člena tega zakona. </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overflowPunct w:val="0"/>
        <w:autoSpaceDE w:val="0"/>
        <w:autoSpaceDN w:val="0"/>
        <w:adjustRightInd w:val="0"/>
        <w:ind w:left="-2"/>
        <w:jc w:val="both"/>
        <w:textAlignment w:val="baseline"/>
        <w:rPr>
          <w:rFonts w:cs="Arial"/>
          <w:szCs w:val="20"/>
          <w:lang w:eastAsia="sl-SI"/>
        </w:rPr>
      </w:pPr>
      <w:r>
        <w:rPr>
          <w:rFonts w:cs="Arial"/>
          <w:szCs w:val="20"/>
          <w:lang w:eastAsia="sl-SI"/>
        </w:rPr>
        <w:t>(5) Če komisija za priglasitve ugotovi, da ima neposredna tuja naložba neznaten vpliv na javni red in varnost v Republiki Sloveniji oziroma ga nima, o tem izda mnenje.</w:t>
      </w:r>
    </w:p>
    <w:p w:rsidR="008850E7" w:rsidRDefault="008850E7" w:rsidP="008850E7">
      <w:pPr>
        <w:overflowPunct w:val="0"/>
        <w:autoSpaceDE w:val="0"/>
        <w:autoSpaceDN w:val="0"/>
        <w:adjustRightInd w:val="0"/>
        <w:ind w:left="-2"/>
        <w:jc w:val="both"/>
        <w:textAlignment w:val="baseline"/>
        <w:rPr>
          <w:rFonts w:cs="Arial"/>
          <w:szCs w:val="20"/>
          <w:lang w:eastAsia="sl-SI"/>
        </w:rPr>
      </w:pPr>
    </w:p>
    <w:p w:rsidR="008850E7" w:rsidRDefault="008850E7" w:rsidP="008850E7">
      <w:pPr>
        <w:overflowPunct w:val="0"/>
        <w:autoSpaceDE w:val="0"/>
        <w:autoSpaceDN w:val="0"/>
        <w:adjustRightInd w:val="0"/>
        <w:ind w:left="-2"/>
        <w:jc w:val="both"/>
        <w:textAlignment w:val="baseline"/>
        <w:rPr>
          <w:rFonts w:cs="Arial"/>
          <w:szCs w:val="20"/>
          <w:lang w:eastAsia="sl-SI"/>
        </w:rPr>
      </w:pPr>
      <w:r>
        <w:rPr>
          <w:rFonts w:cs="Arial"/>
          <w:szCs w:val="20"/>
          <w:lang w:eastAsia="sl-SI"/>
        </w:rPr>
        <w:t xml:space="preserve">(6) Če komisija za priglasitve ugotovi, da se neposredna tuja naložba izvaja na področju dejavnosti iz petega odstavka 31.č člena in da bi lahko imela vpliv na javni red ali varnost v Republiki Sloveniji, z mnenjem predlaga uvedbo postopka pregleda. </w:t>
      </w:r>
    </w:p>
    <w:p w:rsidR="008850E7" w:rsidRDefault="008850E7" w:rsidP="008850E7">
      <w:pPr>
        <w:overflowPunct w:val="0"/>
        <w:autoSpaceDE w:val="0"/>
        <w:autoSpaceDN w:val="0"/>
        <w:adjustRightInd w:val="0"/>
        <w:ind w:left="-2"/>
        <w:jc w:val="both"/>
        <w:textAlignment w:val="baseline"/>
        <w:rPr>
          <w:rFonts w:cs="Arial"/>
          <w:szCs w:val="20"/>
          <w:lang w:eastAsia="sl-SI"/>
        </w:rPr>
      </w:pPr>
    </w:p>
    <w:p w:rsidR="008850E7" w:rsidRDefault="008850E7" w:rsidP="008850E7">
      <w:pPr>
        <w:overflowPunct w:val="0"/>
        <w:autoSpaceDE w:val="0"/>
        <w:autoSpaceDN w:val="0"/>
        <w:adjustRightInd w:val="0"/>
        <w:ind w:left="-2"/>
        <w:jc w:val="both"/>
        <w:textAlignment w:val="baseline"/>
        <w:rPr>
          <w:rFonts w:cs="Arial"/>
          <w:szCs w:val="20"/>
          <w:lang w:eastAsia="sl-SI"/>
        </w:rPr>
      </w:pPr>
      <w:r>
        <w:rPr>
          <w:rFonts w:cs="Arial"/>
          <w:szCs w:val="20"/>
          <w:lang w:eastAsia="sl-SI"/>
        </w:rPr>
        <w:t>(7) Ministrstvo na podlagi mnenja komisije za priglasitve iz tretjega in petega odstavka tega člena izda odločbo. Zoper odločbo ministrstva pritožba ni dovoljena, je pa dovoljen upravni spor.</w:t>
      </w:r>
    </w:p>
    <w:p w:rsidR="008850E7" w:rsidRDefault="008850E7" w:rsidP="008850E7">
      <w:pPr>
        <w:overflowPunct w:val="0"/>
        <w:autoSpaceDE w:val="0"/>
        <w:autoSpaceDN w:val="0"/>
        <w:adjustRightInd w:val="0"/>
        <w:ind w:left="-2"/>
        <w:jc w:val="both"/>
        <w:textAlignment w:val="baseline"/>
        <w:rPr>
          <w:rFonts w:cs="Arial"/>
          <w:szCs w:val="20"/>
          <w:lang w:eastAsia="sl-SI"/>
        </w:rPr>
      </w:pPr>
    </w:p>
    <w:p w:rsidR="008850E7" w:rsidRDefault="008850E7" w:rsidP="008850E7">
      <w:pPr>
        <w:overflowPunct w:val="0"/>
        <w:autoSpaceDE w:val="0"/>
        <w:autoSpaceDN w:val="0"/>
        <w:adjustRightInd w:val="0"/>
        <w:ind w:left="-2"/>
        <w:jc w:val="both"/>
        <w:textAlignment w:val="baseline"/>
        <w:rPr>
          <w:rFonts w:cs="Arial"/>
          <w:szCs w:val="20"/>
          <w:lang w:eastAsia="sl-SI"/>
        </w:rPr>
      </w:pPr>
      <w:r>
        <w:rPr>
          <w:rFonts w:cs="Arial"/>
          <w:szCs w:val="20"/>
          <w:lang w:eastAsia="sl-SI"/>
        </w:rPr>
        <w:lastRenderedPageBreak/>
        <w:t>(8) Ministrstvo na podlagi mnenja komisije za priglasitve iz šestega odstavka tega člena izda sklep, s katerim uvede postopek pregleda. Zoper sklep iz prejšnjega stavka ni sodnega varstva.«</w:t>
      </w:r>
    </w:p>
    <w:p w:rsidR="008850E7" w:rsidRDefault="008850E7" w:rsidP="008850E7">
      <w:pPr>
        <w:overflowPunct w:val="0"/>
        <w:autoSpaceDE w:val="0"/>
        <w:autoSpaceDN w:val="0"/>
        <w:adjustRightInd w:val="0"/>
        <w:ind w:hanging="2"/>
        <w:jc w:val="both"/>
        <w:textAlignment w:val="baseline"/>
        <w:rPr>
          <w:rFonts w:cs="Arial"/>
          <w:szCs w:val="20"/>
          <w:lang w:eastAsia="sl-SI"/>
        </w:rPr>
      </w:pPr>
    </w:p>
    <w:p w:rsidR="008850E7" w:rsidRDefault="008850E7" w:rsidP="008850E7">
      <w:pPr>
        <w:jc w:val="both"/>
        <w:rPr>
          <w:rFonts w:cs="Arial"/>
          <w:szCs w:val="20"/>
          <w:lang w:eastAsia="sl-SI"/>
        </w:rPr>
      </w:pPr>
      <w:r>
        <w:rPr>
          <w:rFonts w:cs="Arial"/>
          <w:szCs w:val="20"/>
          <w:lang w:eastAsia="sl-SI"/>
        </w:rPr>
        <w:t>31.č člen se spremeni tako, da se glasi:</w:t>
      </w:r>
    </w:p>
    <w:p w:rsidR="008850E7" w:rsidRDefault="008850E7" w:rsidP="008850E7">
      <w:pPr>
        <w:overflowPunct w:val="0"/>
        <w:autoSpaceDE w:val="0"/>
        <w:autoSpaceDN w:val="0"/>
        <w:adjustRightInd w:val="0"/>
        <w:jc w:val="center"/>
        <w:textAlignment w:val="baseline"/>
        <w:rPr>
          <w:rFonts w:cs="Arial"/>
          <w:b/>
          <w:position w:val="-1"/>
          <w:szCs w:val="20"/>
        </w:rPr>
      </w:pPr>
      <w:r>
        <w:rPr>
          <w:rFonts w:cs="Arial"/>
          <w:b/>
          <w:szCs w:val="20"/>
          <w:lang w:eastAsia="sl-SI"/>
        </w:rPr>
        <w:t>»31</w:t>
      </w:r>
      <w:r>
        <w:rPr>
          <w:rFonts w:cs="Arial"/>
          <w:b/>
          <w:szCs w:val="20"/>
        </w:rPr>
        <w:t>.č člen</w:t>
      </w:r>
    </w:p>
    <w:p w:rsidR="008850E7" w:rsidRDefault="008850E7" w:rsidP="008850E7">
      <w:pPr>
        <w:overflowPunct w:val="0"/>
        <w:autoSpaceDE w:val="0"/>
        <w:autoSpaceDN w:val="0"/>
        <w:adjustRightInd w:val="0"/>
        <w:ind w:left="2" w:hanging="2"/>
        <w:jc w:val="center"/>
        <w:textAlignment w:val="baseline"/>
        <w:rPr>
          <w:rFonts w:cs="Arial"/>
          <w:b/>
          <w:szCs w:val="20"/>
        </w:rPr>
      </w:pPr>
      <w:r>
        <w:rPr>
          <w:rFonts w:cs="Arial"/>
          <w:b/>
          <w:szCs w:val="20"/>
        </w:rPr>
        <w:t>(pregled)</w:t>
      </w:r>
    </w:p>
    <w:p w:rsidR="008850E7" w:rsidRDefault="008850E7" w:rsidP="008850E7">
      <w:pPr>
        <w:jc w:val="both"/>
        <w:rPr>
          <w:rFonts w:cs="Arial"/>
          <w:color w:val="000000"/>
          <w:szCs w:val="20"/>
          <w:lang w:eastAsia="sl-SI"/>
        </w:rPr>
      </w:pP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(1) Pregled je postopek, v katerem ministrstvo odloča o tem, ali se neposredna tuja naložba na področju dejavnosti iz petega odstavka tega člena odobri, omejeno odobri, tako da se določijo pogoji za njeno izvedbo, ali prepove, če lahko vpliva na varnost ali javni red Republike Slovenije.</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(2) Strokovna skupina iz prvega odstavka 31.d člena tega zakona, ki jo po uvedbi postopka pregleda iz osmega odstavka prejšnjega člena s sklepom imenuje minister, opravi pregled posamezne tuje naložbe na področju dejavnosti iz petega odstavka tega člena in poda mnenje iz šestega odstavka 31.d člena tega zakona najpozneje v dveh letih v primerih:</w:t>
      </w:r>
    </w:p>
    <w:p w:rsidR="008850E7" w:rsidRDefault="008850E7" w:rsidP="008850E7">
      <w:pPr>
        <w:numPr>
          <w:ilvl w:val="0"/>
          <w:numId w:val="4"/>
        </w:numPr>
        <w:jc w:val="both"/>
        <w:rPr>
          <w:rFonts w:cs="Arial"/>
          <w:szCs w:val="20"/>
          <w:lang w:eastAsia="sl-SI"/>
        </w:rPr>
      </w:pPr>
      <w:r>
        <w:rPr>
          <w:rFonts w:cs="Arial"/>
          <w:szCs w:val="20"/>
          <w:lang w:eastAsia="sl-SI"/>
        </w:rPr>
        <w:t>iz prvega odstavka 31.a člena tega zakona od sklenitve pravnega posla, s katerim tuji vlagatelj v gospodarski družbi s sedežem v Republiki Sloveniji neposredno ali posredno pridobi najmanj 10 % udeležbe v kapitalu ali v glasovalnih pravicah ali od objave prevzemne ponudbe, in</w:t>
      </w:r>
    </w:p>
    <w:p w:rsidR="008850E7" w:rsidRDefault="008850E7" w:rsidP="008850E7">
      <w:pPr>
        <w:numPr>
          <w:ilvl w:val="0"/>
          <w:numId w:val="4"/>
        </w:numPr>
        <w:jc w:val="both"/>
        <w:rPr>
          <w:rFonts w:cs="Arial"/>
          <w:szCs w:val="20"/>
          <w:lang w:eastAsia="sl-SI"/>
        </w:rPr>
      </w:pPr>
      <w:r>
        <w:rPr>
          <w:rFonts w:cs="Arial"/>
          <w:szCs w:val="20"/>
          <w:lang w:eastAsia="sl-SI"/>
        </w:rPr>
        <w:t>iz drugega odstavka 31.a člena tega zakona od vpisa ustanovitve gospodarske družbe v sodni register v Republiki Sloveniji, s katero tuji vlagatelj v novoustanovljeni gospodarski družbi s sedežem v Republiki Sloveniji neposredno ali posredno pridobi najmanj 10 % udeležbe v kapitalu ali v glasovalnih pravicah.</w:t>
      </w:r>
    </w:p>
    <w:p w:rsidR="008850E7" w:rsidRDefault="008850E7" w:rsidP="008850E7">
      <w:pPr>
        <w:jc w:val="both"/>
        <w:rPr>
          <w:rFonts w:cs="Arial"/>
          <w:szCs w:val="20"/>
          <w:lang w:eastAsia="sl-SI"/>
        </w:rPr>
      </w:pPr>
    </w:p>
    <w:p w:rsidR="008850E7" w:rsidRDefault="008850E7" w:rsidP="008850E7">
      <w:pPr>
        <w:jc w:val="both"/>
        <w:rPr>
          <w:rFonts w:cs="Arial"/>
          <w:szCs w:val="20"/>
          <w:lang w:eastAsia="sl-SI"/>
        </w:rPr>
      </w:pPr>
      <w:r>
        <w:rPr>
          <w:rFonts w:cs="Arial"/>
          <w:szCs w:val="20"/>
          <w:lang w:eastAsia="sl-SI"/>
        </w:rPr>
        <w:t>(3) Ministrstvo lahko na podlagi mnenja komisije za priglasitve uvede postopek pregleda posamezne tuje naložbe na področju dejavnosti iz petega odstavka tega člena, če v dveh letih od sklenitve pravnega posla ali od objave prevzemne ponudbe iz prve alineje drugega odstavka tega člena ali od vpisa ustanovitve gospodarske družbe v sodni register v Republiki Sloveniji iz druge alineje drugega odstavka tega člena pridobi informacije, da je tuji vlagatelj, ki je izvedel neposredno tujo naložbo v Republiki Sloveniji, vključen v dejavnosti iz petega odstavka tega člena, ki so vplivale ali bi lahko vplivale na varnost ali javni red v državi članici Evropske unije, ali se ukvarja z nezakonitimi ali kriminalnimi dejavnostmi iz šestega odstavka tega člena. Strokovna skupina opravi postopek pregleda in izda mnenje v roku dveh let od uvedbe postopka pregleda.</w:t>
      </w:r>
    </w:p>
    <w:p w:rsidR="008850E7" w:rsidRDefault="008850E7" w:rsidP="008850E7">
      <w:pPr>
        <w:jc w:val="both"/>
        <w:rPr>
          <w:rFonts w:cs="Arial"/>
          <w:szCs w:val="20"/>
          <w:lang w:eastAsia="sl-SI"/>
        </w:rPr>
      </w:pPr>
    </w:p>
    <w:p w:rsidR="008850E7" w:rsidRDefault="008850E7" w:rsidP="008850E7">
      <w:pPr>
        <w:jc w:val="both"/>
        <w:rPr>
          <w:rFonts w:cs="Arial"/>
          <w:szCs w:val="20"/>
          <w:lang w:eastAsia="sl-SI"/>
        </w:rPr>
      </w:pPr>
      <w:r>
        <w:rPr>
          <w:rFonts w:cs="Arial"/>
          <w:szCs w:val="20"/>
          <w:lang w:eastAsia="sl-SI"/>
        </w:rPr>
        <w:t>(4) Ministrstvo lahko v primerih in v roku iz prejšnjega odstavka po uradni dolžnosti uvede postopek ponovnega pregleda tudi v primeru, če je bila že izdana odločba iz sedmega odstavka prejšnjega člena ali če je bila izdana odločba iz prvega odstavka 31.e člena. Če ministrstvo v primeru iz prejšnjega stavka na podlagi mnenja komisije za priglasitve uvede postopek pregleda, strokovna skupina opravi postopek pregleda in izda mnenje v roku dveh let od uvedbe postopka pregleda. Če strokovna skupina ugotovi, da neposredna tuja naložba lahko vpliva na varnost ali javni red Republike Slovenije, že izdano odločbo iz sedmega odstavka prejšnjega člena ali prvega odstavka 31.e člena razveljavi in z isto odločbo odloči, ali tujo neposredno naložbo omejeno odobri, tako da se določijo pogoji za njeno izvedbo, ali prepove.</w:t>
      </w:r>
      <w:r>
        <w:rPr>
          <w:sz w:val="24"/>
          <w:lang w:eastAsia="sl-SI"/>
        </w:rPr>
        <w:t xml:space="preserve"> </w:t>
      </w: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 xml:space="preserve">(5) Neposredna tuja naložba lahko vpliva na varnost ali javni red Republike Slovenije zlasti v primerih, ko ciljna družba ali prevzeta družba ali novoustanovljena družba s sedežem v Republiki Sloveniji dejansko in pretežno izvaja dejavnost na enem od naštetih kritičnih področij: </w:t>
      </w:r>
    </w:p>
    <w:p w:rsidR="008850E7" w:rsidRDefault="008850E7" w:rsidP="008850E7">
      <w:pPr>
        <w:numPr>
          <w:ilvl w:val="0"/>
          <w:numId w:val="5"/>
        </w:numPr>
        <w:overflowPunct w:val="0"/>
        <w:autoSpaceDE w:val="0"/>
        <w:autoSpaceDN w:val="0"/>
        <w:adjustRightInd w:val="0"/>
        <w:jc w:val="both"/>
        <w:textAlignment w:val="baseline"/>
        <w:rPr>
          <w:rFonts w:cs="Arial"/>
          <w:szCs w:val="20"/>
          <w:lang w:eastAsia="sl-SI"/>
        </w:rPr>
      </w:pPr>
      <w:r>
        <w:rPr>
          <w:rFonts w:cs="Arial"/>
          <w:szCs w:val="20"/>
          <w:lang w:eastAsia="sl-SI"/>
        </w:rPr>
        <w:t>kritična infrastruktura, bodisi fizična ali virtualna, vključno z infrastrukturo na področju energetike, prometa, vode, zdravja, komunikacij, medijev, obdelave ali hrambe podatkov, letalskega in vesoljskega sektorja ter obrambno, volilno ali finančno infrastrukturo in občutljivimi objekti ter tudi zemljišči in nepremičninami, ki so bistveni za uporabo takšne infrastrukture;</w:t>
      </w:r>
    </w:p>
    <w:p w:rsidR="008850E7" w:rsidRDefault="008850E7" w:rsidP="008850E7">
      <w:pPr>
        <w:numPr>
          <w:ilvl w:val="0"/>
          <w:numId w:val="5"/>
        </w:numPr>
        <w:overflowPunct w:val="0"/>
        <w:autoSpaceDE w:val="0"/>
        <w:autoSpaceDN w:val="0"/>
        <w:adjustRightInd w:val="0"/>
        <w:jc w:val="both"/>
        <w:rPr>
          <w:rFonts w:cs="Arial"/>
          <w:szCs w:val="20"/>
          <w:lang w:eastAsia="sl-SI"/>
        </w:rPr>
      </w:pPr>
      <w:r>
        <w:rPr>
          <w:rFonts w:cs="Arial"/>
          <w:szCs w:val="20"/>
          <w:lang w:eastAsia="sl-SI"/>
        </w:rPr>
        <w:t xml:space="preserve">kritična tehnologija in blago z dvojno rabo, vključno z umetno inteligenco, robotiko, polprevodniki, kibernetsko varnostjo, letalsko in vesoljsko ter obrambno tehnologijo, </w:t>
      </w:r>
      <w:r>
        <w:rPr>
          <w:rFonts w:cs="Arial"/>
          <w:szCs w:val="20"/>
          <w:lang w:eastAsia="sl-SI"/>
        </w:rPr>
        <w:lastRenderedPageBreak/>
        <w:t>tehnologijo za shranjevanje energije, kvantno in jedrsko tehnologijo ter tudi nanotehnologijo in biotehnologijo;</w:t>
      </w:r>
    </w:p>
    <w:p w:rsidR="008850E7" w:rsidRDefault="008850E7" w:rsidP="008850E7">
      <w:pPr>
        <w:numPr>
          <w:ilvl w:val="0"/>
          <w:numId w:val="5"/>
        </w:numPr>
        <w:overflowPunct w:val="0"/>
        <w:autoSpaceDE w:val="0"/>
        <w:autoSpaceDN w:val="0"/>
        <w:adjustRightInd w:val="0"/>
        <w:jc w:val="both"/>
        <w:rPr>
          <w:rFonts w:cs="Arial"/>
          <w:szCs w:val="20"/>
          <w:lang w:eastAsia="sl-SI"/>
        </w:rPr>
      </w:pPr>
      <w:r>
        <w:rPr>
          <w:rFonts w:cs="Arial"/>
          <w:szCs w:val="20"/>
          <w:lang w:eastAsia="sl-SI"/>
        </w:rPr>
        <w:t>dobava kritičnih virov, vključno z energijo ali surovinami, ter prehranska varnost;</w:t>
      </w:r>
    </w:p>
    <w:p w:rsidR="008850E7" w:rsidRDefault="008850E7" w:rsidP="008850E7">
      <w:pPr>
        <w:numPr>
          <w:ilvl w:val="0"/>
          <w:numId w:val="5"/>
        </w:numPr>
        <w:overflowPunct w:val="0"/>
        <w:autoSpaceDE w:val="0"/>
        <w:autoSpaceDN w:val="0"/>
        <w:adjustRightInd w:val="0"/>
        <w:jc w:val="both"/>
        <w:rPr>
          <w:rFonts w:cs="Arial"/>
          <w:szCs w:val="20"/>
          <w:lang w:eastAsia="sl-SI"/>
        </w:rPr>
      </w:pPr>
      <w:r>
        <w:rPr>
          <w:rFonts w:cs="Arial"/>
          <w:szCs w:val="20"/>
          <w:lang w:eastAsia="sl-SI"/>
        </w:rPr>
        <w:t>dostop do občutljivih informacij, vključno z osebnimi podatki, ali sposobnost nadziranja takšnih informacij;</w:t>
      </w:r>
    </w:p>
    <w:p w:rsidR="008850E7" w:rsidRDefault="008850E7" w:rsidP="008850E7">
      <w:pPr>
        <w:numPr>
          <w:ilvl w:val="0"/>
          <w:numId w:val="5"/>
        </w:numPr>
        <w:jc w:val="both"/>
        <w:rPr>
          <w:rFonts w:cs="Arial"/>
          <w:szCs w:val="20"/>
          <w:lang w:eastAsia="sl-SI"/>
        </w:rPr>
      </w:pPr>
      <w:r>
        <w:rPr>
          <w:rFonts w:cs="Arial"/>
          <w:szCs w:val="20"/>
          <w:lang w:eastAsia="sl-SI"/>
        </w:rPr>
        <w:t>svoboda in pluralnost medijev ali</w:t>
      </w:r>
    </w:p>
    <w:p w:rsidR="008850E7" w:rsidRDefault="008850E7" w:rsidP="008850E7">
      <w:pPr>
        <w:numPr>
          <w:ilvl w:val="0"/>
          <w:numId w:val="5"/>
        </w:numPr>
        <w:jc w:val="both"/>
        <w:rPr>
          <w:rFonts w:cs="Arial"/>
          <w:szCs w:val="20"/>
          <w:lang w:eastAsia="sl-SI"/>
        </w:rPr>
      </w:pPr>
      <w:r>
        <w:rPr>
          <w:rFonts w:cs="Arial"/>
          <w:szCs w:val="20"/>
          <w:lang w:eastAsia="sl-SI"/>
        </w:rPr>
        <w:t xml:space="preserve">projekti ali programi v interesu Evropske unije, opredeljeni v Prilogi I </w:t>
      </w:r>
      <w:r>
        <w:rPr>
          <w:rFonts w:eastAsia="Arial" w:cs="Arial"/>
          <w:szCs w:val="20"/>
          <w:lang w:eastAsia="sl-SI"/>
        </w:rPr>
        <w:t>Uredbe 2019/452/EU</w:t>
      </w:r>
      <w:r>
        <w:rPr>
          <w:rFonts w:cs="Arial"/>
          <w:szCs w:val="20"/>
          <w:lang w:eastAsia="sl-SI"/>
        </w:rPr>
        <w:t>.</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(6) Ministrstvo pri ugotavljanju, ali lahko neposredna tuja naložba vpliva na varnost ali javni red, upošteva zlasti, ali:</w:t>
      </w:r>
    </w:p>
    <w:p w:rsidR="008850E7" w:rsidRDefault="008850E7" w:rsidP="008850E7">
      <w:pPr>
        <w:numPr>
          <w:ilvl w:val="0"/>
          <w:numId w:val="6"/>
        </w:numPr>
        <w:jc w:val="both"/>
        <w:rPr>
          <w:rFonts w:cs="Arial"/>
          <w:szCs w:val="20"/>
          <w:lang w:eastAsia="sl-SI"/>
        </w:rPr>
      </w:pPr>
      <w:r>
        <w:rPr>
          <w:rFonts w:cs="Arial"/>
          <w:szCs w:val="20"/>
          <w:lang w:eastAsia="sl-SI"/>
        </w:rPr>
        <w:t>je tuji vlagatelj neposredno ali posredno pod nadzorom vlade, vključno z državnimi organi ali oboroženimi silami tretje države, tudi prek lastniške strukture ali znatnega financiranja;</w:t>
      </w:r>
    </w:p>
    <w:p w:rsidR="008850E7" w:rsidRDefault="008850E7" w:rsidP="008850E7">
      <w:pPr>
        <w:numPr>
          <w:ilvl w:val="0"/>
          <w:numId w:val="6"/>
        </w:numPr>
        <w:jc w:val="both"/>
        <w:rPr>
          <w:rFonts w:cs="Arial"/>
          <w:szCs w:val="20"/>
          <w:lang w:eastAsia="sl-SI"/>
        </w:rPr>
      </w:pPr>
      <w:r>
        <w:rPr>
          <w:rFonts w:cs="Arial"/>
          <w:szCs w:val="20"/>
          <w:lang w:eastAsia="sl-SI"/>
        </w:rPr>
        <w:t>je bil tuji vlagatelj že vključen v dejavnosti, ki so vplivale na varnost ali javni red v državi članici;</w:t>
      </w:r>
    </w:p>
    <w:p w:rsidR="008850E7" w:rsidRDefault="008850E7" w:rsidP="008850E7">
      <w:pPr>
        <w:numPr>
          <w:ilvl w:val="0"/>
          <w:numId w:val="6"/>
        </w:numPr>
        <w:jc w:val="both"/>
        <w:rPr>
          <w:rFonts w:cs="Arial"/>
          <w:szCs w:val="20"/>
          <w:lang w:eastAsia="sl-SI"/>
        </w:rPr>
      </w:pPr>
      <w:r>
        <w:rPr>
          <w:rFonts w:cs="Arial"/>
          <w:szCs w:val="20"/>
          <w:lang w:eastAsia="sl-SI"/>
        </w:rPr>
        <w:t>obstaja resno tveganje, da se tuji vlagatelj ukvarja z nezakonitimi ali kriminalnimi dejavnostmi;</w:t>
      </w:r>
    </w:p>
    <w:p w:rsidR="008850E7" w:rsidRDefault="008850E7" w:rsidP="008850E7">
      <w:pPr>
        <w:numPr>
          <w:ilvl w:val="0"/>
          <w:numId w:val="6"/>
        </w:numPr>
        <w:jc w:val="both"/>
        <w:rPr>
          <w:rFonts w:cs="Arial"/>
          <w:szCs w:val="20"/>
          <w:lang w:eastAsia="sl-SI"/>
        </w:rPr>
      </w:pPr>
      <w:r>
        <w:rPr>
          <w:rFonts w:cs="Arial"/>
          <w:szCs w:val="20"/>
          <w:lang w:eastAsia="sl-SI"/>
        </w:rPr>
        <w:t xml:space="preserve">je tuji vlagatelj s pravnim poslom, ki je predmet priglasitve, dosegel prevzemni prag v ciljni družbi (tretjinski delež glasovalnih pravic v tej družbi) ali je po končanem postopku uspešne prevzemne ponudbe pridobil 10-odstotni delež glasovalnih pravic v ciljni družbi ali z uspešno prevzemno ponudbo pridobil najmanj 75-odstotni delež vseh delnic ciljne družbe z glasovalno pravico; </w:t>
      </w:r>
    </w:p>
    <w:p w:rsidR="008850E7" w:rsidRDefault="008850E7" w:rsidP="008850E7">
      <w:pPr>
        <w:numPr>
          <w:ilvl w:val="0"/>
          <w:numId w:val="6"/>
        </w:numPr>
        <w:jc w:val="both"/>
        <w:rPr>
          <w:rFonts w:cs="Arial"/>
          <w:szCs w:val="20"/>
          <w:lang w:eastAsia="sl-SI"/>
        </w:rPr>
      </w:pPr>
      <w:r>
        <w:rPr>
          <w:rFonts w:cs="Arial"/>
          <w:szCs w:val="20"/>
          <w:lang w:eastAsia="sl-SI"/>
        </w:rPr>
        <w:t>ima tuji vlagatelj prek ciljne ali prevzete družbe ali novoustanovljene družbe na območju Republike Slovenije na področju kritičnih dejavnosti najmanj 20-odstotni tržni delež;</w:t>
      </w:r>
    </w:p>
    <w:p w:rsidR="008850E7" w:rsidRDefault="008850E7" w:rsidP="008850E7">
      <w:pPr>
        <w:numPr>
          <w:ilvl w:val="0"/>
          <w:numId w:val="6"/>
        </w:numPr>
        <w:jc w:val="both"/>
        <w:rPr>
          <w:rFonts w:cs="Arial"/>
          <w:szCs w:val="20"/>
          <w:lang w:eastAsia="sl-SI"/>
        </w:rPr>
      </w:pPr>
      <w:r>
        <w:rPr>
          <w:rFonts w:cs="Arial"/>
          <w:szCs w:val="20"/>
          <w:lang w:eastAsia="sl-SI"/>
        </w:rPr>
        <w:t>je tuji vlagatelj v ciljni ali prevzeti družbi s pravnim poslom, ki je predmet priglasitve, dosegel 25- ali 50-odstotno udeležbo v kapitalu ali glasovalnih pravicah.«</w:t>
      </w:r>
    </w:p>
    <w:p w:rsidR="008850E7" w:rsidRDefault="008850E7" w:rsidP="008850E7">
      <w:pPr>
        <w:overflowPunct w:val="0"/>
        <w:autoSpaceDE w:val="0"/>
        <w:autoSpaceDN w:val="0"/>
        <w:adjustRightInd w:val="0"/>
        <w:ind w:hanging="2"/>
        <w:jc w:val="both"/>
        <w:textAlignment w:val="baseline"/>
        <w:rPr>
          <w:rFonts w:cs="Arial"/>
          <w:szCs w:val="20"/>
          <w:lang w:eastAsia="sl-SI"/>
        </w:rPr>
      </w:pPr>
    </w:p>
    <w:p w:rsidR="008850E7" w:rsidRDefault="008850E7" w:rsidP="008850E7">
      <w:pPr>
        <w:jc w:val="both"/>
        <w:rPr>
          <w:rFonts w:cs="Arial"/>
          <w:szCs w:val="20"/>
          <w:lang w:eastAsia="sl-SI"/>
        </w:rPr>
      </w:pPr>
      <w:r>
        <w:rPr>
          <w:rFonts w:cs="Arial"/>
          <w:szCs w:val="20"/>
          <w:lang w:eastAsia="sl-SI"/>
        </w:rPr>
        <w:t>31.d člen se spremeni tako, da se glasi:</w:t>
      </w:r>
    </w:p>
    <w:p w:rsidR="008850E7" w:rsidRDefault="008850E7" w:rsidP="008850E7">
      <w:pPr>
        <w:overflowPunct w:val="0"/>
        <w:autoSpaceDE w:val="0"/>
        <w:autoSpaceDN w:val="0"/>
        <w:adjustRightInd w:val="0"/>
        <w:ind w:hanging="2"/>
        <w:jc w:val="center"/>
        <w:textAlignment w:val="baseline"/>
        <w:rPr>
          <w:rFonts w:cs="Arial"/>
          <w:b/>
          <w:szCs w:val="20"/>
          <w:lang w:eastAsia="sl-SI"/>
        </w:rPr>
      </w:pPr>
      <w:r>
        <w:rPr>
          <w:rFonts w:cs="Arial"/>
          <w:b/>
          <w:szCs w:val="20"/>
          <w:lang w:eastAsia="sl-SI"/>
        </w:rPr>
        <w:t>»31.d člen</w:t>
      </w:r>
    </w:p>
    <w:p w:rsidR="008850E7" w:rsidRDefault="008850E7" w:rsidP="008850E7">
      <w:pPr>
        <w:overflowPunct w:val="0"/>
        <w:autoSpaceDE w:val="0"/>
        <w:autoSpaceDN w:val="0"/>
        <w:adjustRightInd w:val="0"/>
        <w:ind w:hanging="2"/>
        <w:jc w:val="center"/>
        <w:textAlignment w:val="baseline"/>
        <w:rPr>
          <w:rFonts w:cs="Arial"/>
          <w:b/>
          <w:szCs w:val="20"/>
          <w:lang w:eastAsia="sl-SI"/>
        </w:rPr>
      </w:pPr>
      <w:r>
        <w:rPr>
          <w:rFonts w:cs="Arial"/>
          <w:b/>
          <w:szCs w:val="20"/>
          <w:lang w:eastAsia="sl-SI"/>
        </w:rPr>
        <w:t>(strokovna skupina)</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(1) Pregled neposrednih tujih naložb na področju dejavnosti iz petega odstavka prejšnjega člena opravlja strokovna skupina.</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(2) Strokovna skupina ima najmanj tri in največ deset članov. Predsednik in dva člana se za pregled posamezne neposredne tuje naložbe imenujejo iz vrst zaposlenih na ministrstvu ter drugih državnih organov, ki delujejo na področju dejavnosti iz petega odstavka prejšnjega člena, na katerem se posamezna neposredna tuja naložba izvaja, pri čemer je najmanj en član predstavnik drugega državnega organa.</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(3) Strokovna skupina po potrebi pridobi tudi mnenje druge pravne osebe javnega ali zasebnega prava, ki deluje na področju dejavnosti iz petega odstavka prejšnjega člena, glede ocene vpliva neposredne tuje naložbe na javni red in varnost z vidika njihove pristojnosti.</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(4) Predsednik in člani strokovne skupine morajo pred začetkom posameznega pregleda neposrednih tujih naložb na področju dejavnosti iz petega odstavka prejšnjega člena podati pisno izjavo o interesni nepovezanosti s tujim vlagateljem in ciljno družbo ali prevzeto družbo ali novoustanovljeno družbo ter izjavo, da bodo varovali vse podatke, dejstva in okoliščine, s katerimi se bodo seznanili pri opravljanju nalog skupine.</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(5) Strokovna skupina delo konča s pripravo mnenja, s katerim ugotovi, ali neposredna tuja naložba vpliva na varnost ali javni red Republike Slovenije, in predlaga, da se neposredna tuja naložba na področju dejavnosti iz petega odstavka prejšnjega člena bodisi odobri, omejeno odobri, tako da se določijo pogoji za njeno izvedbo, ali prepove. Strokovna skupina svoje mnenje predloži ministru.«</w:t>
      </w:r>
    </w:p>
    <w:p w:rsidR="008850E7" w:rsidRDefault="008850E7" w:rsidP="008850E7">
      <w:pPr>
        <w:overflowPunct w:val="0"/>
        <w:autoSpaceDE w:val="0"/>
        <w:autoSpaceDN w:val="0"/>
        <w:adjustRightInd w:val="0"/>
        <w:ind w:hanging="2"/>
        <w:jc w:val="both"/>
        <w:textAlignment w:val="baseline"/>
        <w:rPr>
          <w:rFonts w:cs="Arial"/>
          <w:szCs w:val="20"/>
          <w:lang w:eastAsia="sl-SI"/>
        </w:rPr>
      </w:pP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31.e člen se spremeni tako, da se glasi:</w:t>
      </w:r>
    </w:p>
    <w:p w:rsidR="008850E7" w:rsidRDefault="008850E7" w:rsidP="008850E7">
      <w:pPr>
        <w:overflowPunct w:val="0"/>
        <w:autoSpaceDE w:val="0"/>
        <w:autoSpaceDN w:val="0"/>
        <w:adjustRightInd w:val="0"/>
        <w:ind w:hanging="2"/>
        <w:jc w:val="center"/>
        <w:textAlignment w:val="baseline"/>
        <w:rPr>
          <w:rFonts w:cs="Arial"/>
          <w:b/>
          <w:szCs w:val="20"/>
          <w:lang w:eastAsia="sl-SI"/>
        </w:rPr>
      </w:pPr>
      <w:r>
        <w:rPr>
          <w:rFonts w:cs="Arial"/>
          <w:b/>
          <w:szCs w:val="20"/>
          <w:lang w:eastAsia="sl-SI"/>
        </w:rPr>
        <w:t>»31.e člen</w:t>
      </w:r>
    </w:p>
    <w:p w:rsidR="008850E7" w:rsidRDefault="008850E7" w:rsidP="008850E7">
      <w:pPr>
        <w:overflowPunct w:val="0"/>
        <w:autoSpaceDE w:val="0"/>
        <w:autoSpaceDN w:val="0"/>
        <w:adjustRightInd w:val="0"/>
        <w:ind w:hanging="2"/>
        <w:jc w:val="center"/>
        <w:textAlignment w:val="baseline"/>
        <w:rPr>
          <w:rFonts w:cs="Arial"/>
          <w:b/>
          <w:szCs w:val="20"/>
          <w:lang w:eastAsia="sl-SI"/>
        </w:rPr>
      </w:pPr>
      <w:r>
        <w:rPr>
          <w:rFonts w:cs="Arial"/>
          <w:b/>
          <w:szCs w:val="20"/>
          <w:lang w:eastAsia="sl-SI"/>
        </w:rPr>
        <w:lastRenderedPageBreak/>
        <w:t>(odločitev v postopku pregleda)</w:t>
      </w:r>
    </w:p>
    <w:p w:rsidR="008850E7" w:rsidRDefault="008850E7" w:rsidP="008850E7">
      <w:pPr>
        <w:overflowPunct w:val="0"/>
        <w:autoSpaceDE w:val="0"/>
        <w:autoSpaceDN w:val="0"/>
        <w:adjustRightInd w:val="0"/>
        <w:ind w:hanging="2"/>
        <w:jc w:val="center"/>
        <w:textAlignment w:val="baseline"/>
        <w:rPr>
          <w:rFonts w:cs="Arial"/>
          <w:b/>
          <w:szCs w:val="20"/>
          <w:lang w:eastAsia="sl-SI"/>
        </w:rPr>
      </w:pPr>
    </w:p>
    <w:p w:rsidR="008850E7" w:rsidRDefault="008850E7" w:rsidP="008850E7">
      <w:pPr>
        <w:overflowPunct w:val="0"/>
        <w:autoSpaceDE w:val="0"/>
        <w:autoSpaceDN w:val="0"/>
        <w:adjustRightInd w:val="0"/>
        <w:jc w:val="both"/>
        <w:textAlignment w:val="baseline"/>
        <w:rPr>
          <w:rFonts w:cs="Arial"/>
          <w:position w:val="-1"/>
          <w:szCs w:val="20"/>
          <w:lang w:eastAsia="sl-SI"/>
        </w:rPr>
      </w:pPr>
      <w:r>
        <w:rPr>
          <w:rFonts w:cs="Arial"/>
          <w:szCs w:val="20"/>
          <w:lang w:eastAsia="sl-SI"/>
        </w:rPr>
        <w:t>(1) Na podlagi mnenja strokovne skupine iz petega odstavka prejšnjega člena ministrstvo izda odločbo o tem, ali se neposredna tuja naložba odobri, omejeno odobri, tako da se določijo pogoji za njeno izvedbo, ali prepove. Ministrstvo izda odločbo iz prejšnjega stavka v roku dveh mesecev po prejemu mnenja strokovne skupine.</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 xml:space="preserve">(2) Odločitev v postopku pregleda je omejena na to, ali neposredna tuja naložba lahko vpliva na varnost ali javni red Republike Slovenije. </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(3) Neposredna tuja naložba se odobri, če je vpliv na javni red in varnost v Republiki Sloveniji neznaten oziroma ga ni.</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(4) Pogoji za izvedbo neposredne tuje naložbe se določijo, če je ugotovljen vpliv na varnost ali javni red Republike Slovenije, vendar se vpliv z določitvijo pogojev lahko omili ali prepreči. Pogoji za izvedbo se določijo za določen čas, ki ni daljši od deset let, in so lahko zlasti:</w:t>
      </w:r>
    </w:p>
    <w:p w:rsidR="008850E7" w:rsidRDefault="008850E7" w:rsidP="008850E7">
      <w:pPr>
        <w:numPr>
          <w:ilvl w:val="0"/>
          <w:numId w:val="7"/>
        </w:numPr>
        <w:overflowPunct w:val="0"/>
        <w:autoSpaceDE w:val="0"/>
        <w:autoSpaceDN w:val="0"/>
        <w:adjustRightInd w:val="0"/>
        <w:jc w:val="both"/>
        <w:textAlignment w:val="baseline"/>
        <w:rPr>
          <w:rFonts w:eastAsia="Calibri" w:cs="Arial"/>
          <w:szCs w:val="20"/>
          <w:lang w:eastAsia="sl-SI"/>
        </w:rPr>
      </w:pPr>
      <w:r>
        <w:rPr>
          <w:rFonts w:cs="Arial"/>
          <w:szCs w:val="20"/>
          <w:lang w:eastAsia="sl-SI"/>
        </w:rPr>
        <w:t>prepoved prodaje avtorskih in sorodnih pravic v lasti ciljne družbe ali prevzete družbe ali novoustanovljene družbe fizičnim ali pravnim subjektom iz tretjih držav,</w:t>
      </w:r>
    </w:p>
    <w:p w:rsidR="008850E7" w:rsidRDefault="008850E7" w:rsidP="008850E7">
      <w:pPr>
        <w:numPr>
          <w:ilvl w:val="0"/>
          <w:numId w:val="7"/>
        </w:numPr>
        <w:overflowPunct w:val="0"/>
        <w:autoSpaceDE w:val="0"/>
        <w:autoSpaceDN w:val="0"/>
        <w:adjustRightInd w:val="0"/>
        <w:jc w:val="both"/>
        <w:textAlignment w:val="baseline"/>
        <w:rPr>
          <w:rFonts w:cs="Arial"/>
          <w:szCs w:val="20"/>
          <w:lang w:eastAsia="sl-SI"/>
        </w:rPr>
      </w:pPr>
      <w:r>
        <w:rPr>
          <w:rFonts w:cs="Arial"/>
          <w:szCs w:val="20"/>
          <w:lang w:eastAsia="sl-SI"/>
        </w:rPr>
        <w:t>prepoved prodaje določenih opredmetenih in neopredmetenih osnovnih sredstev, pridobljenih z neposredno tujo naložbo,</w:t>
      </w:r>
    </w:p>
    <w:p w:rsidR="008850E7" w:rsidRDefault="008850E7" w:rsidP="008850E7">
      <w:pPr>
        <w:numPr>
          <w:ilvl w:val="0"/>
          <w:numId w:val="7"/>
        </w:numPr>
        <w:overflowPunct w:val="0"/>
        <w:autoSpaceDE w:val="0"/>
        <w:autoSpaceDN w:val="0"/>
        <w:adjustRightInd w:val="0"/>
        <w:jc w:val="both"/>
        <w:textAlignment w:val="baseline"/>
        <w:rPr>
          <w:rFonts w:cs="Arial"/>
          <w:szCs w:val="20"/>
          <w:lang w:eastAsia="sl-SI"/>
        </w:rPr>
      </w:pPr>
      <w:r>
        <w:rPr>
          <w:rFonts w:cs="Arial"/>
          <w:szCs w:val="20"/>
          <w:lang w:eastAsia="sl-SI"/>
        </w:rPr>
        <w:t>prepoved poslovnega sodelovanja s pravno ali fizično osebo, ki vpliva na javni red ali varnost v kateri koli od držav članic, če je to ugotovila bodisi država članica bodisi Evropska komisija,</w:t>
      </w:r>
    </w:p>
    <w:p w:rsidR="008850E7" w:rsidRDefault="008850E7" w:rsidP="008850E7">
      <w:pPr>
        <w:numPr>
          <w:ilvl w:val="0"/>
          <w:numId w:val="7"/>
        </w:numPr>
        <w:overflowPunct w:val="0"/>
        <w:autoSpaceDE w:val="0"/>
        <w:autoSpaceDN w:val="0"/>
        <w:adjustRightInd w:val="0"/>
        <w:jc w:val="both"/>
        <w:textAlignment w:val="baseline"/>
        <w:rPr>
          <w:rFonts w:cs="Arial"/>
          <w:szCs w:val="20"/>
          <w:lang w:eastAsia="sl-SI"/>
        </w:rPr>
      </w:pPr>
      <w:r>
        <w:rPr>
          <w:rFonts w:cs="Arial"/>
          <w:szCs w:val="20"/>
          <w:lang w:eastAsia="sl-SI"/>
        </w:rPr>
        <w:t>obveznost znižanja deleža, ki se pridobiva v ciljni družbi ali prevzeti družbi ali novoustanovljeni družbi,</w:t>
      </w:r>
    </w:p>
    <w:p w:rsidR="008850E7" w:rsidRDefault="008850E7" w:rsidP="008850E7">
      <w:pPr>
        <w:numPr>
          <w:ilvl w:val="0"/>
          <w:numId w:val="7"/>
        </w:numPr>
        <w:overflowPunct w:val="0"/>
        <w:autoSpaceDE w:val="0"/>
        <w:autoSpaceDN w:val="0"/>
        <w:adjustRightInd w:val="0"/>
        <w:jc w:val="both"/>
        <w:textAlignment w:val="baseline"/>
        <w:rPr>
          <w:rFonts w:cs="Arial"/>
          <w:szCs w:val="20"/>
          <w:lang w:eastAsia="sl-SI"/>
        </w:rPr>
      </w:pPr>
      <w:r>
        <w:rPr>
          <w:rFonts w:cs="Arial"/>
          <w:szCs w:val="20"/>
          <w:lang w:eastAsia="sl-SI"/>
        </w:rPr>
        <w:t>zaveza, da se bodo določeni deli ciljne družbe ali prevzete družbe ali novoustanovljene družbe ohranili v Republiki Sloveniji,</w:t>
      </w:r>
    </w:p>
    <w:p w:rsidR="008850E7" w:rsidRDefault="008850E7" w:rsidP="008850E7">
      <w:pPr>
        <w:numPr>
          <w:ilvl w:val="0"/>
          <w:numId w:val="7"/>
        </w:numPr>
        <w:overflowPunct w:val="0"/>
        <w:autoSpaceDE w:val="0"/>
        <w:autoSpaceDN w:val="0"/>
        <w:adjustRightInd w:val="0"/>
        <w:jc w:val="both"/>
        <w:textAlignment w:val="baseline"/>
        <w:rPr>
          <w:rFonts w:cs="Arial"/>
          <w:szCs w:val="20"/>
          <w:lang w:eastAsia="sl-SI"/>
        </w:rPr>
      </w:pPr>
      <w:r>
        <w:rPr>
          <w:rFonts w:cs="Arial"/>
          <w:szCs w:val="20"/>
          <w:lang w:eastAsia="sl-SI"/>
        </w:rPr>
        <w:t>obveznost premestitve določenih občutljivih dejavnosti iz ciljne družbe ali prevzete družbe ali novoustanovljene družbe v Republiki Sloveniji v drugo pravno osebo s sedežem v Republiki Sloveniji,</w:t>
      </w:r>
    </w:p>
    <w:p w:rsidR="008850E7" w:rsidRDefault="008850E7" w:rsidP="008850E7">
      <w:pPr>
        <w:numPr>
          <w:ilvl w:val="0"/>
          <w:numId w:val="7"/>
        </w:numPr>
        <w:overflowPunct w:val="0"/>
        <w:autoSpaceDE w:val="0"/>
        <w:autoSpaceDN w:val="0"/>
        <w:adjustRightInd w:val="0"/>
        <w:jc w:val="both"/>
        <w:textAlignment w:val="baseline"/>
        <w:rPr>
          <w:rFonts w:cs="Arial"/>
          <w:szCs w:val="20"/>
          <w:lang w:eastAsia="sl-SI"/>
        </w:rPr>
      </w:pPr>
      <w:r>
        <w:rPr>
          <w:rFonts w:cs="Arial"/>
          <w:szCs w:val="20"/>
          <w:lang w:eastAsia="sl-SI"/>
        </w:rPr>
        <w:t>prepoved določenih ravnanj na trgu Republike Slovenije,</w:t>
      </w:r>
    </w:p>
    <w:p w:rsidR="008850E7" w:rsidRDefault="008850E7" w:rsidP="008850E7">
      <w:pPr>
        <w:numPr>
          <w:ilvl w:val="0"/>
          <w:numId w:val="7"/>
        </w:numPr>
        <w:overflowPunct w:val="0"/>
        <w:autoSpaceDE w:val="0"/>
        <w:autoSpaceDN w:val="0"/>
        <w:adjustRightInd w:val="0"/>
        <w:jc w:val="both"/>
        <w:textAlignment w:val="baseline"/>
        <w:rPr>
          <w:rFonts w:cs="Arial"/>
          <w:szCs w:val="20"/>
          <w:lang w:eastAsia="sl-SI"/>
        </w:rPr>
      </w:pPr>
      <w:r>
        <w:rPr>
          <w:rFonts w:cs="Arial"/>
          <w:szCs w:val="20"/>
          <w:lang w:eastAsia="sl-SI"/>
        </w:rPr>
        <w:t>obveznost kontinuiranega opravljanja prvotne dejavnosti ciljne družbe ali prevzete družbe ali novoustanovljene družbe v Republiki Sloveniji,</w:t>
      </w:r>
    </w:p>
    <w:p w:rsidR="008850E7" w:rsidRDefault="008850E7" w:rsidP="008850E7">
      <w:pPr>
        <w:numPr>
          <w:ilvl w:val="0"/>
          <w:numId w:val="7"/>
        </w:numPr>
        <w:overflowPunct w:val="0"/>
        <w:autoSpaceDE w:val="0"/>
        <w:autoSpaceDN w:val="0"/>
        <w:adjustRightInd w:val="0"/>
        <w:jc w:val="both"/>
        <w:textAlignment w:val="baseline"/>
        <w:rPr>
          <w:rFonts w:cs="Arial"/>
          <w:szCs w:val="20"/>
          <w:lang w:eastAsia="sl-SI"/>
        </w:rPr>
      </w:pPr>
      <w:r>
        <w:rPr>
          <w:rFonts w:cs="Arial"/>
          <w:szCs w:val="20"/>
          <w:lang w:eastAsia="sl-SI"/>
        </w:rPr>
        <w:t>obveznost zagotavljanja blaga in storitev iz prvotne dejavnosti ciljne družbe ali prevzete družbe.</w:t>
      </w:r>
    </w:p>
    <w:p w:rsidR="008850E7" w:rsidRDefault="008850E7" w:rsidP="008850E7">
      <w:pPr>
        <w:overflowPunct w:val="0"/>
        <w:autoSpaceDE w:val="0"/>
        <w:autoSpaceDN w:val="0"/>
        <w:adjustRightInd w:val="0"/>
        <w:ind w:left="358"/>
        <w:jc w:val="both"/>
        <w:textAlignment w:val="baseline"/>
        <w:rPr>
          <w:rFonts w:cs="Arial"/>
          <w:szCs w:val="20"/>
          <w:lang w:eastAsia="sl-SI"/>
        </w:rPr>
      </w:pPr>
    </w:p>
    <w:p w:rsidR="008850E7" w:rsidRDefault="008850E7" w:rsidP="008850E7">
      <w:pPr>
        <w:overflowPunct w:val="0"/>
        <w:autoSpaceDE w:val="0"/>
        <w:autoSpaceDN w:val="0"/>
        <w:adjustRightInd w:val="0"/>
        <w:jc w:val="both"/>
        <w:textAlignment w:val="baseline"/>
        <w:rPr>
          <w:rFonts w:cs="Arial"/>
          <w:position w:val="-1"/>
          <w:szCs w:val="20"/>
          <w:lang w:eastAsia="sl-SI"/>
        </w:rPr>
      </w:pPr>
      <w:r>
        <w:rPr>
          <w:rFonts w:cs="Arial"/>
          <w:szCs w:val="20"/>
          <w:lang w:eastAsia="sl-SI"/>
        </w:rPr>
        <w:t>(5) V primeru, ko je neposredna tuja naložba dovoljena pod pogojem, da se nepremičnine, ki so povezane z neposredno tujo naložbo, ne odtujijo, se prepoved odtujitve zaznamuje v zemljiški knjigi.</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overflowPunct w:val="0"/>
        <w:autoSpaceDE w:val="0"/>
        <w:autoSpaceDN w:val="0"/>
        <w:adjustRightInd w:val="0"/>
        <w:jc w:val="both"/>
        <w:textAlignment w:val="baseline"/>
        <w:rPr>
          <w:rFonts w:cs="Arial"/>
          <w:szCs w:val="20"/>
          <w:highlight w:val="red"/>
          <w:lang w:eastAsia="sl-SI"/>
        </w:rPr>
      </w:pPr>
      <w:r>
        <w:rPr>
          <w:rFonts w:cs="Arial"/>
          <w:szCs w:val="20"/>
          <w:lang w:eastAsia="sl-SI"/>
        </w:rPr>
        <w:t>(6) V primeru neupoštevanja odločbe glede izrečenih pogojev za izvedbo neposredne tuje naložbe iz prvega odstavka tega člena ministrstvo z odločbo prepove neposredno tujo naložbo ter izreče ukrepe v skladu z drugim stavkom sedmega odstavka tega člena.</w:t>
      </w:r>
    </w:p>
    <w:p w:rsidR="008850E7" w:rsidRDefault="008850E7" w:rsidP="008850E7">
      <w:pPr>
        <w:overflowPunct w:val="0"/>
        <w:autoSpaceDE w:val="0"/>
        <w:autoSpaceDN w:val="0"/>
        <w:adjustRightInd w:val="0"/>
        <w:ind w:left="358"/>
        <w:contextualSpacing/>
        <w:jc w:val="both"/>
        <w:textAlignment w:val="baseline"/>
        <w:rPr>
          <w:rFonts w:eastAsia="Calibri" w:cs="Arial"/>
          <w:szCs w:val="20"/>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(7) Neposredna tuja naložba se prepove, če je ugotovljen vpliv na varnost ali javni red Republike Slovenije, vendar ga z določitvijo pogojev ni mogoče omiliti ali preprečiti. V odločbi o prepovedi lahko ministrstvo tujemu vlagatelju naloži ukrepe, s katerimi se preprečijo nedopustni vplivi na varnost ali javni red, zlasti odsvojitev pridobljenih deležev.</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t>(8) Zoper odločbo ministrstva pritožba ni dovoljena, je pa dovoljen upravni spor.</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overflowPunct w:val="0"/>
        <w:autoSpaceDE w:val="0"/>
        <w:autoSpaceDN w:val="0"/>
        <w:adjustRightInd w:val="0"/>
        <w:jc w:val="both"/>
        <w:textAlignment w:val="baseline"/>
        <w:rPr>
          <w:rFonts w:cs="Arial"/>
          <w:szCs w:val="20"/>
          <w:lang w:eastAsia="sl-SI"/>
        </w:rPr>
      </w:pPr>
      <w:r>
        <w:rPr>
          <w:rFonts w:cs="Arial"/>
          <w:szCs w:val="20"/>
          <w:lang w:eastAsia="sl-SI"/>
        </w:rPr>
        <w:lastRenderedPageBreak/>
        <w:t>(9) Tuji vlagatelj ali ciljna družba ali prevzeta družba ali novoustanovljena družba mora o sprejetju ukrepov glede upoštevanja pogojev iz četrtega odstavka tega člena vsakoletno poročati ministrstvu do izteka izrečenih ukrepov.«</w:t>
      </w:r>
    </w:p>
    <w:p w:rsidR="008850E7" w:rsidRDefault="008850E7" w:rsidP="008850E7">
      <w:pPr>
        <w:overflowPunct w:val="0"/>
        <w:autoSpaceDE w:val="0"/>
        <w:autoSpaceDN w:val="0"/>
        <w:adjustRightInd w:val="0"/>
        <w:jc w:val="both"/>
        <w:textAlignment w:val="baseline"/>
        <w:rPr>
          <w:rFonts w:cs="Arial"/>
          <w:szCs w:val="20"/>
          <w:lang w:eastAsia="sl-SI"/>
        </w:rPr>
      </w:pPr>
    </w:p>
    <w:p w:rsidR="008850E7" w:rsidRDefault="008850E7" w:rsidP="008850E7">
      <w:pPr>
        <w:rPr>
          <w:rFonts w:cs="Arial"/>
          <w:b/>
          <w:bCs/>
          <w:szCs w:val="20"/>
          <w:lang w:eastAsia="sl-SI"/>
        </w:rPr>
      </w:pPr>
    </w:p>
    <w:p w:rsidR="008850E7" w:rsidRDefault="008850E7" w:rsidP="008850E7">
      <w:pPr>
        <w:rPr>
          <w:rFonts w:cs="Arial"/>
          <w:b/>
          <w:bCs/>
          <w:szCs w:val="20"/>
          <w:lang w:eastAsia="sl-SI"/>
        </w:rPr>
      </w:pPr>
      <w:r>
        <w:rPr>
          <w:rFonts w:cs="Arial"/>
          <w:b/>
          <w:bCs/>
          <w:szCs w:val="20"/>
          <w:lang w:eastAsia="sl-SI"/>
        </w:rPr>
        <w:t xml:space="preserve">Obrazložitev: </w:t>
      </w:r>
    </w:p>
    <w:p w:rsidR="008850E7" w:rsidRDefault="008850E7" w:rsidP="008850E7">
      <w:pPr>
        <w:jc w:val="both"/>
        <w:rPr>
          <w:rFonts w:eastAsia="Calibri" w:cs="Arial"/>
          <w:szCs w:val="20"/>
          <w:lang w:eastAsia="sl-SI"/>
        </w:rPr>
      </w:pPr>
      <w:r>
        <w:rPr>
          <w:rFonts w:cs="Arial"/>
          <w:szCs w:val="20"/>
          <w:lang w:eastAsia="sl-SI"/>
        </w:rPr>
        <w:t xml:space="preserve">Z amandmajem k 31.a členu se dopolnjuje tretji odstavek, in sicer se v peti alineji poleg informacij o poslovnem deležu dodaja tudi zahteva po posredovanju informacij glede glasovalnih pravic. Z navedenim amandmajem se želi doseči čim večji domet pregleda neposrednih tujih naložb, ki bi lahko imele vpliv na varnost in javni red, hkrati pa se zagotavlja poenotenje v zakonu uporabljene terminologije. </w:t>
      </w:r>
    </w:p>
    <w:p w:rsidR="008850E7" w:rsidRDefault="008850E7" w:rsidP="008850E7">
      <w:pPr>
        <w:jc w:val="both"/>
        <w:rPr>
          <w:rFonts w:cs="Arial"/>
          <w:szCs w:val="20"/>
          <w:lang w:eastAsia="sl-SI"/>
        </w:rPr>
      </w:pPr>
      <w:r>
        <w:rPr>
          <w:rFonts w:cs="Arial"/>
          <w:szCs w:val="20"/>
          <w:lang w:eastAsia="sl-SI"/>
        </w:rPr>
        <w:t>S predlaganim amandmajem k tretjemu in četrtemu odstavku se odpravlja nedoslednost v zakonu, in sicer se v določbah, ki se nanašajo na obveznosti tujega vlagatelja, ciljne družbe ali prevzete družbe, besedilo dopolni tako, da je jasno, da se te obveznosti nanašajo tudi na novoustanovljene družbe, ki so v skladu z določbo drugega odstavka 31. a člena prav tako lahko priglasitelji neposrednih tujih naložb.</w:t>
      </w:r>
    </w:p>
    <w:p w:rsidR="008850E7" w:rsidRDefault="008850E7" w:rsidP="008850E7">
      <w:pPr>
        <w:jc w:val="both"/>
        <w:rPr>
          <w:rFonts w:cs="Arial"/>
          <w:szCs w:val="20"/>
          <w:lang w:eastAsia="sl-SI"/>
        </w:rPr>
      </w:pPr>
      <w:r>
        <w:rPr>
          <w:rFonts w:cs="Arial"/>
          <w:szCs w:val="20"/>
          <w:lang w:eastAsia="sl-SI"/>
        </w:rPr>
        <w:t xml:space="preserve">Nadalje se z novim četrtim odstavkom ureja situacija, ko priglasitelj v primeru, da gre za ciljno ali prevzeto družbo, z določenimi zahtevanimi informacijami ne razpolaga ali ne more razpolagati (npr. v primerih, ko družba ne posluje s trgovalno kodo ali ne razpolaga z informacijami o viru financiranja neposredne tuje naložbe, itd.). V tem primeru mora ciljna oziroma prevzeta družba za opustitev navedenih zahtev navesti utemeljen razlog. V tem primeru je oproščena obveznosti posredovanja navedenega podatka, posledično pa se s tem odpravlja tudi neprimernost predlagane ureditve, po kateri bi priglasitelj moral za opustitev navedene dolžnosti tudi </w:t>
      </w:r>
      <w:proofErr w:type="spellStart"/>
      <w:r>
        <w:rPr>
          <w:rFonts w:cs="Arial"/>
          <w:szCs w:val="20"/>
          <w:lang w:eastAsia="sl-SI"/>
        </w:rPr>
        <w:t>prekrškovno</w:t>
      </w:r>
      <w:proofErr w:type="spellEnd"/>
      <w:r>
        <w:rPr>
          <w:rFonts w:cs="Arial"/>
          <w:szCs w:val="20"/>
          <w:lang w:eastAsia="sl-SI"/>
        </w:rPr>
        <w:t xml:space="preserve"> odgovarjati, čeprav torej obstajajo objektivne okoliščine, ki ga odvezujejo takšne obveznosti.</w:t>
      </w:r>
    </w:p>
    <w:p w:rsidR="008850E7" w:rsidRDefault="008850E7" w:rsidP="008850E7">
      <w:pPr>
        <w:jc w:val="both"/>
        <w:rPr>
          <w:rFonts w:cs="Arial"/>
          <w:szCs w:val="20"/>
          <w:lang w:eastAsia="sl-SI"/>
        </w:rPr>
      </w:pPr>
      <w:r>
        <w:rPr>
          <w:rFonts w:cs="Arial"/>
          <w:szCs w:val="20"/>
          <w:lang w:eastAsia="sl-SI"/>
        </w:rPr>
        <w:t>V petem odstavku se iz razloga pravne predvidljivosti dodatno konkretizira oziroma zameji namen uporabe informacij, ki jih mora predložiti priglasitelj. Prvotni četrti odstavek 31.a člena je določal zgolj, da se informacije iz tretjega odstavka uporabljajo v skladu z namenom tega zakona in Uredbe 2019/452/EU. Iz sklicevanja na splošen namen tega zakona ni bilo jasno razvidno, na kateri konkreten namen se zbiranje in uporaba informacij veže. Amandma to vrzel dopolnjuje na način, da podrobneje določa namen, tj. da se pridobljene informacije uporabljajo za namen priglasitve in pregleda neposrednih tujih naložb ter dela pristojnih organov za izvajanje Uredbe 2019/452/EU, ki vključuje letno poročanje Evropski komisiji, izmenjavo informacij, mnenj in pripomb z Evropsko komisijo in državami članicami.</w:t>
      </w:r>
    </w:p>
    <w:p w:rsidR="008850E7" w:rsidRDefault="008850E7" w:rsidP="008850E7">
      <w:pPr>
        <w:jc w:val="both"/>
        <w:rPr>
          <w:rFonts w:cs="Arial"/>
          <w:szCs w:val="20"/>
          <w:lang w:eastAsia="sl-SI"/>
        </w:rPr>
      </w:pPr>
      <w:r>
        <w:rPr>
          <w:rFonts w:cs="Arial"/>
          <w:szCs w:val="20"/>
          <w:lang w:eastAsia="sl-SI"/>
        </w:rPr>
        <w:t xml:space="preserve">V šestem odstavku se zaradi nedoslednosti predlagane ureditve črta besedilo, ki se nanaša na opravljanje nalog v zvezi s priglasitvami in pregledom neposrednih tujih nalog na področju dejavnosti iz petega odstavka 31.č člena. Navedene naloge niso v pristojnosti kontaktne točke, temveč komisije za priglasitve in strokovne skupine. </w:t>
      </w:r>
    </w:p>
    <w:p w:rsidR="008850E7" w:rsidRDefault="008850E7" w:rsidP="008850E7">
      <w:pPr>
        <w:jc w:val="both"/>
        <w:rPr>
          <w:rFonts w:cs="Arial"/>
          <w:szCs w:val="20"/>
          <w:lang w:eastAsia="sl-SI"/>
        </w:rPr>
      </w:pPr>
      <w:r>
        <w:rPr>
          <w:rFonts w:cs="Arial"/>
          <w:szCs w:val="20"/>
          <w:lang w:eastAsia="sl-SI"/>
        </w:rPr>
        <w:t>Z amandmajem k 31.b členu se odpravlja nedoslednost v predlagani ureditvi, ki je brez ustreznega razloga izključevala obveznost prevzete ali novoustanovljene družbe glede podaje pojasnil in obrazložitev v zvezi z neposredno tujo naložbo, saj je slednja povsem enakopravno (tako kot ciljna družba ter tuj vlagatelj) vključena v predvidene postopke pregleda neposrednih tujih naložb. Zagotavlja poenotenje v zakonu uporabljene terminologije. Prav tako se iz člena črta kontaktno točko, saj le ta ne sodeluje v okviru postopka, temveč zgolj pri izmenjavi informacij z Evropsko komisijo in državami članicami EU in zato ne potrebuje pristojnosti za poziv priglasitelja k dodatnim pojasnilom.</w:t>
      </w:r>
    </w:p>
    <w:p w:rsidR="008850E7" w:rsidRDefault="008850E7" w:rsidP="008850E7">
      <w:pPr>
        <w:jc w:val="both"/>
        <w:rPr>
          <w:rFonts w:cs="Arial"/>
          <w:szCs w:val="20"/>
          <w:lang w:eastAsia="sl-SI"/>
        </w:rPr>
      </w:pPr>
      <w:r>
        <w:rPr>
          <w:rFonts w:cs="Arial"/>
          <w:szCs w:val="20"/>
          <w:lang w:eastAsia="sl-SI"/>
        </w:rPr>
        <w:t xml:space="preserve">S predlaganim amandmajem k 31.c členu se v prvem odstavku popravlja napačen sklic, in sicer postopek priglasitve ureja 31.a člen in ne 31.b člen, kot izhaja iz predlagane ureditve.   </w:t>
      </w:r>
    </w:p>
    <w:p w:rsidR="008850E7" w:rsidRDefault="008850E7" w:rsidP="008850E7">
      <w:pPr>
        <w:jc w:val="both"/>
        <w:rPr>
          <w:rFonts w:cs="Arial"/>
          <w:szCs w:val="20"/>
          <w:lang w:eastAsia="sl-SI"/>
        </w:rPr>
      </w:pPr>
      <w:r>
        <w:rPr>
          <w:rFonts w:cs="Arial"/>
          <w:szCs w:val="20"/>
          <w:lang w:eastAsia="sl-SI"/>
        </w:rPr>
        <w:t xml:space="preserve">V drugem odstavku se v prvi alineji zaradi odprave nedoslednosti predlagane ureditve črta beseda »priglasitelj«, saj je priglasitelj lahko ciljna ali prevzeta družba, ki pa ne more izpolnjevati pogojev tujega vlagatelja iz trinajste alineje 2. člena predloga zakona. Prav tako se v četrti alineji odpravlja še ena nedoslednost predlagane ureditve, in sicer je potrebno v skladu z namenom predloga </w:t>
      </w:r>
      <w:r>
        <w:rPr>
          <w:rFonts w:cs="Arial"/>
          <w:szCs w:val="20"/>
          <w:lang w:eastAsia="sl-SI"/>
        </w:rPr>
        <w:lastRenderedPageBreak/>
        <w:t xml:space="preserve">zakona informacije o dejavnosti pridobiti ne le od ciljne, temveč tudi od prevzete ali novoustanovljene družbe. </w:t>
      </w:r>
    </w:p>
    <w:p w:rsidR="008850E7" w:rsidRDefault="008850E7" w:rsidP="008850E7">
      <w:pPr>
        <w:jc w:val="both"/>
        <w:rPr>
          <w:rFonts w:cs="Arial"/>
          <w:szCs w:val="20"/>
          <w:lang w:eastAsia="sl-SI"/>
        </w:rPr>
      </w:pPr>
      <w:r>
        <w:rPr>
          <w:rFonts w:cs="Arial"/>
          <w:szCs w:val="20"/>
          <w:lang w:eastAsia="sl-SI"/>
        </w:rPr>
        <w:t xml:space="preserve">S spremembo šestega, sedmega in osmega odstavka se ureja situacija, ko komisija za priglasitve ugotovi, da se neposredna tuja naložba izvaja na področju dejavnosti iz petega odstavka 31.č člena in da bi lahko imela vpliv na javni red ali varnost v Republiki Sloveniji. V tem primeru je predlagana ureditev vsebovala določbo, iz katere je izhajalo, da komisija za priglasitve izda mnenje, v katerem je predlagala uvedbo postopka pregleda, ministrstvo pa je nato izdalo odločbo, s katero je postopek pregleda uvedlo. Zoper takšno odločbo je bila priglasitelju omogočena sprožitev upravnega spora.  Navedena ureditev bi tako lahko v praksi povzročila, da bi se priglasitelj na odločbo o uvedbi postopka pregleda pritožil, ter s tem bistveno otežil nadaljevanje pregleda neposredne tuje naložbe vse do konca sodnega postopka. Ker se z odločbo o uvedbi postopka pregleda ne odloča o pravicah, obveznostih oziroma pravnih koristih  priglasitelja, se z amandmajem predlaga, da se v situaciji, ko komisija za priglasitve meni, da je uvedba postopka pregleda neposredne tuje naložbe upravičena, izda ustrezno obrazložen sklep, s katerim ministrstvo uvede postopek pregleda. Upoštevajoč dejstvo, da je potrebno odločbo iz sedmega odstavka tega člena izdati najkasneje v dveh mesecih od priglasitve (222. člen ZUP), predlagatelj poudarja, da smiselno enak rok velja tudi za izdajo sklepa s katerim se postopek pregleda uvede. V tem primeru je sodno varstvo priglasitelja izključeno. Amandma sledi ureditvi, ki jo je že vsebovala določba 46. člena Zakona o preprečevanju omejevanja konkurence (Uradni list RS, št. 36/08, 40/09, 26/11, 87/11, 57/12, 39/13 – </w:t>
      </w:r>
      <w:proofErr w:type="spellStart"/>
      <w:r>
        <w:rPr>
          <w:rFonts w:cs="Arial"/>
          <w:szCs w:val="20"/>
          <w:lang w:eastAsia="sl-SI"/>
        </w:rPr>
        <w:t>odl</w:t>
      </w:r>
      <w:proofErr w:type="spellEnd"/>
      <w:r>
        <w:rPr>
          <w:rFonts w:cs="Arial"/>
          <w:szCs w:val="20"/>
          <w:lang w:eastAsia="sl-SI"/>
        </w:rPr>
        <w:t>. US, 63/13 – ZS-K, 33/14, 76/15, 23/17 in 130/22 – ZPOmK-2) kot tudi veljaven  Zakon o preprečevanju omejevanja konkurence (Uradni list RS, št. 130/22) v določbi 70. člena, ki ureja postopek priglasitve koncentracije. Na ta način se omogoča, da se postopek pregleda neposredne tuje naložbe nadaljuje brez nepotrebnega zavlačevanja.</w:t>
      </w:r>
    </w:p>
    <w:p w:rsidR="008850E7" w:rsidRDefault="008850E7" w:rsidP="008850E7">
      <w:pPr>
        <w:jc w:val="both"/>
        <w:rPr>
          <w:rFonts w:cs="Arial"/>
          <w:color w:val="000000"/>
          <w:szCs w:val="20"/>
          <w:lang w:eastAsia="sl-SI"/>
        </w:rPr>
      </w:pPr>
      <w:r>
        <w:rPr>
          <w:rFonts w:cs="Arial"/>
          <w:color w:val="000000"/>
          <w:szCs w:val="20"/>
          <w:lang w:eastAsia="sl-SI"/>
        </w:rPr>
        <w:t>Z amandmajem k 31.č členu se zaradi zagotavljanja večje jasnosti in preglednosti v drugi odstavek prenaša vsebina določbe iz drugega stavka šestega odstavka 31.c člena, ki se nanaša na postopek imenovanja strokovne skupine.</w:t>
      </w:r>
    </w:p>
    <w:p w:rsidR="008850E7" w:rsidRDefault="008850E7" w:rsidP="008850E7">
      <w:pPr>
        <w:jc w:val="both"/>
        <w:rPr>
          <w:rFonts w:cs="Arial"/>
          <w:color w:val="000000"/>
          <w:szCs w:val="20"/>
          <w:lang w:eastAsia="sl-SI"/>
        </w:rPr>
      </w:pPr>
      <w:r>
        <w:rPr>
          <w:rFonts w:cs="Arial"/>
          <w:color w:val="000000"/>
          <w:szCs w:val="20"/>
          <w:lang w:eastAsia="sl-SI"/>
        </w:rPr>
        <w:t xml:space="preserve">S predlaganim amandmajem k prvemu, četrtemu in petemu odstavku se usklajuje terminologija, uporabljena v zakonu, in sicer se besedno zvezo, da neposredna tuja naložba pomeni grožnjo oziroma predstavlja grožnjo varnosti ali javnemu redu v Republiki Sloveniji, nadomesti s terminom, da neposredna tuja naložba lahko vpliva na varnost ali javni red v Republiki Sloveniji. Navedena terminologija je skladna tudi z določili uredbe. </w:t>
      </w:r>
    </w:p>
    <w:p w:rsidR="008850E7" w:rsidRDefault="008850E7" w:rsidP="008850E7">
      <w:pPr>
        <w:jc w:val="both"/>
        <w:rPr>
          <w:rFonts w:cs="Arial"/>
          <w:color w:val="000000"/>
          <w:szCs w:val="20"/>
          <w:lang w:eastAsia="sl-SI"/>
        </w:rPr>
      </w:pPr>
      <w:r>
        <w:rPr>
          <w:rFonts w:cs="Arial"/>
          <w:color w:val="000000"/>
          <w:szCs w:val="20"/>
          <w:lang w:eastAsia="sl-SI"/>
        </w:rPr>
        <w:t xml:space="preserve">S predlaganim amandmajem k tretjemu in četrtemu odstavku se jasneje določa tudi časovni okvir dela strokovne skupine. Prvotni tretji in četrti odstavek 31.č člena sta določala, da strokovna skupina opravi postopek pregleda in izda mnenje v roku iz prejšnjega odstavka, pri čemer bi navedeno pomenilo, da se rok dveh let šteje od sklenitve pravnega posla oziroma od vpisa ustanovitve gospodarske družbe v sodni register, kar pa ni namen te določbe. Tako tretji kot tudi četrti odstavek narekuje drugačno ureditev, saj pridobitev informacij ni vezana na prej omenjeni situaciji, zato se dikcija spremeni tako, da iz nje jasno izhaja, da se ta postopek opravi v roku dveh let od uvedbe postopka pregleda. </w:t>
      </w:r>
    </w:p>
    <w:p w:rsidR="008850E7" w:rsidRDefault="008850E7" w:rsidP="008850E7">
      <w:pPr>
        <w:jc w:val="both"/>
        <w:rPr>
          <w:rFonts w:cs="Arial"/>
          <w:color w:val="000000"/>
          <w:szCs w:val="20"/>
          <w:lang w:eastAsia="sl-SI"/>
        </w:rPr>
      </w:pPr>
      <w:r>
        <w:rPr>
          <w:rFonts w:cs="Arial"/>
          <w:color w:val="000000"/>
          <w:szCs w:val="20"/>
          <w:lang w:eastAsia="sl-SI"/>
        </w:rPr>
        <w:t>Prav tako je prvotni četrti odstavek 31.č člena določal, da se na podlagi mnenja komisije za priglasitve in ugotovitve strokovne skupine že izdano odločbo iz sedmega odstavka prejšnjega člena ali prvega odstavka 31.e člena lahko razveljavi, ni bilo pa jasno določeno nadaljevanje postopka. Z amandmajem se zaradi jasnosti v skladu z določili zakona, ki ureja splošni upravni postopek, dopolnjuje postopek v primeru razveljavitve že izdane odločbe, in sicer na način, da ministrstvo hkrati z razveljavitvijo stare odločbe z isto odločbo odloči, ali neposredno tujo naložbo omejeno odobri, tako da se določijo pogoji za njeno izvedbo, ali prepove.</w:t>
      </w:r>
    </w:p>
    <w:p w:rsidR="008850E7" w:rsidRDefault="008850E7" w:rsidP="008850E7">
      <w:pPr>
        <w:jc w:val="both"/>
        <w:rPr>
          <w:rFonts w:cs="Arial"/>
          <w:color w:val="000000"/>
          <w:szCs w:val="20"/>
          <w:lang w:eastAsia="sl-SI"/>
        </w:rPr>
      </w:pPr>
      <w:r>
        <w:rPr>
          <w:rFonts w:cs="Arial"/>
          <w:color w:val="000000"/>
          <w:szCs w:val="20"/>
          <w:lang w:eastAsia="sl-SI"/>
        </w:rPr>
        <w:t xml:space="preserve">Nadalje se v petem in šestem odstavku popravlja nedoslednost predlagane ureditve, in sicer se poleg ciljne družbe na mestih, kjer je to primerno, umeščata tudi prevzeta družba ali novoustanovljena družba, ki sta prav tako relevantni z vidika pregleda neposredne tuje naložbe. Dodatno se z amandmajem v petem odstavku izrecno določa, da se v postopku pregleda neposredne tuje naložbe presojata oba pogoja, in sicer, ali neposredna tuja naložba lahko vpliva na javni red Republike Slovenije ter ali neposredna tuja naložba lahko vpliva na varnost Republike </w:t>
      </w:r>
      <w:r>
        <w:rPr>
          <w:rFonts w:cs="Arial"/>
          <w:color w:val="000000"/>
          <w:szCs w:val="20"/>
          <w:lang w:eastAsia="sl-SI"/>
        </w:rPr>
        <w:lastRenderedPageBreak/>
        <w:t>Slovenije. Z dopolnitvijo se želi poudariti, da ne gre pogoj, ki mora biti izpolnjen kumulativno, temveč alternativno.</w:t>
      </w:r>
    </w:p>
    <w:p w:rsidR="008850E7" w:rsidRDefault="008850E7" w:rsidP="008850E7">
      <w:pPr>
        <w:overflowPunct w:val="0"/>
        <w:autoSpaceDE w:val="0"/>
        <w:autoSpaceDN w:val="0"/>
        <w:adjustRightInd w:val="0"/>
        <w:ind w:hanging="2"/>
        <w:jc w:val="both"/>
        <w:textAlignment w:val="baseline"/>
        <w:rPr>
          <w:rFonts w:cs="Arial"/>
          <w:szCs w:val="20"/>
          <w:lang w:eastAsia="sl-SI"/>
        </w:rPr>
      </w:pPr>
      <w:r>
        <w:rPr>
          <w:rFonts w:cs="Arial"/>
          <w:szCs w:val="20"/>
          <w:lang w:eastAsia="sl-SI"/>
        </w:rPr>
        <w:t>Z amandmajem k 31.d členu se v prvem odstavku zaradi odprave podvajanja ureditve črta besedilo, iz katerega izhaja, da strokovno skupino imenuje minister, saj slednje že izhaja iz drugega odstavka 31.č člena. Prav tako se črta četrti odstavek, saj pristojnost strokovne skupine, da pozove vlagatelja na dodatna pojasnila, izhaja že iz 31. b člena. Zaradi črtanja četrtega odstavka se z amandmajem predlaga tudi preštevilčenje odstavkov. V petem odstavku pa se odpravlja redakcijska napaka, in sicer se beseda »prevzemna« nadomesti z besedo »prevzeta« družba, s čimer se zagotavlja poenotenje terminologije v predlogu zakona, hkrati pa se v besedilo umešča tudi novoustanovljena družba, ki je, kot že navedeno, enako kot ciljna ter prevzeta družba pomembna z vidika priglasitve neposredne tuje naložbe in s tem tudi vprašanja interesne nepovezanosti</w:t>
      </w:r>
      <w:r>
        <w:t xml:space="preserve"> </w:t>
      </w:r>
      <w:r>
        <w:rPr>
          <w:rFonts w:cs="Arial"/>
          <w:szCs w:val="20"/>
          <w:lang w:eastAsia="sl-SI"/>
        </w:rPr>
        <w:t>predsednika in članov strokovne skupine.</w:t>
      </w:r>
    </w:p>
    <w:p w:rsidR="008850E7" w:rsidRDefault="008850E7" w:rsidP="008850E7">
      <w:pPr>
        <w:rPr>
          <w:rFonts w:cs="Arial"/>
          <w:b/>
          <w:bCs/>
          <w:position w:val="-1"/>
          <w:szCs w:val="20"/>
          <w:lang w:eastAsia="sl-SI"/>
        </w:rPr>
      </w:pPr>
    </w:p>
    <w:p w:rsidR="008850E7" w:rsidRDefault="008850E7" w:rsidP="008850E7">
      <w:pPr>
        <w:jc w:val="both"/>
        <w:rPr>
          <w:rFonts w:eastAsia="Calibri" w:cs="Arial"/>
          <w:color w:val="000000"/>
          <w:szCs w:val="20"/>
          <w:lang w:eastAsia="sl-SI"/>
        </w:rPr>
      </w:pPr>
      <w:r>
        <w:rPr>
          <w:rFonts w:cs="Arial"/>
          <w:szCs w:val="20"/>
          <w:lang w:eastAsia="sl-SI"/>
        </w:rPr>
        <w:t>Z amandmajem k 31.e členu se v</w:t>
      </w:r>
      <w:r>
        <w:rPr>
          <w:rFonts w:cs="Arial"/>
          <w:b/>
          <w:bCs/>
          <w:szCs w:val="20"/>
          <w:lang w:eastAsia="sl-SI"/>
        </w:rPr>
        <w:t xml:space="preserve"> </w:t>
      </w:r>
      <w:r>
        <w:rPr>
          <w:rFonts w:cs="Arial"/>
          <w:color w:val="000000"/>
          <w:szCs w:val="20"/>
          <w:lang w:eastAsia="sl-SI"/>
        </w:rPr>
        <w:t>prvem odstavku popravi sklic na peti odstavek prejšnjega člena in se določi rok, v katerem mora ministrstvo izdati odločbo, s katero odloči, ali neposredno tujo naložbo odobri, omejeno odobri, tako da se določijo pogoji za njeno izvedbo, ali prepove.</w:t>
      </w:r>
      <w:r>
        <w:rPr>
          <w:szCs w:val="20"/>
          <w:lang w:eastAsia="sl-SI"/>
        </w:rPr>
        <w:t xml:space="preserve"> Iz predlagane ureditve že izhaja, da se </w:t>
      </w:r>
      <w:r>
        <w:rPr>
          <w:rFonts w:cs="Arial"/>
          <w:color w:val="000000"/>
          <w:szCs w:val="20"/>
          <w:lang w:eastAsia="sl-SI"/>
        </w:rPr>
        <w:t>postopek pregleda zaključi v dveh letih od priglasitve oziroma pridobitve informacij o neposredni tudi naložbi, pri čemer pa ni bilo jasno, v kolikšnem času mora ministrstvo izdati odločbo. Z amandmajem se tako želi navedeno pravno praznino dopolniti z rešitvijo, iz katere jasno izhaja, da ministrstvo izda odločbo v roku dveh mesecev po prejemu mnenja strokovne komisije, kar smiselno sledi tudi ureditvi glede roka za izdajo odločbe, kot jo določa zakon, ki ureja splošni upravni postopek.</w:t>
      </w:r>
    </w:p>
    <w:p w:rsidR="008850E7" w:rsidRDefault="008850E7" w:rsidP="008850E7">
      <w:pPr>
        <w:jc w:val="both"/>
        <w:rPr>
          <w:rFonts w:cs="Arial"/>
          <w:color w:val="000000"/>
          <w:szCs w:val="20"/>
          <w:lang w:eastAsia="sl-SI"/>
        </w:rPr>
      </w:pPr>
      <w:r>
        <w:rPr>
          <w:rFonts w:cs="Arial"/>
          <w:color w:val="000000"/>
          <w:szCs w:val="20"/>
          <w:lang w:eastAsia="sl-SI"/>
        </w:rPr>
        <w:t xml:space="preserve">V drugem odstavku se usklajuje terminologija, uporabljena v zakonu, in sicer se besedno zvezo, da neposredna tuja naložba pomeni grožnjo varnosti ali javnemu redu v Republiki Sloveniji, nadomesti z besedno zvezo, da neposredna tuja naložba lahko vpliva na varnost ali javni red v Republiki Sloveniji. </w:t>
      </w:r>
    </w:p>
    <w:p w:rsidR="008850E7" w:rsidRDefault="008850E7" w:rsidP="008850E7">
      <w:pPr>
        <w:jc w:val="both"/>
        <w:rPr>
          <w:rFonts w:cs="Arial"/>
          <w:color w:val="000000"/>
          <w:szCs w:val="20"/>
          <w:lang w:eastAsia="sl-SI"/>
        </w:rPr>
      </w:pPr>
      <w:r>
        <w:rPr>
          <w:rFonts w:cs="Arial"/>
          <w:color w:val="000000"/>
          <w:szCs w:val="20"/>
          <w:lang w:eastAsia="sl-SI"/>
        </w:rPr>
        <w:t>Nadalje se v četrtem in devetem odstavku popravlja nedoslednost predlagane ureditve, in sicer se poleg ciljne družbe na mestih, kjer je to primerno, umeščata tudi prevzeta in novoustanovljena družba, ki sta prav tako relevantni z vidika pregleda neposredne tuje naložbe. Dodatno se z amandmajem v četrtem odstavku izrecno določa, da se v postopku pregleda neposredne tuje naložbe presojata oba pogoja, in sicer, ali neposredna tuja naložba lahko vpliva na javni red Republike Slovenije ter ali neposredna tuja naložba lahko vpliva na varnost Republike Slovenije. Z dopolnitvijo se želi poudariti, da ne gre pogoj, ki mora biti izpolnjen kumulativno, temveč alternativno. Dodatno se v četrtem odstavku črta četrta alineja, iz katere izhaja, da lahko ministrstvo z odločbo neposredno tujo naložbo omeji pod pogojem, da se ne izvede prevzem določenega dela ciljne družbe. Navedena določba bi lahko pomenila poseg v prevzemne postopke, česar pa predlagatelj postopka ne predvideva. Pregled neposredne tuje naložbe tako ne ovira prevzemnih postopkov, saj bi slednje lahko prekomerno posegalo v svobodno gospodarsko pobudo ter s tem neutemeljeno upočasnilo ali celo preprečilo prevzeme družb. Ministrstvo bo v primeru ugotovitve, da neposredna tuja naložba vpliva na javni red ali varnost z drugimi ukrepi dosegla, da se neposredna tuja naložba omeji ali prepove (npr. z zahtevo po odsvojitvi deleža v družbi ter nadalje z upravno izvršbo).</w:t>
      </w:r>
    </w:p>
    <w:p w:rsidR="008850E7" w:rsidRDefault="008850E7" w:rsidP="008850E7">
      <w:pPr>
        <w:jc w:val="both"/>
        <w:rPr>
          <w:rFonts w:cs="Arial"/>
          <w:color w:val="000000"/>
          <w:szCs w:val="20"/>
          <w:lang w:eastAsia="sl-SI"/>
        </w:rPr>
      </w:pPr>
      <w:r>
        <w:rPr>
          <w:rFonts w:cs="Arial"/>
          <w:color w:val="000000"/>
          <w:szCs w:val="20"/>
          <w:lang w:eastAsia="sl-SI"/>
        </w:rPr>
        <w:t xml:space="preserve">Z namenom doseganja spoštovanja izreka prepovedi neposredne tuje naložbe se z dopolnitvijo sedmega odstavka določa, da ministrstvo v odločbi, s katero vlagatelju neposredno tujo naložbo prepove, hkrati sprejme ukrepe, s katerimi prepreči nedopustne vplive na varnost ali javni red, npr. obveznost odsvojitve pridobljenih deležev. S predlaganim amandmajem se ministrstvu omogoča, da glede na konkreten dejanski stan določi ukrep, ki je potreben, da se vzpostavi zakonito stanje. Podobno ureditev vsebuje tudi prvi odstavek 77. člena Zakona o preprečevanju omejevanja konkurence (Uradni list RS, št. 130/22), ki določa ukrepe za odpravo učinkov koncentracije. V primeru, da vlagatelj izrečenih ukrepov ne bo spoštoval, bo ministrstvo spoštovanje le teh lahko doseglo s pomočjo upravne izvršbe. </w:t>
      </w:r>
    </w:p>
    <w:p w:rsidR="008850E7" w:rsidRDefault="008850E7" w:rsidP="008850E7">
      <w:pPr>
        <w:jc w:val="both"/>
        <w:rPr>
          <w:rFonts w:cs="Arial"/>
          <w:position w:val="-1"/>
          <w:szCs w:val="20"/>
          <w:lang w:eastAsia="sl-SI"/>
        </w:rPr>
      </w:pPr>
      <w:r>
        <w:rPr>
          <w:rFonts w:cs="Arial"/>
          <w:szCs w:val="20"/>
          <w:lang w:eastAsia="sl-SI"/>
        </w:rPr>
        <w:t>Amandma k členu sledi pripombam Zakonodajno pravne službe DZ.</w:t>
      </w:r>
    </w:p>
    <w:p w:rsidR="008850E7" w:rsidRDefault="008850E7" w:rsidP="008850E7">
      <w:pPr>
        <w:rPr>
          <w:rFonts w:eastAsia="Calibri" w:cs="Arial"/>
          <w:b/>
          <w:bCs/>
          <w:szCs w:val="20"/>
        </w:rPr>
      </w:pPr>
    </w:p>
    <w:p w:rsidR="008850E7" w:rsidRDefault="008850E7" w:rsidP="008850E7">
      <w:pPr>
        <w:rPr>
          <w:rFonts w:cs="Arial"/>
          <w:b/>
          <w:bCs/>
          <w:szCs w:val="20"/>
        </w:rPr>
      </w:pPr>
      <w:r>
        <w:rPr>
          <w:rFonts w:cs="Arial"/>
          <w:b/>
          <w:bCs/>
          <w:szCs w:val="20"/>
        </w:rPr>
        <w:lastRenderedPageBreak/>
        <w:t>Amandma k 4. členu</w:t>
      </w:r>
    </w:p>
    <w:p w:rsidR="008850E7" w:rsidRDefault="008850E7" w:rsidP="008850E7">
      <w:pPr>
        <w:rPr>
          <w:rFonts w:cs="Arial"/>
          <w:szCs w:val="20"/>
        </w:rPr>
      </w:pPr>
      <w:r>
        <w:rPr>
          <w:rFonts w:cs="Arial"/>
          <w:szCs w:val="20"/>
        </w:rPr>
        <w:t xml:space="preserve">Besedilo 4. člena se spremeni, tako da se glasi: </w:t>
      </w:r>
    </w:p>
    <w:p w:rsidR="008850E7" w:rsidRDefault="008850E7" w:rsidP="008850E7">
      <w:pPr>
        <w:jc w:val="both"/>
        <w:rPr>
          <w:rFonts w:cs="Arial"/>
          <w:szCs w:val="20"/>
        </w:rPr>
      </w:pPr>
      <w:r>
        <w:rPr>
          <w:rFonts w:cs="Arial"/>
          <w:szCs w:val="20"/>
        </w:rPr>
        <w:t>"(1) Nadzor nad izvajanjem pogodb o dodelitvi subvencij iz 18. člena tega zakona, preverjanjem namenske porabe subvencij in pogodb o izvedbi strateških investicij iz 24. člena tega zakona, določb prvega, drugega, tretjega in četrtega odstavka 31.a člena tega zakona, 31.b člena tega zakona ter določb prvega in devetega odstavka 31.e člena tega zakona izvaja ministrstvo."</w:t>
      </w:r>
    </w:p>
    <w:p w:rsidR="008850E7" w:rsidRDefault="008850E7" w:rsidP="008850E7">
      <w:pPr>
        <w:jc w:val="both"/>
        <w:rPr>
          <w:rFonts w:cs="Arial"/>
          <w:szCs w:val="20"/>
        </w:rPr>
      </w:pPr>
    </w:p>
    <w:p w:rsidR="008850E7" w:rsidRDefault="008850E7" w:rsidP="008850E7">
      <w:pPr>
        <w:jc w:val="both"/>
        <w:rPr>
          <w:rFonts w:cs="Arial"/>
          <w:color w:val="000000"/>
          <w:szCs w:val="20"/>
          <w:lang w:eastAsia="sl-SI"/>
        </w:rPr>
      </w:pPr>
      <w:r>
        <w:rPr>
          <w:rFonts w:cs="Arial"/>
          <w:szCs w:val="20"/>
        </w:rPr>
        <w:t xml:space="preserve">Obrazložitev: </w:t>
      </w:r>
      <w:r>
        <w:rPr>
          <w:rFonts w:cs="Arial"/>
          <w:color w:val="000000"/>
          <w:szCs w:val="20"/>
          <w:lang w:eastAsia="sl-SI"/>
        </w:rPr>
        <w:t xml:space="preserve">Z amandmajem se določa pristojnost ministrstva, in sicer, da lahko v skladu s </w:t>
      </w:r>
      <w:proofErr w:type="spellStart"/>
      <w:r>
        <w:rPr>
          <w:rFonts w:cs="Arial"/>
          <w:color w:val="000000"/>
          <w:szCs w:val="20"/>
          <w:lang w:eastAsia="sl-SI"/>
        </w:rPr>
        <w:t>prekrškovnimi</w:t>
      </w:r>
      <w:proofErr w:type="spellEnd"/>
      <w:r>
        <w:rPr>
          <w:rFonts w:cs="Arial"/>
          <w:color w:val="000000"/>
          <w:szCs w:val="20"/>
          <w:lang w:eastAsia="sl-SI"/>
        </w:rPr>
        <w:t xml:space="preserve"> določbami iz 5. člena vrši ustrezen nadzor. Amandma sledi pripombi Zakonodajno pravne službe DZ.</w:t>
      </w:r>
    </w:p>
    <w:p w:rsidR="008850E7" w:rsidRDefault="008850E7" w:rsidP="008850E7">
      <w:pPr>
        <w:jc w:val="both"/>
        <w:rPr>
          <w:rFonts w:cs="Arial"/>
          <w:szCs w:val="20"/>
        </w:rPr>
      </w:pPr>
    </w:p>
    <w:p w:rsidR="008850E7" w:rsidRDefault="008850E7" w:rsidP="008850E7">
      <w:pPr>
        <w:jc w:val="both"/>
        <w:rPr>
          <w:rFonts w:cs="Arial"/>
          <w:b/>
          <w:bCs/>
          <w:szCs w:val="20"/>
        </w:rPr>
      </w:pPr>
      <w:r>
        <w:rPr>
          <w:rFonts w:cs="Arial"/>
          <w:b/>
          <w:bCs/>
          <w:szCs w:val="20"/>
        </w:rPr>
        <w:t>Amandma k 5. členu</w:t>
      </w:r>
    </w:p>
    <w:p w:rsidR="008850E7" w:rsidRDefault="008850E7" w:rsidP="008850E7">
      <w:pPr>
        <w:jc w:val="both"/>
        <w:rPr>
          <w:rFonts w:cs="Arial"/>
          <w:b/>
          <w:bCs/>
          <w:szCs w:val="20"/>
        </w:rPr>
      </w:pPr>
    </w:p>
    <w:p w:rsidR="008850E7" w:rsidRDefault="008850E7" w:rsidP="008850E7">
      <w:pPr>
        <w:jc w:val="both"/>
        <w:rPr>
          <w:rFonts w:cs="Arial"/>
          <w:color w:val="000000"/>
          <w:szCs w:val="20"/>
          <w:lang w:eastAsia="sl-SI"/>
        </w:rPr>
      </w:pPr>
      <w:r>
        <w:rPr>
          <w:rFonts w:cs="Arial"/>
          <w:color w:val="000000"/>
          <w:szCs w:val="20"/>
          <w:lang w:eastAsia="sl-SI"/>
        </w:rPr>
        <w:t xml:space="preserve">Besedilo 5. člena se spremeni tako, da se glasi:  </w:t>
      </w:r>
    </w:p>
    <w:p w:rsidR="008850E7" w:rsidRDefault="008850E7" w:rsidP="008850E7">
      <w:pPr>
        <w:jc w:val="both"/>
        <w:rPr>
          <w:rFonts w:eastAsia="Arial" w:cs="Arial"/>
          <w:szCs w:val="20"/>
          <w:lang w:eastAsia="sl-SI"/>
        </w:rPr>
      </w:pPr>
      <w:r>
        <w:rPr>
          <w:rFonts w:eastAsia="Arial" w:cs="Arial"/>
          <w:szCs w:val="20"/>
          <w:lang w:eastAsia="sl-SI"/>
        </w:rPr>
        <w:t>» Za 32. členom se dodata novo poglavje z naslovom "</w:t>
      </w:r>
      <w:proofErr w:type="spellStart"/>
      <w:r>
        <w:rPr>
          <w:rFonts w:cs="Arial"/>
          <w:szCs w:val="20"/>
          <w:lang w:eastAsia="sl-SI"/>
        </w:rPr>
        <w:t>VII.a</w:t>
      </w:r>
      <w:proofErr w:type="spellEnd"/>
      <w:r>
        <w:rPr>
          <w:rFonts w:cs="Arial"/>
          <w:szCs w:val="20"/>
          <w:lang w:eastAsia="sl-SI"/>
        </w:rPr>
        <w:t xml:space="preserve"> KAZENSKE DOLOČBE"</w:t>
      </w:r>
      <w:r>
        <w:rPr>
          <w:rFonts w:eastAsia="Arial" w:cs="Arial"/>
          <w:szCs w:val="20"/>
          <w:lang w:eastAsia="sl-SI"/>
        </w:rPr>
        <w:t xml:space="preserve"> in nov 32.a člen, ki se glasi:</w:t>
      </w:r>
    </w:p>
    <w:p w:rsidR="008850E7" w:rsidRDefault="008850E7" w:rsidP="008850E7">
      <w:pPr>
        <w:overflowPunct w:val="0"/>
        <w:autoSpaceDE w:val="0"/>
        <w:autoSpaceDN w:val="0"/>
        <w:adjustRightInd w:val="0"/>
        <w:jc w:val="center"/>
        <w:textAlignment w:val="baseline"/>
        <w:rPr>
          <w:rFonts w:eastAsia="Calibri" w:cs="Arial"/>
          <w:b/>
          <w:szCs w:val="20"/>
          <w:lang w:eastAsia="sl-SI"/>
        </w:rPr>
      </w:pPr>
      <w:r>
        <w:rPr>
          <w:rFonts w:cs="Arial"/>
          <w:b/>
          <w:szCs w:val="20"/>
          <w:lang w:eastAsia="sl-SI"/>
        </w:rPr>
        <w:t>"32.a člen</w:t>
      </w:r>
    </w:p>
    <w:p w:rsidR="008850E7" w:rsidRDefault="008850E7" w:rsidP="008850E7">
      <w:pPr>
        <w:ind w:hanging="2"/>
        <w:jc w:val="center"/>
        <w:rPr>
          <w:rFonts w:cs="Arial"/>
          <w:b/>
          <w:szCs w:val="20"/>
          <w:lang w:eastAsia="sl-SI"/>
        </w:rPr>
      </w:pPr>
      <w:r>
        <w:rPr>
          <w:rFonts w:cs="Arial"/>
          <w:b/>
          <w:szCs w:val="20"/>
          <w:lang w:eastAsia="sl-SI"/>
        </w:rPr>
        <w:t>(prekrški v zvezi s priglasitvijo in pregledom neposrednih tujih naložb)</w:t>
      </w:r>
    </w:p>
    <w:p w:rsidR="008850E7" w:rsidRDefault="008850E7" w:rsidP="008850E7">
      <w:pPr>
        <w:ind w:hanging="2"/>
        <w:jc w:val="both"/>
        <w:rPr>
          <w:rFonts w:cs="Arial"/>
          <w:szCs w:val="20"/>
          <w:lang w:eastAsia="sl-SI"/>
        </w:rPr>
      </w:pPr>
      <w:r>
        <w:rPr>
          <w:rFonts w:cs="Arial"/>
          <w:szCs w:val="20"/>
          <w:lang w:eastAsia="sl-SI"/>
        </w:rPr>
        <w:t>(1) Z globo od 100.000 do 250.000 eurov se za prekršek kaznuje pravna oseba, če pa se pravna oseba po zakonu, ki ureja gospodarske družbe, šteje za srednjo ali veliko gospodarsko družbo, pa z globo od 200.000 do 500.000 eurov, če:</w:t>
      </w:r>
    </w:p>
    <w:p w:rsidR="008850E7" w:rsidRDefault="008850E7" w:rsidP="008850E7">
      <w:pPr>
        <w:numPr>
          <w:ilvl w:val="0"/>
          <w:numId w:val="8"/>
        </w:numPr>
        <w:contextualSpacing/>
        <w:jc w:val="both"/>
        <w:rPr>
          <w:rFonts w:cs="Arial"/>
          <w:position w:val="-1"/>
          <w:szCs w:val="20"/>
        </w:rPr>
      </w:pPr>
      <w:r>
        <w:rPr>
          <w:rFonts w:cs="Arial"/>
          <w:szCs w:val="20"/>
        </w:rPr>
        <w:t>ne priglasi neposredne tuje naložbe v 15 dneh od sklenitve pravnega posla ali od objave prevzemne ponudbe, s katero tuji vlagatelj v gospodarski družbi s sedežem v Republiki Sloveniji neposredno ali posredno pridobi najmanj 10 % udeležbe v kapitalu ali v glasovalnih pravicah (prvi odstavek 31.a člena);</w:t>
      </w:r>
    </w:p>
    <w:p w:rsidR="008850E7" w:rsidRDefault="008850E7" w:rsidP="008850E7">
      <w:pPr>
        <w:numPr>
          <w:ilvl w:val="0"/>
          <w:numId w:val="8"/>
        </w:numPr>
        <w:contextualSpacing/>
        <w:jc w:val="both"/>
        <w:rPr>
          <w:rFonts w:cs="Arial"/>
          <w:szCs w:val="20"/>
        </w:rPr>
      </w:pPr>
      <w:r>
        <w:rPr>
          <w:rFonts w:cs="Arial"/>
          <w:szCs w:val="20"/>
        </w:rPr>
        <w:t>ne priglasi neposredne tuje naložbe v 15 dneh od vpisa ustanovitve nove gospodarske družbe v sodni register v Republiki Sloveniji, s katero neposredno ali posredno pridobi najmanj 10 % udeležbe v kapitalu ali v glasovalnih pravicah v novoustanovljeni gospodarski družbi (drugi odstavek 31.a člena);</w:t>
      </w:r>
    </w:p>
    <w:p w:rsidR="008850E7" w:rsidRDefault="008850E7" w:rsidP="008850E7">
      <w:pPr>
        <w:numPr>
          <w:ilvl w:val="0"/>
          <w:numId w:val="8"/>
        </w:numPr>
        <w:contextualSpacing/>
        <w:jc w:val="both"/>
        <w:rPr>
          <w:rFonts w:cs="Arial"/>
          <w:szCs w:val="20"/>
        </w:rPr>
      </w:pPr>
      <w:r>
        <w:rPr>
          <w:rFonts w:cs="Arial"/>
          <w:szCs w:val="20"/>
        </w:rPr>
        <w:t>ne priglasi vseh informacij o neposredni tuji naložbi v skladu s tretjim oziroma četrtim odstavkom 31.a člena tega zakona;</w:t>
      </w:r>
    </w:p>
    <w:p w:rsidR="008850E7" w:rsidRDefault="008850E7" w:rsidP="008850E7">
      <w:pPr>
        <w:numPr>
          <w:ilvl w:val="0"/>
          <w:numId w:val="8"/>
        </w:numPr>
        <w:contextualSpacing/>
        <w:jc w:val="both"/>
        <w:rPr>
          <w:rFonts w:cs="Arial"/>
          <w:szCs w:val="20"/>
        </w:rPr>
      </w:pPr>
      <w:r>
        <w:rPr>
          <w:rFonts w:cs="Arial"/>
          <w:szCs w:val="20"/>
        </w:rPr>
        <w:t>komisiji za priglasitve ali strokovni skupini v roku ne pošlje dodatnih pojasnil ali obrazložitev ali ne predloži ustreznih dokazov (31.b člen);</w:t>
      </w:r>
    </w:p>
    <w:p w:rsidR="008850E7" w:rsidRDefault="008850E7" w:rsidP="008850E7">
      <w:pPr>
        <w:numPr>
          <w:ilvl w:val="0"/>
          <w:numId w:val="8"/>
        </w:numPr>
        <w:contextualSpacing/>
        <w:jc w:val="both"/>
        <w:rPr>
          <w:rFonts w:cs="Arial"/>
          <w:szCs w:val="20"/>
        </w:rPr>
      </w:pPr>
      <w:r>
        <w:rPr>
          <w:rFonts w:cs="Arial"/>
          <w:szCs w:val="20"/>
        </w:rPr>
        <w:t>ne upošteva prepovedi ali pogojev za izvedbo neposredne tuje naložbe (prvi odstavek 31.e člena);</w:t>
      </w:r>
    </w:p>
    <w:p w:rsidR="008850E7" w:rsidRDefault="008850E7" w:rsidP="008850E7">
      <w:pPr>
        <w:numPr>
          <w:ilvl w:val="0"/>
          <w:numId w:val="8"/>
        </w:numPr>
        <w:contextualSpacing/>
        <w:jc w:val="both"/>
        <w:rPr>
          <w:rFonts w:cs="Arial"/>
          <w:szCs w:val="20"/>
        </w:rPr>
      </w:pPr>
      <w:r>
        <w:rPr>
          <w:rFonts w:cs="Arial"/>
          <w:szCs w:val="20"/>
        </w:rPr>
        <w:t>ne poroča ministrstvu v skladu z devetim odstavkom 31.e člena tega zakona.</w:t>
      </w:r>
    </w:p>
    <w:p w:rsidR="008850E7" w:rsidRDefault="008850E7" w:rsidP="008850E7">
      <w:pPr>
        <w:ind w:left="718"/>
        <w:contextualSpacing/>
        <w:jc w:val="both"/>
        <w:rPr>
          <w:rFonts w:cs="Arial"/>
          <w:szCs w:val="20"/>
          <w:lang w:eastAsia="sl-SI"/>
        </w:rPr>
      </w:pPr>
      <w:r>
        <w:rPr>
          <w:rFonts w:cs="Arial"/>
          <w:szCs w:val="20"/>
          <w:lang w:eastAsia="sl-SI"/>
        </w:rPr>
        <w:t xml:space="preserve">  </w:t>
      </w:r>
    </w:p>
    <w:p w:rsidR="008850E7" w:rsidRDefault="008850E7" w:rsidP="008850E7">
      <w:pPr>
        <w:ind w:hanging="2"/>
        <w:jc w:val="both"/>
        <w:rPr>
          <w:rFonts w:cs="Arial"/>
          <w:szCs w:val="20"/>
          <w:lang w:eastAsia="sl-SI"/>
        </w:rPr>
      </w:pPr>
      <w:r>
        <w:rPr>
          <w:rFonts w:cs="Arial"/>
          <w:szCs w:val="20"/>
          <w:lang w:eastAsia="sl-SI"/>
        </w:rPr>
        <w:t>(2) Z globo od 50.000 do 150.000 eurov se za prekršek iz prejšnjega odstavka kaznuje samostojni podjetnik posameznik ali posameznik, ki samostojno opravlja dejavnost.</w:t>
      </w:r>
    </w:p>
    <w:p w:rsidR="008850E7" w:rsidRDefault="008850E7" w:rsidP="008850E7">
      <w:pPr>
        <w:ind w:hanging="2"/>
        <w:jc w:val="both"/>
        <w:rPr>
          <w:rFonts w:cs="Arial"/>
          <w:szCs w:val="20"/>
          <w:lang w:eastAsia="sl-SI"/>
        </w:rPr>
      </w:pPr>
      <w:r>
        <w:rPr>
          <w:rFonts w:cs="Arial"/>
          <w:szCs w:val="20"/>
          <w:lang w:eastAsia="sl-SI"/>
        </w:rPr>
        <w:t>(3) Z globo od 2.000 do 10.000 eurov se za prekršek iz prvega odstavka tega člena kaznuje odgovorna oseba pravne osebe, odgovorna oseba samostojnega podjetnika posameznika oziroma odgovorna oseba posameznika, ki samostojno opravlja dejavnost.</w:t>
      </w:r>
    </w:p>
    <w:p w:rsidR="008850E7" w:rsidRDefault="008850E7" w:rsidP="008850E7">
      <w:pPr>
        <w:ind w:hanging="2"/>
        <w:jc w:val="both"/>
        <w:rPr>
          <w:rFonts w:cs="Arial"/>
          <w:szCs w:val="20"/>
          <w:lang w:eastAsia="sl-SI"/>
        </w:rPr>
      </w:pPr>
      <w:r>
        <w:rPr>
          <w:rFonts w:cs="Arial"/>
          <w:szCs w:val="20"/>
          <w:lang w:eastAsia="sl-SI"/>
        </w:rPr>
        <w:t>(4) Z globo od 1.000 do 5.000 eurov se za prekršek iz prvega odstavka tega člena kaznuje tudi posameznik.".«</w:t>
      </w:r>
    </w:p>
    <w:p w:rsidR="008850E7" w:rsidRDefault="008850E7" w:rsidP="008850E7">
      <w:pPr>
        <w:ind w:hanging="2"/>
        <w:jc w:val="both"/>
        <w:rPr>
          <w:rFonts w:cs="Arial"/>
          <w:szCs w:val="20"/>
          <w:lang w:eastAsia="sl-SI"/>
        </w:rPr>
      </w:pPr>
    </w:p>
    <w:p w:rsidR="008850E7" w:rsidRDefault="008850E7" w:rsidP="008850E7">
      <w:pPr>
        <w:jc w:val="both"/>
        <w:rPr>
          <w:rFonts w:cs="Arial"/>
          <w:color w:val="000000"/>
          <w:szCs w:val="20"/>
          <w:lang w:eastAsia="sl-SI"/>
        </w:rPr>
      </w:pPr>
      <w:r>
        <w:rPr>
          <w:rFonts w:cs="Arial"/>
          <w:color w:val="000000"/>
          <w:szCs w:val="20"/>
          <w:lang w:eastAsia="sl-SI"/>
        </w:rPr>
        <w:t xml:space="preserve">Obrazložitev: Z amandmajem se odpravlja </w:t>
      </w:r>
      <w:proofErr w:type="spellStart"/>
      <w:r>
        <w:rPr>
          <w:rFonts w:cs="Arial"/>
          <w:color w:val="000000"/>
          <w:szCs w:val="20"/>
          <w:lang w:eastAsia="sl-SI"/>
        </w:rPr>
        <w:t>nomotehnično</w:t>
      </w:r>
      <w:proofErr w:type="spellEnd"/>
      <w:r>
        <w:rPr>
          <w:rFonts w:cs="Arial"/>
          <w:color w:val="000000"/>
          <w:szCs w:val="20"/>
          <w:lang w:eastAsia="sl-SI"/>
        </w:rPr>
        <w:t xml:space="preserve"> napačno oštevilčenje člena, upoštevaje amandma k 31.a členu se določa prekršek za primere, ko ciljna oziroma prevzeta družba ne pojasni oziroma navede razloga za </w:t>
      </w:r>
      <w:proofErr w:type="spellStart"/>
      <w:r>
        <w:rPr>
          <w:rFonts w:cs="Arial"/>
          <w:color w:val="000000"/>
          <w:szCs w:val="20"/>
          <w:lang w:eastAsia="sl-SI"/>
        </w:rPr>
        <w:t>neposredovanje</w:t>
      </w:r>
      <w:proofErr w:type="spellEnd"/>
      <w:r>
        <w:rPr>
          <w:rFonts w:cs="Arial"/>
          <w:color w:val="000000"/>
          <w:szCs w:val="20"/>
          <w:lang w:eastAsia="sl-SI"/>
        </w:rPr>
        <w:t xml:space="preserve"> podatka iz tretjega odstavka 31.a člena, upoštevaje amandma k 31.b členu pa se v četrti točki prvega odstavka črta kontaktno točko, saj le-ta nima pristojnosti za poziv k dodatnim pojasnilom. Amandma sledi pripombam Zakonodajno pravne službe Državnega zbora. </w:t>
      </w:r>
    </w:p>
    <w:p w:rsidR="008850E7" w:rsidRDefault="008850E7" w:rsidP="008850E7">
      <w:pPr>
        <w:jc w:val="both"/>
        <w:rPr>
          <w:rFonts w:cs="Arial"/>
          <w:color w:val="000000"/>
          <w:szCs w:val="20"/>
          <w:lang w:eastAsia="sl-SI"/>
        </w:rPr>
      </w:pPr>
    </w:p>
    <w:p w:rsidR="007E1230" w:rsidRDefault="007E1230" w:rsidP="008850E7">
      <w:pPr>
        <w:tabs>
          <w:tab w:val="left" w:pos="7920"/>
        </w:tabs>
        <w:autoSpaceDE w:val="0"/>
        <w:autoSpaceDN w:val="0"/>
        <w:adjustRightInd w:val="0"/>
        <w:jc w:val="both"/>
        <w:rPr>
          <w:rFonts w:cs="Arial"/>
          <w:color w:val="000000"/>
          <w:szCs w:val="20"/>
        </w:rPr>
      </w:pPr>
      <w:bookmarkStart w:id="1" w:name="_GoBack"/>
      <w:bookmarkEnd w:id="1"/>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4373" w:rsidRDefault="00F14373" w:rsidP="00767987">
      <w:pPr>
        <w:spacing w:line="240" w:lineRule="auto"/>
      </w:pPr>
      <w:r>
        <w:separator/>
      </w:r>
    </w:p>
  </w:endnote>
  <w:endnote w:type="continuationSeparator" w:id="0">
    <w:p w:rsidR="00F14373" w:rsidRDefault="00F1437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DC9" w:rsidRDefault="00C73DC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DC9" w:rsidRDefault="00C73DC9">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DC9" w:rsidRDefault="00C73DC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4373" w:rsidRDefault="00F14373" w:rsidP="00767987">
      <w:pPr>
        <w:spacing w:line="240" w:lineRule="auto"/>
      </w:pPr>
      <w:r>
        <w:separator/>
      </w:r>
    </w:p>
  </w:footnote>
  <w:footnote w:type="continuationSeparator" w:id="0">
    <w:p w:rsidR="00F14373" w:rsidRDefault="00F14373"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DC9" w:rsidRDefault="00C73DC9">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DC9" w:rsidRDefault="00C73DC9">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2149FC"/>
    <w:multiLevelType w:val="hybridMultilevel"/>
    <w:tmpl w:val="044AE890"/>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285200A6"/>
    <w:multiLevelType w:val="hybridMultilevel"/>
    <w:tmpl w:val="013A4C26"/>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44B9419A"/>
    <w:multiLevelType w:val="hybridMultilevel"/>
    <w:tmpl w:val="E346721C"/>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4EFC4E0C"/>
    <w:multiLevelType w:val="hybridMultilevel"/>
    <w:tmpl w:val="AD0E9188"/>
    <w:lvl w:ilvl="0" w:tplc="0424000F">
      <w:start w:val="1"/>
      <w:numFmt w:val="decimal"/>
      <w:lvlText w:val="%1."/>
      <w:lvlJc w:val="left"/>
      <w:pPr>
        <w:ind w:left="718" w:hanging="360"/>
      </w:pPr>
    </w:lvl>
    <w:lvl w:ilvl="1" w:tplc="04240019">
      <w:start w:val="1"/>
      <w:numFmt w:val="lowerLetter"/>
      <w:lvlText w:val="%2."/>
      <w:lvlJc w:val="left"/>
      <w:pPr>
        <w:ind w:left="1438" w:hanging="360"/>
      </w:pPr>
    </w:lvl>
    <w:lvl w:ilvl="2" w:tplc="0424001B">
      <w:start w:val="1"/>
      <w:numFmt w:val="lowerRoman"/>
      <w:lvlText w:val="%3."/>
      <w:lvlJc w:val="right"/>
      <w:pPr>
        <w:ind w:left="2158" w:hanging="180"/>
      </w:pPr>
    </w:lvl>
    <w:lvl w:ilvl="3" w:tplc="0424000F">
      <w:start w:val="1"/>
      <w:numFmt w:val="decimal"/>
      <w:lvlText w:val="%4."/>
      <w:lvlJc w:val="left"/>
      <w:pPr>
        <w:ind w:left="2878" w:hanging="360"/>
      </w:pPr>
    </w:lvl>
    <w:lvl w:ilvl="4" w:tplc="04240019">
      <w:start w:val="1"/>
      <w:numFmt w:val="lowerLetter"/>
      <w:lvlText w:val="%5."/>
      <w:lvlJc w:val="left"/>
      <w:pPr>
        <w:ind w:left="3598" w:hanging="360"/>
      </w:pPr>
    </w:lvl>
    <w:lvl w:ilvl="5" w:tplc="0424001B">
      <w:start w:val="1"/>
      <w:numFmt w:val="lowerRoman"/>
      <w:lvlText w:val="%6."/>
      <w:lvlJc w:val="right"/>
      <w:pPr>
        <w:ind w:left="4318" w:hanging="180"/>
      </w:pPr>
    </w:lvl>
    <w:lvl w:ilvl="6" w:tplc="0424000F">
      <w:start w:val="1"/>
      <w:numFmt w:val="decimal"/>
      <w:lvlText w:val="%7."/>
      <w:lvlJc w:val="left"/>
      <w:pPr>
        <w:ind w:left="5038" w:hanging="360"/>
      </w:pPr>
    </w:lvl>
    <w:lvl w:ilvl="7" w:tplc="04240019">
      <w:start w:val="1"/>
      <w:numFmt w:val="lowerLetter"/>
      <w:lvlText w:val="%8."/>
      <w:lvlJc w:val="left"/>
      <w:pPr>
        <w:ind w:left="5758" w:hanging="360"/>
      </w:pPr>
    </w:lvl>
    <w:lvl w:ilvl="8" w:tplc="0424001B">
      <w:start w:val="1"/>
      <w:numFmt w:val="lowerRoman"/>
      <w:lvlText w:val="%9."/>
      <w:lvlJc w:val="right"/>
      <w:pPr>
        <w:ind w:left="6478" w:hanging="180"/>
      </w:pPr>
    </w:lvl>
  </w:abstractNum>
  <w:abstractNum w:abstractNumId="4" w15:restartNumberingAfterBreak="0">
    <w:nsid w:val="51E6223A"/>
    <w:multiLevelType w:val="hybridMultilevel"/>
    <w:tmpl w:val="6F0A48AE"/>
    <w:lvl w:ilvl="0" w:tplc="FEEAE6C2">
      <w:start w:val="1"/>
      <w:numFmt w:val="bullet"/>
      <w:lvlText w:val=""/>
      <w:lvlJc w:val="left"/>
      <w:pPr>
        <w:tabs>
          <w:tab w:val="num" w:pos="850"/>
        </w:tabs>
        <w:ind w:left="850" w:hanging="425"/>
      </w:pPr>
      <w:rPr>
        <w:rFonts w:ascii="Symbol" w:hAnsi="Symbol" w:hint="default"/>
      </w:rPr>
    </w:lvl>
    <w:lvl w:ilvl="1" w:tplc="04090003">
      <w:start w:val="1"/>
      <w:numFmt w:val="bullet"/>
      <w:lvlText w:val="o"/>
      <w:lvlJc w:val="left"/>
      <w:pPr>
        <w:tabs>
          <w:tab w:val="num" w:pos="1865"/>
        </w:tabs>
        <w:ind w:left="1865" w:hanging="360"/>
      </w:pPr>
      <w:rPr>
        <w:rFonts w:ascii="Courier New" w:hAnsi="Courier New" w:cs="Courier New" w:hint="default"/>
      </w:rPr>
    </w:lvl>
    <w:lvl w:ilvl="2" w:tplc="04090005">
      <w:start w:val="1"/>
      <w:numFmt w:val="bullet"/>
      <w:lvlText w:val=""/>
      <w:lvlJc w:val="left"/>
      <w:pPr>
        <w:tabs>
          <w:tab w:val="num" w:pos="2585"/>
        </w:tabs>
        <w:ind w:left="2585" w:hanging="360"/>
      </w:pPr>
      <w:rPr>
        <w:rFonts w:ascii="Wingdings" w:hAnsi="Wingdings" w:hint="default"/>
      </w:rPr>
    </w:lvl>
    <w:lvl w:ilvl="3" w:tplc="04090001">
      <w:start w:val="1"/>
      <w:numFmt w:val="bullet"/>
      <w:lvlText w:val=""/>
      <w:lvlJc w:val="left"/>
      <w:pPr>
        <w:tabs>
          <w:tab w:val="num" w:pos="3305"/>
        </w:tabs>
        <w:ind w:left="3305" w:hanging="360"/>
      </w:pPr>
      <w:rPr>
        <w:rFonts w:ascii="Symbol" w:hAnsi="Symbol" w:hint="default"/>
      </w:rPr>
    </w:lvl>
    <w:lvl w:ilvl="4" w:tplc="04090003">
      <w:start w:val="1"/>
      <w:numFmt w:val="bullet"/>
      <w:lvlText w:val="o"/>
      <w:lvlJc w:val="left"/>
      <w:pPr>
        <w:tabs>
          <w:tab w:val="num" w:pos="4025"/>
        </w:tabs>
        <w:ind w:left="4025" w:hanging="360"/>
      </w:pPr>
      <w:rPr>
        <w:rFonts w:ascii="Courier New" w:hAnsi="Courier New" w:cs="Courier New" w:hint="default"/>
      </w:rPr>
    </w:lvl>
    <w:lvl w:ilvl="5" w:tplc="04090005">
      <w:start w:val="1"/>
      <w:numFmt w:val="bullet"/>
      <w:lvlText w:val=""/>
      <w:lvlJc w:val="left"/>
      <w:pPr>
        <w:tabs>
          <w:tab w:val="num" w:pos="4745"/>
        </w:tabs>
        <w:ind w:left="4745" w:hanging="360"/>
      </w:pPr>
      <w:rPr>
        <w:rFonts w:ascii="Wingdings" w:hAnsi="Wingdings" w:hint="default"/>
      </w:rPr>
    </w:lvl>
    <w:lvl w:ilvl="6" w:tplc="04090001">
      <w:start w:val="1"/>
      <w:numFmt w:val="bullet"/>
      <w:lvlText w:val=""/>
      <w:lvlJc w:val="left"/>
      <w:pPr>
        <w:tabs>
          <w:tab w:val="num" w:pos="5465"/>
        </w:tabs>
        <w:ind w:left="5465" w:hanging="360"/>
      </w:pPr>
      <w:rPr>
        <w:rFonts w:ascii="Symbol" w:hAnsi="Symbol" w:hint="default"/>
      </w:rPr>
    </w:lvl>
    <w:lvl w:ilvl="7" w:tplc="04090003">
      <w:start w:val="1"/>
      <w:numFmt w:val="bullet"/>
      <w:lvlText w:val="o"/>
      <w:lvlJc w:val="left"/>
      <w:pPr>
        <w:tabs>
          <w:tab w:val="num" w:pos="6185"/>
        </w:tabs>
        <w:ind w:left="6185" w:hanging="360"/>
      </w:pPr>
      <w:rPr>
        <w:rFonts w:ascii="Courier New" w:hAnsi="Courier New" w:cs="Courier New" w:hint="default"/>
      </w:rPr>
    </w:lvl>
    <w:lvl w:ilvl="8" w:tplc="04090005">
      <w:start w:val="1"/>
      <w:numFmt w:val="bullet"/>
      <w:lvlText w:val=""/>
      <w:lvlJc w:val="left"/>
      <w:pPr>
        <w:tabs>
          <w:tab w:val="num" w:pos="6905"/>
        </w:tabs>
        <w:ind w:left="6905" w:hanging="360"/>
      </w:pPr>
      <w:rPr>
        <w:rFonts w:ascii="Wingdings" w:hAnsi="Wingdings" w:hint="default"/>
      </w:rPr>
    </w:lvl>
  </w:abstractNum>
  <w:abstractNum w:abstractNumId="5" w15:restartNumberingAfterBreak="0">
    <w:nsid w:val="58D40872"/>
    <w:multiLevelType w:val="hybridMultilevel"/>
    <w:tmpl w:val="60DA1DF4"/>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6D214727"/>
    <w:multiLevelType w:val="hybridMultilevel"/>
    <w:tmpl w:val="E22C2FF6"/>
    <w:lvl w:ilvl="0" w:tplc="FEEAE6C2">
      <w:start w:val="1"/>
      <w:numFmt w:val="bullet"/>
      <w:lvlText w:val=""/>
      <w:lvlJc w:val="left"/>
      <w:pPr>
        <w:tabs>
          <w:tab w:val="num" w:pos="850"/>
        </w:tabs>
        <w:ind w:left="850" w:hanging="425"/>
      </w:pPr>
      <w:rPr>
        <w:rFonts w:ascii="Symbol" w:hAnsi="Symbol" w:hint="default"/>
      </w:rPr>
    </w:lvl>
    <w:lvl w:ilvl="1" w:tplc="04090003">
      <w:start w:val="1"/>
      <w:numFmt w:val="bullet"/>
      <w:lvlText w:val="o"/>
      <w:lvlJc w:val="left"/>
      <w:pPr>
        <w:tabs>
          <w:tab w:val="num" w:pos="1865"/>
        </w:tabs>
        <w:ind w:left="1865" w:hanging="360"/>
      </w:pPr>
      <w:rPr>
        <w:rFonts w:ascii="Courier New" w:hAnsi="Courier New" w:cs="Courier New" w:hint="default"/>
      </w:rPr>
    </w:lvl>
    <w:lvl w:ilvl="2" w:tplc="04090005">
      <w:start w:val="1"/>
      <w:numFmt w:val="bullet"/>
      <w:lvlText w:val=""/>
      <w:lvlJc w:val="left"/>
      <w:pPr>
        <w:tabs>
          <w:tab w:val="num" w:pos="2585"/>
        </w:tabs>
        <w:ind w:left="2585" w:hanging="360"/>
      </w:pPr>
      <w:rPr>
        <w:rFonts w:ascii="Wingdings" w:hAnsi="Wingdings" w:hint="default"/>
      </w:rPr>
    </w:lvl>
    <w:lvl w:ilvl="3" w:tplc="04090001">
      <w:start w:val="1"/>
      <w:numFmt w:val="bullet"/>
      <w:lvlText w:val=""/>
      <w:lvlJc w:val="left"/>
      <w:pPr>
        <w:tabs>
          <w:tab w:val="num" w:pos="3305"/>
        </w:tabs>
        <w:ind w:left="3305" w:hanging="360"/>
      </w:pPr>
      <w:rPr>
        <w:rFonts w:ascii="Symbol" w:hAnsi="Symbol" w:hint="default"/>
      </w:rPr>
    </w:lvl>
    <w:lvl w:ilvl="4" w:tplc="04090003">
      <w:start w:val="1"/>
      <w:numFmt w:val="bullet"/>
      <w:lvlText w:val="o"/>
      <w:lvlJc w:val="left"/>
      <w:pPr>
        <w:tabs>
          <w:tab w:val="num" w:pos="4025"/>
        </w:tabs>
        <w:ind w:left="4025" w:hanging="360"/>
      </w:pPr>
      <w:rPr>
        <w:rFonts w:ascii="Courier New" w:hAnsi="Courier New" w:cs="Courier New" w:hint="default"/>
      </w:rPr>
    </w:lvl>
    <w:lvl w:ilvl="5" w:tplc="04090005">
      <w:start w:val="1"/>
      <w:numFmt w:val="bullet"/>
      <w:lvlText w:val=""/>
      <w:lvlJc w:val="left"/>
      <w:pPr>
        <w:tabs>
          <w:tab w:val="num" w:pos="4745"/>
        </w:tabs>
        <w:ind w:left="4745" w:hanging="360"/>
      </w:pPr>
      <w:rPr>
        <w:rFonts w:ascii="Wingdings" w:hAnsi="Wingdings" w:hint="default"/>
      </w:rPr>
    </w:lvl>
    <w:lvl w:ilvl="6" w:tplc="04090001">
      <w:start w:val="1"/>
      <w:numFmt w:val="bullet"/>
      <w:lvlText w:val=""/>
      <w:lvlJc w:val="left"/>
      <w:pPr>
        <w:tabs>
          <w:tab w:val="num" w:pos="5465"/>
        </w:tabs>
        <w:ind w:left="5465" w:hanging="360"/>
      </w:pPr>
      <w:rPr>
        <w:rFonts w:ascii="Symbol" w:hAnsi="Symbol" w:hint="default"/>
      </w:rPr>
    </w:lvl>
    <w:lvl w:ilvl="7" w:tplc="04090003">
      <w:start w:val="1"/>
      <w:numFmt w:val="bullet"/>
      <w:lvlText w:val="o"/>
      <w:lvlJc w:val="left"/>
      <w:pPr>
        <w:tabs>
          <w:tab w:val="num" w:pos="6185"/>
        </w:tabs>
        <w:ind w:left="6185" w:hanging="360"/>
      </w:pPr>
      <w:rPr>
        <w:rFonts w:ascii="Courier New" w:hAnsi="Courier New" w:cs="Courier New" w:hint="default"/>
      </w:rPr>
    </w:lvl>
    <w:lvl w:ilvl="8" w:tplc="04090005">
      <w:start w:val="1"/>
      <w:numFmt w:val="bullet"/>
      <w:lvlText w:val=""/>
      <w:lvlJc w:val="left"/>
      <w:pPr>
        <w:tabs>
          <w:tab w:val="num" w:pos="6905"/>
        </w:tabs>
        <w:ind w:left="6905" w:hanging="360"/>
      </w:pPr>
      <w:rPr>
        <w:rFonts w:ascii="Wingdings" w:hAnsi="Wingdings" w:hint="default"/>
      </w:rPr>
    </w:lvl>
  </w:abstractNum>
  <w:abstractNum w:abstractNumId="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7"/>
  </w:num>
  <w:num w:numId="2">
    <w:abstractNumId w:val="4"/>
    <w:lvlOverride w:ilvl="0"/>
    <w:lvlOverride w:ilvl="1"/>
    <w:lvlOverride w:ilvl="2"/>
    <w:lvlOverride w:ilvl="3"/>
    <w:lvlOverride w:ilvl="4"/>
    <w:lvlOverride w:ilvl="5"/>
    <w:lvlOverride w:ilvl="6"/>
    <w:lvlOverride w:ilvl="7"/>
    <w:lvlOverride w:ilvl="8"/>
  </w:num>
  <w:num w:numId="3">
    <w:abstractNumId w:val="6"/>
    <w:lvlOverride w:ilvl="0"/>
    <w:lvlOverride w:ilvl="1"/>
    <w:lvlOverride w:ilvl="2"/>
    <w:lvlOverride w:ilvl="3"/>
    <w:lvlOverride w:ilvl="4"/>
    <w:lvlOverride w:ilvl="5"/>
    <w:lvlOverride w:ilvl="6"/>
    <w:lvlOverride w:ilvl="7"/>
    <w:lvlOverride w:ilvl="8"/>
  </w:num>
  <w:num w:numId="4">
    <w:abstractNumId w:val="5"/>
    <w:lvlOverride w:ilvl="0"/>
    <w:lvlOverride w:ilvl="1"/>
    <w:lvlOverride w:ilvl="2"/>
    <w:lvlOverride w:ilvl="3"/>
    <w:lvlOverride w:ilvl="4"/>
    <w:lvlOverride w:ilvl="5"/>
    <w:lvlOverride w:ilvl="6"/>
    <w:lvlOverride w:ilvl="7"/>
    <w:lvlOverride w:ilvl="8"/>
  </w:num>
  <w:num w:numId="5">
    <w:abstractNumId w:val="0"/>
    <w:lvlOverride w:ilvl="0"/>
    <w:lvlOverride w:ilvl="1"/>
    <w:lvlOverride w:ilvl="2"/>
    <w:lvlOverride w:ilvl="3"/>
    <w:lvlOverride w:ilvl="4"/>
    <w:lvlOverride w:ilvl="5"/>
    <w:lvlOverride w:ilvl="6"/>
    <w:lvlOverride w:ilvl="7"/>
    <w:lvlOverride w:ilvl="8"/>
  </w:num>
  <w:num w:numId="6">
    <w:abstractNumId w:val="2"/>
    <w:lvlOverride w:ilvl="0"/>
    <w:lvlOverride w:ilvl="1"/>
    <w:lvlOverride w:ilvl="2"/>
    <w:lvlOverride w:ilvl="3"/>
    <w:lvlOverride w:ilvl="4"/>
    <w:lvlOverride w:ilvl="5"/>
    <w:lvlOverride w:ilvl="6"/>
    <w:lvlOverride w:ilvl="7"/>
    <w:lvlOverride w:ilvl="8"/>
  </w:num>
  <w:num w:numId="7">
    <w:abstractNumId w:val="1"/>
    <w:lvlOverride w:ilvl="0"/>
    <w:lvlOverride w:ilvl="1"/>
    <w:lvlOverride w:ilvl="2"/>
    <w:lvlOverride w:ilvl="3"/>
    <w:lvlOverride w:ilvl="4"/>
    <w:lvlOverride w:ilvl="5"/>
    <w:lvlOverride w:ilvl="6"/>
    <w:lvlOverride w:ilvl="7"/>
    <w:lvlOverride w:ilvl="8"/>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366636"/>
    <w:rsid w:val="00367DE6"/>
    <w:rsid w:val="003B3E19"/>
    <w:rsid w:val="004076C6"/>
    <w:rsid w:val="00457A58"/>
    <w:rsid w:val="004B7F76"/>
    <w:rsid w:val="004C7110"/>
    <w:rsid w:val="004E1BCE"/>
    <w:rsid w:val="00592079"/>
    <w:rsid w:val="00594080"/>
    <w:rsid w:val="00682FFE"/>
    <w:rsid w:val="00684751"/>
    <w:rsid w:val="006C69EC"/>
    <w:rsid w:val="007039D0"/>
    <w:rsid w:val="00767987"/>
    <w:rsid w:val="00782FD4"/>
    <w:rsid w:val="007E1230"/>
    <w:rsid w:val="00811140"/>
    <w:rsid w:val="008850E7"/>
    <w:rsid w:val="00904A48"/>
    <w:rsid w:val="00980294"/>
    <w:rsid w:val="009C5392"/>
    <w:rsid w:val="009C657E"/>
    <w:rsid w:val="00A16E6F"/>
    <w:rsid w:val="00A50E4B"/>
    <w:rsid w:val="00A56EFB"/>
    <w:rsid w:val="00A9231D"/>
    <w:rsid w:val="00AD3BB3"/>
    <w:rsid w:val="00B758A7"/>
    <w:rsid w:val="00C0216A"/>
    <w:rsid w:val="00C531ED"/>
    <w:rsid w:val="00C73DC9"/>
    <w:rsid w:val="00CD6077"/>
    <w:rsid w:val="00CE234E"/>
    <w:rsid w:val="00D02973"/>
    <w:rsid w:val="00D073BB"/>
    <w:rsid w:val="00DA09BE"/>
    <w:rsid w:val="00E2433D"/>
    <w:rsid w:val="00E83A83"/>
    <w:rsid w:val="00F1437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1771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4954</Words>
  <Characters>28239</Characters>
  <Application>Microsoft Office Word</Application>
  <DocSecurity>0</DocSecurity>
  <Lines>235</Lines>
  <Paragraphs>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33127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2023-06-08T06:19:00Z</dcterms:created>
  <dcterms:modified xsi:type="dcterms:W3CDTF">2023-06-08T06:19:00Z</dcterms:modified>
</cp:coreProperties>
</file>