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C657E" w:rsidRPr="002760DC" w:rsidRDefault="009C657E" w:rsidP="009C657E">
      <w:pPr>
        <w:pStyle w:val="datumtevilka"/>
      </w:pPr>
      <w:bookmarkStart w:id="0" w:name="_Hlk61014710"/>
      <w:bookmarkEnd w:id="0"/>
      <w:r w:rsidRPr="002760DC">
        <w:rPr>
          <w:rFonts w:cs="Arial"/>
          <w:color w:val="000000"/>
        </w:rPr>
        <w:t>EVA:</w:t>
      </w:r>
      <w:r w:rsidRPr="002760DC">
        <w:rPr>
          <w:rFonts w:cs="Arial"/>
          <w:color w:val="000000"/>
        </w:rPr>
        <w:tab/>
      </w:r>
      <w:r w:rsidR="004941AA">
        <w:rPr>
          <w:rFonts w:cs="Arial"/>
          <w:color w:val="000000"/>
        </w:rPr>
        <w:t>2022-2611-0014</w:t>
      </w:r>
    </w:p>
    <w:p w:rsidR="009C657E" w:rsidRPr="002760DC" w:rsidRDefault="009C657E" w:rsidP="009C657E">
      <w:pPr>
        <w:pStyle w:val="datumtevilka"/>
      </w:pPr>
      <w:r w:rsidRPr="002760DC">
        <w:t xml:space="preserve">Številka: </w:t>
      </w:r>
      <w:r w:rsidRPr="002760DC">
        <w:tab/>
      </w:r>
      <w:r w:rsidR="004941AA">
        <w:rPr>
          <w:rFonts w:cs="Arial"/>
          <w:color w:val="000000"/>
        </w:rPr>
        <w:t>00704-372/2022/18</w:t>
      </w:r>
    </w:p>
    <w:p w:rsidR="009C657E" w:rsidRPr="002760DC" w:rsidRDefault="009C657E" w:rsidP="009C657E">
      <w:pPr>
        <w:pStyle w:val="datumtevilka"/>
      </w:pPr>
      <w:r>
        <w:t>Datum:</w:t>
      </w:r>
      <w:r w:rsidRPr="002760DC">
        <w:tab/>
      </w:r>
      <w:r w:rsidR="004941AA">
        <w:rPr>
          <w:rFonts w:cs="Arial"/>
          <w:color w:val="000000"/>
        </w:rPr>
        <w:t>5. 1. 2023</w:t>
      </w:r>
      <w:r w:rsidRPr="002760DC">
        <w:t xml:space="preserve"> </w:t>
      </w:r>
    </w:p>
    <w:p w:rsidR="009C657E" w:rsidRDefault="009C657E" w:rsidP="009C657E"/>
    <w:p w:rsidR="00CD410D" w:rsidRPr="002760DC" w:rsidRDefault="00CD410D" w:rsidP="009C657E"/>
    <w:p w:rsidR="009C657E" w:rsidRDefault="009C657E" w:rsidP="009C657E">
      <w:pPr>
        <w:autoSpaceDE w:val="0"/>
        <w:autoSpaceDN w:val="0"/>
        <w:adjustRightInd w:val="0"/>
        <w:rPr>
          <w:rFonts w:cs="Arial"/>
          <w:color w:val="000000"/>
          <w:szCs w:val="20"/>
        </w:rPr>
      </w:pPr>
    </w:p>
    <w:p w:rsidR="006B2A57" w:rsidRPr="00CD410D" w:rsidRDefault="006B2A57" w:rsidP="00CD410D">
      <w:pPr>
        <w:tabs>
          <w:tab w:val="left" w:pos="7920"/>
        </w:tabs>
        <w:autoSpaceDE w:val="0"/>
        <w:autoSpaceDN w:val="0"/>
        <w:adjustRightInd w:val="0"/>
        <w:ind w:left="709" w:hanging="709"/>
        <w:jc w:val="center"/>
        <w:rPr>
          <w:rFonts w:cs="Arial"/>
          <w:b/>
          <w:color w:val="000000"/>
          <w:szCs w:val="20"/>
        </w:rPr>
      </w:pPr>
      <w:r w:rsidRPr="00CD410D">
        <w:rPr>
          <w:rFonts w:cs="Arial"/>
          <w:b/>
          <w:color w:val="000000"/>
          <w:szCs w:val="20"/>
        </w:rPr>
        <w:t>Predlogi amandmajev k Predlogu zakona o dostopnosti do proizvodov in storitev za invalide</w:t>
      </w:r>
    </w:p>
    <w:p w:rsidR="006B2A57" w:rsidRPr="002760DC" w:rsidRDefault="006B2A57" w:rsidP="009C657E">
      <w:pPr>
        <w:tabs>
          <w:tab w:val="left" w:pos="7920"/>
        </w:tabs>
        <w:autoSpaceDE w:val="0"/>
        <w:autoSpaceDN w:val="0"/>
        <w:adjustRightInd w:val="0"/>
        <w:jc w:val="both"/>
        <w:rPr>
          <w:rFonts w:cs="Arial"/>
          <w:color w:val="000000"/>
          <w:szCs w:val="20"/>
        </w:rPr>
      </w:pPr>
    </w:p>
    <w:p w:rsidR="009C657E" w:rsidRPr="002760DC" w:rsidRDefault="009C657E" w:rsidP="009C657E">
      <w:pPr>
        <w:tabs>
          <w:tab w:val="left" w:pos="5570"/>
        </w:tabs>
        <w:autoSpaceDE w:val="0"/>
        <w:autoSpaceDN w:val="0"/>
        <w:adjustRightInd w:val="0"/>
        <w:rPr>
          <w:rFonts w:cs="Arial"/>
          <w:color w:val="000000"/>
          <w:szCs w:val="20"/>
        </w:rPr>
      </w:pPr>
    </w:p>
    <w:p w:rsidR="00CD410D" w:rsidRDefault="00CD410D" w:rsidP="00CD410D">
      <w:pPr>
        <w:rPr>
          <w:rFonts w:ascii="Helv" w:hAnsi="Helv" w:cs="Helv"/>
          <w:color w:val="000000"/>
          <w:szCs w:val="20"/>
        </w:rPr>
      </w:pPr>
    </w:p>
    <w:p w:rsidR="00CD410D" w:rsidRDefault="00CD410D" w:rsidP="00CD410D">
      <w:pPr>
        <w:jc w:val="both"/>
        <w:rPr>
          <w:rFonts w:cs="Arial"/>
          <w:b/>
          <w:bCs/>
          <w:szCs w:val="20"/>
          <w:u w:val="single"/>
          <w:lang w:eastAsia="sl-SI"/>
        </w:rPr>
      </w:pPr>
      <w:r>
        <w:rPr>
          <w:rFonts w:cs="Arial"/>
          <w:b/>
          <w:bCs/>
          <w:szCs w:val="20"/>
          <w:u w:val="single"/>
          <w:lang w:eastAsia="sl-SI"/>
        </w:rPr>
        <w:t>Amandma k 3. členu:</w:t>
      </w:r>
    </w:p>
    <w:p w:rsidR="00CD410D" w:rsidRDefault="00CD410D" w:rsidP="00CD410D">
      <w:pPr>
        <w:jc w:val="both"/>
        <w:rPr>
          <w:rFonts w:cs="Arial"/>
          <w:b/>
          <w:szCs w:val="20"/>
          <w:lang w:eastAsia="sl-SI"/>
        </w:rPr>
      </w:pPr>
    </w:p>
    <w:p w:rsidR="00CD410D" w:rsidRDefault="00CD410D" w:rsidP="00CD410D">
      <w:pPr>
        <w:jc w:val="both"/>
        <w:rPr>
          <w:rFonts w:cs="Arial"/>
          <w:bCs/>
          <w:szCs w:val="20"/>
          <w:lang w:eastAsia="sl-SI"/>
        </w:rPr>
      </w:pPr>
      <w:r>
        <w:rPr>
          <w:rFonts w:cs="Arial"/>
          <w:bCs/>
          <w:szCs w:val="20"/>
          <w:lang w:eastAsia="sl-SI"/>
        </w:rPr>
        <w:t>V 3. členu se v drugem odstavku v točki č) črta besedilo »ki so na ozemlju Evropske unije«.</w:t>
      </w:r>
    </w:p>
    <w:p w:rsidR="00CD410D" w:rsidRDefault="00CD410D" w:rsidP="00CD410D">
      <w:pPr>
        <w:jc w:val="both"/>
        <w:rPr>
          <w:rFonts w:cs="Arial"/>
          <w:bCs/>
          <w:szCs w:val="20"/>
          <w:lang w:eastAsia="sl-SI"/>
        </w:rPr>
      </w:pPr>
    </w:p>
    <w:p w:rsidR="00CD410D" w:rsidRDefault="00CD410D" w:rsidP="00CD410D">
      <w:pPr>
        <w:jc w:val="both"/>
        <w:rPr>
          <w:rFonts w:cs="Arial"/>
          <w:bCs/>
          <w:szCs w:val="20"/>
          <w:lang w:eastAsia="sl-SI"/>
        </w:rPr>
      </w:pPr>
      <w:r>
        <w:rPr>
          <w:rFonts w:cs="Arial"/>
          <w:bCs/>
          <w:szCs w:val="20"/>
          <w:lang w:eastAsia="sl-SI"/>
        </w:rPr>
        <w:t>V drugem odstavku se v točki d) črta besedilo »na ozemlju Evropske unije«.</w:t>
      </w:r>
    </w:p>
    <w:p w:rsidR="00CD410D" w:rsidRDefault="00CD410D" w:rsidP="00CD410D">
      <w:pPr>
        <w:jc w:val="both"/>
        <w:rPr>
          <w:rFonts w:cs="Arial"/>
          <w:bCs/>
          <w:szCs w:val="20"/>
          <w:lang w:eastAsia="sl-SI"/>
        </w:rPr>
      </w:pPr>
    </w:p>
    <w:p w:rsidR="00CD410D" w:rsidRDefault="00CD410D" w:rsidP="00CD410D">
      <w:pPr>
        <w:jc w:val="both"/>
        <w:rPr>
          <w:rFonts w:cs="Arial"/>
          <w:bCs/>
          <w:szCs w:val="20"/>
          <w:lang w:eastAsia="sl-SI"/>
        </w:rPr>
      </w:pPr>
      <w:r>
        <w:rPr>
          <w:rFonts w:cs="Arial"/>
          <w:bCs/>
          <w:szCs w:val="20"/>
          <w:lang w:eastAsia="sl-SI"/>
        </w:rPr>
        <w:t>V četrtem odstavku se za besedilom »predpisi, ki urejajo« doda besedilo »uporabo in prilagoditev objektov v javni rabi ter«.</w:t>
      </w:r>
    </w:p>
    <w:p w:rsidR="00CD410D" w:rsidRDefault="00CD410D" w:rsidP="00CD410D">
      <w:pPr>
        <w:jc w:val="both"/>
        <w:rPr>
          <w:rFonts w:cs="Arial"/>
          <w:bCs/>
          <w:szCs w:val="20"/>
          <w:lang w:eastAsia="sl-SI"/>
        </w:rPr>
      </w:pPr>
    </w:p>
    <w:p w:rsidR="00CD410D" w:rsidRDefault="00CD410D" w:rsidP="00CD410D">
      <w:pPr>
        <w:jc w:val="both"/>
        <w:rPr>
          <w:rFonts w:cs="Arial"/>
          <w:bCs/>
          <w:szCs w:val="20"/>
          <w:u w:val="single"/>
          <w:lang w:eastAsia="sl-SI"/>
        </w:rPr>
      </w:pPr>
      <w:r>
        <w:rPr>
          <w:rFonts w:cs="Arial"/>
          <w:bCs/>
          <w:szCs w:val="20"/>
          <w:u w:val="single"/>
          <w:lang w:eastAsia="sl-SI"/>
        </w:rPr>
        <w:t>Obrazložitev:</w:t>
      </w:r>
    </w:p>
    <w:p w:rsidR="00CD410D" w:rsidRDefault="00CD410D" w:rsidP="00CD410D">
      <w:pPr>
        <w:jc w:val="both"/>
        <w:rPr>
          <w:rFonts w:cs="Arial"/>
          <w:bCs/>
          <w:szCs w:val="20"/>
          <w:lang w:eastAsia="sl-SI"/>
        </w:rPr>
      </w:pPr>
      <w:r>
        <w:rPr>
          <w:rFonts w:cs="Arial"/>
          <w:bCs/>
          <w:szCs w:val="20"/>
          <w:lang w:eastAsia="sl-SI"/>
        </w:rPr>
        <w:t>Amandma črta nepotrebno opredelitev ozemlja Evropske unije</w:t>
      </w:r>
      <w:bookmarkStart w:id="1" w:name="_Hlk83203252"/>
      <w:r>
        <w:rPr>
          <w:rFonts w:cs="Arial"/>
          <w:bCs/>
          <w:szCs w:val="20"/>
          <w:lang w:eastAsia="sl-SI"/>
        </w:rPr>
        <w:t xml:space="preserve"> in natančno ureja, kateri predpisi se uporabljajo za dostop do grajenega okolja. </w:t>
      </w:r>
    </w:p>
    <w:p w:rsidR="00CD410D" w:rsidRDefault="00CD410D" w:rsidP="00CD410D">
      <w:pPr>
        <w:jc w:val="both"/>
        <w:rPr>
          <w:rFonts w:cs="Arial"/>
          <w:b/>
          <w:bCs/>
          <w:szCs w:val="20"/>
          <w:lang w:eastAsia="sl-SI"/>
        </w:rPr>
      </w:pPr>
      <w:r>
        <w:rPr>
          <w:rFonts w:cs="Arial"/>
          <w:b/>
          <w:bCs/>
          <w:szCs w:val="20"/>
          <w:u w:val="single"/>
          <w:lang w:eastAsia="sl-SI"/>
        </w:rPr>
        <w:t>Amandma k 7. členu</w:t>
      </w:r>
      <w:bookmarkEnd w:id="1"/>
      <w:r>
        <w:rPr>
          <w:rFonts w:cs="Arial"/>
          <w:b/>
          <w:bCs/>
          <w:szCs w:val="20"/>
          <w:lang w:eastAsia="sl-SI"/>
        </w:rPr>
        <w:t xml:space="preserve">: </w:t>
      </w:r>
    </w:p>
    <w:p w:rsidR="00CD410D" w:rsidRDefault="00CD410D" w:rsidP="00CD410D">
      <w:pPr>
        <w:jc w:val="both"/>
        <w:rPr>
          <w:rFonts w:cs="Arial"/>
          <w:b/>
          <w:bCs/>
          <w:szCs w:val="20"/>
          <w:lang w:eastAsia="sl-SI"/>
        </w:rPr>
      </w:pPr>
    </w:p>
    <w:p w:rsidR="00CD410D" w:rsidRDefault="00CD410D" w:rsidP="00CD410D">
      <w:pPr>
        <w:jc w:val="both"/>
        <w:rPr>
          <w:rFonts w:cs="Arial"/>
          <w:bCs/>
          <w:szCs w:val="20"/>
          <w:lang w:eastAsia="sl-SI"/>
        </w:rPr>
      </w:pPr>
      <w:r>
        <w:rPr>
          <w:rFonts w:cs="Arial"/>
          <w:bCs/>
          <w:szCs w:val="20"/>
          <w:lang w:eastAsia="sl-SI"/>
        </w:rPr>
        <w:t xml:space="preserve">V 7. členu se prvi odstavek spremeni tako, da se glasi: </w:t>
      </w:r>
    </w:p>
    <w:p w:rsidR="00CD410D" w:rsidRDefault="00CD410D" w:rsidP="00CD410D">
      <w:pPr>
        <w:jc w:val="both"/>
        <w:rPr>
          <w:rFonts w:cs="Arial"/>
          <w:bCs/>
          <w:szCs w:val="20"/>
          <w:lang w:eastAsia="sl-SI"/>
        </w:rPr>
      </w:pPr>
      <w:r>
        <w:rPr>
          <w:rFonts w:cs="Arial"/>
          <w:bCs/>
          <w:szCs w:val="20"/>
          <w:lang w:eastAsia="sl-SI"/>
        </w:rPr>
        <w:t xml:space="preserve">»(1) Proizvodi iz prvega odstavka 3. člena tega zakona morajo izpolnjevati naslednje splošne pogoje glede dostopnosti: </w:t>
      </w:r>
    </w:p>
    <w:p w:rsidR="00CD410D" w:rsidRDefault="00CD410D" w:rsidP="00CD410D">
      <w:pPr>
        <w:jc w:val="both"/>
        <w:rPr>
          <w:rFonts w:cs="Arial"/>
          <w:bCs/>
          <w:szCs w:val="20"/>
          <w:lang w:eastAsia="sl-SI"/>
        </w:rPr>
      </w:pPr>
      <w:r>
        <w:rPr>
          <w:rFonts w:cs="Arial"/>
          <w:bCs/>
          <w:szCs w:val="20"/>
          <w:lang w:eastAsia="sl-SI"/>
        </w:rPr>
        <w:t xml:space="preserve">-        načrtovani, proizvedeni in označeni morajo biti tako, da se zagotovi predvidljiva uporaba za invalide, priložene morajo biti dostopne informacije o delovanju in elementih dostopnosti, </w:t>
      </w:r>
    </w:p>
    <w:p w:rsidR="00CD410D" w:rsidRDefault="00CD410D" w:rsidP="00CD410D">
      <w:pPr>
        <w:jc w:val="both"/>
        <w:rPr>
          <w:rFonts w:cs="Arial"/>
          <w:bCs/>
          <w:szCs w:val="20"/>
          <w:lang w:eastAsia="sl-SI"/>
        </w:rPr>
      </w:pPr>
      <w:r>
        <w:rPr>
          <w:rFonts w:cs="Arial"/>
          <w:bCs/>
          <w:szCs w:val="20"/>
          <w:lang w:eastAsia="sl-SI"/>
        </w:rPr>
        <w:t xml:space="preserve">-        uporabniški vmesnik in oblikovanje funkcionalnosti, ki invalidom omogočajo dostop do proizvoda ter njegovo zaznavanje, upravljanje, razumevanje in nadzor, </w:t>
      </w:r>
    </w:p>
    <w:p w:rsidR="00CD410D" w:rsidRDefault="00CD410D" w:rsidP="00CD410D">
      <w:pPr>
        <w:jc w:val="both"/>
        <w:rPr>
          <w:rFonts w:cs="Arial"/>
          <w:bCs/>
          <w:szCs w:val="20"/>
          <w:lang w:eastAsia="sl-SI"/>
        </w:rPr>
      </w:pPr>
      <w:r>
        <w:rPr>
          <w:rFonts w:cs="Arial"/>
          <w:bCs/>
          <w:szCs w:val="20"/>
          <w:lang w:eastAsia="sl-SI"/>
        </w:rPr>
        <w:t xml:space="preserve">-        podporne storitve in </w:t>
      </w:r>
    </w:p>
    <w:p w:rsidR="00CD410D" w:rsidRDefault="00CD410D" w:rsidP="00CD410D">
      <w:pPr>
        <w:jc w:val="both"/>
        <w:rPr>
          <w:rFonts w:cs="Arial"/>
          <w:bCs/>
          <w:szCs w:val="20"/>
          <w:lang w:eastAsia="sl-SI"/>
        </w:rPr>
      </w:pPr>
      <w:r>
        <w:rPr>
          <w:rFonts w:cs="Arial"/>
          <w:bCs/>
          <w:szCs w:val="20"/>
          <w:lang w:eastAsia="sl-SI"/>
        </w:rPr>
        <w:t>-        dostopnost embalaže in navodil za uporabo proizvodov.«.</w:t>
      </w:r>
    </w:p>
    <w:p w:rsidR="00CD410D" w:rsidRDefault="00CD410D" w:rsidP="00CD410D">
      <w:pPr>
        <w:jc w:val="both"/>
        <w:rPr>
          <w:rFonts w:cs="Arial"/>
          <w:bCs/>
          <w:szCs w:val="20"/>
          <w:lang w:eastAsia="sl-SI"/>
        </w:rPr>
      </w:pPr>
    </w:p>
    <w:p w:rsidR="00CD410D" w:rsidRDefault="00CD410D" w:rsidP="00CD410D">
      <w:pPr>
        <w:jc w:val="both"/>
        <w:rPr>
          <w:rFonts w:cs="Arial"/>
          <w:bCs/>
          <w:szCs w:val="20"/>
          <w:lang w:eastAsia="sl-SI"/>
        </w:rPr>
      </w:pPr>
      <w:r>
        <w:rPr>
          <w:rFonts w:cs="Arial"/>
          <w:bCs/>
          <w:szCs w:val="20"/>
          <w:lang w:eastAsia="sl-SI"/>
        </w:rPr>
        <w:t xml:space="preserve">Tretji odstavek se spremeni tako, da se glasi: </w:t>
      </w:r>
    </w:p>
    <w:p w:rsidR="00CD410D" w:rsidRDefault="00CD410D" w:rsidP="00CD410D">
      <w:pPr>
        <w:jc w:val="both"/>
        <w:rPr>
          <w:rFonts w:cs="Arial"/>
          <w:bCs/>
          <w:szCs w:val="20"/>
          <w:lang w:eastAsia="sl-SI"/>
        </w:rPr>
      </w:pPr>
      <w:r>
        <w:rPr>
          <w:rFonts w:cs="Arial"/>
          <w:bCs/>
          <w:szCs w:val="20"/>
          <w:lang w:eastAsia="sl-SI"/>
        </w:rPr>
        <w:t>»(3) Podrobnejše pogoje glede dostopnosti proizvodov iz prvega odstavka 3. člena tega zakona, označevanja in postopka ugotavljanja skladnosti predpiše minister, pristojen za trg.«.</w:t>
      </w:r>
    </w:p>
    <w:p w:rsidR="00CD410D" w:rsidRDefault="00CD410D" w:rsidP="00CD410D">
      <w:pPr>
        <w:jc w:val="both"/>
        <w:rPr>
          <w:rFonts w:cs="Arial"/>
          <w:bCs/>
          <w:szCs w:val="20"/>
          <w:lang w:eastAsia="sl-SI"/>
        </w:rPr>
      </w:pPr>
    </w:p>
    <w:p w:rsidR="00CD410D" w:rsidRDefault="00CD410D" w:rsidP="00CD410D">
      <w:pPr>
        <w:jc w:val="both"/>
        <w:rPr>
          <w:rFonts w:cs="Arial"/>
          <w:bCs/>
          <w:szCs w:val="20"/>
          <w:lang w:eastAsia="sl-SI"/>
        </w:rPr>
      </w:pPr>
      <w:r>
        <w:rPr>
          <w:rFonts w:cs="Arial"/>
          <w:bCs/>
          <w:szCs w:val="20"/>
          <w:u w:val="single"/>
          <w:lang w:eastAsia="sl-SI"/>
        </w:rPr>
        <w:t>Obrazložitev</w:t>
      </w:r>
      <w:r>
        <w:rPr>
          <w:rFonts w:cs="Arial"/>
          <w:bCs/>
          <w:szCs w:val="20"/>
          <w:lang w:eastAsia="sl-SI"/>
        </w:rPr>
        <w:t xml:space="preserve">: </w:t>
      </w:r>
    </w:p>
    <w:p w:rsidR="00CD410D" w:rsidRDefault="00CD410D" w:rsidP="00CD410D">
      <w:pPr>
        <w:jc w:val="both"/>
        <w:rPr>
          <w:rFonts w:cs="Arial"/>
          <w:bCs/>
          <w:szCs w:val="20"/>
          <w:lang w:eastAsia="sl-SI"/>
        </w:rPr>
      </w:pPr>
      <w:r>
        <w:rPr>
          <w:rFonts w:cs="Arial"/>
          <w:bCs/>
          <w:szCs w:val="20"/>
          <w:lang w:eastAsia="sl-SI"/>
        </w:rPr>
        <w:t xml:space="preserve">Z amandmajem se je natančneje opredelilo splošne pogoje za dostopnost do proizvodov ter natančneje določilo ministra pristojnega za sprejem podzakonskega akta, ki bo povzel pogoje glede dostopnosti za proizvode iz prvega odstavka 3. člena zakona (oddelek I, priloge I Direktive 2019/882). </w:t>
      </w:r>
    </w:p>
    <w:p w:rsidR="00CD410D" w:rsidRDefault="00CD410D" w:rsidP="00CD410D">
      <w:pPr>
        <w:jc w:val="both"/>
        <w:rPr>
          <w:rFonts w:cs="Arial"/>
          <w:bCs/>
          <w:szCs w:val="20"/>
          <w:lang w:eastAsia="sl-SI"/>
        </w:rPr>
      </w:pPr>
    </w:p>
    <w:p w:rsidR="00CD410D" w:rsidRDefault="00CD410D" w:rsidP="00CD410D">
      <w:pPr>
        <w:jc w:val="both"/>
        <w:rPr>
          <w:rFonts w:cs="Arial"/>
          <w:bCs/>
          <w:szCs w:val="20"/>
          <w:lang w:eastAsia="sl-SI"/>
        </w:rPr>
      </w:pPr>
    </w:p>
    <w:p w:rsidR="00CD410D" w:rsidRDefault="00CD410D" w:rsidP="00CD410D">
      <w:pPr>
        <w:jc w:val="both"/>
        <w:rPr>
          <w:rFonts w:cs="Arial"/>
          <w:bCs/>
          <w:szCs w:val="20"/>
          <w:lang w:eastAsia="sl-SI"/>
        </w:rPr>
      </w:pPr>
    </w:p>
    <w:p w:rsidR="00CD410D" w:rsidRDefault="00CD410D" w:rsidP="00CD410D">
      <w:pPr>
        <w:jc w:val="both"/>
        <w:rPr>
          <w:rFonts w:cs="Arial"/>
          <w:bCs/>
          <w:szCs w:val="20"/>
          <w:lang w:eastAsia="sl-SI"/>
        </w:rPr>
      </w:pPr>
    </w:p>
    <w:p w:rsidR="00CD410D" w:rsidRDefault="00CD410D" w:rsidP="00CD410D">
      <w:pPr>
        <w:jc w:val="both"/>
        <w:rPr>
          <w:rFonts w:cs="Arial"/>
          <w:bCs/>
          <w:szCs w:val="20"/>
          <w:lang w:eastAsia="sl-SI"/>
        </w:rPr>
      </w:pPr>
    </w:p>
    <w:p w:rsidR="00CD410D" w:rsidRDefault="00CD410D" w:rsidP="00CD410D">
      <w:pPr>
        <w:jc w:val="both"/>
        <w:rPr>
          <w:rFonts w:cs="Arial"/>
          <w:b/>
          <w:bCs/>
          <w:szCs w:val="20"/>
          <w:u w:val="single"/>
          <w:lang w:eastAsia="sl-SI"/>
        </w:rPr>
      </w:pPr>
      <w:bookmarkStart w:id="2" w:name="_Hlk123645480"/>
      <w:r>
        <w:rPr>
          <w:rFonts w:cs="Arial"/>
          <w:b/>
          <w:bCs/>
          <w:szCs w:val="20"/>
          <w:u w:val="single"/>
          <w:lang w:eastAsia="sl-SI"/>
        </w:rPr>
        <w:lastRenderedPageBreak/>
        <w:t>Amandma k 15. členu</w:t>
      </w:r>
    </w:p>
    <w:bookmarkEnd w:id="2"/>
    <w:p w:rsidR="00CD410D" w:rsidRDefault="00CD410D" w:rsidP="00CD410D">
      <w:pPr>
        <w:jc w:val="both"/>
        <w:rPr>
          <w:rFonts w:cs="Arial"/>
          <w:b/>
          <w:bCs/>
          <w:szCs w:val="20"/>
          <w:u w:val="single"/>
          <w:lang w:eastAsia="sl-SI"/>
        </w:rPr>
      </w:pPr>
    </w:p>
    <w:p w:rsidR="00CD410D" w:rsidRDefault="00CD410D" w:rsidP="00CD410D">
      <w:pPr>
        <w:jc w:val="both"/>
        <w:rPr>
          <w:rFonts w:cs="Arial"/>
          <w:bCs/>
          <w:szCs w:val="20"/>
          <w:lang w:eastAsia="sl-SI"/>
        </w:rPr>
      </w:pPr>
      <w:r>
        <w:rPr>
          <w:rFonts w:cs="Arial"/>
          <w:bCs/>
          <w:szCs w:val="20"/>
          <w:lang w:eastAsia="sl-SI"/>
        </w:rPr>
        <w:t xml:space="preserve">V 15. členu se v drugem odstavku 4. točka spremeni tako, da se glasi: </w:t>
      </w:r>
    </w:p>
    <w:p w:rsidR="00CD410D" w:rsidRDefault="00CD410D" w:rsidP="00CD410D">
      <w:pPr>
        <w:jc w:val="both"/>
        <w:rPr>
          <w:rFonts w:cs="Arial"/>
          <w:bCs/>
          <w:szCs w:val="20"/>
          <w:lang w:eastAsia="sl-SI"/>
        </w:rPr>
      </w:pPr>
      <w:r>
        <w:rPr>
          <w:rFonts w:cs="Arial"/>
          <w:bCs/>
          <w:szCs w:val="20"/>
          <w:lang w:eastAsia="sl-SI"/>
        </w:rPr>
        <w:t>»4. proizvod označi z oznako CE v skladu z evropskim predpisom, ki ureja splošna pravila za oznako CE in njeno namestitev,«.</w:t>
      </w:r>
    </w:p>
    <w:p w:rsidR="00CD410D" w:rsidRDefault="00CD410D" w:rsidP="00CD410D">
      <w:pPr>
        <w:jc w:val="both"/>
        <w:rPr>
          <w:rFonts w:cs="Arial"/>
          <w:bCs/>
          <w:szCs w:val="20"/>
          <w:lang w:eastAsia="sl-SI"/>
        </w:rPr>
      </w:pPr>
    </w:p>
    <w:p w:rsidR="00CD410D" w:rsidRDefault="00CD410D" w:rsidP="00CD410D">
      <w:pPr>
        <w:jc w:val="both"/>
        <w:rPr>
          <w:rFonts w:cs="Arial"/>
          <w:bCs/>
          <w:szCs w:val="20"/>
          <w:lang w:eastAsia="sl-SI"/>
        </w:rPr>
      </w:pPr>
      <w:r>
        <w:rPr>
          <w:rFonts w:cs="Arial"/>
          <w:bCs/>
          <w:szCs w:val="20"/>
          <w:lang w:eastAsia="sl-SI"/>
        </w:rPr>
        <w:t>Četrti odstavek se spremeni tako, da se glasi:</w:t>
      </w:r>
    </w:p>
    <w:p w:rsidR="00CD410D" w:rsidRDefault="00CD410D" w:rsidP="00CD410D">
      <w:pPr>
        <w:jc w:val="both"/>
        <w:rPr>
          <w:rFonts w:cs="Arial"/>
          <w:bCs/>
          <w:szCs w:val="20"/>
          <w:lang w:eastAsia="sl-SI"/>
        </w:rPr>
      </w:pPr>
      <w:r>
        <w:rPr>
          <w:rFonts w:cs="Arial"/>
          <w:bCs/>
          <w:szCs w:val="20"/>
          <w:lang w:eastAsia="sl-SI"/>
        </w:rPr>
        <w:t>»(4) Proizvajalec pristojnemu nadzornemu organu iz 26. člena drugega odstavka tega zakona, na zahtevo predloži vse informacije in dokumentacijo, potrebno za dokazovanje skladnosti proizvoda. S tem organom na njegovo zahtevo sodeluje pri ukrepih za odpravo neskladnosti proizvoda na trgu.«.</w:t>
      </w:r>
    </w:p>
    <w:p w:rsidR="00CD410D" w:rsidRDefault="00CD410D" w:rsidP="00CD410D">
      <w:pPr>
        <w:jc w:val="both"/>
        <w:rPr>
          <w:rFonts w:cs="Arial"/>
          <w:bCs/>
          <w:szCs w:val="20"/>
          <w:lang w:eastAsia="sl-SI"/>
        </w:rPr>
      </w:pPr>
    </w:p>
    <w:p w:rsidR="00CD410D" w:rsidRDefault="00CD410D" w:rsidP="00CD410D">
      <w:pPr>
        <w:jc w:val="both"/>
        <w:rPr>
          <w:rFonts w:cs="Arial"/>
          <w:bCs/>
          <w:szCs w:val="20"/>
          <w:u w:val="single"/>
          <w:lang w:eastAsia="sl-SI"/>
        </w:rPr>
      </w:pPr>
      <w:r>
        <w:rPr>
          <w:rFonts w:cs="Arial"/>
          <w:bCs/>
          <w:szCs w:val="20"/>
          <w:u w:val="single"/>
          <w:lang w:eastAsia="sl-SI"/>
        </w:rPr>
        <w:t xml:space="preserve">Obrazložitev: </w:t>
      </w:r>
    </w:p>
    <w:p w:rsidR="00CD410D" w:rsidRDefault="00CD410D" w:rsidP="00CD410D">
      <w:pPr>
        <w:jc w:val="both"/>
        <w:rPr>
          <w:rFonts w:cs="Arial"/>
          <w:bCs/>
          <w:szCs w:val="20"/>
          <w:lang w:eastAsia="sl-SI"/>
        </w:rPr>
      </w:pPr>
      <w:bookmarkStart w:id="3" w:name="_Hlk83208557"/>
      <w:r>
        <w:rPr>
          <w:rFonts w:cs="Arial"/>
          <w:bCs/>
          <w:szCs w:val="20"/>
          <w:lang w:eastAsia="sl-SI"/>
        </w:rPr>
        <w:t xml:space="preserve">Amandma natančneje opredeli pravila za oznako CE in njeno namestitev v </w:t>
      </w:r>
      <w:proofErr w:type="spellStart"/>
      <w:r>
        <w:rPr>
          <w:rFonts w:cs="Arial"/>
          <w:bCs/>
          <w:szCs w:val="20"/>
          <w:lang w:eastAsia="sl-SI"/>
        </w:rPr>
        <w:t>skaldu</w:t>
      </w:r>
      <w:proofErr w:type="spellEnd"/>
      <w:r>
        <w:rPr>
          <w:rFonts w:cs="Arial"/>
          <w:bCs/>
          <w:szCs w:val="20"/>
          <w:lang w:eastAsia="sl-SI"/>
        </w:rPr>
        <w:t xml:space="preserve"> z evropskimi predpisi. Ta pravila so določena v 30. členu Uredbe (ES) 765/2008. </w:t>
      </w:r>
    </w:p>
    <w:p w:rsidR="00CD410D" w:rsidRDefault="00CD410D" w:rsidP="00CD410D">
      <w:pPr>
        <w:jc w:val="both"/>
        <w:rPr>
          <w:rFonts w:cs="Arial"/>
          <w:bCs/>
          <w:szCs w:val="20"/>
          <w:lang w:eastAsia="sl-SI"/>
        </w:rPr>
      </w:pPr>
    </w:p>
    <w:p w:rsidR="00CD410D" w:rsidRDefault="00CD410D" w:rsidP="00CD410D">
      <w:pPr>
        <w:jc w:val="both"/>
        <w:rPr>
          <w:rFonts w:cs="Arial"/>
          <w:bCs/>
          <w:szCs w:val="20"/>
          <w:lang w:eastAsia="sl-SI"/>
        </w:rPr>
      </w:pPr>
      <w:r>
        <w:rPr>
          <w:rFonts w:cs="Arial"/>
          <w:bCs/>
          <w:szCs w:val="20"/>
          <w:lang w:eastAsia="sl-SI"/>
        </w:rPr>
        <w:t>Amandma s spremembo četrtega odstavka natančneje določi organ, ki lahko zahteva informacije in dokumentacijo za dokazovanje skladnosti proizvoda.</w:t>
      </w:r>
    </w:p>
    <w:p w:rsidR="00CD410D" w:rsidRDefault="00CD410D" w:rsidP="00CD410D">
      <w:pPr>
        <w:jc w:val="both"/>
        <w:rPr>
          <w:rFonts w:cs="Arial"/>
          <w:bCs/>
          <w:szCs w:val="20"/>
          <w:lang w:eastAsia="sl-SI"/>
        </w:rPr>
      </w:pPr>
    </w:p>
    <w:bookmarkEnd w:id="3"/>
    <w:p w:rsidR="00CD410D" w:rsidRDefault="00CD410D" w:rsidP="00CD410D">
      <w:pPr>
        <w:jc w:val="both"/>
        <w:rPr>
          <w:rFonts w:cs="Arial"/>
          <w:b/>
          <w:bCs/>
          <w:szCs w:val="20"/>
          <w:u w:val="single"/>
          <w:lang w:eastAsia="sl-SI"/>
        </w:rPr>
      </w:pPr>
      <w:r>
        <w:rPr>
          <w:rFonts w:cs="Arial"/>
          <w:b/>
          <w:bCs/>
          <w:szCs w:val="20"/>
          <w:u w:val="single"/>
          <w:lang w:eastAsia="sl-SI"/>
        </w:rPr>
        <w:t>Amandma k 17. členu:</w:t>
      </w:r>
    </w:p>
    <w:p w:rsidR="00CD410D" w:rsidRDefault="00CD410D" w:rsidP="00CD410D">
      <w:pPr>
        <w:jc w:val="both"/>
        <w:rPr>
          <w:rFonts w:cs="Arial"/>
          <w:b/>
          <w:bCs/>
          <w:szCs w:val="20"/>
          <w:u w:val="single"/>
          <w:lang w:eastAsia="sl-SI"/>
        </w:rPr>
      </w:pPr>
    </w:p>
    <w:p w:rsidR="00CD410D" w:rsidRDefault="00CD410D" w:rsidP="00CD410D">
      <w:pPr>
        <w:jc w:val="both"/>
        <w:rPr>
          <w:rFonts w:cs="Arial"/>
          <w:szCs w:val="20"/>
          <w:lang w:eastAsia="sl-SI"/>
        </w:rPr>
      </w:pPr>
      <w:bookmarkStart w:id="4" w:name="_Hlk123650054"/>
      <w:r>
        <w:rPr>
          <w:rFonts w:cs="Arial"/>
          <w:szCs w:val="20"/>
          <w:lang w:eastAsia="sl-SI"/>
        </w:rPr>
        <w:t xml:space="preserve">V 17. členu se v tretjem odstavku besedilo »organe </w:t>
      </w:r>
      <w:bookmarkEnd w:id="4"/>
      <w:r>
        <w:rPr>
          <w:rFonts w:cs="Arial"/>
          <w:szCs w:val="20"/>
          <w:lang w:eastAsia="sl-SI"/>
        </w:rPr>
        <w:t>za nadzor trga« nadomesti z besedilom »organ za nadzor trga</w:t>
      </w:r>
      <w:bookmarkStart w:id="5" w:name="_Hlk123649675"/>
      <w:r>
        <w:rPr>
          <w:rFonts w:cs="Arial"/>
          <w:szCs w:val="20"/>
          <w:lang w:eastAsia="sl-SI"/>
        </w:rPr>
        <w:t>, iz 26. člena drugega odstavka</w:t>
      </w:r>
      <w:bookmarkEnd w:id="5"/>
      <w:r>
        <w:rPr>
          <w:rFonts w:cs="Arial"/>
          <w:szCs w:val="20"/>
          <w:lang w:eastAsia="sl-SI"/>
        </w:rPr>
        <w:t xml:space="preserve"> tega zakona«. </w:t>
      </w:r>
    </w:p>
    <w:p w:rsidR="00CD410D" w:rsidRDefault="00CD410D" w:rsidP="00CD410D">
      <w:pPr>
        <w:jc w:val="both"/>
        <w:rPr>
          <w:rFonts w:cs="Arial"/>
          <w:szCs w:val="20"/>
          <w:lang w:eastAsia="sl-SI"/>
        </w:rPr>
      </w:pPr>
    </w:p>
    <w:p w:rsidR="00CD410D" w:rsidRDefault="00CD410D" w:rsidP="00CD410D">
      <w:pPr>
        <w:jc w:val="both"/>
        <w:rPr>
          <w:rFonts w:cs="Arial"/>
          <w:szCs w:val="20"/>
          <w:lang w:eastAsia="sl-SI"/>
        </w:rPr>
      </w:pPr>
      <w:r>
        <w:rPr>
          <w:rFonts w:cs="Arial"/>
          <w:szCs w:val="20"/>
          <w:lang w:eastAsia="sl-SI"/>
        </w:rPr>
        <w:t>V petem odstavku se za besedilom »pristojnemu organu« doda vejica in besedilo »iz 26. člena drugega odstavka tega zakona«.</w:t>
      </w:r>
    </w:p>
    <w:p w:rsidR="00CD410D" w:rsidRDefault="00CD410D" w:rsidP="00CD410D">
      <w:pPr>
        <w:jc w:val="both"/>
        <w:rPr>
          <w:rFonts w:cs="Arial"/>
          <w:szCs w:val="20"/>
          <w:lang w:eastAsia="sl-SI"/>
        </w:rPr>
      </w:pPr>
      <w:r>
        <w:rPr>
          <w:rFonts w:cs="Arial"/>
          <w:szCs w:val="20"/>
          <w:lang w:eastAsia="sl-SI"/>
        </w:rPr>
        <w:t xml:space="preserve"> </w:t>
      </w:r>
    </w:p>
    <w:p w:rsidR="00CD410D" w:rsidRDefault="00CD410D" w:rsidP="00CD410D">
      <w:pPr>
        <w:jc w:val="both"/>
        <w:rPr>
          <w:rFonts w:cs="Arial"/>
          <w:bCs/>
          <w:szCs w:val="20"/>
          <w:u w:val="single"/>
          <w:lang w:eastAsia="sl-SI"/>
        </w:rPr>
      </w:pPr>
      <w:bookmarkStart w:id="6" w:name="_Hlk123650135"/>
      <w:r>
        <w:rPr>
          <w:rFonts w:cs="Arial"/>
          <w:bCs/>
          <w:szCs w:val="20"/>
          <w:u w:val="single"/>
          <w:lang w:eastAsia="sl-SI"/>
        </w:rPr>
        <w:t xml:space="preserve">Obrazložitev: </w:t>
      </w:r>
    </w:p>
    <w:p w:rsidR="00CD410D" w:rsidRDefault="00CD410D" w:rsidP="00CD410D">
      <w:pPr>
        <w:jc w:val="both"/>
        <w:rPr>
          <w:rFonts w:cs="Arial"/>
          <w:szCs w:val="20"/>
          <w:lang w:eastAsia="sl-SI"/>
        </w:rPr>
      </w:pPr>
      <w:r>
        <w:rPr>
          <w:rFonts w:cs="Arial"/>
          <w:szCs w:val="20"/>
          <w:lang w:eastAsia="sl-SI"/>
        </w:rPr>
        <w:t xml:space="preserve">Amandma konkretizira nadzorni organ. </w:t>
      </w:r>
    </w:p>
    <w:bookmarkEnd w:id="6"/>
    <w:p w:rsidR="00CD410D" w:rsidRDefault="00CD410D" w:rsidP="00CD410D">
      <w:pPr>
        <w:jc w:val="both"/>
        <w:rPr>
          <w:rFonts w:cs="Arial"/>
          <w:b/>
          <w:bCs/>
          <w:szCs w:val="20"/>
          <w:u w:val="single"/>
          <w:lang w:eastAsia="sl-SI"/>
        </w:rPr>
      </w:pPr>
    </w:p>
    <w:p w:rsidR="00CD410D" w:rsidRDefault="00CD410D" w:rsidP="00CD410D">
      <w:pPr>
        <w:jc w:val="both"/>
        <w:rPr>
          <w:rFonts w:cs="Arial"/>
          <w:b/>
          <w:bCs/>
          <w:szCs w:val="20"/>
          <w:u w:val="single"/>
          <w:lang w:eastAsia="sl-SI"/>
        </w:rPr>
      </w:pPr>
      <w:r>
        <w:rPr>
          <w:rFonts w:cs="Arial"/>
          <w:b/>
          <w:bCs/>
          <w:szCs w:val="20"/>
          <w:u w:val="single"/>
          <w:lang w:eastAsia="sl-SI"/>
        </w:rPr>
        <w:t>Amandma k 18. členu:</w:t>
      </w:r>
    </w:p>
    <w:p w:rsidR="00CD410D" w:rsidRDefault="00CD410D" w:rsidP="00CD410D">
      <w:pPr>
        <w:jc w:val="both"/>
        <w:rPr>
          <w:rFonts w:cs="Arial"/>
          <w:szCs w:val="20"/>
          <w:lang w:eastAsia="sl-SI"/>
        </w:rPr>
      </w:pPr>
      <w:r>
        <w:rPr>
          <w:rFonts w:cs="Arial"/>
          <w:szCs w:val="20"/>
          <w:lang w:eastAsia="sl-SI"/>
        </w:rPr>
        <w:t>V 18. členu se v četrtem odstavku za besedilom »pristojnemu organu« doda vejica in besedilo »iz 26. člena drugega odstavka tega zakona«.</w:t>
      </w:r>
    </w:p>
    <w:p w:rsidR="00CD410D" w:rsidRDefault="00CD410D" w:rsidP="00CD410D">
      <w:pPr>
        <w:jc w:val="both"/>
        <w:rPr>
          <w:rFonts w:cs="Arial"/>
          <w:szCs w:val="20"/>
          <w:lang w:eastAsia="sl-SI"/>
        </w:rPr>
      </w:pPr>
    </w:p>
    <w:p w:rsidR="00CD410D" w:rsidRDefault="00CD410D" w:rsidP="00CD410D">
      <w:pPr>
        <w:jc w:val="both"/>
        <w:rPr>
          <w:rFonts w:cs="Arial"/>
          <w:szCs w:val="20"/>
          <w:u w:val="single"/>
          <w:lang w:eastAsia="sl-SI"/>
        </w:rPr>
      </w:pPr>
      <w:r>
        <w:rPr>
          <w:rFonts w:cs="Arial"/>
          <w:szCs w:val="20"/>
          <w:u w:val="single"/>
          <w:lang w:eastAsia="sl-SI"/>
        </w:rPr>
        <w:t xml:space="preserve">Obrazložitev: </w:t>
      </w:r>
    </w:p>
    <w:p w:rsidR="00CD410D" w:rsidRDefault="00CD410D" w:rsidP="00CD410D">
      <w:pPr>
        <w:jc w:val="both"/>
        <w:rPr>
          <w:rFonts w:cs="Arial"/>
          <w:szCs w:val="20"/>
          <w:lang w:eastAsia="sl-SI"/>
        </w:rPr>
      </w:pPr>
      <w:r>
        <w:rPr>
          <w:rFonts w:cs="Arial"/>
          <w:szCs w:val="20"/>
          <w:lang w:eastAsia="sl-SI"/>
        </w:rPr>
        <w:t>Amandma konkretizira nadzorni organ.</w:t>
      </w:r>
    </w:p>
    <w:p w:rsidR="00CD410D" w:rsidRDefault="00CD410D" w:rsidP="00CD410D">
      <w:pPr>
        <w:jc w:val="both"/>
        <w:rPr>
          <w:rFonts w:cs="Arial"/>
          <w:szCs w:val="20"/>
          <w:lang w:eastAsia="sl-SI"/>
        </w:rPr>
      </w:pPr>
    </w:p>
    <w:p w:rsidR="00CD410D" w:rsidRDefault="00CD410D" w:rsidP="00CD410D">
      <w:pPr>
        <w:jc w:val="both"/>
        <w:rPr>
          <w:rFonts w:cs="Arial"/>
          <w:b/>
          <w:bCs/>
          <w:szCs w:val="20"/>
          <w:u w:val="single"/>
          <w:lang w:eastAsia="sl-SI"/>
        </w:rPr>
      </w:pPr>
      <w:r>
        <w:rPr>
          <w:rFonts w:cs="Arial"/>
          <w:b/>
          <w:bCs/>
          <w:szCs w:val="20"/>
          <w:u w:val="single"/>
          <w:lang w:eastAsia="sl-SI"/>
        </w:rPr>
        <w:t>Amandma k 21. členu:</w:t>
      </w:r>
    </w:p>
    <w:p w:rsidR="00CD410D" w:rsidRDefault="00CD410D" w:rsidP="00CD410D">
      <w:pPr>
        <w:jc w:val="both"/>
        <w:rPr>
          <w:rFonts w:cs="Arial"/>
          <w:bCs/>
          <w:szCs w:val="20"/>
          <w:lang w:eastAsia="sl-SI"/>
        </w:rPr>
      </w:pPr>
    </w:p>
    <w:p w:rsidR="00CD410D" w:rsidRDefault="00CD410D" w:rsidP="00CD410D">
      <w:pPr>
        <w:jc w:val="both"/>
        <w:rPr>
          <w:rFonts w:cs="Arial"/>
          <w:bCs/>
          <w:szCs w:val="20"/>
          <w:lang w:eastAsia="sl-SI"/>
        </w:rPr>
      </w:pPr>
      <w:r>
        <w:rPr>
          <w:rFonts w:cs="Arial"/>
          <w:bCs/>
          <w:szCs w:val="20"/>
          <w:lang w:eastAsia="sl-SI"/>
        </w:rPr>
        <w:t>V 21. členu se v tretjem odstavku besedilo »zagotovi vzpostavljene« nadomesti z besedilom »sprejme«.</w:t>
      </w:r>
    </w:p>
    <w:p w:rsidR="00CD410D" w:rsidRDefault="00CD410D" w:rsidP="00CD410D">
      <w:pPr>
        <w:jc w:val="both"/>
        <w:rPr>
          <w:rFonts w:cs="Arial"/>
          <w:bCs/>
          <w:szCs w:val="20"/>
          <w:lang w:eastAsia="sl-SI"/>
        </w:rPr>
      </w:pPr>
    </w:p>
    <w:p w:rsidR="00CD410D" w:rsidRDefault="00CD410D" w:rsidP="00CD410D">
      <w:pPr>
        <w:jc w:val="both"/>
        <w:rPr>
          <w:rFonts w:cs="Arial"/>
          <w:bCs/>
          <w:szCs w:val="20"/>
          <w:lang w:eastAsia="sl-SI"/>
        </w:rPr>
      </w:pPr>
      <w:r>
        <w:rPr>
          <w:rFonts w:cs="Arial"/>
          <w:bCs/>
          <w:szCs w:val="20"/>
          <w:lang w:eastAsia="sl-SI"/>
        </w:rPr>
        <w:t>V petem odstavku se besedilo »in dokumentacijo« nadomesti z besedilom »iz drugega odstavka tega člena«.</w:t>
      </w:r>
    </w:p>
    <w:p w:rsidR="00CD410D" w:rsidRDefault="00CD410D" w:rsidP="00CD410D">
      <w:pPr>
        <w:jc w:val="both"/>
        <w:rPr>
          <w:rFonts w:cs="Arial"/>
          <w:bCs/>
          <w:szCs w:val="20"/>
          <w:lang w:eastAsia="sl-SI"/>
        </w:rPr>
      </w:pPr>
    </w:p>
    <w:p w:rsidR="00CD410D" w:rsidRDefault="00CD410D" w:rsidP="00CD410D">
      <w:pPr>
        <w:jc w:val="both"/>
        <w:rPr>
          <w:rFonts w:cs="Arial"/>
          <w:bCs/>
          <w:szCs w:val="20"/>
          <w:u w:val="single"/>
          <w:lang w:eastAsia="sl-SI"/>
        </w:rPr>
      </w:pPr>
      <w:r>
        <w:rPr>
          <w:rFonts w:cs="Arial"/>
          <w:bCs/>
          <w:szCs w:val="20"/>
          <w:u w:val="single"/>
          <w:lang w:eastAsia="sl-SI"/>
        </w:rPr>
        <w:t>Obrazložitev:</w:t>
      </w:r>
    </w:p>
    <w:p w:rsidR="00CD410D" w:rsidRDefault="00CD410D" w:rsidP="00CD410D">
      <w:pPr>
        <w:jc w:val="both"/>
        <w:rPr>
          <w:rFonts w:cs="Arial"/>
          <w:bCs/>
          <w:szCs w:val="20"/>
          <w:lang w:eastAsia="sl-SI"/>
        </w:rPr>
      </w:pPr>
      <w:r>
        <w:rPr>
          <w:rFonts w:cs="Arial"/>
          <w:bCs/>
          <w:szCs w:val="20"/>
          <w:lang w:eastAsia="sl-SI"/>
        </w:rPr>
        <w:t xml:space="preserve">Amandma je </w:t>
      </w:r>
      <w:proofErr w:type="spellStart"/>
      <w:r>
        <w:rPr>
          <w:rFonts w:cs="Arial"/>
          <w:bCs/>
          <w:szCs w:val="20"/>
          <w:lang w:eastAsia="sl-SI"/>
        </w:rPr>
        <w:t>nomotehnične</w:t>
      </w:r>
      <w:proofErr w:type="spellEnd"/>
      <w:r>
        <w:rPr>
          <w:rFonts w:cs="Arial"/>
          <w:bCs/>
          <w:szCs w:val="20"/>
          <w:lang w:eastAsia="sl-SI"/>
        </w:rPr>
        <w:t xml:space="preserve"> narave. </w:t>
      </w:r>
    </w:p>
    <w:p w:rsidR="00CD410D" w:rsidRDefault="00CD410D" w:rsidP="00CD410D">
      <w:pPr>
        <w:jc w:val="both"/>
        <w:rPr>
          <w:rFonts w:cs="Arial"/>
          <w:bCs/>
          <w:szCs w:val="20"/>
          <w:lang w:eastAsia="sl-SI"/>
        </w:rPr>
      </w:pPr>
    </w:p>
    <w:p w:rsidR="00CD410D" w:rsidRDefault="00CD410D" w:rsidP="00CD410D">
      <w:pPr>
        <w:jc w:val="both"/>
        <w:rPr>
          <w:rFonts w:cs="Arial"/>
          <w:b/>
          <w:bCs/>
          <w:szCs w:val="20"/>
          <w:u w:val="single"/>
          <w:lang w:eastAsia="sl-SI"/>
        </w:rPr>
      </w:pPr>
      <w:r>
        <w:rPr>
          <w:rFonts w:cs="Arial"/>
          <w:b/>
          <w:bCs/>
          <w:szCs w:val="20"/>
          <w:u w:val="single"/>
          <w:lang w:eastAsia="sl-SI"/>
        </w:rPr>
        <w:t>Amandma k 22. členu:</w:t>
      </w:r>
    </w:p>
    <w:p w:rsidR="00CD410D" w:rsidRDefault="00CD410D" w:rsidP="00CD410D">
      <w:pPr>
        <w:jc w:val="both"/>
        <w:rPr>
          <w:rFonts w:cs="Arial"/>
          <w:bCs/>
          <w:szCs w:val="20"/>
          <w:lang w:eastAsia="sl-SI"/>
        </w:rPr>
      </w:pPr>
    </w:p>
    <w:p w:rsidR="00CD410D" w:rsidRDefault="00CD410D" w:rsidP="00CD410D">
      <w:pPr>
        <w:jc w:val="both"/>
        <w:rPr>
          <w:rFonts w:cs="Arial"/>
          <w:bCs/>
          <w:szCs w:val="20"/>
          <w:lang w:eastAsia="sl-SI"/>
        </w:rPr>
      </w:pPr>
      <w:r>
        <w:rPr>
          <w:rFonts w:cs="Arial"/>
          <w:bCs/>
          <w:szCs w:val="20"/>
          <w:lang w:eastAsia="sl-SI"/>
        </w:rPr>
        <w:t xml:space="preserve">V 22. členu se v tretjem odstavku črta besedilo »dokumentirajo in«. </w:t>
      </w:r>
    </w:p>
    <w:p w:rsidR="00CD410D" w:rsidRDefault="00CD410D" w:rsidP="00CD410D">
      <w:pPr>
        <w:jc w:val="both"/>
        <w:rPr>
          <w:rFonts w:cs="Arial"/>
          <w:bCs/>
          <w:szCs w:val="20"/>
          <w:lang w:eastAsia="sl-SI"/>
        </w:rPr>
      </w:pPr>
    </w:p>
    <w:p w:rsidR="00CD410D" w:rsidRDefault="00CD410D" w:rsidP="00CD410D">
      <w:pPr>
        <w:jc w:val="both"/>
        <w:rPr>
          <w:rFonts w:cs="Arial"/>
          <w:bCs/>
          <w:szCs w:val="20"/>
          <w:lang w:eastAsia="sl-SI"/>
        </w:rPr>
      </w:pPr>
      <w:r>
        <w:rPr>
          <w:rFonts w:cs="Arial"/>
          <w:bCs/>
          <w:szCs w:val="20"/>
          <w:lang w:eastAsia="sl-SI"/>
        </w:rPr>
        <w:t>Osmi odstavek se spremeni tako, da se glasi:</w:t>
      </w:r>
    </w:p>
    <w:p w:rsidR="00CD410D" w:rsidRDefault="00CD410D" w:rsidP="00CD410D">
      <w:pPr>
        <w:jc w:val="both"/>
        <w:rPr>
          <w:rFonts w:cs="Arial"/>
          <w:bCs/>
          <w:szCs w:val="20"/>
          <w:lang w:eastAsia="sl-SI"/>
        </w:rPr>
      </w:pPr>
      <w:r>
        <w:rPr>
          <w:rFonts w:cs="Arial"/>
          <w:bCs/>
          <w:szCs w:val="20"/>
          <w:lang w:eastAsia="sl-SI"/>
        </w:rPr>
        <w:lastRenderedPageBreak/>
        <w:t xml:space="preserve">»(8) Merila in elementi za oceno nesorazmernega bremena so: </w:t>
      </w:r>
    </w:p>
    <w:p w:rsidR="00CD410D" w:rsidRDefault="00CD410D" w:rsidP="00CD410D">
      <w:pPr>
        <w:numPr>
          <w:ilvl w:val="0"/>
          <w:numId w:val="2"/>
        </w:numPr>
        <w:jc w:val="both"/>
        <w:rPr>
          <w:rFonts w:cs="Arial"/>
          <w:bCs/>
          <w:szCs w:val="20"/>
          <w:lang w:eastAsia="sl-SI"/>
        </w:rPr>
      </w:pPr>
      <w:r>
        <w:rPr>
          <w:rFonts w:cs="Arial"/>
          <w:bCs/>
          <w:szCs w:val="20"/>
          <w:lang w:eastAsia="sl-SI"/>
        </w:rPr>
        <w:t>razmerja med neto stroški in skupnimi stroški gospodarskih subjektov za izdelavo, distribucijo ali uvoz proizvoda ali zagotavljanje storitve;</w:t>
      </w:r>
    </w:p>
    <w:p w:rsidR="00CD410D" w:rsidRDefault="00CD410D" w:rsidP="00CD410D">
      <w:pPr>
        <w:numPr>
          <w:ilvl w:val="0"/>
          <w:numId w:val="2"/>
        </w:numPr>
        <w:jc w:val="both"/>
        <w:rPr>
          <w:rFonts w:cs="Arial"/>
          <w:bCs/>
          <w:szCs w:val="20"/>
          <w:lang w:eastAsia="sl-SI"/>
        </w:rPr>
      </w:pPr>
      <w:r>
        <w:rPr>
          <w:rFonts w:cs="Arial"/>
          <w:bCs/>
          <w:szCs w:val="20"/>
          <w:lang w:eastAsia="sl-SI"/>
        </w:rPr>
        <w:t>ocenjeni stroški in koristi za gospodarske subjekte, vključno s proizvodnimi postopki in naložbami, v primerjavi z ocenjeno koristjo za invalide, pri čemer se upoštevata količina in pogostost uporabe določenega proizvoda ali storitve,</w:t>
      </w:r>
    </w:p>
    <w:p w:rsidR="00CD410D" w:rsidRDefault="00CD410D" w:rsidP="00CD410D">
      <w:pPr>
        <w:numPr>
          <w:ilvl w:val="0"/>
          <w:numId w:val="2"/>
        </w:numPr>
        <w:jc w:val="both"/>
        <w:rPr>
          <w:rFonts w:cs="Arial"/>
          <w:bCs/>
          <w:szCs w:val="20"/>
          <w:lang w:eastAsia="sl-SI"/>
        </w:rPr>
      </w:pPr>
      <w:r>
        <w:rPr>
          <w:rFonts w:cs="Arial"/>
          <w:bCs/>
          <w:szCs w:val="20"/>
          <w:lang w:eastAsia="sl-SI"/>
        </w:rPr>
        <w:t>razmerje med neto stroški za zagotovitev skladnosti s pogoji glede dostopnosti in čistim prihodkom gospodarskega subjekta.</w:t>
      </w:r>
    </w:p>
    <w:p w:rsidR="00CD410D" w:rsidRDefault="00CD410D" w:rsidP="00CD410D">
      <w:pPr>
        <w:jc w:val="both"/>
        <w:rPr>
          <w:rFonts w:cs="Arial"/>
          <w:bCs/>
          <w:szCs w:val="20"/>
          <w:lang w:eastAsia="sl-SI"/>
        </w:rPr>
      </w:pPr>
      <w:r>
        <w:rPr>
          <w:rFonts w:cs="Arial"/>
          <w:bCs/>
          <w:szCs w:val="20"/>
          <w:lang w:eastAsia="sl-SI"/>
        </w:rPr>
        <w:t>Podrobnejša merila za oceno nesorazmernega bremena določi minister, pristojen za invalidsko varstvo, v soglasju z ministrom, pristojnim za trg.«.</w:t>
      </w:r>
    </w:p>
    <w:p w:rsidR="00CD410D" w:rsidRDefault="00CD410D" w:rsidP="00CD410D">
      <w:pPr>
        <w:ind w:left="720"/>
        <w:jc w:val="both"/>
        <w:rPr>
          <w:rFonts w:cs="Arial"/>
          <w:bCs/>
          <w:szCs w:val="20"/>
          <w:lang w:eastAsia="sl-SI"/>
        </w:rPr>
      </w:pPr>
    </w:p>
    <w:p w:rsidR="00CD410D" w:rsidRDefault="00CD410D" w:rsidP="00CD410D">
      <w:pPr>
        <w:jc w:val="both"/>
        <w:rPr>
          <w:rFonts w:cs="Arial"/>
          <w:bCs/>
          <w:szCs w:val="20"/>
          <w:lang w:eastAsia="sl-SI"/>
        </w:rPr>
      </w:pPr>
      <w:r>
        <w:rPr>
          <w:rFonts w:cs="Arial"/>
          <w:bCs/>
          <w:szCs w:val="20"/>
          <w:u w:val="single"/>
          <w:lang w:eastAsia="sl-SI"/>
        </w:rPr>
        <w:t>Obrazložitev:</w:t>
      </w:r>
    </w:p>
    <w:p w:rsidR="00CD410D" w:rsidRDefault="00CD410D" w:rsidP="00CD410D">
      <w:pPr>
        <w:jc w:val="both"/>
        <w:rPr>
          <w:rFonts w:cs="Arial"/>
          <w:bCs/>
          <w:szCs w:val="20"/>
          <w:lang w:eastAsia="sl-SI"/>
        </w:rPr>
      </w:pPr>
      <w:r>
        <w:rPr>
          <w:rFonts w:cs="Arial"/>
          <w:bCs/>
          <w:szCs w:val="20"/>
          <w:lang w:eastAsia="sl-SI"/>
        </w:rPr>
        <w:t xml:space="preserve">Z amandmajem se natančneje določajo merila in elementi za oceno nesorazmernega bremena gospodarskih subjektov pri zagotavljanju dostopnosti proizvodov in storitev. Prav tako se določi obveznost sprejema podzakonskega akta, s katerim se bodo določila podrobnejša merila za oceno nesorazmernega bremena.  </w:t>
      </w:r>
    </w:p>
    <w:p w:rsidR="00CD410D" w:rsidRDefault="00CD410D" w:rsidP="00CD410D">
      <w:pPr>
        <w:jc w:val="both"/>
        <w:rPr>
          <w:rFonts w:cs="Arial"/>
          <w:b/>
          <w:szCs w:val="20"/>
          <w:u w:val="single"/>
          <w:lang w:eastAsia="sl-SI"/>
        </w:rPr>
      </w:pPr>
      <w:bookmarkStart w:id="7" w:name="_Hlk123656613"/>
      <w:r>
        <w:rPr>
          <w:rFonts w:cs="Arial"/>
          <w:b/>
          <w:szCs w:val="20"/>
          <w:u w:val="single"/>
          <w:lang w:eastAsia="sl-SI"/>
        </w:rPr>
        <w:t>Amandma k 24. členu:</w:t>
      </w:r>
    </w:p>
    <w:bookmarkEnd w:id="7"/>
    <w:p w:rsidR="00CD410D" w:rsidRDefault="00CD410D" w:rsidP="00CD410D">
      <w:pPr>
        <w:jc w:val="both"/>
        <w:rPr>
          <w:rFonts w:cs="Arial"/>
          <w:bCs/>
          <w:szCs w:val="20"/>
          <w:lang w:eastAsia="sl-SI"/>
        </w:rPr>
      </w:pPr>
    </w:p>
    <w:p w:rsidR="00CD410D" w:rsidRDefault="00CD410D" w:rsidP="00CD410D">
      <w:pPr>
        <w:jc w:val="both"/>
        <w:rPr>
          <w:rFonts w:cs="Arial"/>
          <w:bCs/>
          <w:szCs w:val="20"/>
          <w:lang w:eastAsia="sl-SI"/>
        </w:rPr>
      </w:pPr>
      <w:r>
        <w:rPr>
          <w:rFonts w:cs="Arial"/>
          <w:bCs/>
          <w:szCs w:val="20"/>
          <w:lang w:eastAsia="sl-SI"/>
        </w:rPr>
        <w:t>V 24. členu se beseda »predpostavlja« nadomesti z besedo »se šteje«.</w:t>
      </w:r>
    </w:p>
    <w:p w:rsidR="00CD410D" w:rsidRDefault="00CD410D" w:rsidP="00CD410D">
      <w:pPr>
        <w:jc w:val="both"/>
        <w:rPr>
          <w:rFonts w:cs="Arial"/>
          <w:bCs/>
          <w:szCs w:val="20"/>
          <w:lang w:eastAsia="sl-SI"/>
        </w:rPr>
      </w:pPr>
    </w:p>
    <w:p w:rsidR="00CD410D" w:rsidRDefault="00CD410D" w:rsidP="00CD410D">
      <w:pPr>
        <w:jc w:val="both"/>
        <w:rPr>
          <w:rFonts w:cs="Arial"/>
          <w:bCs/>
          <w:szCs w:val="20"/>
          <w:u w:val="single"/>
          <w:lang w:eastAsia="sl-SI"/>
        </w:rPr>
      </w:pPr>
      <w:r>
        <w:rPr>
          <w:rFonts w:cs="Arial"/>
          <w:bCs/>
          <w:szCs w:val="20"/>
          <w:u w:val="single"/>
          <w:lang w:eastAsia="sl-SI"/>
        </w:rPr>
        <w:t>Obrazložitev:</w:t>
      </w:r>
    </w:p>
    <w:p w:rsidR="00CD410D" w:rsidRDefault="00CD410D" w:rsidP="00CD410D">
      <w:pPr>
        <w:jc w:val="both"/>
        <w:rPr>
          <w:rFonts w:cs="Arial"/>
          <w:bCs/>
          <w:szCs w:val="20"/>
          <w:lang w:eastAsia="sl-SI"/>
        </w:rPr>
      </w:pPr>
      <w:r>
        <w:rPr>
          <w:rFonts w:cs="Arial"/>
          <w:bCs/>
          <w:szCs w:val="20"/>
          <w:lang w:eastAsia="sl-SI"/>
        </w:rPr>
        <w:t xml:space="preserve">Amandma je </w:t>
      </w:r>
      <w:proofErr w:type="spellStart"/>
      <w:r>
        <w:rPr>
          <w:rFonts w:cs="Arial"/>
          <w:bCs/>
          <w:szCs w:val="20"/>
          <w:lang w:eastAsia="sl-SI"/>
        </w:rPr>
        <w:t>nomotehnične</w:t>
      </w:r>
      <w:proofErr w:type="spellEnd"/>
      <w:r>
        <w:rPr>
          <w:rFonts w:cs="Arial"/>
          <w:bCs/>
          <w:szCs w:val="20"/>
          <w:lang w:eastAsia="sl-SI"/>
        </w:rPr>
        <w:t xml:space="preserve"> narave.</w:t>
      </w:r>
    </w:p>
    <w:p w:rsidR="00CD410D" w:rsidRDefault="00CD410D" w:rsidP="00CD410D">
      <w:pPr>
        <w:jc w:val="both"/>
        <w:rPr>
          <w:rFonts w:cs="Arial"/>
          <w:bCs/>
          <w:szCs w:val="20"/>
          <w:lang w:eastAsia="sl-SI"/>
        </w:rPr>
      </w:pPr>
    </w:p>
    <w:p w:rsidR="00CD410D" w:rsidRDefault="00CD410D" w:rsidP="00CD410D">
      <w:pPr>
        <w:jc w:val="both"/>
        <w:rPr>
          <w:rFonts w:cs="Arial"/>
          <w:bCs/>
          <w:szCs w:val="20"/>
          <w:lang w:eastAsia="sl-SI"/>
        </w:rPr>
      </w:pPr>
    </w:p>
    <w:p w:rsidR="00CD410D" w:rsidRDefault="00CD410D" w:rsidP="00CD410D">
      <w:pPr>
        <w:jc w:val="both"/>
        <w:rPr>
          <w:rFonts w:cs="Arial"/>
          <w:b/>
          <w:szCs w:val="20"/>
          <w:highlight w:val="yellow"/>
          <w:u w:val="single"/>
          <w:lang w:eastAsia="sl-SI"/>
        </w:rPr>
      </w:pPr>
      <w:r>
        <w:rPr>
          <w:rFonts w:cs="Arial"/>
          <w:b/>
          <w:szCs w:val="20"/>
          <w:u w:val="single"/>
          <w:lang w:eastAsia="sl-SI"/>
        </w:rPr>
        <w:t>Amandma k 27. členu:</w:t>
      </w:r>
    </w:p>
    <w:p w:rsidR="00CD410D" w:rsidRDefault="00CD410D" w:rsidP="00CD410D">
      <w:pPr>
        <w:jc w:val="both"/>
        <w:rPr>
          <w:rFonts w:cs="Arial"/>
          <w:b/>
          <w:szCs w:val="20"/>
          <w:u w:val="single"/>
          <w:lang w:eastAsia="sl-SI"/>
        </w:rPr>
      </w:pPr>
    </w:p>
    <w:p w:rsidR="00CD410D" w:rsidRDefault="00CD410D" w:rsidP="00CD410D">
      <w:pPr>
        <w:jc w:val="both"/>
        <w:rPr>
          <w:rFonts w:cs="Arial"/>
          <w:bCs/>
          <w:szCs w:val="20"/>
          <w:lang w:eastAsia="sl-SI"/>
        </w:rPr>
      </w:pPr>
      <w:r>
        <w:rPr>
          <w:rFonts w:cs="Arial"/>
          <w:bCs/>
          <w:szCs w:val="20"/>
          <w:lang w:eastAsia="sl-SI"/>
        </w:rPr>
        <w:t>Spremeni se 27. člen tako, da se glasi:</w:t>
      </w:r>
    </w:p>
    <w:p w:rsidR="00CD410D" w:rsidRDefault="00CD410D" w:rsidP="00CD410D">
      <w:pPr>
        <w:jc w:val="center"/>
        <w:rPr>
          <w:rFonts w:eastAsia="Calibri" w:cs="Arial"/>
          <w:b/>
          <w:szCs w:val="20"/>
        </w:rPr>
      </w:pPr>
      <w:r>
        <w:rPr>
          <w:rFonts w:eastAsia="Calibri" w:cs="Arial"/>
          <w:b/>
          <w:szCs w:val="20"/>
        </w:rPr>
        <w:t>»27. člen</w:t>
      </w:r>
    </w:p>
    <w:p w:rsidR="00CD410D" w:rsidRDefault="00CD410D" w:rsidP="00CD410D">
      <w:pPr>
        <w:tabs>
          <w:tab w:val="center" w:pos="4536"/>
          <w:tab w:val="left" w:pos="5460"/>
        </w:tabs>
        <w:jc w:val="center"/>
        <w:rPr>
          <w:rFonts w:eastAsia="Calibri" w:cs="Arial"/>
          <w:b/>
          <w:szCs w:val="20"/>
        </w:rPr>
      </w:pPr>
      <w:r>
        <w:rPr>
          <w:rFonts w:eastAsia="Calibri" w:cs="Arial"/>
          <w:b/>
          <w:szCs w:val="20"/>
        </w:rPr>
        <w:t xml:space="preserve">(postopek za obravnavo proizvodov, ki niso skladni s pogoji glede dostopnosti na nacionalni ravni)  </w:t>
      </w:r>
    </w:p>
    <w:p w:rsidR="00CD410D" w:rsidRDefault="00CD410D" w:rsidP="00CD410D">
      <w:pPr>
        <w:tabs>
          <w:tab w:val="center" w:pos="4536"/>
          <w:tab w:val="left" w:pos="5460"/>
        </w:tabs>
        <w:jc w:val="center"/>
        <w:rPr>
          <w:rFonts w:eastAsia="Calibri" w:cs="Arial"/>
          <w:b/>
          <w:szCs w:val="20"/>
        </w:rPr>
      </w:pPr>
    </w:p>
    <w:p w:rsidR="00CD410D" w:rsidRDefault="00CD410D" w:rsidP="00CD410D">
      <w:pPr>
        <w:autoSpaceDE w:val="0"/>
        <w:autoSpaceDN w:val="0"/>
        <w:adjustRightInd w:val="0"/>
        <w:spacing w:before="60" w:after="60" w:line="240" w:lineRule="auto"/>
        <w:jc w:val="both"/>
        <w:rPr>
          <w:rFonts w:eastAsia="Calibri" w:cs="Arial"/>
          <w:szCs w:val="20"/>
        </w:rPr>
      </w:pPr>
      <w:r>
        <w:rPr>
          <w:rFonts w:eastAsia="Calibri" w:cs="Arial"/>
          <w:color w:val="000000"/>
          <w:szCs w:val="20"/>
        </w:rPr>
        <w:t xml:space="preserve">(1) Kadar TIRS utemeljeno meni, da proizvod iz prvega odstavka 3. člena tega zakona, ni skladen z veljavnimi pogoji glede dostopnosti, izvedejo vrednotenje zadevnega proizvoda v zvezi z izpolnjevanjem vseh pogojev iz 23. člena tega zakona. </w:t>
      </w:r>
    </w:p>
    <w:p w:rsidR="00CD410D" w:rsidRDefault="00CD410D" w:rsidP="00CD410D">
      <w:pPr>
        <w:jc w:val="both"/>
        <w:rPr>
          <w:rFonts w:eastAsia="Calibri" w:cs="Arial"/>
          <w:szCs w:val="20"/>
        </w:rPr>
      </w:pPr>
      <w:r>
        <w:rPr>
          <w:rFonts w:eastAsia="Calibri" w:cs="Arial"/>
          <w:szCs w:val="20"/>
        </w:rPr>
        <w:t xml:space="preserve">(2) Kadar proizvod ne izpolnjuje pogojev glede dostopnosti, TIRS od gospodarskega subjekta nemudoma zahteva, da v razumnem roku sprejme vse ustrezne popravljalne ukrepe glede na vrsto neskladnosti za zagotovitev skladnosti proizvoda s temi pogoj, oziroma umik ali odpoklic proizvoda s trga. </w:t>
      </w:r>
    </w:p>
    <w:p w:rsidR="00CD410D" w:rsidRDefault="00CD410D" w:rsidP="00CD410D">
      <w:pPr>
        <w:jc w:val="both"/>
        <w:rPr>
          <w:rFonts w:eastAsia="Calibri" w:cs="Arial"/>
          <w:szCs w:val="20"/>
        </w:rPr>
      </w:pPr>
      <w:r>
        <w:rPr>
          <w:rFonts w:eastAsia="Calibri" w:cs="Arial"/>
          <w:szCs w:val="20"/>
        </w:rPr>
        <w:t>(3)</w:t>
      </w:r>
      <w:r>
        <w:t xml:space="preserve"> </w:t>
      </w:r>
      <w:r>
        <w:rPr>
          <w:rFonts w:eastAsia="Calibri" w:cs="Arial"/>
          <w:szCs w:val="20"/>
        </w:rPr>
        <w:t xml:space="preserve">Če gospodarski subjekt ne sprejme ustreznih popravljalnih ukrepov v roku iz prejšnjega odstavka, TIRS zahteva, da gospodarski subjekt v dodatnem roku umakne proizvod s trga. </w:t>
      </w:r>
    </w:p>
    <w:p w:rsidR="00CD410D" w:rsidRDefault="00CD410D" w:rsidP="00CD410D">
      <w:pPr>
        <w:jc w:val="both"/>
        <w:rPr>
          <w:rFonts w:eastAsia="Calibri" w:cs="Arial"/>
          <w:szCs w:val="20"/>
        </w:rPr>
      </w:pPr>
      <w:r>
        <w:rPr>
          <w:rFonts w:eastAsia="Calibri" w:cs="Arial"/>
          <w:szCs w:val="20"/>
        </w:rPr>
        <w:t>(4) TIRS ukrepe iz prvega in drugega odstavka izvede v skladu s predpisom o nadzoru trga in skladnosti proizvodov.«.</w:t>
      </w:r>
    </w:p>
    <w:p w:rsidR="00CD410D" w:rsidRDefault="00CD410D" w:rsidP="00CD410D">
      <w:pPr>
        <w:jc w:val="both"/>
        <w:rPr>
          <w:rFonts w:cs="Arial"/>
          <w:bCs/>
          <w:szCs w:val="20"/>
          <w:lang w:eastAsia="sl-SI"/>
        </w:rPr>
      </w:pPr>
    </w:p>
    <w:p w:rsidR="00CD410D" w:rsidRDefault="00CD410D" w:rsidP="00CD410D">
      <w:pPr>
        <w:jc w:val="both"/>
        <w:rPr>
          <w:rFonts w:cs="Arial"/>
          <w:bCs/>
          <w:szCs w:val="20"/>
          <w:u w:val="single"/>
          <w:lang w:eastAsia="sl-SI"/>
        </w:rPr>
      </w:pPr>
      <w:r>
        <w:rPr>
          <w:rFonts w:cs="Arial"/>
          <w:bCs/>
          <w:szCs w:val="20"/>
          <w:u w:val="single"/>
          <w:lang w:eastAsia="sl-SI"/>
        </w:rPr>
        <w:t>Obrazložitev:</w:t>
      </w:r>
    </w:p>
    <w:p w:rsidR="00CD410D" w:rsidRDefault="00CD410D" w:rsidP="00CD410D">
      <w:pPr>
        <w:jc w:val="both"/>
        <w:rPr>
          <w:rFonts w:eastAsia="Calibri" w:cs="Arial"/>
          <w:szCs w:val="20"/>
        </w:rPr>
      </w:pPr>
      <w:r>
        <w:rPr>
          <w:rFonts w:eastAsia="Calibri" w:cs="Arial"/>
          <w:szCs w:val="20"/>
        </w:rPr>
        <w:t xml:space="preserve">Nadzor nad neskladnimi proizvodi TIRS izvaja v skladu s 16. členom </w:t>
      </w:r>
      <w:r>
        <w:rPr>
          <w:rFonts w:cs="Arial"/>
          <w:szCs w:val="20"/>
          <w:lang w:eastAsia="sl-SI"/>
        </w:rPr>
        <w:t xml:space="preserve">Uredbe (EU) 2019/1020 Evropskega parlamenta in Sveta z dne 20. junija 2019 o nadzoru trga in skladnosti proizvodov ter spremembi Direktive 2004/42/ES in uredb (ES) št. 765/2008 in (EU) št. 305/2011 (UL L št. 169 z dne 25. 6. 2019, str. 1), zadnjič popravljene s Popravkom (UL L št. 297 z dne 17. 11. 2022, str. 86) </w:t>
      </w:r>
      <w:r>
        <w:rPr>
          <w:rFonts w:eastAsia="Calibri" w:cs="Arial"/>
          <w:szCs w:val="20"/>
        </w:rPr>
        <w:t xml:space="preserve">in Uredbe o izvajanju Uredbe (EU) o nadzoru trga in skladnosti proizvodov (Uradni list RS št. 194/2021). Uredba (EU) 1020/2019 natančno določa ukrepe za nadzor trga in vrednotenje, zato točke 4-6 tega člena niso več potrebne. 27. člen predlaganega zakona je prenos določil 20. člena Direktive 2019/882, ki se sklicuje na evropski predpis, ki ureja področje izvajanja nadzora nad </w:t>
      </w:r>
      <w:r>
        <w:rPr>
          <w:rFonts w:eastAsia="Calibri" w:cs="Arial"/>
          <w:szCs w:val="20"/>
        </w:rPr>
        <w:lastRenderedPageBreak/>
        <w:t>proizvodi, to je Uredba (EU) 765/2008, ki je bila spremenjena z Uredbo (EU) 1020/2019. Obveščanje Evropske komisije in držav članic je urejeno v Uredbi 1020/2019.</w:t>
      </w:r>
    </w:p>
    <w:p w:rsidR="00CD410D" w:rsidRDefault="00CD410D" w:rsidP="00CD410D">
      <w:pPr>
        <w:jc w:val="both"/>
        <w:rPr>
          <w:rFonts w:cs="Arial"/>
          <w:bCs/>
          <w:szCs w:val="20"/>
          <w:highlight w:val="yellow"/>
          <w:lang w:eastAsia="sl-SI"/>
        </w:rPr>
      </w:pPr>
    </w:p>
    <w:p w:rsidR="00CD410D" w:rsidRDefault="00CD410D" w:rsidP="00CD410D">
      <w:pPr>
        <w:jc w:val="both"/>
        <w:rPr>
          <w:rFonts w:cs="Arial"/>
          <w:b/>
          <w:szCs w:val="20"/>
          <w:u w:val="single"/>
          <w:lang w:eastAsia="sl-SI"/>
        </w:rPr>
      </w:pPr>
      <w:r>
        <w:rPr>
          <w:rFonts w:cs="Arial"/>
          <w:b/>
          <w:szCs w:val="20"/>
          <w:u w:val="single"/>
          <w:lang w:eastAsia="sl-SI"/>
        </w:rPr>
        <w:t>Amandma k 29. členu:</w:t>
      </w:r>
    </w:p>
    <w:p w:rsidR="00CD410D" w:rsidRDefault="00CD410D" w:rsidP="00CD410D">
      <w:pPr>
        <w:jc w:val="both"/>
        <w:rPr>
          <w:rFonts w:cs="Arial"/>
          <w:szCs w:val="20"/>
          <w:lang w:eastAsia="sl-SI"/>
        </w:rPr>
      </w:pPr>
    </w:p>
    <w:p w:rsidR="00CD410D" w:rsidRDefault="00CD410D" w:rsidP="00CD410D">
      <w:pPr>
        <w:jc w:val="both"/>
        <w:rPr>
          <w:rFonts w:cs="Arial"/>
          <w:szCs w:val="20"/>
          <w:lang w:eastAsia="sl-SI"/>
        </w:rPr>
      </w:pPr>
      <w:r>
        <w:rPr>
          <w:rFonts w:cs="Arial"/>
          <w:szCs w:val="20"/>
          <w:lang w:eastAsia="sl-SI"/>
        </w:rPr>
        <w:t xml:space="preserve">V 29. členu se drugi odstavek spremeni tako, da se glasi: </w:t>
      </w:r>
    </w:p>
    <w:p w:rsidR="00CD410D" w:rsidRDefault="00CD410D" w:rsidP="00CD410D">
      <w:pPr>
        <w:jc w:val="both"/>
        <w:rPr>
          <w:szCs w:val="22"/>
        </w:rPr>
      </w:pPr>
      <w:r>
        <w:rPr>
          <w:rFonts w:cs="Arial"/>
          <w:szCs w:val="20"/>
          <w:lang w:eastAsia="sl-SI"/>
        </w:rPr>
        <w:t>»</w:t>
      </w:r>
      <w:r>
        <w:t xml:space="preserve">(2) </w:t>
      </w:r>
      <w:r>
        <w:rPr>
          <w:rFonts w:eastAsia="Calibri" w:cs="Arial"/>
          <w:szCs w:val="20"/>
        </w:rPr>
        <w:t>Če gospodarski subjekt neskladnosti iz prejšnjega odstavka ne odpravi, sprejme TIRS ukrepe v skladu s 27. členom tega zakona.«</w:t>
      </w:r>
      <w:r>
        <w:t>.</w:t>
      </w:r>
    </w:p>
    <w:p w:rsidR="00CD410D" w:rsidRDefault="00CD410D" w:rsidP="00CD410D">
      <w:pPr>
        <w:jc w:val="both"/>
      </w:pPr>
    </w:p>
    <w:p w:rsidR="00CD410D" w:rsidRDefault="00CD410D" w:rsidP="00CD410D">
      <w:pPr>
        <w:jc w:val="both"/>
        <w:rPr>
          <w:rFonts w:cs="Arial"/>
          <w:bCs/>
          <w:szCs w:val="20"/>
          <w:u w:val="single"/>
          <w:lang w:eastAsia="sl-SI"/>
        </w:rPr>
      </w:pPr>
      <w:r>
        <w:rPr>
          <w:rFonts w:cs="Arial"/>
          <w:bCs/>
          <w:szCs w:val="20"/>
          <w:u w:val="single"/>
          <w:lang w:eastAsia="sl-SI"/>
        </w:rPr>
        <w:t>Obrazložitev:</w:t>
      </w:r>
    </w:p>
    <w:p w:rsidR="00CD410D" w:rsidRDefault="00CD410D" w:rsidP="00CD410D">
      <w:pPr>
        <w:jc w:val="both"/>
        <w:rPr>
          <w:rFonts w:cs="Arial"/>
          <w:bCs/>
          <w:szCs w:val="20"/>
          <w:lang w:eastAsia="sl-SI"/>
        </w:rPr>
      </w:pPr>
      <w:r>
        <w:rPr>
          <w:rFonts w:cs="Arial"/>
          <w:bCs/>
          <w:szCs w:val="20"/>
          <w:lang w:eastAsia="sl-SI"/>
        </w:rPr>
        <w:t>Ukrepi za odpravo formalne neskladnosti so opredeljeni v 16. členu Uredbe (EU) 1020/2019 o nadzoru trga in skladnosti proizvodov.</w:t>
      </w:r>
    </w:p>
    <w:p w:rsidR="00CD410D" w:rsidRDefault="00CD410D" w:rsidP="00CD410D">
      <w:pPr>
        <w:jc w:val="both"/>
        <w:rPr>
          <w:szCs w:val="22"/>
        </w:rPr>
      </w:pPr>
    </w:p>
    <w:p w:rsidR="00CD410D" w:rsidRDefault="00CD410D" w:rsidP="00CD410D">
      <w:pPr>
        <w:jc w:val="both"/>
        <w:rPr>
          <w:rFonts w:ascii="Calibri" w:hAnsi="Calibri" w:cs="Calibri"/>
          <w:b/>
          <w:szCs w:val="20"/>
          <w:u w:val="single"/>
          <w:lang w:eastAsia="sl-SI"/>
        </w:rPr>
      </w:pPr>
      <w:r>
        <w:rPr>
          <w:rFonts w:cs="Arial"/>
          <w:b/>
          <w:szCs w:val="20"/>
          <w:u w:val="single"/>
          <w:lang w:eastAsia="sl-SI"/>
        </w:rPr>
        <w:t>Amandma k 30. členu</w:t>
      </w:r>
      <w:r>
        <w:rPr>
          <w:rFonts w:ascii="Segoe UI Emoji" w:eastAsia="Segoe UI Emoji" w:hAnsi="Segoe UI Emoji" w:cs="Segoe UI Emoji"/>
          <w:b/>
          <w:szCs w:val="20"/>
          <w:u w:val="single"/>
          <w:lang w:eastAsia="sl-SI"/>
        </w:rPr>
        <w:t xml:space="preserve"> </w:t>
      </w:r>
    </w:p>
    <w:p w:rsidR="00CD410D" w:rsidRDefault="00CD410D" w:rsidP="00CD410D">
      <w:pPr>
        <w:jc w:val="both"/>
        <w:rPr>
          <w:rFonts w:cs="Arial"/>
          <w:bCs/>
          <w:szCs w:val="20"/>
          <w:lang w:eastAsia="sl-SI"/>
        </w:rPr>
      </w:pPr>
    </w:p>
    <w:p w:rsidR="00CD410D" w:rsidRDefault="00CD410D" w:rsidP="00CD410D">
      <w:pPr>
        <w:jc w:val="both"/>
        <w:rPr>
          <w:rFonts w:cs="Arial"/>
          <w:bCs/>
          <w:szCs w:val="20"/>
          <w:lang w:eastAsia="sl-SI"/>
        </w:rPr>
      </w:pPr>
      <w:r>
        <w:rPr>
          <w:rFonts w:cs="Arial"/>
          <w:bCs/>
          <w:szCs w:val="20"/>
          <w:lang w:eastAsia="sl-SI"/>
        </w:rPr>
        <w:t>V 30. členu se šesti odstavek spremeni tako, da se glasi:</w:t>
      </w:r>
    </w:p>
    <w:p w:rsidR="00CD410D" w:rsidRDefault="00CD410D" w:rsidP="00CD410D">
      <w:pPr>
        <w:jc w:val="both"/>
        <w:rPr>
          <w:rFonts w:cs="Arial"/>
          <w:bCs/>
          <w:szCs w:val="20"/>
          <w:lang w:eastAsia="sl-SI"/>
        </w:rPr>
      </w:pPr>
      <w:r>
        <w:rPr>
          <w:rFonts w:cs="Arial"/>
          <w:bCs/>
          <w:szCs w:val="20"/>
          <w:lang w:eastAsia="sl-SI"/>
        </w:rPr>
        <w:t>»(6) Nadzor nad storitvijo e-knjige in namensko programsko opremo iz prvega odstavka 11. člena tega zakona izvaja Agencija za komunikacijska omrežja in storitve Republike Slovenije.«.</w:t>
      </w:r>
    </w:p>
    <w:p w:rsidR="00CD410D" w:rsidRDefault="00CD410D" w:rsidP="00CD410D">
      <w:pPr>
        <w:jc w:val="both"/>
        <w:rPr>
          <w:rFonts w:cs="Arial"/>
          <w:bCs/>
          <w:szCs w:val="20"/>
          <w:lang w:eastAsia="sl-SI"/>
        </w:rPr>
      </w:pPr>
    </w:p>
    <w:p w:rsidR="00CD410D" w:rsidRDefault="00CD410D" w:rsidP="00CD410D">
      <w:pPr>
        <w:jc w:val="both"/>
        <w:rPr>
          <w:rFonts w:cs="Arial"/>
          <w:bCs/>
          <w:szCs w:val="20"/>
          <w:u w:val="single"/>
          <w:lang w:eastAsia="sl-SI"/>
        </w:rPr>
      </w:pPr>
      <w:r>
        <w:rPr>
          <w:rFonts w:cs="Arial"/>
          <w:bCs/>
          <w:szCs w:val="20"/>
          <w:u w:val="single"/>
          <w:lang w:eastAsia="sl-SI"/>
        </w:rPr>
        <w:t>Obrazložitev:</w:t>
      </w:r>
    </w:p>
    <w:p w:rsidR="00CD410D" w:rsidRDefault="00CD410D" w:rsidP="00CD410D">
      <w:pPr>
        <w:jc w:val="both"/>
        <w:rPr>
          <w:rFonts w:cs="Arial"/>
          <w:b/>
          <w:szCs w:val="20"/>
          <w:u w:val="single"/>
          <w:lang w:eastAsia="sl-SI"/>
        </w:rPr>
      </w:pPr>
      <w:r>
        <w:rPr>
          <w:rFonts w:cs="Arial"/>
          <w:bCs/>
          <w:szCs w:val="20"/>
          <w:lang w:eastAsia="sl-SI"/>
        </w:rPr>
        <w:t xml:space="preserve">Z amandmajem se enotno ureja nadzor nad storitvijo e-knjige in namensko programsko opremo. Iz določbe 11. člena predloga zakona izhajajo tehnični pogoji dostopnosti do e-knjige, ki jo najbolj učinkoviti lahko nadzira Agencija za komunikacijska omrežja in storitve Republike Slovenije. </w:t>
      </w:r>
    </w:p>
    <w:p w:rsidR="00CD410D" w:rsidRDefault="00CD410D" w:rsidP="00CD410D">
      <w:pPr>
        <w:jc w:val="both"/>
        <w:rPr>
          <w:rFonts w:cs="Arial"/>
          <w:b/>
          <w:szCs w:val="20"/>
          <w:u w:val="single"/>
          <w:lang w:eastAsia="sl-SI"/>
        </w:rPr>
      </w:pPr>
    </w:p>
    <w:p w:rsidR="00CD410D" w:rsidRDefault="00CD410D" w:rsidP="00CD410D">
      <w:pPr>
        <w:jc w:val="both"/>
        <w:rPr>
          <w:rFonts w:cs="Arial"/>
          <w:b/>
          <w:szCs w:val="20"/>
          <w:u w:val="single"/>
          <w:lang w:eastAsia="sl-SI"/>
        </w:rPr>
      </w:pPr>
      <w:r>
        <w:rPr>
          <w:rFonts w:cs="Arial"/>
          <w:b/>
          <w:szCs w:val="20"/>
          <w:u w:val="single"/>
          <w:lang w:eastAsia="sl-SI"/>
        </w:rPr>
        <w:t>Amandma k 31. členu:</w:t>
      </w:r>
    </w:p>
    <w:p w:rsidR="00CD410D" w:rsidRDefault="00CD410D" w:rsidP="00CD410D">
      <w:pPr>
        <w:jc w:val="both"/>
        <w:rPr>
          <w:rFonts w:cs="Arial"/>
          <w:szCs w:val="20"/>
          <w:lang w:eastAsia="sl-SI"/>
        </w:rPr>
      </w:pPr>
    </w:p>
    <w:p w:rsidR="00CD410D" w:rsidRDefault="00CD410D" w:rsidP="00CD410D">
      <w:pPr>
        <w:jc w:val="both"/>
        <w:rPr>
          <w:rFonts w:cs="Arial"/>
          <w:szCs w:val="20"/>
          <w:lang w:eastAsia="sl-SI"/>
        </w:rPr>
      </w:pPr>
      <w:r>
        <w:rPr>
          <w:rFonts w:cs="Arial"/>
          <w:szCs w:val="20"/>
          <w:lang w:eastAsia="sl-SI"/>
        </w:rPr>
        <w:t>V 31. členu se v prvi odstavek spremeni tako, da se glasi:</w:t>
      </w:r>
    </w:p>
    <w:p w:rsidR="00CD410D" w:rsidRDefault="00CD410D" w:rsidP="00CD410D">
      <w:pPr>
        <w:jc w:val="both"/>
        <w:rPr>
          <w:rFonts w:cs="Arial"/>
          <w:szCs w:val="20"/>
          <w:lang w:eastAsia="sl-SI"/>
        </w:rPr>
      </w:pPr>
    </w:p>
    <w:p w:rsidR="00CD410D" w:rsidRDefault="00CD410D" w:rsidP="00CD410D">
      <w:pPr>
        <w:jc w:val="both"/>
        <w:rPr>
          <w:rFonts w:eastAsia="Calibri" w:cs="Arial"/>
          <w:szCs w:val="20"/>
        </w:rPr>
      </w:pPr>
      <w:r>
        <w:rPr>
          <w:rFonts w:eastAsia="Calibri" w:cs="Arial"/>
          <w:szCs w:val="20"/>
        </w:rPr>
        <w:t xml:space="preserve">»(1) Organ, pristojen za izvajanje nadzora skladnosti storitev iz prejšnjega člena: </w:t>
      </w:r>
    </w:p>
    <w:p w:rsidR="00CD410D" w:rsidRDefault="00CD410D" w:rsidP="00CD410D">
      <w:pPr>
        <w:tabs>
          <w:tab w:val="center" w:pos="4536"/>
          <w:tab w:val="left" w:pos="5460"/>
        </w:tabs>
        <w:ind w:left="360"/>
        <w:contextualSpacing/>
        <w:jc w:val="both"/>
        <w:rPr>
          <w:rFonts w:eastAsia="Calibri" w:cs="Arial"/>
          <w:szCs w:val="20"/>
        </w:rPr>
      </w:pPr>
      <w:r>
        <w:rPr>
          <w:rFonts w:eastAsia="Calibri" w:cs="Arial"/>
          <w:szCs w:val="20"/>
        </w:rPr>
        <w:sym w:font="Symbol" w:char="F02D"/>
      </w:r>
      <w:r>
        <w:rPr>
          <w:rFonts w:eastAsia="Calibri" w:cs="Arial"/>
          <w:szCs w:val="20"/>
        </w:rPr>
        <w:t xml:space="preserve"> preverja skladnost storitev s pogoji iz tega zakona, vključno z oceno iz drugega odstavka 22. člena tega zakona, </w:t>
      </w:r>
    </w:p>
    <w:p w:rsidR="00CD410D" w:rsidRDefault="00CD410D" w:rsidP="00CD410D">
      <w:pPr>
        <w:tabs>
          <w:tab w:val="center" w:pos="4536"/>
          <w:tab w:val="left" w:pos="5460"/>
        </w:tabs>
        <w:ind w:left="360"/>
        <w:contextualSpacing/>
        <w:jc w:val="both"/>
        <w:rPr>
          <w:rFonts w:eastAsia="Calibri" w:cs="Arial"/>
          <w:szCs w:val="20"/>
        </w:rPr>
      </w:pPr>
      <w:r>
        <w:rPr>
          <w:rFonts w:eastAsia="Calibri" w:cs="Arial"/>
          <w:szCs w:val="20"/>
        </w:rPr>
        <w:sym w:font="Symbol" w:char="F02D"/>
      </w:r>
      <w:r>
        <w:rPr>
          <w:rFonts w:eastAsia="Calibri" w:cs="Arial"/>
          <w:szCs w:val="20"/>
        </w:rPr>
        <w:t xml:space="preserve"> obravnava pritožbe ali poročila o vprašanjih v zvezi z neskladnostjo storitev s pogoji glede dostopnosti iz tega zakona;</w:t>
      </w:r>
    </w:p>
    <w:p w:rsidR="00CD410D" w:rsidRDefault="00CD410D" w:rsidP="00CD410D">
      <w:pPr>
        <w:jc w:val="both"/>
        <w:rPr>
          <w:rFonts w:cs="Arial"/>
          <w:szCs w:val="20"/>
          <w:lang w:eastAsia="sl-SI"/>
        </w:rPr>
      </w:pPr>
      <w:r>
        <w:rPr>
          <w:rFonts w:eastAsia="Calibri" w:cs="Arial"/>
          <w:szCs w:val="20"/>
        </w:rPr>
        <w:t xml:space="preserve">      </w:t>
      </w:r>
      <w:r>
        <w:rPr>
          <w:rFonts w:eastAsia="Calibri" w:cs="Arial"/>
          <w:szCs w:val="20"/>
        </w:rPr>
        <w:sym w:font="Symbol" w:char="F02D"/>
      </w:r>
      <w:r>
        <w:rPr>
          <w:rFonts w:eastAsia="Calibri" w:cs="Arial"/>
          <w:szCs w:val="20"/>
        </w:rPr>
        <w:t xml:space="preserve"> preverja, ali je zavezanec sprejel potrebne popravljalne ukrepe.«.</w:t>
      </w:r>
    </w:p>
    <w:p w:rsidR="00CD410D" w:rsidRDefault="00CD410D" w:rsidP="00CD410D">
      <w:pPr>
        <w:jc w:val="both"/>
        <w:rPr>
          <w:rFonts w:cs="Arial"/>
          <w:szCs w:val="20"/>
          <w:lang w:eastAsia="sl-SI"/>
        </w:rPr>
      </w:pPr>
    </w:p>
    <w:p w:rsidR="00CD410D" w:rsidRDefault="00CD410D" w:rsidP="00CD410D">
      <w:pPr>
        <w:jc w:val="both"/>
        <w:rPr>
          <w:rFonts w:cs="Arial"/>
          <w:bCs/>
          <w:szCs w:val="20"/>
          <w:u w:val="single"/>
          <w:lang w:eastAsia="sl-SI"/>
        </w:rPr>
      </w:pPr>
      <w:r>
        <w:rPr>
          <w:rFonts w:cs="Arial"/>
          <w:bCs/>
          <w:szCs w:val="20"/>
          <w:u w:val="single"/>
          <w:lang w:eastAsia="sl-SI"/>
        </w:rPr>
        <w:t>Obrazložitev:</w:t>
      </w:r>
    </w:p>
    <w:p w:rsidR="00CD410D" w:rsidRDefault="00CD410D" w:rsidP="00CD410D">
      <w:pPr>
        <w:jc w:val="both"/>
        <w:rPr>
          <w:rFonts w:cs="Arial"/>
          <w:szCs w:val="20"/>
          <w:lang w:eastAsia="sl-SI"/>
        </w:rPr>
      </w:pPr>
      <w:r>
        <w:rPr>
          <w:rFonts w:cs="Arial"/>
          <w:szCs w:val="20"/>
          <w:lang w:eastAsia="sl-SI"/>
        </w:rPr>
        <w:t xml:space="preserve">Z amandmajem se nedvoumno določa, da organi nadzora, določeni v 30. členu predloga zakona postopajo po postopkih in skladno s svojimi resornimi pristojnostmi. </w:t>
      </w:r>
    </w:p>
    <w:p w:rsidR="00CD410D" w:rsidRDefault="00CD410D" w:rsidP="00CD410D">
      <w:pPr>
        <w:jc w:val="both"/>
        <w:rPr>
          <w:rFonts w:cs="Arial"/>
          <w:szCs w:val="20"/>
          <w:lang w:eastAsia="sl-SI"/>
        </w:rPr>
      </w:pPr>
    </w:p>
    <w:p w:rsidR="00CD410D" w:rsidRDefault="00CD410D" w:rsidP="00CD410D">
      <w:pPr>
        <w:jc w:val="both"/>
        <w:rPr>
          <w:rFonts w:cs="Arial"/>
          <w:b/>
          <w:szCs w:val="20"/>
          <w:u w:val="single"/>
          <w:lang w:eastAsia="sl-SI"/>
        </w:rPr>
      </w:pPr>
      <w:bookmarkStart w:id="8" w:name="_Hlk123720104"/>
      <w:r>
        <w:rPr>
          <w:rFonts w:cs="Arial"/>
          <w:b/>
          <w:szCs w:val="20"/>
          <w:u w:val="single"/>
          <w:lang w:eastAsia="sl-SI"/>
        </w:rPr>
        <w:t>Amandma k 32. členu:</w:t>
      </w:r>
    </w:p>
    <w:bookmarkEnd w:id="8"/>
    <w:p w:rsidR="00CD410D" w:rsidRDefault="00CD410D" w:rsidP="00CD410D">
      <w:pPr>
        <w:jc w:val="both"/>
        <w:rPr>
          <w:rFonts w:cs="Arial"/>
          <w:szCs w:val="20"/>
          <w:lang w:eastAsia="sl-SI"/>
        </w:rPr>
      </w:pPr>
    </w:p>
    <w:p w:rsidR="00CD410D" w:rsidRDefault="00CD410D" w:rsidP="00CD410D">
      <w:pPr>
        <w:jc w:val="both"/>
        <w:rPr>
          <w:rFonts w:cs="Arial"/>
          <w:szCs w:val="20"/>
          <w:lang w:eastAsia="sl-SI"/>
        </w:rPr>
      </w:pPr>
      <w:r>
        <w:rPr>
          <w:rFonts w:cs="Arial"/>
          <w:szCs w:val="20"/>
          <w:lang w:eastAsia="sl-SI"/>
        </w:rPr>
        <w:t xml:space="preserve">V 32. členu se črta tretji odstavek. </w:t>
      </w:r>
    </w:p>
    <w:p w:rsidR="00CD410D" w:rsidRDefault="00CD410D" w:rsidP="00CD410D">
      <w:pPr>
        <w:jc w:val="both"/>
        <w:rPr>
          <w:rFonts w:cs="Arial"/>
          <w:szCs w:val="20"/>
          <w:lang w:eastAsia="sl-SI"/>
        </w:rPr>
      </w:pPr>
    </w:p>
    <w:p w:rsidR="00CD410D" w:rsidRDefault="00CD410D" w:rsidP="00CD410D">
      <w:pPr>
        <w:jc w:val="both"/>
        <w:rPr>
          <w:rFonts w:cs="Arial"/>
          <w:bCs/>
          <w:szCs w:val="20"/>
          <w:u w:val="single"/>
          <w:lang w:eastAsia="sl-SI"/>
        </w:rPr>
      </w:pPr>
      <w:r>
        <w:rPr>
          <w:rFonts w:cs="Arial"/>
          <w:bCs/>
          <w:szCs w:val="20"/>
          <w:u w:val="single"/>
          <w:lang w:eastAsia="sl-SI"/>
        </w:rPr>
        <w:t>Obrazložitev:</w:t>
      </w:r>
    </w:p>
    <w:p w:rsidR="00CD410D" w:rsidRDefault="00CD410D" w:rsidP="00CD410D">
      <w:pPr>
        <w:jc w:val="both"/>
        <w:rPr>
          <w:rFonts w:cs="Arial"/>
          <w:bCs/>
          <w:szCs w:val="20"/>
          <w:lang w:eastAsia="sl-SI"/>
        </w:rPr>
      </w:pPr>
      <w:r>
        <w:rPr>
          <w:rFonts w:cs="Arial"/>
          <w:bCs/>
          <w:szCs w:val="20"/>
          <w:lang w:eastAsia="sl-SI"/>
        </w:rPr>
        <w:t xml:space="preserve">Amandma je </w:t>
      </w:r>
      <w:proofErr w:type="spellStart"/>
      <w:r>
        <w:rPr>
          <w:rFonts w:cs="Arial"/>
          <w:bCs/>
          <w:szCs w:val="20"/>
          <w:lang w:eastAsia="sl-SI"/>
        </w:rPr>
        <w:t>nomotehnične</w:t>
      </w:r>
      <w:proofErr w:type="spellEnd"/>
      <w:r>
        <w:rPr>
          <w:rFonts w:cs="Arial"/>
          <w:bCs/>
          <w:szCs w:val="20"/>
          <w:lang w:eastAsia="sl-SI"/>
        </w:rPr>
        <w:t xml:space="preserve"> narave.</w:t>
      </w:r>
    </w:p>
    <w:p w:rsidR="00CD410D" w:rsidRDefault="00CD410D" w:rsidP="00CD410D">
      <w:pPr>
        <w:jc w:val="both"/>
        <w:rPr>
          <w:rFonts w:cs="Arial"/>
          <w:szCs w:val="20"/>
          <w:lang w:eastAsia="sl-SI"/>
        </w:rPr>
      </w:pPr>
    </w:p>
    <w:p w:rsidR="00CD410D" w:rsidRDefault="00CD410D" w:rsidP="00CD410D">
      <w:pPr>
        <w:jc w:val="both"/>
        <w:rPr>
          <w:rFonts w:cs="Arial"/>
          <w:b/>
          <w:szCs w:val="20"/>
          <w:u w:val="single"/>
          <w:lang w:eastAsia="sl-SI"/>
        </w:rPr>
      </w:pPr>
      <w:r>
        <w:rPr>
          <w:rFonts w:cs="Arial"/>
          <w:b/>
          <w:szCs w:val="20"/>
          <w:u w:val="single"/>
          <w:lang w:eastAsia="sl-SI"/>
        </w:rPr>
        <w:t>Amandma k 41. členu:</w:t>
      </w:r>
    </w:p>
    <w:p w:rsidR="00CD410D" w:rsidRDefault="00CD410D" w:rsidP="00CD410D">
      <w:pPr>
        <w:jc w:val="both"/>
        <w:rPr>
          <w:rFonts w:cs="Arial"/>
          <w:szCs w:val="20"/>
          <w:lang w:eastAsia="sl-SI"/>
        </w:rPr>
      </w:pPr>
    </w:p>
    <w:p w:rsidR="00CD410D" w:rsidRDefault="00CD410D" w:rsidP="00CD410D">
      <w:pPr>
        <w:jc w:val="both"/>
        <w:rPr>
          <w:rFonts w:cs="Arial"/>
          <w:szCs w:val="20"/>
          <w:lang w:eastAsia="sl-SI"/>
        </w:rPr>
      </w:pPr>
      <w:r>
        <w:rPr>
          <w:rFonts w:cs="Arial"/>
          <w:szCs w:val="20"/>
          <w:lang w:eastAsia="sl-SI"/>
        </w:rPr>
        <w:t xml:space="preserve">V 41. členu se črta drugi odstavek. </w:t>
      </w:r>
    </w:p>
    <w:p w:rsidR="00CD410D" w:rsidRDefault="00CD410D" w:rsidP="00CD410D">
      <w:pPr>
        <w:jc w:val="both"/>
        <w:rPr>
          <w:rFonts w:cs="Arial"/>
          <w:szCs w:val="20"/>
          <w:lang w:eastAsia="sl-SI"/>
        </w:rPr>
      </w:pPr>
      <w:bookmarkStart w:id="9" w:name="_GoBack"/>
      <w:bookmarkEnd w:id="9"/>
    </w:p>
    <w:p w:rsidR="00CD410D" w:rsidRDefault="00CD410D" w:rsidP="00CD410D">
      <w:pPr>
        <w:jc w:val="both"/>
        <w:rPr>
          <w:rFonts w:cs="Arial"/>
          <w:bCs/>
          <w:szCs w:val="20"/>
          <w:u w:val="single"/>
          <w:lang w:eastAsia="sl-SI"/>
        </w:rPr>
      </w:pPr>
      <w:r>
        <w:rPr>
          <w:rFonts w:cs="Arial"/>
          <w:bCs/>
          <w:szCs w:val="20"/>
          <w:u w:val="single"/>
          <w:lang w:eastAsia="sl-SI"/>
        </w:rPr>
        <w:t>Obrazložitev:</w:t>
      </w:r>
    </w:p>
    <w:p w:rsidR="00CD410D" w:rsidRDefault="00CD410D" w:rsidP="00CD410D">
      <w:pPr>
        <w:jc w:val="both"/>
        <w:rPr>
          <w:rFonts w:cs="Arial"/>
          <w:bCs/>
          <w:szCs w:val="20"/>
          <w:lang w:eastAsia="sl-SI"/>
        </w:rPr>
      </w:pPr>
      <w:r>
        <w:rPr>
          <w:rFonts w:cs="Arial"/>
          <w:bCs/>
          <w:szCs w:val="20"/>
          <w:lang w:eastAsia="sl-SI"/>
        </w:rPr>
        <w:t xml:space="preserve">Amandma je </w:t>
      </w:r>
      <w:proofErr w:type="spellStart"/>
      <w:r>
        <w:rPr>
          <w:rFonts w:cs="Arial"/>
          <w:bCs/>
          <w:szCs w:val="20"/>
          <w:lang w:eastAsia="sl-SI"/>
        </w:rPr>
        <w:t>nomotehnične</w:t>
      </w:r>
      <w:proofErr w:type="spellEnd"/>
      <w:r>
        <w:rPr>
          <w:rFonts w:cs="Arial"/>
          <w:bCs/>
          <w:szCs w:val="20"/>
          <w:lang w:eastAsia="sl-SI"/>
        </w:rPr>
        <w:t xml:space="preserve"> narave.</w:t>
      </w:r>
    </w:p>
    <w:p w:rsidR="00CD410D" w:rsidRDefault="00CD410D" w:rsidP="00CD410D">
      <w:pPr>
        <w:jc w:val="both"/>
        <w:rPr>
          <w:rFonts w:cs="Arial"/>
          <w:bCs/>
          <w:szCs w:val="20"/>
          <w:lang w:eastAsia="sl-SI"/>
        </w:rPr>
      </w:pPr>
    </w:p>
    <w:p w:rsidR="00CD410D" w:rsidRDefault="00CD410D" w:rsidP="00CD410D">
      <w:pPr>
        <w:rPr>
          <w:rFonts w:cs="Arial"/>
          <w:szCs w:val="20"/>
          <w:lang w:eastAsia="sl-SI"/>
        </w:rPr>
      </w:pPr>
    </w:p>
    <w:p w:rsidR="00CD410D" w:rsidRDefault="00CD410D" w:rsidP="00CD410D">
      <w:pPr>
        <w:rPr>
          <w:rFonts w:cs="Arial"/>
          <w:szCs w:val="20"/>
          <w:lang w:eastAsia="sl-SI"/>
        </w:rPr>
      </w:pPr>
      <w:r>
        <w:rPr>
          <w:rFonts w:cs="Arial"/>
          <w:szCs w:val="20"/>
          <w:lang w:eastAsia="sl-SI"/>
        </w:rPr>
        <w:t xml:space="preserve">Za 41. členom se doda novo poglavje in nov 41.a člen, ki se glasita: </w:t>
      </w:r>
    </w:p>
    <w:p w:rsidR="00CD410D" w:rsidRDefault="00CD410D" w:rsidP="00CD410D">
      <w:pPr>
        <w:jc w:val="center"/>
        <w:rPr>
          <w:rFonts w:cs="Arial"/>
          <w:szCs w:val="20"/>
          <w:lang w:eastAsia="sl-SI"/>
        </w:rPr>
      </w:pPr>
      <w:r>
        <w:rPr>
          <w:rFonts w:cs="Arial"/>
          <w:szCs w:val="20"/>
          <w:lang w:eastAsia="sl-SI"/>
        </w:rPr>
        <w:t>»IX. Obveznost poročanja Komisiji</w:t>
      </w:r>
    </w:p>
    <w:p w:rsidR="00CD410D" w:rsidRDefault="00CD410D" w:rsidP="00CD410D">
      <w:pPr>
        <w:rPr>
          <w:rFonts w:cs="Arial"/>
          <w:szCs w:val="20"/>
          <w:lang w:eastAsia="sl-SI"/>
        </w:rPr>
      </w:pPr>
    </w:p>
    <w:p w:rsidR="00CD410D" w:rsidRDefault="00CD410D" w:rsidP="00CD410D">
      <w:pPr>
        <w:jc w:val="center"/>
        <w:rPr>
          <w:rFonts w:cs="Arial"/>
          <w:szCs w:val="20"/>
          <w:lang w:eastAsia="sl-SI"/>
        </w:rPr>
      </w:pPr>
      <w:r>
        <w:rPr>
          <w:rFonts w:cs="Arial"/>
          <w:szCs w:val="20"/>
          <w:lang w:eastAsia="sl-SI"/>
        </w:rPr>
        <w:t>41. a člen</w:t>
      </w:r>
    </w:p>
    <w:p w:rsidR="00CD410D" w:rsidRDefault="00CD410D" w:rsidP="00CD410D">
      <w:pPr>
        <w:jc w:val="center"/>
        <w:rPr>
          <w:rFonts w:cs="Arial"/>
          <w:szCs w:val="20"/>
          <w:lang w:eastAsia="sl-SI"/>
        </w:rPr>
      </w:pPr>
      <w:r>
        <w:rPr>
          <w:rFonts w:cs="Arial"/>
          <w:szCs w:val="20"/>
          <w:lang w:eastAsia="sl-SI"/>
        </w:rPr>
        <w:t>(obveznost poročanja Komisiji in priprava poročil)</w:t>
      </w:r>
    </w:p>
    <w:p w:rsidR="00CD410D" w:rsidRDefault="00CD410D" w:rsidP="00CD410D">
      <w:pPr>
        <w:rPr>
          <w:rFonts w:cs="Arial"/>
          <w:szCs w:val="20"/>
          <w:lang w:eastAsia="sl-SI"/>
        </w:rPr>
      </w:pPr>
    </w:p>
    <w:p w:rsidR="00CD410D" w:rsidRDefault="00CD410D" w:rsidP="00CD410D">
      <w:pPr>
        <w:jc w:val="both"/>
        <w:rPr>
          <w:rFonts w:cs="Arial"/>
          <w:szCs w:val="20"/>
          <w:lang w:eastAsia="sl-SI"/>
        </w:rPr>
      </w:pPr>
      <w:r>
        <w:rPr>
          <w:rFonts w:cs="Arial"/>
          <w:szCs w:val="20"/>
          <w:lang w:eastAsia="sl-SI"/>
        </w:rPr>
        <w:tab/>
        <w:t>(1) Ministrstvo, pristojno za invalidsko varstvo, poroča Evropski komisiji na podlagi poročila Komisije za poročanje o uporabi ukrepov za zagotavljanje dostopnosti do proizvodov in storitev za invalide na podlagi tega zakona (v nadaljnjem besedilu: komisija).</w:t>
      </w:r>
    </w:p>
    <w:p w:rsidR="00CD410D" w:rsidRDefault="00CD410D" w:rsidP="00CD410D">
      <w:pPr>
        <w:jc w:val="both"/>
        <w:rPr>
          <w:rFonts w:cs="Arial"/>
          <w:szCs w:val="20"/>
          <w:lang w:eastAsia="sl-SI"/>
        </w:rPr>
      </w:pPr>
      <w:r>
        <w:rPr>
          <w:rFonts w:cs="Arial"/>
          <w:szCs w:val="20"/>
          <w:lang w:eastAsia="sl-SI"/>
        </w:rPr>
        <w:tab/>
        <w:t>(2) Komisijo imenuje minister, pristojen za invalidsko varstvo, na podlagi predlogov resornih ministrstev, ki so pristojna za zagotavljanje dostopnosti do posameznega proizvoda ali storitve na podlagi tega zakona.</w:t>
      </w:r>
    </w:p>
    <w:p w:rsidR="00CD410D" w:rsidRDefault="00CD410D" w:rsidP="00CD410D">
      <w:pPr>
        <w:jc w:val="both"/>
        <w:rPr>
          <w:rFonts w:cs="Arial"/>
          <w:szCs w:val="20"/>
          <w:lang w:eastAsia="sl-SI"/>
        </w:rPr>
      </w:pPr>
      <w:r>
        <w:rPr>
          <w:rFonts w:cs="Arial"/>
          <w:szCs w:val="20"/>
          <w:lang w:eastAsia="sl-SI"/>
        </w:rPr>
        <w:t xml:space="preserve">             (3) Komisija mora letno, najpozneje do konca januarja za preteklo leto, pripraviti poročilo o razvoju dostopnosti z njihovega resornega področja. Komisija prvič poroča v Evropski komisiji v letu 2026 za leto 2025. </w:t>
      </w:r>
    </w:p>
    <w:p w:rsidR="00CD410D" w:rsidRDefault="00CD410D" w:rsidP="00CD410D">
      <w:pPr>
        <w:jc w:val="both"/>
        <w:rPr>
          <w:rFonts w:cs="Arial"/>
          <w:szCs w:val="20"/>
          <w:lang w:eastAsia="sl-SI"/>
        </w:rPr>
      </w:pPr>
      <w:r>
        <w:rPr>
          <w:rFonts w:cs="Arial"/>
          <w:szCs w:val="20"/>
          <w:lang w:eastAsia="sl-SI"/>
        </w:rPr>
        <w:t xml:space="preserve">             (4) Poročilo iz prejšnjega odstavka vsebuje informacije o razvoju dostopnosti proizvodov in storitev, morebitno vezanost na določeno tehnologijo ali ovire za inovacije ter vpliv tega zakona na gospodarske subjekte in invalide z vidika socialnega, ekonomskega in tehnološkega razvoja ter druge informacije. Pri pripravi poročila se upoštevajo stališča gospodarskih akterjev in nevladnih organizacij, vključno z invalidskimi organizacijami.«.</w:t>
      </w:r>
    </w:p>
    <w:p w:rsidR="00CD410D" w:rsidRDefault="00CD410D" w:rsidP="00CD410D">
      <w:pPr>
        <w:jc w:val="both"/>
        <w:rPr>
          <w:rFonts w:cs="Arial"/>
          <w:szCs w:val="20"/>
          <w:lang w:eastAsia="sl-SI"/>
        </w:rPr>
      </w:pPr>
    </w:p>
    <w:p w:rsidR="00CD410D" w:rsidRDefault="00CD410D" w:rsidP="00CD410D">
      <w:pPr>
        <w:jc w:val="both"/>
        <w:rPr>
          <w:rFonts w:cs="Arial"/>
          <w:szCs w:val="20"/>
          <w:u w:val="single"/>
          <w:lang w:eastAsia="sl-SI"/>
        </w:rPr>
      </w:pPr>
      <w:r>
        <w:rPr>
          <w:rFonts w:cs="Arial"/>
          <w:szCs w:val="20"/>
          <w:u w:val="single"/>
          <w:lang w:eastAsia="sl-SI"/>
        </w:rPr>
        <w:t xml:space="preserve">Obrazložitev: </w:t>
      </w:r>
    </w:p>
    <w:p w:rsidR="00CD410D" w:rsidRDefault="00CD410D" w:rsidP="00CD410D">
      <w:pPr>
        <w:jc w:val="both"/>
        <w:rPr>
          <w:rFonts w:cs="Arial"/>
          <w:szCs w:val="20"/>
          <w:lang w:eastAsia="sl-SI"/>
        </w:rPr>
      </w:pPr>
      <w:r>
        <w:rPr>
          <w:rFonts w:cs="Arial"/>
          <w:szCs w:val="20"/>
          <w:lang w:eastAsia="sl-SI"/>
        </w:rPr>
        <w:t xml:space="preserve">Amandma je </w:t>
      </w:r>
      <w:proofErr w:type="spellStart"/>
      <w:r>
        <w:rPr>
          <w:rFonts w:cs="Arial"/>
          <w:szCs w:val="20"/>
          <w:lang w:eastAsia="sl-SI"/>
        </w:rPr>
        <w:t>nomotehnične</w:t>
      </w:r>
      <w:proofErr w:type="spellEnd"/>
      <w:r>
        <w:rPr>
          <w:rFonts w:cs="Arial"/>
          <w:szCs w:val="20"/>
          <w:lang w:eastAsia="sl-SI"/>
        </w:rPr>
        <w:t xml:space="preserve"> narave. 41.a člen je dosedanji 43. člen predloga zakona, ki se je iz poglavja prehodne in končne določbe prestavil v novo poglavje, saj je po vsebini materialna določba</w:t>
      </w:r>
    </w:p>
    <w:p w:rsidR="00CD410D" w:rsidRDefault="00CD410D" w:rsidP="00CD410D">
      <w:pPr>
        <w:jc w:val="both"/>
        <w:rPr>
          <w:rFonts w:cs="Arial"/>
          <w:szCs w:val="20"/>
          <w:u w:val="single"/>
          <w:lang w:eastAsia="sl-SI"/>
        </w:rPr>
      </w:pPr>
      <w:r>
        <w:rPr>
          <w:rFonts w:cs="Arial"/>
          <w:szCs w:val="20"/>
          <w:u w:val="single"/>
          <w:lang w:eastAsia="sl-SI"/>
        </w:rPr>
        <w:t xml:space="preserve"> </w:t>
      </w:r>
    </w:p>
    <w:p w:rsidR="00CD410D" w:rsidRDefault="00CD410D" w:rsidP="00CD410D">
      <w:pPr>
        <w:jc w:val="both"/>
        <w:rPr>
          <w:rFonts w:cs="Arial"/>
          <w:szCs w:val="20"/>
          <w:lang w:eastAsia="sl-SI"/>
        </w:rPr>
      </w:pPr>
      <w:r>
        <w:rPr>
          <w:rFonts w:cs="Arial"/>
          <w:szCs w:val="20"/>
          <w:lang w:eastAsia="sl-SI"/>
        </w:rPr>
        <w:t>V naslovu poglavja se številka »IX.« nadomesti s številko »X.«</w:t>
      </w:r>
    </w:p>
    <w:p w:rsidR="00CD410D" w:rsidRDefault="00CD410D" w:rsidP="00CD410D">
      <w:pPr>
        <w:rPr>
          <w:rFonts w:cs="Arial"/>
          <w:szCs w:val="20"/>
          <w:lang w:eastAsia="sl-SI"/>
        </w:rPr>
      </w:pPr>
    </w:p>
    <w:p w:rsidR="00CD410D" w:rsidRDefault="00CD410D" w:rsidP="00CD410D">
      <w:pPr>
        <w:jc w:val="both"/>
        <w:rPr>
          <w:rFonts w:cs="Arial"/>
          <w:b/>
          <w:szCs w:val="20"/>
          <w:u w:val="single"/>
          <w:lang w:eastAsia="sl-SI"/>
        </w:rPr>
      </w:pPr>
      <w:r>
        <w:rPr>
          <w:rFonts w:cs="Arial"/>
          <w:b/>
          <w:szCs w:val="20"/>
          <w:u w:val="single"/>
          <w:lang w:eastAsia="sl-SI"/>
        </w:rPr>
        <w:t>Amandma k 43. členu:</w:t>
      </w:r>
    </w:p>
    <w:p w:rsidR="00CD410D" w:rsidRDefault="00CD410D" w:rsidP="00CD410D">
      <w:pPr>
        <w:rPr>
          <w:rFonts w:cs="Arial"/>
          <w:szCs w:val="20"/>
          <w:lang w:eastAsia="sl-SI"/>
        </w:rPr>
      </w:pPr>
    </w:p>
    <w:p w:rsidR="00CD410D" w:rsidRDefault="00CD410D" w:rsidP="00CD410D">
      <w:pPr>
        <w:rPr>
          <w:rFonts w:cs="Arial"/>
          <w:szCs w:val="20"/>
          <w:lang w:eastAsia="sl-SI"/>
        </w:rPr>
      </w:pPr>
      <w:r>
        <w:rPr>
          <w:rFonts w:cs="Arial"/>
          <w:szCs w:val="20"/>
          <w:lang w:eastAsia="sl-SI"/>
        </w:rPr>
        <w:t>43. člen se spremeni tako, da se glasi:</w:t>
      </w:r>
    </w:p>
    <w:p w:rsidR="00CD410D" w:rsidRDefault="00CD410D" w:rsidP="00CD410D">
      <w:pPr>
        <w:jc w:val="center"/>
        <w:rPr>
          <w:rFonts w:cs="Arial"/>
          <w:szCs w:val="20"/>
          <w:lang w:eastAsia="sl-SI"/>
        </w:rPr>
      </w:pPr>
      <w:r>
        <w:rPr>
          <w:rFonts w:cs="Arial"/>
          <w:szCs w:val="20"/>
          <w:lang w:eastAsia="sl-SI"/>
        </w:rPr>
        <w:t>»43. člen</w:t>
      </w:r>
    </w:p>
    <w:p w:rsidR="00CD410D" w:rsidRDefault="00CD410D" w:rsidP="00CD410D">
      <w:pPr>
        <w:jc w:val="center"/>
        <w:rPr>
          <w:rFonts w:cs="Arial"/>
          <w:szCs w:val="20"/>
          <w:lang w:eastAsia="sl-SI"/>
        </w:rPr>
      </w:pPr>
      <w:r>
        <w:rPr>
          <w:rFonts w:cs="Arial"/>
          <w:szCs w:val="20"/>
          <w:lang w:eastAsia="sl-SI"/>
        </w:rPr>
        <w:t>(veljavnost rokov določenih z drugimi predpisi)</w:t>
      </w:r>
    </w:p>
    <w:p w:rsidR="00CD410D" w:rsidRDefault="00CD410D" w:rsidP="00CD410D">
      <w:pPr>
        <w:numPr>
          <w:ilvl w:val="0"/>
          <w:numId w:val="3"/>
        </w:numPr>
        <w:jc w:val="both"/>
        <w:rPr>
          <w:rFonts w:cs="Arial"/>
          <w:szCs w:val="20"/>
          <w:lang w:eastAsia="sl-SI"/>
        </w:rPr>
      </w:pPr>
      <w:r>
        <w:rPr>
          <w:rFonts w:cs="Arial"/>
          <w:szCs w:val="20"/>
          <w:lang w:eastAsia="sl-SI"/>
        </w:rPr>
        <w:t>Roki za primerno prilagoditev proizvodov in storitev opredeljeni v drugih predpisih, ki opredeljujejo dostopnost do proizvodov in storitev, ostanejo v veljavi, razen za proizvode in storitve iz 3. člena tega zakona.«.</w:t>
      </w:r>
    </w:p>
    <w:p w:rsidR="00CD410D" w:rsidRDefault="00CD410D" w:rsidP="00CD410D">
      <w:pPr>
        <w:jc w:val="both"/>
        <w:rPr>
          <w:rFonts w:cs="Arial"/>
          <w:szCs w:val="20"/>
          <w:lang w:eastAsia="sl-SI"/>
        </w:rPr>
      </w:pPr>
    </w:p>
    <w:p w:rsidR="00CD410D" w:rsidRDefault="00CD410D" w:rsidP="00CD410D">
      <w:pPr>
        <w:jc w:val="both"/>
        <w:rPr>
          <w:rFonts w:cs="Arial"/>
          <w:bCs/>
          <w:szCs w:val="20"/>
          <w:u w:val="single"/>
          <w:lang w:eastAsia="sl-SI"/>
        </w:rPr>
      </w:pPr>
      <w:r>
        <w:rPr>
          <w:rFonts w:cs="Arial"/>
          <w:bCs/>
          <w:szCs w:val="20"/>
          <w:u w:val="single"/>
          <w:lang w:eastAsia="sl-SI"/>
        </w:rPr>
        <w:t>Obrazložitev:</w:t>
      </w:r>
    </w:p>
    <w:p w:rsidR="00CD410D" w:rsidRDefault="00CD410D" w:rsidP="00CD410D">
      <w:pPr>
        <w:jc w:val="both"/>
        <w:rPr>
          <w:rFonts w:cs="Arial"/>
          <w:bCs/>
          <w:szCs w:val="20"/>
          <w:lang w:eastAsia="sl-SI"/>
        </w:rPr>
      </w:pPr>
      <w:r>
        <w:rPr>
          <w:rFonts w:cs="Arial"/>
          <w:bCs/>
          <w:szCs w:val="20"/>
          <w:lang w:eastAsia="sl-SI"/>
        </w:rPr>
        <w:t>Prvotni člen se je prestavil med materialne določbe v novo IX. Poglavje. Novo besedilo 43. člena pa opredeljuje nadaljnjo veljavnost rokov drugih predpisov, ki opredeljujejo dostopnost do proizvodov in storitev.</w:t>
      </w:r>
    </w:p>
    <w:p w:rsidR="00CD410D" w:rsidRDefault="00CD410D" w:rsidP="00CD410D">
      <w:pPr>
        <w:rPr>
          <w:rFonts w:cs="Arial"/>
          <w:bCs/>
          <w:szCs w:val="20"/>
          <w:lang w:eastAsia="sl-SI"/>
        </w:rPr>
      </w:pPr>
    </w:p>
    <w:p w:rsidR="00CD410D" w:rsidRDefault="00CD410D" w:rsidP="00CD410D">
      <w:pPr>
        <w:rPr>
          <w:rFonts w:cs="Arial"/>
          <w:szCs w:val="20"/>
          <w:lang w:eastAsia="sl-SI"/>
        </w:rPr>
      </w:pPr>
    </w:p>
    <w:p w:rsidR="007E1230" w:rsidRPr="00CD410D" w:rsidRDefault="007E1230" w:rsidP="00CD410D">
      <w:pPr>
        <w:rPr>
          <w:rFonts w:ascii="Helv" w:hAnsi="Helv" w:cs="Helv"/>
          <w:color w:val="000000"/>
          <w:szCs w:val="20"/>
        </w:rPr>
      </w:pPr>
    </w:p>
    <w:sectPr w:rsidR="007E1230" w:rsidRPr="00CD410D" w:rsidSect="00A16E6F">
      <w:headerReference w:type="even" r:id="rId7"/>
      <w:headerReference w:type="default" r:id="rId8"/>
      <w:footerReference w:type="even" r:id="rId9"/>
      <w:footerReference w:type="default" r:id="rId10"/>
      <w:headerReference w:type="first" r:id="rId11"/>
      <w:footerReference w:type="first" r:id="rId12"/>
      <w:pgSz w:w="11906" w:h="16838"/>
      <w:pgMar w:top="1701" w:right="1701" w:bottom="1134" w:left="1701" w:header="964" w:footer="794"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980AAA" w:rsidRDefault="00980AAA" w:rsidP="00767987">
      <w:pPr>
        <w:spacing w:line="240" w:lineRule="auto"/>
      </w:pPr>
      <w:r>
        <w:separator/>
      </w:r>
    </w:p>
  </w:endnote>
  <w:endnote w:type="continuationSeparator" w:id="0">
    <w:p w:rsidR="00980AAA" w:rsidRDefault="00980AAA" w:rsidP="00767987">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Helv">
    <w:panose1 w:val="020B0604020202030204"/>
    <w:charset w:val="00"/>
    <w:family w:val="swiss"/>
    <w:notTrueType/>
    <w:pitch w:val="variable"/>
    <w:sig w:usb0="00000003" w:usb1="00000000" w:usb2="00000000" w:usb3="00000000" w:csb0="00000001" w:csb1="00000000"/>
  </w:font>
  <w:font w:name="Segoe UI Emoji">
    <w:panose1 w:val="020B0502040204020203"/>
    <w:charset w:val="00"/>
    <w:family w:val="swiss"/>
    <w:pitch w:val="variable"/>
    <w:sig w:usb0="00000003" w:usb1="02000000" w:usb2="00000000" w:usb3="00000000" w:csb0="00000001"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521D1" w:rsidRDefault="000521D1">
    <w:pPr>
      <w:pStyle w:val="Nog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521D1" w:rsidRDefault="000521D1">
    <w:pPr>
      <w:pStyle w:val="Nog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521D1" w:rsidRDefault="000521D1">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980AAA" w:rsidRDefault="00980AAA" w:rsidP="00767987">
      <w:pPr>
        <w:spacing w:line="240" w:lineRule="auto"/>
      </w:pPr>
      <w:r>
        <w:separator/>
      </w:r>
    </w:p>
  </w:footnote>
  <w:footnote w:type="continuationSeparator" w:id="0">
    <w:p w:rsidR="00980AAA" w:rsidRDefault="00980AAA" w:rsidP="00767987">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521D1" w:rsidRDefault="000521D1">
    <w:pPr>
      <w:pStyle w:val="Glav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521D1" w:rsidRDefault="000521D1">
    <w:pPr>
      <w:pStyle w:val="Glava"/>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16E6F" w:rsidRPr="00A9231D" w:rsidRDefault="00A16E6F" w:rsidP="00A16E6F">
    <w:pPr>
      <w:pStyle w:val="Glava"/>
      <w:tabs>
        <w:tab w:val="clear" w:pos="4536"/>
        <w:tab w:val="clear" w:pos="9072"/>
        <w:tab w:val="left" w:pos="5112"/>
        <w:tab w:val="left" w:pos="8641"/>
      </w:tabs>
      <w:spacing w:before="340" w:line="240" w:lineRule="exact"/>
      <w:ind w:left="-765"/>
      <w:rPr>
        <w:rFonts w:ascii="Arial" w:hAnsi="Arial" w:cs="Arial"/>
        <w:sz w:val="16"/>
      </w:rPr>
    </w:pPr>
    <w:r w:rsidRPr="00CE234E">
      <w:rPr>
        <w:noProof/>
        <w:lang w:eastAsia="sl-SI"/>
      </w:rPr>
      <w:drawing>
        <wp:inline distT="0" distB="0" distL="0" distR="0" wp14:anchorId="13E6758A" wp14:editId="0B37FD23">
          <wp:extent cx="2165350" cy="325120"/>
          <wp:effectExtent l="0" t="0" r="6350" b="0"/>
          <wp:docPr id="1" name="Slika 1" descr="Republika Slovenija&#10;Vlada Republike Sloveni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165350" cy="325120"/>
                  </a:xfrm>
                  <a:prstGeom prst="rect">
                    <a:avLst/>
                  </a:prstGeom>
                  <a:noFill/>
                  <a:ln>
                    <a:noFill/>
                  </a:ln>
                </pic:spPr>
              </pic:pic>
            </a:graphicData>
          </a:graphic>
        </wp:inline>
      </w:drawing>
    </w:r>
  </w:p>
  <w:p w:rsidR="00A16E6F" w:rsidRPr="00A9231D" w:rsidRDefault="00A16E6F" w:rsidP="00A16E6F">
    <w:pPr>
      <w:pStyle w:val="Glava"/>
      <w:tabs>
        <w:tab w:val="clear" w:pos="4536"/>
        <w:tab w:val="clear" w:pos="9072"/>
        <w:tab w:val="left" w:pos="5114"/>
        <w:tab w:val="left" w:pos="8641"/>
      </w:tabs>
      <w:spacing w:before="120" w:line="240" w:lineRule="exact"/>
      <w:rPr>
        <w:rFonts w:ascii="Arial" w:hAnsi="Arial" w:cs="Arial"/>
        <w:sz w:val="16"/>
      </w:rPr>
    </w:pPr>
    <w:r w:rsidRPr="00A9231D">
      <w:rPr>
        <w:rFonts w:ascii="Arial" w:hAnsi="Arial" w:cs="Arial"/>
        <w:sz w:val="16"/>
      </w:rPr>
      <w:t xml:space="preserve">Gregorčičeva </w:t>
    </w:r>
    <w:r>
      <w:rPr>
        <w:rFonts w:ascii="Arial" w:hAnsi="Arial" w:cs="Arial"/>
        <w:sz w:val="16"/>
      </w:rPr>
      <w:t xml:space="preserve">ulica </w:t>
    </w:r>
    <w:r w:rsidRPr="00A9231D">
      <w:rPr>
        <w:rFonts w:ascii="Arial" w:hAnsi="Arial" w:cs="Arial"/>
        <w:sz w:val="16"/>
      </w:rPr>
      <w:t>20–25, 100</w:t>
    </w:r>
    <w:r>
      <w:rPr>
        <w:rFonts w:ascii="Arial" w:hAnsi="Arial" w:cs="Arial"/>
        <w:sz w:val="16"/>
      </w:rPr>
      <w:t>0</w:t>
    </w:r>
    <w:r w:rsidRPr="00A9231D">
      <w:rPr>
        <w:rFonts w:ascii="Arial" w:hAnsi="Arial" w:cs="Arial"/>
        <w:sz w:val="16"/>
      </w:rPr>
      <w:t xml:space="preserve"> Ljubljana</w:t>
    </w:r>
    <w:r w:rsidRPr="00A9231D">
      <w:rPr>
        <w:rFonts w:ascii="Arial" w:hAnsi="Arial" w:cs="Arial"/>
        <w:sz w:val="16"/>
      </w:rPr>
      <w:tab/>
      <w:t>T: +386 1 478 1000</w:t>
    </w:r>
  </w:p>
  <w:p w:rsidR="00A16E6F" w:rsidRPr="00A9231D" w:rsidRDefault="00A16E6F" w:rsidP="00A16E6F">
    <w:pPr>
      <w:pStyle w:val="Glava"/>
      <w:tabs>
        <w:tab w:val="clear" w:pos="4536"/>
        <w:tab w:val="clear" w:pos="9072"/>
        <w:tab w:val="left" w:pos="5114"/>
        <w:tab w:val="left" w:pos="8641"/>
      </w:tabs>
      <w:spacing w:line="240" w:lineRule="exact"/>
      <w:rPr>
        <w:rFonts w:ascii="Arial" w:hAnsi="Arial" w:cs="Arial"/>
        <w:sz w:val="16"/>
      </w:rPr>
    </w:pPr>
    <w:r w:rsidRPr="00A9231D">
      <w:rPr>
        <w:rFonts w:ascii="Arial" w:hAnsi="Arial" w:cs="Arial"/>
        <w:sz w:val="16"/>
      </w:rPr>
      <w:tab/>
      <w:t>F: +386 1 478 1607</w:t>
    </w:r>
  </w:p>
  <w:p w:rsidR="00A16E6F" w:rsidRPr="00A9231D" w:rsidRDefault="00A16E6F" w:rsidP="00A16E6F">
    <w:pPr>
      <w:pStyle w:val="Glava"/>
      <w:tabs>
        <w:tab w:val="clear" w:pos="4536"/>
        <w:tab w:val="clear" w:pos="9072"/>
        <w:tab w:val="left" w:pos="5114"/>
        <w:tab w:val="left" w:pos="8641"/>
      </w:tabs>
      <w:spacing w:line="240" w:lineRule="exact"/>
      <w:rPr>
        <w:rFonts w:ascii="Arial" w:hAnsi="Arial" w:cs="Arial"/>
        <w:sz w:val="16"/>
      </w:rPr>
    </w:pPr>
    <w:r w:rsidRPr="00A9231D">
      <w:rPr>
        <w:rFonts w:ascii="Arial" w:hAnsi="Arial" w:cs="Arial"/>
        <w:sz w:val="16"/>
      </w:rPr>
      <w:tab/>
      <w:t>E: gp.gs@gov.si</w:t>
    </w:r>
  </w:p>
  <w:p w:rsidR="00A16E6F" w:rsidRPr="00A9231D" w:rsidRDefault="00A16E6F" w:rsidP="00A16E6F">
    <w:pPr>
      <w:pStyle w:val="Glava"/>
      <w:tabs>
        <w:tab w:val="clear" w:pos="4536"/>
        <w:tab w:val="clear" w:pos="9072"/>
        <w:tab w:val="left" w:pos="5114"/>
        <w:tab w:val="left" w:pos="8641"/>
      </w:tabs>
      <w:spacing w:line="240" w:lineRule="exact"/>
      <w:rPr>
        <w:rFonts w:ascii="Arial" w:hAnsi="Arial" w:cs="Arial"/>
        <w:sz w:val="16"/>
      </w:rPr>
    </w:pPr>
    <w:r w:rsidRPr="00A9231D">
      <w:rPr>
        <w:rFonts w:ascii="Arial" w:hAnsi="Arial" w:cs="Arial"/>
        <w:sz w:val="16"/>
      </w:rPr>
      <w:tab/>
      <w:t>http://www.vlada.si/</w:t>
    </w:r>
  </w:p>
  <w:p w:rsidR="006C69EC" w:rsidRDefault="006C69EC">
    <w:pPr>
      <w:pStyle w:val="Glav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3B752E34"/>
    <w:multiLevelType w:val="hybridMultilevel"/>
    <w:tmpl w:val="CA748140"/>
    <w:lvl w:ilvl="0" w:tplc="D4380C9A">
      <w:start w:val="1"/>
      <w:numFmt w:val="decimal"/>
      <w:lvlText w:val="(%1)"/>
      <w:lvlJc w:val="left"/>
      <w:pPr>
        <w:ind w:left="860" w:hanging="360"/>
      </w:pPr>
    </w:lvl>
    <w:lvl w:ilvl="1" w:tplc="04240019">
      <w:start w:val="1"/>
      <w:numFmt w:val="lowerLetter"/>
      <w:lvlText w:val="%2."/>
      <w:lvlJc w:val="left"/>
      <w:pPr>
        <w:ind w:left="1580" w:hanging="360"/>
      </w:pPr>
    </w:lvl>
    <w:lvl w:ilvl="2" w:tplc="0424001B">
      <w:start w:val="1"/>
      <w:numFmt w:val="lowerRoman"/>
      <w:lvlText w:val="%3."/>
      <w:lvlJc w:val="right"/>
      <w:pPr>
        <w:ind w:left="2300" w:hanging="180"/>
      </w:pPr>
    </w:lvl>
    <w:lvl w:ilvl="3" w:tplc="0424000F">
      <w:start w:val="1"/>
      <w:numFmt w:val="decimal"/>
      <w:lvlText w:val="%4."/>
      <w:lvlJc w:val="left"/>
      <w:pPr>
        <w:ind w:left="3020" w:hanging="360"/>
      </w:pPr>
    </w:lvl>
    <w:lvl w:ilvl="4" w:tplc="04240019">
      <w:start w:val="1"/>
      <w:numFmt w:val="lowerLetter"/>
      <w:lvlText w:val="%5."/>
      <w:lvlJc w:val="left"/>
      <w:pPr>
        <w:ind w:left="3740" w:hanging="360"/>
      </w:pPr>
    </w:lvl>
    <w:lvl w:ilvl="5" w:tplc="0424001B">
      <w:start w:val="1"/>
      <w:numFmt w:val="lowerRoman"/>
      <w:lvlText w:val="%6."/>
      <w:lvlJc w:val="right"/>
      <w:pPr>
        <w:ind w:left="4460" w:hanging="180"/>
      </w:pPr>
    </w:lvl>
    <w:lvl w:ilvl="6" w:tplc="0424000F">
      <w:start w:val="1"/>
      <w:numFmt w:val="decimal"/>
      <w:lvlText w:val="%7."/>
      <w:lvlJc w:val="left"/>
      <w:pPr>
        <w:ind w:left="5180" w:hanging="360"/>
      </w:pPr>
    </w:lvl>
    <w:lvl w:ilvl="7" w:tplc="04240019">
      <w:start w:val="1"/>
      <w:numFmt w:val="lowerLetter"/>
      <w:lvlText w:val="%8."/>
      <w:lvlJc w:val="left"/>
      <w:pPr>
        <w:ind w:left="5900" w:hanging="360"/>
      </w:pPr>
    </w:lvl>
    <w:lvl w:ilvl="8" w:tplc="0424001B">
      <w:start w:val="1"/>
      <w:numFmt w:val="lowerRoman"/>
      <w:lvlText w:val="%9."/>
      <w:lvlJc w:val="right"/>
      <w:pPr>
        <w:ind w:left="6620" w:hanging="180"/>
      </w:pPr>
    </w:lvl>
  </w:abstractNum>
  <w:abstractNum w:abstractNumId="1" w15:restartNumberingAfterBreak="0">
    <w:nsid w:val="6E451286"/>
    <w:multiLevelType w:val="hybridMultilevel"/>
    <w:tmpl w:val="88B88C78"/>
    <w:lvl w:ilvl="0" w:tplc="5684846C">
      <w:start w:val="1"/>
      <w:numFmt w:val="bullet"/>
      <w:lvlText w:val="–"/>
      <w:lvlJc w:val="left"/>
      <w:pPr>
        <w:ind w:left="697" w:hanging="360"/>
      </w:pPr>
      <w:rPr>
        <w:rFonts w:ascii="Arial" w:hAnsi="Arial" w:hint="default"/>
      </w:rPr>
    </w:lvl>
    <w:lvl w:ilvl="1" w:tplc="4A728A6C">
      <w:numFmt w:val="bullet"/>
      <w:lvlText w:val="-"/>
      <w:lvlJc w:val="left"/>
      <w:pPr>
        <w:ind w:left="1417" w:hanging="360"/>
      </w:pPr>
      <w:rPr>
        <w:rFonts w:ascii="Arial" w:eastAsia="Calibri" w:hAnsi="Arial" w:cs="Arial" w:hint="default"/>
      </w:rPr>
    </w:lvl>
    <w:lvl w:ilvl="2" w:tplc="04090005" w:tentative="1">
      <w:start w:val="1"/>
      <w:numFmt w:val="bullet"/>
      <w:lvlText w:val=""/>
      <w:lvlJc w:val="left"/>
      <w:pPr>
        <w:ind w:left="2137" w:hanging="360"/>
      </w:pPr>
      <w:rPr>
        <w:rFonts w:ascii="Wingdings" w:hAnsi="Wingdings" w:hint="default"/>
      </w:rPr>
    </w:lvl>
    <w:lvl w:ilvl="3" w:tplc="04090001" w:tentative="1">
      <w:start w:val="1"/>
      <w:numFmt w:val="bullet"/>
      <w:lvlText w:val=""/>
      <w:lvlJc w:val="left"/>
      <w:pPr>
        <w:ind w:left="2857" w:hanging="360"/>
      </w:pPr>
      <w:rPr>
        <w:rFonts w:ascii="Symbol" w:hAnsi="Symbol" w:hint="default"/>
      </w:rPr>
    </w:lvl>
    <w:lvl w:ilvl="4" w:tplc="04090003" w:tentative="1">
      <w:start w:val="1"/>
      <w:numFmt w:val="bullet"/>
      <w:lvlText w:val="o"/>
      <w:lvlJc w:val="left"/>
      <w:pPr>
        <w:ind w:left="3577" w:hanging="360"/>
      </w:pPr>
      <w:rPr>
        <w:rFonts w:ascii="Courier New" w:hAnsi="Courier New" w:cs="Courier New" w:hint="default"/>
      </w:rPr>
    </w:lvl>
    <w:lvl w:ilvl="5" w:tplc="04090005" w:tentative="1">
      <w:start w:val="1"/>
      <w:numFmt w:val="bullet"/>
      <w:lvlText w:val=""/>
      <w:lvlJc w:val="left"/>
      <w:pPr>
        <w:ind w:left="4297" w:hanging="360"/>
      </w:pPr>
      <w:rPr>
        <w:rFonts w:ascii="Wingdings" w:hAnsi="Wingdings" w:hint="default"/>
      </w:rPr>
    </w:lvl>
    <w:lvl w:ilvl="6" w:tplc="04090001" w:tentative="1">
      <w:start w:val="1"/>
      <w:numFmt w:val="bullet"/>
      <w:lvlText w:val=""/>
      <w:lvlJc w:val="left"/>
      <w:pPr>
        <w:ind w:left="5017" w:hanging="360"/>
      </w:pPr>
      <w:rPr>
        <w:rFonts w:ascii="Symbol" w:hAnsi="Symbol" w:hint="default"/>
      </w:rPr>
    </w:lvl>
    <w:lvl w:ilvl="7" w:tplc="04090003" w:tentative="1">
      <w:start w:val="1"/>
      <w:numFmt w:val="bullet"/>
      <w:lvlText w:val="o"/>
      <w:lvlJc w:val="left"/>
      <w:pPr>
        <w:ind w:left="5737" w:hanging="360"/>
      </w:pPr>
      <w:rPr>
        <w:rFonts w:ascii="Courier New" w:hAnsi="Courier New" w:cs="Courier New" w:hint="default"/>
      </w:rPr>
    </w:lvl>
    <w:lvl w:ilvl="8" w:tplc="04090005" w:tentative="1">
      <w:start w:val="1"/>
      <w:numFmt w:val="bullet"/>
      <w:lvlText w:val=""/>
      <w:lvlJc w:val="left"/>
      <w:pPr>
        <w:ind w:left="6457" w:hanging="360"/>
      </w:pPr>
      <w:rPr>
        <w:rFonts w:ascii="Wingdings" w:hAnsi="Wingdings" w:hint="default"/>
      </w:rPr>
    </w:lvl>
  </w:abstractNum>
  <w:abstractNum w:abstractNumId="2" w15:restartNumberingAfterBreak="0">
    <w:nsid w:val="6FD46845"/>
    <w:multiLevelType w:val="hybridMultilevel"/>
    <w:tmpl w:val="320A0A5C"/>
    <w:lvl w:ilvl="0" w:tplc="18F4AEEC">
      <w:start w:val="1"/>
      <w:numFmt w:val="bullet"/>
      <w:lvlText w:val="-"/>
      <w:lvlJc w:val="left"/>
      <w:pPr>
        <w:ind w:left="1080" w:hanging="360"/>
      </w:pPr>
      <w:rPr>
        <w:rFonts w:ascii="Arial" w:eastAsia="Times New Roman" w:hAnsi="Arial" w:cs="Arial" w:hint="default"/>
      </w:rPr>
    </w:lvl>
    <w:lvl w:ilvl="1" w:tplc="04240003">
      <w:start w:val="1"/>
      <w:numFmt w:val="bullet"/>
      <w:lvlText w:val="o"/>
      <w:lvlJc w:val="left"/>
      <w:pPr>
        <w:ind w:left="1800" w:hanging="360"/>
      </w:pPr>
      <w:rPr>
        <w:rFonts w:ascii="Courier New" w:hAnsi="Courier New" w:cs="Courier New" w:hint="default"/>
      </w:rPr>
    </w:lvl>
    <w:lvl w:ilvl="2" w:tplc="04240005">
      <w:start w:val="1"/>
      <w:numFmt w:val="bullet"/>
      <w:lvlText w:val=""/>
      <w:lvlJc w:val="left"/>
      <w:pPr>
        <w:ind w:left="2520" w:hanging="360"/>
      </w:pPr>
      <w:rPr>
        <w:rFonts w:ascii="Wingdings" w:hAnsi="Wingdings" w:hint="default"/>
      </w:rPr>
    </w:lvl>
    <w:lvl w:ilvl="3" w:tplc="04240001">
      <w:start w:val="1"/>
      <w:numFmt w:val="bullet"/>
      <w:lvlText w:val=""/>
      <w:lvlJc w:val="left"/>
      <w:pPr>
        <w:ind w:left="3240" w:hanging="360"/>
      </w:pPr>
      <w:rPr>
        <w:rFonts w:ascii="Symbol" w:hAnsi="Symbol" w:hint="default"/>
      </w:rPr>
    </w:lvl>
    <w:lvl w:ilvl="4" w:tplc="04240003">
      <w:start w:val="1"/>
      <w:numFmt w:val="bullet"/>
      <w:lvlText w:val="o"/>
      <w:lvlJc w:val="left"/>
      <w:pPr>
        <w:ind w:left="3960" w:hanging="360"/>
      </w:pPr>
      <w:rPr>
        <w:rFonts w:ascii="Courier New" w:hAnsi="Courier New" w:cs="Courier New" w:hint="default"/>
      </w:rPr>
    </w:lvl>
    <w:lvl w:ilvl="5" w:tplc="04240005">
      <w:start w:val="1"/>
      <w:numFmt w:val="bullet"/>
      <w:lvlText w:val=""/>
      <w:lvlJc w:val="left"/>
      <w:pPr>
        <w:ind w:left="4680" w:hanging="360"/>
      </w:pPr>
      <w:rPr>
        <w:rFonts w:ascii="Wingdings" w:hAnsi="Wingdings" w:hint="default"/>
      </w:rPr>
    </w:lvl>
    <w:lvl w:ilvl="6" w:tplc="04240001">
      <w:start w:val="1"/>
      <w:numFmt w:val="bullet"/>
      <w:lvlText w:val=""/>
      <w:lvlJc w:val="left"/>
      <w:pPr>
        <w:ind w:left="5400" w:hanging="360"/>
      </w:pPr>
      <w:rPr>
        <w:rFonts w:ascii="Symbol" w:hAnsi="Symbol" w:hint="default"/>
      </w:rPr>
    </w:lvl>
    <w:lvl w:ilvl="7" w:tplc="04240003">
      <w:start w:val="1"/>
      <w:numFmt w:val="bullet"/>
      <w:lvlText w:val="o"/>
      <w:lvlJc w:val="left"/>
      <w:pPr>
        <w:ind w:left="6120" w:hanging="360"/>
      </w:pPr>
      <w:rPr>
        <w:rFonts w:ascii="Courier New" w:hAnsi="Courier New" w:cs="Courier New" w:hint="default"/>
      </w:rPr>
    </w:lvl>
    <w:lvl w:ilvl="8" w:tplc="04240005">
      <w:start w:val="1"/>
      <w:numFmt w:val="bullet"/>
      <w:lvlText w:val=""/>
      <w:lvlJc w:val="left"/>
      <w:pPr>
        <w:ind w:left="6840" w:hanging="360"/>
      </w:pPr>
      <w:rPr>
        <w:rFonts w:ascii="Wingdings" w:hAnsi="Wingdings" w:hint="default"/>
      </w:rPr>
    </w:lvl>
  </w:abstractNum>
  <w:num w:numId="1">
    <w:abstractNumId w:val="1"/>
  </w:num>
  <w:num w:numId="2">
    <w:abstractNumId w:val="2"/>
    <w:lvlOverride w:ilvl="0"/>
    <w:lvlOverride w:ilvl="1"/>
    <w:lvlOverride w:ilvl="2"/>
    <w:lvlOverride w:ilvl="3"/>
    <w:lvlOverride w:ilvl="4"/>
    <w:lvlOverride w:ilvl="5"/>
    <w:lvlOverride w:ilvl="6"/>
    <w:lvlOverride w:ilvl="7"/>
    <w:lvlOverride w:ilvl="8"/>
  </w:num>
  <w:num w:numId="3">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9"/>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E1BCE"/>
    <w:rsid w:val="000521D1"/>
    <w:rsid w:val="00084FCB"/>
    <w:rsid w:val="000B37A4"/>
    <w:rsid w:val="000B3FE6"/>
    <w:rsid w:val="00366636"/>
    <w:rsid w:val="00367DE6"/>
    <w:rsid w:val="003B3E19"/>
    <w:rsid w:val="004076C6"/>
    <w:rsid w:val="00457A58"/>
    <w:rsid w:val="004941AA"/>
    <w:rsid w:val="004B7F76"/>
    <w:rsid w:val="004E1BCE"/>
    <w:rsid w:val="00592079"/>
    <w:rsid w:val="00594080"/>
    <w:rsid w:val="00682FFE"/>
    <w:rsid w:val="00684751"/>
    <w:rsid w:val="006B2A57"/>
    <w:rsid w:val="006C69EC"/>
    <w:rsid w:val="007039D0"/>
    <w:rsid w:val="00767987"/>
    <w:rsid w:val="00782FD4"/>
    <w:rsid w:val="007E1230"/>
    <w:rsid w:val="00811140"/>
    <w:rsid w:val="00904A48"/>
    <w:rsid w:val="00980294"/>
    <w:rsid w:val="00980AAA"/>
    <w:rsid w:val="009C5392"/>
    <w:rsid w:val="009C657E"/>
    <w:rsid w:val="00A16E6F"/>
    <w:rsid w:val="00A50E4B"/>
    <w:rsid w:val="00A56EFB"/>
    <w:rsid w:val="00A9231D"/>
    <w:rsid w:val="00AD3BB3"/>
    <w:rsid w:val="00C0216A"/>
    <w:rsid w:val="00CD410D"/>
    <w:rsid w:val="00CD6077"/>
    <w:rsid w:val="00CE234E"/>
    <w:rsid w:val="00D02973"/>
    <w:rsid w:val="00DA09BE"/>
    <w:rsid w:val="00E83A83"/>
    <w:rsid w:val="00F502C5"/>
    <w:rsid w:val="00FB00DD"/>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5:chartTrackingRefBased/>
  <w15:docId w15:val="{A289029D-D534-4CF9-8555-38669BE2FF0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7E1230"/>
    <w:pPr>
      <w:spacing w:after="0" w:line="260" w:lineRule="exact"/>
    </w:pPr>
    <w:rPr>
      <w:rFonts w:ascii="Arial" w:eastAsia="Times New Roman" w:hAnsi="Arial" w:cs="Times New Roman"/>
      <w:sz w:val="20"/>
      <w:szCs w:val="24"/>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datumtevilka">
    <w:name w:val="datum številka"/>
    <w:basedOn w:val="Navaden"/>
    <w:qFormat/>
    <w:rsid w:val="00767987"/>
    <w:pPr>
      <w:tabs>
        <w:tab w:val="left" w:pos="1701"/>
      </w:tabs>
    </w:pPr>
    <w:rPr>
      <w:szCs w:val="20"/>
      <w:lang w:eastAsia="sl-SI"/>
    </w:rPr>
  </w:style>
  <w:style w:type="paragraph" w:styleId="Glava">
    <w:name w:val="header"/>
    <w:basedOn w:val="Navaden"/>
    <w:link w:val="GlavaZnak"/>
    <w:unhideWhenUsed/>
    <w:rsid w:val="00767987"/>
    <w:pPr>
      <w:tabs>
        <w:tab w:val="center" w:pos="4536"/>
        <w:tab w:val="right" w:pos="9072"/>
      </w:tabs>
      <w:spacing w:line="240" w:lineRule="auto"/>
    </w:pPr>
    <w:rPr>
      <w:rFonts w:asciiTheme="minorHAnsi" w:eastAsiaTheme="minorHAnsi" w:hAnsiTheme="minorHAnsi" w:cstheme="minorBidi"/>
      <w:sz w:val="22"/>
      <w:szCs w:val="22"/>
    </w:rPr>
  </w:style>
  <w:style w:type="character" w:customStyle="1" w:styleId="GlavaZnak">
    <w:name w:val="Glava Znak"/>
    <w:basedOn w:val="Privzetapisavaodstavka"/>
    <w:link w:val="Glava"/>
    <w:rsid w:val="00767987"/>
  </w:style>
  <w:style w:type="paragraph" w:styleId="Noga">
    <w:name w:val="footer"/>
    <w:basedOn w:val="Navaden"/>
    <w:link w:val="NogaZnak"/>
    <w:uiPriority w:val="99"/>
    <w:unhideWhenUsed/>
    <w:rsid w:val="00767987"/>
    <w:pPr>
      <w:tabs>
        <w:tab w:val="center" w:pos="4536"/>
        <w:tab w:val="right" w:pos="9072"/>
      </w:tabs>
      <w:spacing w:line="240" w:lineRule="auto"/>
    </w:pPr>
    <w:rPr>
      <w:rFonts w:asciiTheme="minorHAnsi" w:eastAsiaTheme="minorHAnsi" w:hAnsiTheme="minorHAnsi" w:cstheme="minorBidi"/>
      <w:sz w:val="22"/>
      <w:szCs w:val="22"/>
    </w:rPr>
  </w:style>
  <w:style w:type="character" w:customStyle="1" w:styleId="NogaZnak">
    <w:name w:val="Noga Znak"/>
    <w:basedOn w:val="Privzetapisavaodstavka"/>
    <w:link w:val="Noga"/>
    <w:uiPriority w:val="99"/>
    <w:rsid w:val="00767987"/>
  </w:style>
  <w:style w:type="paragraph" w:customStyle="1" w:styleId="podpisi">
    <w:name w:val="podpisi"/>
    <w:basedOn w:val="Navaden"/>
    <w:qFormat/>
    <w:rsid w:val="009C657E"/>
    <w:pPr>
      <w:tabs>
        <w:tab w:val="left" w:pos="3402"/>
      </w:tabs>
    </w:pPr>
    <w:rPr>
      <w:lang w:val="it-I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69576681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_rels/header3.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5</Pages>
  <Words>1607</Words>
  <Characters>9163</Characters>
  <Application>Microsoft Office Word</Application>
  <DocSecurity>0</DocSecurity>
  <Lines>76</Lines>
  <Paragraphs>21</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10749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Katja Pucihar</dc:creator>
  <cp:keywords/>
  <dc:description/>
  <cp:lastModifiedBy>Katja Pucihar</cp:lastModifiedBy>
  <cp:revision>2</cp:revision>
  <dcterms:created xsi:type="dcterms:W3CDTF">2023-01-05T08:09:00Z</dcterms:created>
  <dcterms:modified xsi:type="dcterms:W3CDTF">2023-01-05T08:09:00Z</dcterms:modified>
</cp:coreProperties>
</file>