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D9678B" w14:textId="77777777" w:rsidR="00DC07E2" w:rsidRPr="008C2BDE" w:rsidRDefault="00DC07E2" w:rsidP="00DC07E2">
      <w:pPr>
        <w:pStyle w:val="Default"/>
        <w:rPr>
          <w:sz w:val="20"/>
          <w:szCs w:val="20"/>
        </w:rPr>
      </w:pPr>
    </w:p>
    <w:p w14:paraId="47662BEB" w14:textId="2D82C29C" w:rsidR="00DC07E2" w:rsidRPr="008C2BDE" w:rsidRDefault="008C2BDE" w:rsidP="00DC07E2">
      <w:pPr>
        <w:pStyle w:val="Default"/>
        <w:jc w:val="both"/>
        <w:rPr>
          <w:b/>
          <w:color w:val="auto"/>
          <w:sz w:val="20"/>
          <w:szCs w:val="20"/>
          <w:u w:val="single"/>
        </w:rPr>
      </w:pPr>
      <w:r w:rsidRPr="008C2BDE">
        <w:rPr>
          <w:b/>
          <w:color w:val="auto"/>
          <w:sz w:val="20"/>
          <w:szCs w:val="20"/>
          <w:u w:val="single"/>
        </w:rPr>
        <w:t>Priloga 10</w:t>
      </w:r>
      <w:r w:rsidR="00DC07E2" w:rsidRPr="008C2BDE">
        <w:rPr>
          <w:b/>
          <w:color w:val="auto"/>
          <w:sz w:val="20"/>
          <w:szCs w:val="20"/>
          <w:u w:val="single"/>
        </w:rPr>
        <w:t xml:space="preserve">: Opredelitev pretežnega načina reje rejnih živali na KMG in izračun proizvedene količine gnojil </w:t>
      </w:r>
    </w:p>
    <w:p w14:paraId="35AFA9EB" w14:textId="77777777" w:rsidR="00DC07E2" w:rsidRPr="008C2BDE" w:rsidRDefault="00DC07E2" w:rsidP="00DC07E2">
      <w:pPr>
        <w:pStyle w:val="Default"/>
        <w:jc w:val="both"/>
        <w:rPr>
          <w:sz w:val="20"/>
          <w:szCs w:val="20"/>
        </w:rPr>
      </w:pPr>
    </w:p>
    <w:p w14:paraId="2F166427" w14:textId="77777777" w:rsidR="00DC07E2" w:rsidRPr="008C2BDE" w:rsidRDefault="00DC07E2" w:rsidP="00DC07E2">
      <w:pPr>
        <w:pStyle w:val="Default"/>
        <w:jc w:val="both"/>
        <w:rPr>
          <w:sz w:val="20"/>
          <w:szCs w:val="20"/>
        </w:rPr>
      </w:pPr>
    </w:p>
    <w:p w14:paraId="090D0676" w14:textId="77777777" w:rsidR="00DC07E2" w:rsidRPr="008C2BDE" w:rsidRDefault="00DC07E2" w:rsidP="00DC07E2">
      <w:pPr>
        <w:pStyle w:val="Default"/>
        <w:jc w:val="both"/>
        <w:rPr>
          <w:sz w:val="20"/>
          <w:szCs w:val="20"/>
        </w:rPr>
      </w:pPr>
      <w:r w:rsidRPr="008C2BDE">
        <w:rPr>
          <w:sz w:val="20"/>
          <w:szCs w:val="20"/>
        </w:rPr>
        <w:t>(1) Za shemo »Gnojenje z organskimi gnojili z nizkimi izpusti v zrak« (NIZI _njiva, NIZI_TT, NIZI_HML), je treba opredeliti pretežen način reje rejnih živali na KMG, na podlagi katerega se izračuna proizvedena količina gnojil na KMG.</w:t>
      </w:r>
    </w:p>
    <w:p w14:paraId="53BD8B9F" w14:textId="77777777" w:rsidR="00DC07E2" w:rsidRPr="008C2BDE" w:rsidRDefault="00DC07E2" w:rsidP="00DC07E2">
      <w:pPr>
        <w:pStyle w:val="Default"/>
        <w:jc w:val="both"/>
        <w:rPr>
          <w:sz w:val="20"/>
          <w:szCs w:val="20"/>
        </w:rPr>
      </w:pPr>
      <w:r w:rsidRPr="008C2BDE">
        <w:rPr>
          <w:sz w:val="20"/>
          <w:szCs w:val="20"/>
        </w:rPr>
        <w:t xml:space="preserve"> </w:t>
      </w:r>
    </w:p>
    <w:p w14:paraId="29A239CA" w14:textId="5F5FA9EB" w:rsidR="00DC07E2" w:rsidRPr="008C2BDE" w:rsidRDefault="00DC07E2" w:rsidP="00DC07E2">
      <w:pPr>
        <w:pStyle w:val="Default"/>
        <w:jc w:val="both"/>
        <w:rPr>
          <w:sz w:val="20"/>
          <w:szCs w:val="20"/>
        </w:rPr>
      </w:pPr>
      <w:r w:rsidRPr="008C2BDE">
        <w:rPr>
          <w:sz w:val="20"/>
          <w:szCs w:val="20"/>
        </w:rPr>
        <w:t xml:space="preserve">(2) Plačilo za shemo NIZI se dodeli na hektar. Pri tem znaša najmanjša poraba organskih gnojil na hektar </w:t>
      </w:r>
      <w:r w:rsidR="00AD4183" w:rsidRPr="008C2BDE">
        <w:rPr>
          <w:sz w:val="20"/>
          <w:szCs w:val="20"/>
        </w:rPr>
        <w:t xml:space="preserve">v tekočem letu </w:t>
      </w:r>
      <w:r w:rsidRPr="008C2BDE">
        <w:rPr>
          <w:sz w:val="20"/>
          <w:szCs w:val="20"/>
        </w:rPr>
        <w:t>vsaj 15m3.</w:t>
      </w:r>
    </w:p>
    <w:p w14:paraId="4F8FCADB" w14:textId="77777777" w:rsidR="00DC07E2" w:rsidRPr="008C2BDE" w:rsidRDefault="00DC07E2" w:rsidP="00DC07E2">
      <w:pPr>
        <w:pStyle w:val="Default"/>
        <w:jc w:val="both"/>
        <w:rPr>
          <w:sz w:val="20"/>
          <w:szCs w:val="20"/>
        </w:rPr>
      </w:pPr>
    </w:p>
    <w:p w14:paraId="5A66108B" w14:textId="009F9436" w:rsidR="00DC07E2" w:rsidRPr="00211126" w:rsidRDefault="1AAAAE7A" w:rsidP="1AAAAE7A">
      <w:pPr>
        <w:pStyle w:val="Default"/>
        <w:jc w:val="both"/>
        <w:rPr>
          <w:sz w:val="20"/>
          <w:szCs w:val="20"/>
        </w:rPr>
      </w:pPr>
      <w:r w:rsidRPr="1AAAAE7A">
        <w:rPr>
          <w:sz w:val="20"/>
          <w:szCs w:val="20"/>
        </w:rPr>
        <w:t xml:space="preserve">(3) Izračun razpoložljivih količin tekočih živinskih gnojil in gnoja na KMG vključuje količino gnoja in tekočih živinskih gnojil, ki jih prispevajo rejne živali iz obrazca »Stalež živali po vrstah in kategorijah rejnih živali« iz predpisa, ki ureja evidenco rejnih živali (v nadaljnjem besedilu: obrazec staleža živali), ter oddane in prejete količine živinskih gnojil in digestata iz »Obrazca za oddajo in prejem živinskih gnojil, digestata ali komposta« </w:t>
      </w:r>
      <w:r w:rsidRPr="00211126">
        <w:rPr>
          <w:sz w:val="20"/>
          <w:szCs w:val="20"/>
        </w:rPr>
        <w:t xml:space="preserve">iz </w:t>
      </w:r>
      <w:r w:rsidR="00211126" w:rsidRPr="00211126">
        <w:rPr>
          <w:sz w:val="20"/>
          <w:szCs w:val="20"/>
        </w:rPr>
        <w:t>uredbe</w:t>
      </w:r>
      <w:r w:rsidR="00211126" w:rsidRPr="00211126">
        <w:rPr>
          <w:sz w:val="20"/>
          <w:szCs w:val="20"/>
        </w:rPr>
        <w:t>, ki ureja integrirani administrativni in kontrolni sistem</w:t>
      </w:r>
      <w:r w:rsidRPr="00211126">
        <w:rPr>
          <w:sz w:val="20"/>
          <w:szCs w:val="20"/>
        </w:rPr>
        <w:t xml:space="preserve"> za tekoče leto. V izračunu se upošteva za: </w:t>
      </w:r>
    </w:p>
    <w:p w14:paraId="18958E4C" w14:textId="77777777" w:rsidR="00DC07E2" w:rsidRPr="008C2BDE" w:rsidRDefault="00DC07E2" w:rsidP="00DC07E2">
      <w:pPr>
        <w:pStyle w:val="Default"/>
        <w:jc w:val="both"/>
        <w:rPr>
          <w:sz w:val="20"/>
          <w:szCs w:val="20"/>
        </w:rPr>
      </w:pPr>
    </w:p>
    <w:p w14:paraId="3C80BF5E" w14:textId="77777777" w:rsidR="00DC07E2" w:rsidRPr="008C2BDE" w:rsidRDefault="00DC07E2" w:rsidP="00DC07E2">
      <w:pPr>
        <w:pStyle w:val="Default"/>
        <w:spacing w:after="44"/>
        <w:jc w:val="both"/>
        <w:rPr>
          <w:sz w:val="20"/>
          <w:szCs w:val="20"/>
        </w:rPr>
      </w:pPr>
      <w:r w:rsidRPr="008C2BDE">
        <w:rPr>
          <w:sz w:val="20"/>
          <w:szCs w:val="20"/>
        </w:rPr>
        <w:t xml:space="preserve"> govedo: stalež živali po stanju na dan 1. februarja tekočega leta in štiri reprezentativne naključno izbrane datume, ki jih agencija določi in objavi na svoji spletni strani ne prej kakor dva tedna po njihovi določitvi, ter podatek o številu živali s pregleda na kraju samem; </w:t>
      </w:r>
    </w:p>
    <w:p w14:paraId="323A571C" w14:textId="77777777" w:rsidR="00DC07E2" w:rsidRPr="008C2BDE" w:rsidRDefault="00DC07E2" w:rsidP="00DC07E2">
      <w:pPr>
        <w:pStyle w:val="Default"/>
        <w:spacing w:after="44"/>
        <w:jc w:val="both"/>
        <w:rPr>
          <w:sz w:val="20"/>
          <w:szCs w:val="20"/>
        </w:rPr>
      </w:pPr>
      <w:r w:rsidRPr="008C2BDE">
        <w:rPr>
          <w:sz w:val="20"/>
          <w:szCs w:val="20"/>
        </w:rPr>
        <w:t xml:space="preserve"> prašiče, kokoši in piščance, ki niso v turnusni reji: stalež živali po stanju na dan 1. februarja tekočega leta in podatek o številu živali s pregleda na kraju samem; </w:t>
      </w:r>
    </w:p>
    <w:p w14:paraId="032C9E79" w14:textId="7EAF9C5D" w:rsidR="00DC07E2" w:rsidRPr="008C2BDE" w:rsidRDefault="00DC07E2" w:rsidP="00DC07E2">
      <w:pPr>
        <w:pStyle w:val="Default"/>
        <w:jc w:val="both"/>
        <w:rPr>
          <w:sz w:val="20"/>
          <w:szCs w:val="20"/>
        </w:rPr>
      </w:pPr>
      <w:r w:rsidRPr="008C2BDE">
        <w:rPr>
          <w:sz w:val="20"/>
          <w:szCs w:val="20"/>
        </w:rPr>
        <w:t xml:space="preserve"> prašiče, kokoši in piščance v turnusni reji: podatek o povprečnem številu živali v turnusu in številu dni vseh turnusov iz zbirne vloge za tekoče leto. </w:t>
      </w:r>
    </w:p>
    <w:p w14:paraId="496F95CE" w14:textId="714DBC80" w:rsidR="009758B4" w:rsidRPr="008C2BDE" w:rsidRDefault="1AAAAE7A" w:rsidP="1AAAAE7A">
      <w:pPr>
        <w:pStyle w:val="Default"/>
        <w:spacing w:after="44"/>
        <w:jc w:val="both"/>
        <w:rPr>
          <w:sz w:val="20"/>
          <w:szCs w:val="20"/>
        </w:rPr>
      </w:pPr>
      <w:r w:rsidRPr="1AAAAE7A">
        <w:rPr>
          <w:sz w:val="20"/>
          <w:szCs w:val="20"/>
        </w:rPr>
        <w:t xml:space="preserve"> Konje: stalež živali po stanju na dan 1. februarja tekočega leta </w:t>
      </w:r>
      <w:r w:rsidR="00211126">
        <w:rPr>
          <w:sz w:val="20"/>
          <w:szCs w:val="20"/>
        </w:rPr>
        <w:t>in</w:t>
      </w:r>
      <w:r w:rsidRPr="1AAAAE7A">
        <w:rPr>
          <w:sz w:val="20"/>
          <w:szCs w:val="20"/>
        </w:rPr>
        <w:t xml:space="preserve"> podatek o številu živali s pregleda na kraju samem; </w:t>
      </w:r>
    </w:p>
    <w:p w14:paraId="320EA4FB" w14:textId="37516A81" w:rsidR="009758B4" w:rsidRPr="008C2BDE" w:rsidRDefault="009758B4" w:rsidP="009758B4">
      <w:pPr>
        <w:pStyle w:val="Default"/>
        <w:jc w:val="both"/>
        <w:rPr>
          <w:sz w:val="20"/>
          <w:szCs w:val="20"/>
        </w:rPr>
      </w:pPr>
      <w:r w:rsidRPr="008C2BDE">
        <w:rPr>
          <w:sz w:val="20"/>
          <w:szCs w:val="20"/>
        </w:rPr>
        <w:t xml:space="preserve"> </w:t>
      </w:r>
    </w:p>
    <w:p w14:paraId="5A12BDB2" w14:textId="1887B5B8" w:rsidR="00DC07E2" w:rsidRPr="008C2BDE" w:rsidRDefault="1AAAAE7A" w:rsidP="1AAAAE7A">
      <w:pPr>
        <w:pStyle w:val="Default"/>
        <w:rPr>
          <w:sz w:val="20"/>
          <w:szCs w:val="20"/>
        </w:rPr>
      </w:pPr>
      <w:r w:rsidRPr="1AAAAE7A">
        <w:rPr>
          <w:sz w:val="20"/>
          <w:szCs w:val="20"/>
        </w:rPr>
        <w:t xml:space="preserve">(4) Količina proizvedenih tekočih živinskih gnojil in gnoja se izračuna s pomočjo podatka o pretežnem načinu reje domačih živali na KMG, ki ga upravičenec opredeli na obrazcu »Opredelitev načina reje za potrebe izvajanja zahtev z obveznostjo gnojenja z organskimi gnojili z majhnimi izpusti v zrak« iz predpisa, </w:t>
      </w:r>
      <w:r w:rsidR="00211126" w:rsidRPr="00211126">
        <w:rPr>
          <w:sz w:val="20"/>
          <w:szCs w:val="20"/>
        </w:rPr>
        <w:t>ki ureja integrirani administrativni in kontrolni sistem za tekoče leto</w:t>
      </w:r>
      <w:r w:rsidRPr="1AAAAE7A">
        <w:rPr>
          <w:sz w:val="20"/>
          <w:szCs w:val="20"/>
        </w:rPr>
        <w:t xml:space="preserve">. Za ta namen se določijo štirje pretežni načini reje rejnih živali: </w:t>
      </w:r>
    </w:p>
    <w:p w14:paraId="1C04368D" w14:textId="77777777" w:rsidR="00DC07E2" w:rsidRPr="008C2BDE" w:rsidRDefault="00DC07E2" w:rsidP="00DC07E2">
      <w:pPr>
        <w:pStyle w:val="Default"/>
        <w:spacing w:after="41"/>
        <w:rPr>
          <w:sz w:val="20"/>
          <w:szCs w:val="20"/>
        </w:rPr>
      </w:pPr>
      <w:r w:rsidRPr="008C2BDE">
        <w:rPr>
          <w:sz w:val="20"/>
          <w:szCs w:val="20"/>
        </w:rPr>
        <w:t xml:space="preserve"> sistem z gnojevko; </w:t>
      </w:r>
    </w:p>
    <w:p w14:paraId="1C22C5EB" w14:textId="77777777" w:rsidR="009758B4" w:rsidRPr="008C2BDE" w:rsidRDefault="00DC07E2" w:rsidP="00DC07E2">
      <w:pPr>
        <w:pStyle w:val="Default"/>
        <w:rPr>
          <w:sz w:val="20"/>
          <w:szCs w:val="20"/>
        </w:rPr>
      </w:pPr>
      <w:r w:rsidRPr="008C2BDE">
        <w:rPr>
          <w:sz w:val="20"/>
          <w:szCs w:val="20"/>
        </w:rPr>
        <w:t> sistem</w:t>
      </w:r>
      <w:r w:rsidR="00385344" w:rsidRPr="008C2BDE">
        <w:rPr>
          <w:sz w:val="20"/>
          <w:szCs w:val="20"/>
        </w:rPr>
        <w:t xml:space="preserve"> s hlevskim gnojem</w:t>
      </w:r>
    </w:p>
    <w:p w14:paraId="68AD6D60" w14:textId="3C006475" w:rsidR="00DC07E2" w:rsidRPr="008C2BDE" w:rsidRDefault="009758B4" w:rsidP="00DC07E2">
      <w:pPr>
        <w:pStyle w:val="Default"/>
        <w:rPr>
          <w:sz w:val="20"/>
          <w:szCs w:val="20"/>
        </w:rPr>
      </w:pPr>
      <w:r w:rsidRPr="008C2BDE">
        <w:rPr>
          <w:sz w:val="20"/>
          <w:szCs w:val="20"/>
        </w:rPr>
        <w:t xml:space="preserve"> sistem z </w:t>
      </w:r>
      <w:r w:rsidR="00385344" w:rsidRPr="008C2BDE">
        <w:rPr>
          <w:sz w:val="20"/>
          <w:szCs w:val="20"/>
        </w:rPr>
        <w:t>gnojnico</w:t>
      </w:r>
    </w:p>
    <w:p w14:paraId="6049F7E1" w14:textId="77777777" w:rsidR="00385344" w:rsidRPr="008C2BDE" w:rsidRDefault="00385344" w:rsidP="00385344">
      <w:pPr>
        <w:pStyle w:val="Default"/>
        <w:rPr>
          <w:sz w:val="20"/>
          <w:szCs w:val="20"/>
        </w:rPr>
      </w:pPr>
      <w:r w:rsidRPr="008C2BDE">
        <w:rPr>
          <w:sz w:val="20"/>
          <w:szCs w:val="20"/>
        </w:rPr>
        <w:t>  sistem gnoj iz globokega nastilja.</w:t>
      </w:r>
    </w:p>
    <w:p w14:paraId="10B7642F" w14:textId="77777777" w:rsidR="00DC07E2" w:rsidRPr="008C2BDE" w:rsidRDefault="00DC07E2" w:rsidP="008C2BDE">
      <w:pPr>
        <w:pStyle w:val="Default"/>
        <w:jc w:val="both"/>
        <w:rPr>
          <w:sz w:val="20"/>
          <w:szCs w:val="20"/>
        </w:rPr>
      </w:pPr>
    </w:p>
    <w:p w14:paraId="668B12B3" w14:textId="0DBE5EFD" w:rsidR="00DC07E2" w:rsidRPr="008C2BDE" w:rsidRDefault="00DC07E2" w:rsidP="008C2BDE">
      <w:pPr>
        <w:pStyle w:val="Default"/>
        <w:jc w:val="both"/>
        <w:rPr>
          <w:sz w:val="20"/>
          <w:szCs w:val="20"/>
        </w:rPr>
      </w:pPr>
      <w:r w:rsidRPr="008C2BDE">
        <w:rPr>
          <w:sz w:val="20"/>
          <w:szCs w:val="20"/>
        </w:rPr>
        <w:t xml:space="preserve">(5) Pretežen način reje </w:t>
      </w:r>
      <w:r w:rsidR="009758B4" w:rsidRPr="008C2BDE">
        <w:rPr>
          <w:sz w:val="20"/>
          <w:szCs w:val="20"/>
        </w:rPr>
        <w:t xml:space="preserve">posamezne kategorije </w:t>
      </w:r>
      <w:r w:rsidRPr="008C2BDE">
        <w:rPr>
          <w:sz w:val="20"/>
          <w:szCs w:val="20"/>
        </w:rPr>
        <w:t>rejnih živali na KMG</w:t>
      </w:r>
      <w:r w:rsidR="009758B4" w:rsidRPr="008C2BDE">
        <w:rPr>
          <w:sz w:val="20"/>
          <w:szCs w:val="20"/>
        </w:rPr>
        <w:t xml:space="preserve"> je en in sicer </w:t>
      </w:r>
      <w:r w:rsidRPr="008C2BDE">
        <w:rPr>
          <w:sz w:val="20"/>
          <w:szCs w:val="20"/>
        </w:rPr>
        <w:t>tisti, v katerega je vključenih več kot 50 odstotkov GVŽ</w:t>
      </w:r>
      <w:r w:rsidR="009758B4" w:rsidRPr="008C2BDE">
        <w:rPr>
          <w:sz w:val="20"/>
          <w:szCs w:val="20"/>
        </w:rPr>
        <w:t xml:space="preserve"> posamezne kategorije rejnih živali</w:t>
      </w:r>
      <w:r w:rsidRPr="008C2BDE">
        <w:rPr>
          <w:sz w:val="20"/>
          <w:szCs w:val="20"/>
        </w:rPr>
        <w:t xml:space="preserve">. </w:t>
      </w:r>
    </w:p>
    <w:p w14:paraId="00593CA4" w14:textId="77777777" w:rsidR="00DC07E2" w:rsidRPr="008C2BDE" w:rsidRDefault="00DC07E2" w:rsidP="00DC07E2">
      <w:pPr>
        <w:pStyle w:val="Default"/>
        <w:rPr>
          <w:sz w:val="20"/>
          <w:szCs w:val="20"/>
        </w:rPr>
      </w:pPr>
    </w:p>
    <w:p w14:paraId="7A780A5C" w14:textId="77777777" w:rsidR="00DC07E2" w:rsidRPr="008C2BDE" w:rsidRDefault="00DC07E2" w:rsidP="00DC07E2">
      <w:pPr>
        <w:pStyle w:val="Default"/>
        <w:rPr>
          <w:sz w:val="20"/>
          <w:szCs w:val="20"/>
        </w:rPr>
      </w:pPr>
      <w:r w:rsidRPr="008C2BDE">
        <w:rPr>
          <w:sz w:val="20"/>
          <w:szCs w:val="20"/>
        </w:rPr>
        <w:t xml:space="preserve">(6) Kategorije živali, na podlagi katerih se izračuna proizvedena količina gnojil, so: </w:t>
      </w:r>
    </w:p>
    <w:p w14:paraId="6A3260C2" w14:textId="77777777" w:rsidR="00DC07E2" w:rsidRPr="008C2BDE" w:rsidRDefault="00DC07E2" w:rsidP="00DC07E2">
      <w:pPr>
        <w:pStyle w:val="Default"/>
        <w:spacing w:after="41"/>
        <w:rPr>
          <w:sz w:val="20"/>
          <w:szCs w:val="20"/>
        </w:rPr>
      </w:pPr>
      <w:r w:rsidRPr="008C2BDE">
        <w:rPr>
          <w:sz w:val="20"/>
          <w:szCs w:val="20"/>
        </w:rPr>
        <w:t xml:space="preserve"> govedo do dve leti; </w:t>
      </w:r>
    </w:p>
    <w:p w14:paraId="29B6EBF0" w14:textId="77777777" w:rsidR="00DC07E2" w:rsidRPr="008C2BDE" w:rsidRDefault="00DC07E2" w:rsidP="00DC07E2">
      <w:pPr>
        <w:pStyle w:val="Default"/>
        <w:spacing w:after="41"/>
        <w:rPr>
          <w:sz w:val="20"/>
          <w:szCs w:val="20"/>
        </w:rPr>
      </w:pPr>
      <w:r w:rsidRPr="008C2BDE">
        <w:rPr>
          <w:sz w:val="20"/>
          <w:szCs w:val="20"/>
        </w:rPr>
        <w:t xml:space="preserve"> govedo nad dve leti; </w:t>
      </w:r>
    </w:p>
    <w:p w14:paraId="69861A85" w14:textId="77777777" w:rsidR="00DC07E2" w:rsidRPr="008C2BDE" w:rsidRDefault="00DC07E2" w:rsidP="00DC07E2">
      <w:pPr>
        <w:pStyle w:val="Default"/>
        <w:spacing w:after="41"/>
        <w:rPr>
          <w:sz w:val="20"/>
          <w:szCs w:val="20"/>
        </w:rPr>
      </w:pPr>
      <w:r w:rsidRPr="008C2BDE">
        <w:rPr>
          <w:sz w:val="20"/>
          <w:szCs w:val="20"/>
        </w:rPr>
        <w:t xml:space="preserve"> prašiči pitanci; </w:t>
      </w:r>
    </w:p>
    <w:p w14:paraId="58B45355" w14:textId="77777777" w:rsidR="00DC07E2" w:rsidRPr="008C2BDE" w:rsidRDefault="00DC07E2" w:rsidP="00DC07E2">
      <w:pPr>
        <w:pStyle w:val="Default"/>
        <w:spacing w:after="41"/>
        <w:rPr>
          <w:sz w:val="20"/>
          <w:szCs w:val="20"/>
        </w:rPr>
      </w:pPr>
      <w:r w:rsidRPr="008C2BDE">
        <w:rPr>
          <w:sz w:val="20"/>
          <w:szCs w:val="20"/>
        </w:rPr>
        <w:t xml:space="preserve"> plemenski prašiči; </w:t>
      </w:r>
    </w:p>
    <w:p w14:paraId="18EDB6C1" w14:textId="77777777" w:rsidR="00DC07E2" w:rsidRPr="008C2BDE" w:rsidRDefault="00DC07E2" w:rsidP="00DC07E2">
      <w:pPr>
        <w:pStyle w:val="Default"/>
        <w:rPr>
          <w:sz w:val="20"/>
          <w:szCs w:val="20"/>
        </w:rPr>
      </w:pPr>
      <w:r w:rsidRPr="008C2BDE">
        <w:rPr>
          <w:sz w:val="20"/>
          <w:szCs w:val="20"/>
        </w:rPr>
        <w:t> kokoši nesnice;</w:t>
      </w:r>
    </w:p>
    <w:p w14:paraId="7288B98A" w14:textId="151C7CD7" w:rsidR="00DC07E2" w:rsidRPr="008C2BDE" w:rsidRDefault="000C278C" w:rsidP="00DC07E2">
      <w:pPr>
        <w:pStyle w:val="Default"/>
        <w:rPr>
          <w:sz w:val="20"/>
          <w:szCs w:val="20"/>
        </w:rPr>
      </w:pPr>
      <w:r w:rsidRPr="008C2BDE">
        <w:rPr>
          <w:sz w:val="20"/>
          <w:szCs w:val="20"/>
        </w:rPr>
        <w:t></w:t>
      </w:r>
      <w:r w:rsidR="00DC07E2" w:rsidRPr="008C2BDE">
        <w:rPr>
          <w:sz w:val="20"/>
          <w:szCs w:val="20"/>
        </w:rPr>
        <w:t xml:space="preserve"> pitovni piščanci</w:t>
      </w:r>
      <w:r w:rsidRPr="008C2BDE">
        <w:rPr>
          <w:sz w:val="20"/>
          <w:szCs w:val="20"/>
        </w:rPr>
        <w:t>;</w:t>
      </w:r>
    </w:p>
    <w:p w14:paraId="442BDFBE" w14:textId="08C3B522" w:rsidR="000C278C" w:rsidRPr="008C2BDE" w:rsidRDefault="000C278C" w:rsidP="00DC07E2">
      <w:pPr>
        <w:pStyle w:val="Default"/>
        <w:rPr>
          <w:sz w:val="20"/>
          <w:szCs w:val="20"/>
        </w:rPr>
      </w:pPr>
      <w:r w:rsidRPr="008C2BDE">
        <w:rPr>
          <w:sz w:val="20"/>
          <w:szCs w:val="20"/>
        </w:rPr>
        <w:t>  konji.</w:t>
      </w:r>
    </w:p>
    <w:p w14:paraId="0242E284" w14:textId="77777777" w:rsidR="00DC07E2" w:rsidRPr="008C2BDE" w:rsidRDefault="00DC07E2" w:rsidP="00DC07E2">
      <w:pPr>
        <w:pStyle w:val="Default"/>
        <w:rPr>
          <w:sz w:val="20"/>
          <w:szCs w:val="20"/>
        </w:rPr>
      </w:pPr>
    </w:p>
    <w:p w14:paraId="5AF88D56" w14:textId="77777777" w:rsidR="00DC07E2" w:rsidRPr="008C2BDE" w:rsidRDefault="00DC07E2" w:rsidP="00DC07E2">
      <w:pPr>
        <w:pStyle w:val="Default"/>
        <w:rPr>
          <w:sz w:val="20"/>
          <w:szCs w:val="20"/>
        </w:rPr>
      </w:pPr>
      <w:r w:rsidRPr="008C2BDE">
        <w:rPr>
          <w:sz w:val="20"/>
          <w:szCs w:val="20"/>
        </w:rPr>
        <w:t xml:space="preserve">(7) V kategorijo govedo do dve leti spadajo naslednje kategorije iz obrazca staleža živali: </w:t>
      </w:r>
    </w:p>
    <w:p w14:paraId="0C52FC9B" w14:textId="77777777" w:rsidR="00DC07E2" w:rsidRPr="008C2BDE" w:rsidRDefault="00DC07E2" w:rsidP="00DC07E2">
      <w:pPr>
        <w:pStyle w:val="Default"/>
        <w:spacing w:after="43"/>
        <w:rPr>
          <w:sz w:val="20"/>
          <w:szCs w:val="20"/>
        </w:rPr>
      </w:pPr>
      <w:r w:rsidRPr="008C2BDE">
        <w:rPr>
          <w:sz w:val="20"/>
          <w:szCs w:val="20"/>
        </w:rPr>
        <w:t xml:space="preserve"> teleta do šest mesecev; </w:t>
      </w:r>
    </w:p>
    <w:p w14:paraId="66B1810D" w14:textId="77777777" w:rsidR="00DC07E2" w:rsidRPr="008C2BDE" w:rsidRDefault="00DC07E2" w:rsidP="00DC07E2">
      <w:pPr>
        <w:pStyle w:val="Default"/>
        <w:spacing w:after="43"/>
        <w:rPr>
          <w:sz w:val="20"/>
          <w:szCs w:val="20"/>
        </w:rPr>
      </w:pPr>
      <w:r w:rsidRPr="008C2BDE">
        <w:rPr>
          <w:sz w:val="20"/>
          <w:szCs w:val="20"/>
        </w:rPr>
        <w:t xml:space="preserve"> mlado govedo od šest mesecev do enega leta; </w:t>
      </w:r>
    </w:p>
    <w:p w14:paraId="42B0B926" w14:textId="77777777" w:rsidR="00DC07E2" w:rsidRPr="008C2BDE" w:rsidRDefault="00DC07E2" w:rsidP="00DC07E2">
      <w:pPr>
        <w:pStyle w:val="Default"/>
        <w:rPr>
          <w:sz w:val="20"/>
          <w:szCs w:val="20"/>
        </w:rPr>
      </w:pPr>
      <w:r w:rsidRPr="008C2BDE">
        <w:rPr>
          <w:sz w:val="20"/>
          <w:szCs w:val="20"/>
        </w:rPr>
        <w:t xml:space="preserve"> mlado govedo od enega do dveh let. </w:t>
      </w:r>
    </w:p>
    <w:p w14:paraId="10BBB016" w14:textId="77777777" w:rsidR="00DC07E2" w:rsidRPr="008C2BDE" w:rsidRDefault="00DC07E2" w:rsidP="00DC07E2">
      <w:pPr>
        <w:pStyle w:val="Default"/>
        <w:rPr>
          <w:sz w:val="20"/>
          <w:szCs w:val="20"/>
        </w:rPr>
      </w:pPr>
    </w:p>
    <w:p w14:paraId="0B5F0833" w14:textId="77777777" w:rsidR="00DC07E2" w:rsidRPr="008C2BDE" w:rsidRDefault="00DC07E2" w:rsidP="00DC07E2">
      <w:pPr>
        <w:pStyle w:val="Default"/>
        <w:rPr>
          <w:sz w:val="20"/>
          <w:szCs w:val="20"/>
        </w:rPr>
      </w:pPr>
      <w:r w:rsidRPr="008C2BDE">
        <w:rPr>
          <w:sz w:val="20"/>
          <w:szCs w:val="20"/>
        </w:rPr>
        <w:t xml:space="preserve">(8) V kategorijo govedo nad dve leti spadajo naslednje kategorije iz obrazca staleža živali: </w:t>
      </w:r>
    </w:p>
    <w:p w14:paraId="57CA3596" w14:textId="77777777" w:rsidR="00DC07E2" w:rsidRPr="008C2BDE" w:rsidRDefault="00DC07E2" w:rsidP="00DC07E2">
      <w:pPr>
        <w:pStyle w:val="Default"/>
        <w:rPr>
          <w:sz w:val="20"/>
          <w:szCs w:val="20"/>
        </w:rPr>
      </w:pPr>
      <w:r w:rsidRPr="008C2BDE">
        <w:rPr>
          <w:sz w:val="20"/>
          <w:szCs w:val="20"/>
        </w:rPr>
        <w:t xml:space="preserve"> govedo nad dve leti. </w:t>
      </w:r>
    </w:p>
    <w:p w14:paraId="0376AA04" w14:textId="77777777" w:rsidR="00DC07E2" w:rsidRPr="008C2BDE" w:rsidRDefault="00DC07E2" w:rsidP="00DC07E2">
      <w:pPr>
        <w:pStyle w:val="Default"/>
        <w:rPr>
          <w:sz w:val="20"/>
          <w:szCs w:val="20"/>
        </w:rPr>
      </w:pPr>
    </w:p>
    <w:p w14:paraId="7A650BDB" w14:textId="77777777" w:rsidR="00DC07E2" w:rsidRPr="008C2BDE" w:rsidRDefault="00DC07E2" w:rsidP="00DC07E2">
      <w:pPr>
        <w:pStyle w:val="Default"/>
        <w:rPr>
          <w:sz w:val="20"/>
          <w:szCs w:val="20"/>
        </w:rPr>
      </w:pPr>
      <w:r w:rsidRPr="008C2BDE">
        <w:rPr>
          <w:sz w:val="20"/>
          <w:szCs w:val="20"/>
        </w:rPr>
        <w:lastRenderedPageBreak/>
        <w:t xml:space="preserve">(9) V kategorijo prašiči pitanci spadajo naslednje kategorije iz obrazca staleža živali: </w:t>
      </w:r>
    </w:p>
    <w:p w14:paraId="1184B770" w14:textId="77777777" w:rsidR="00DC07E2" w:rsidRPr="008C2BDE" w:rsidRDefault="00DC07E2" w:rsidP="00DC07E2">
      <w:pPr>
        <w:pStyle w:val="Default"/>
        <w:spacing w:after="41"/>
        <w:rPr>
          <w:sz w:val="20"/>
          <w:szCs w:val="20"/>
        </w:rPr>
      </w:pPr>
      <w:r w:rsidRPr="008C2BDE">
        <w:rPr>
          <w:sz w:val="20"/>
          <w:szCs w:val="20"/>
        </w:rPr>
        <w:t xml:space="preserve"> tekači do 30 kg; </w:t>
      </w:r>
    </w:p>
    <w:p w14:paraId="2B7E064D" w14:textId="77777777" w:rsidR="00DC07E2" w:rsidRPr="008C2BDE" w:rsidRDefault="00DC07E2" w:rsidP="00DC07E2">
      <w:pPr>
        <w:pStyle w:val="Default"/>
        <w:spacing w:after="41"/>
        <w:rPr>
          <w:sz w:val="20"/>
          <w:szCs w:val="20"/>
        </w:rPr>
      </w:pPr>
      <w:r w:rsidRPr="008C2BDE">
        <w:rPr>
          <w:sz w:val="20"/>
          <w:szCs w:val="20"/>
        </w:rPr>
        <w:t xml:space="preserve"> prašiči pitanci in plemenski prašiči od 30 do 110 kg; </w:t>
      </w:r>
    </w:p>
    <w:p w14:paraId="1CC47DCF" w14:textId="77777777" w:rsidR="00DC07E2" w:rsidRPr="008C2BDE" w:rsidRDefault="00DC07E2" w:rsidP="00DC07E2">
      <w:pPr>
        <w:pStyle w:val="Default"/>
        <w:rPr>
          <w:sz w:val="20"/>
          <w:szCs w:val="20"/>
        </w:rPr>
      </w:pPr>
      <w:r w:rsidRPr="008C2BDE">
        <w:rPr>
          <w:sz w:val="20"/>
          <w:szCs w:val="20"/>
        </w:rPr>
        <w:t xml:space="preserve"> prašiči pitanci od 30 kg dalje, pitani na višjo težo, in kmečka reja prašičev. </w:t>
      </w:r>
    </w:p>
    <w:p w14:paraId="391B2CC4" w14:textId="77777777" w:rsidR="00DC07E2" w:rsidRPr="008C2BDE" w:rsidRDefault="00DC07E2" w:rsidP="00DC07E2">
      <w:pPr>
        <w:pStyle w:val="Default"/>
        <w:rPr>
          <w:sz w:val="20"/>
          <w:szCs w:val="20"/>
        </w:rPr>
      </w:pPr>
    </w:p>
    <w:p w14:paraId="62912861" w14:textId="77777777" w:rsidR="00DC07E2" w:rsidRPr="008C2BDE" w:rsidRDefault="00DC07E2" w:rsidP="00DC07E2">
      <w:pPr>
        <w:pStyle w:val="Default"/>
        <w:rPr>
          <w:sz w:val="20"/>
          <w:szCs w:val="20"/>
        </w:rPr>
      </w:pPr>
      <w:r w:rsidRPr="008C2BDE">
        <w:rPr>
          <w:sz w:val="20"/>
          <w:szCs w:val="20"/>
        </w:rPr>
        <w:t xml:space="preserve">(10) V kategorijo plemenski prašiči spadajo naslednje kategorije iz obrazca staleža živali: </w:t>
      </w:r>
    </w:p>
    <w:p w14:paraId="75C6EE85" w14:textId="77777777" w:rsidR="00DC07E2" w:rsidRPr="008C2BDE" w:rsidRDefault="00DC07E2" w:rsidP="00DC07E2">
      <w:pPr>
        <w:pStyle w:val="Default"/>
        <w:rPr>
          <w:sz w:val="20"/>
          <w:szCs w:val="20"/>
        </w:rPr>
      </w:pPr>
      <w:r w:rsidRPr="008C2BDE">
        <w:rPr>
          <w:sz w:val="20"/>
          <w:szCs w:val="20"/>
        </w:rPr>
        <w:t xml:space="preserve"> plemenski merjasci; </w:t>
      </w:r>
    </w:p>
    <w:p w14:paraId="6BB969FC" w14:textId="77777777" w:rsidR="00DC07E2" w:rsidRPr="008C2BDE" w:rsidRDefault="00DC07E2" w:rsidP="00DC07E2">
      <w:pPr>
        <w:pStyle w:val="Default"/>
        <w:rPr>
          <w:sz w:val="20"/>
          <w:szCs w:val="20"/>
        </w:rPr>
      </w:pPr>
      <w:r w:rsidRPr="008C2BDE">
        <w:rPr>
          <w:sz w:val="20"/>
          <w:szCs w:val="20"/>
        </w:rPr>
        <w:t xml:space="preserve"> plemenske mladice; </w:t>
      </w:r>
    </w:p>
    <w:p w14:paraId="4323EA8C" w14:textId="77777777" w:rsidR="00DC07E2" w:rsidRPr="008C2BDE" w:rsidRDefault="00DC07E2" w:rsidP="00DC07E2">
      <w:pPr>
        <w:pStyle w:val="Default"/>
        <w:rPr>
          <w:sz w:val="20"/>
          <w:szCs w:val="20"/>
        </w:rPr>
      </w:pPr>
      <w:r w:rsidRPr="008C2BDE">
        <w:rPr>
          <w:sz w:val="20"/>
          <w:szCs w:val="20"/>
        </w:rPr>
        <w:t xml:space="preserve"> plemenske svinje. </w:t>
      </w:r>
    </w:p>
    <w:p w14:paraId="53E9DC64" w14:textId="77777777" w:rsidR="00DC07E2" w:rsidRPr="008C2BDE" w:rsidRDefault="00DC07E2" w:rsidP="00DC07E2">
      <w:pPr>
        <w:pStyle w:val="Default"/>
        <w:rPr>
          <w:sz w:val="20"/>
          <w:szCs w:val="20"/>
        </w:rPr>
      </w:pPr>
    </w:p>
    <w:p w14:paraId="4DB8D8DF" w14:textId="77777777" w:rsidR="00DC07E2" w:rsidRPr="008C2BDE" w:rsidRDefault="00DC07E2" w:rsidP="00DC07E2">
      <w:pPr>
        <w:pStyle w:val="Default"/>
        <w:rPr>
          <w:sz w:val="20"/>
          <w:szCs w:val="20"/>
        </w:rPr>
      </w:pPr>
      <w:r w:rsidRPr="008C2BDE">
        <w:rPr>
          <w:sz w:val="20"/>
          <w:szCs w:val="20"/>
        </w:rPr>
        <w:t xml:space="preserve">(11) V kategorijo kokoši nesnice spadajo naslednje kategorije iz obrazca staleža živali: </w:t>
      </w:r>
    </w:p>
    <w:p w14:paraId="4764B61B" w14:textId="77777777" w:rsidR="00DC07E2" w:rsidRPr="008C2BDE" w:rsidRDefault="00DC07E2" w:rsidP="00DC07E2">
      <w:pPr>
        <w:pStyle w:val="Default"/>
        <w:spacing w:after="41"/>
        <w:rPr>
          <w:sz w:val="20"/>
          <w:szCs w:val="20"/>
        </w:rPr>
      </w:pPr>
      <w:r w:rsidRPr="008C2BDE">
        <w:rPr>
          <w:sz w:val="20"/>
          <w:szCs w:val="20"/>
        </w:rPr>
        <w:t xml:space="preserve"> kokoši nesnice (prireja jedilnih jajc); </w:t>
      </w:r>
    </w:p>
    <w:p w14:paraId="7DAB1481" w14:textId="77777777" w:rsidR="00DC07E2" w:rsidRPr="008C2BDE" w:rsidRDefault="00DC07E2" w:rsidP="00DC07E2">
      <w:pPr>
        <w:pStyle w:val="Default"/>
        <w:spacing w:after="41"/>
        <w:rPr>
          <w:sz w:val="20"/>
          <w:szCs w:val="20"/>
        </w:rPr>
      </w:pPr>
      <w:r w:rsidRPr="008C2BDE">
        <w:rPr>
          <w:sz w:val="20"/>
          <w:szCs w:val="20"/>
        </w:rPr>
        <w:t xml:space="preserve"> matične kokoši (prireja valilnih jajc za pitovne piščance); </w:t>
      </w:r>
    </w:p>
    <w:p w14:paraId="273E8BE1" w14:textId="77777777" w:rsidR="00DC07E2" w:rsidRPr="008C2BDE" w:rsidRDefault="00DC07E2" w:rsidP="00DC07E2">
      <w:pPr>
        <w:pStyle w:val="Default"/>
        <w:spacing w:after="41"/>
        <w:rPr>
          <w:sz w:val="20"/>
          <w:szCs w:val="20"/>
        </w:rPr>
      </w:pPr>
      <w:r w:rsidRPr="008C2BDE">
        <w:rPr>
          <w:sz w:val="20"/>
          <w:szCs w:val="20"/>
        </w:rPr>
        <w:t xml:space="preserve"> matične kokoši (prireja valilnih jajc za nesnice); </w:t>
      </w:r>
    </w:p>
    <w:p w14:paraId="258909B0" w14:textId="77777777" w:rsidR="00DC07E2" w:rsidRPr="008C2BDE" w:rsidRDefault="00DC07E2" w:rsidP="00DC07E2">
      <w:pPr>
        <w:pStyle w:val="Default"/>
        <w:rPr>
          <w:sz w:val="20"/>
          <w:szCs w:val="20"/>
        </w:rPr>
      </w:pPr>
      <w:r w:rsidRPr="008C2BDE">
        <w:rPr>
          <w:sz w:val="20"/>
          <w:szCs w:val="20"/>
        </w:rPr>
        <w:t> kokoši, petelini kmečke reje (prireja jedilnih jajc);</w:t>
      </w:r>
    </w:p>
    <w:p w14:paraId="15455B57" w14:textId="2032B192" w:rsidR="00DC07E2" w:rsidRPr="008C2BDE" w:rsidRDefault="00DC07E2" w:rsidP="00DC07E2">
      <w:pPr>
        <w:pStyle w:val="Default"/>
        <w:rPr>
          <w:sz w:val="20"/>
          <w:szCs w:val="20"/>
        </w:rPr>
      </w:pPr>
      <w:r w:rsidRPr="008C2BDE">
        <w:rPr>
          <w:sz w:val="20"/>
          <w:szCs w:val="20"/>
        </w:rPr>
        <w:t> pitovni piščanci.</w:t>
      </w:r>
    </w:p>
    <w:p w14:paraId="53D2E26A" w14:textId="5C44D512" w:rsidR="000C278C" w:rsidRPr="008C2BDE" w:rsidRDefault="000C278C" w:rsidP="00DC07E2">
      <w:pPr>
        <w:pStyle w:val="Default"/>
        <w:rPr>
          <w:sz w:val="20"/>
          <w:szCs w:val="20"/>
        </w:rPr>
      </w:pPr>
    </w:p>
    <w:p w14:paraId="1E7D0E38" w14:textId="3DC3FBD3" w:rsidR="000C278C" w:rsidRPr="008C2BDE" w:rsidRDefault="008C2BDE" w:rsidP="000C278C">
      <w:pPr>
        <w:pStyle w:val="Default"/>
        <w:rPr>
          <w:sz w:val="20"/>
          <w:szCs w:val="20"/>
        </w:rPr>
      </w:pPr>
      <w:r w:rsidRPr="008C2BDE">
        <w:rPr>
          <w:sz w:val="20"/>
          <w:szCs w:val="20"/>
        </w:rPr>
        <w:t xml:space="preserve">(12) </w:t>
      </w:r>
      <w:r w:rsidR="000C278C" w:rsidRPr="008C2BDE">
        <w:rPr>
          <w:sz w:val="20"/>
          <w:szCs w:val="20"/>
        </w:rPr>
        <w:t>V kategorijo konji spadajo naslednje kategorije iz obrazca staleža živali:</w:t>
      </w:r>
    </w:p>
    <w:p w14:paraId="3E973F34" w14:textId="77777777" w:rsidR="000C278C" w:rsidRPr="008C2BDE" w:rsidRDefault="000C278C" w:rsidP="000C278C">
      <w:pPr>
        <w:pStyle w:val="Default"/>
        <w:rPr>
          <w:sz w:val="20"/>
          <w:szCs w:val="20"/>
        </w:rPr>
      </w:pPr>
      <w:r w:rsidRPr="008C2BDE">
        <w:rPr>
          <w:sz w:val="20"/>
          <w:szCs w:val="20"/>
        </w:rPr>
        <w:t> žrebeta do 1 leta in poniji</w:t>
      </w:r>
    </w:p>
    <w:p w14:paraId="4B6084F5" w14:textId="77777777" w:rsidR="000C278C" w:rsidRPr="008C2BDE" w:rsidRDefault="000C278C" w:rsidP="000C278C">
      <w:pPr>
        <w:pStyle w:val="Default"/>
        <w:rPr>
          <w:sz w:val="20"/>
          <w:szCs w:val="20"/>
        </w:rPr>
      </w:pPr>
      <w:r w:rsidRPr="008C2BDE">
        <w:rPr>
          <w:sz w:val="20"/>
          <w:szCs w:val="20"/>
        </w:rPr>
        <w:t> konji nad 1 letom</w:t>
      </w:r>
    </w:p>
    <w:p w14:paraId="57AF0834" w14:textId="26D6EE34" w:rsidR="000C278C" w:rsidRPr="008C2BDE" w:rsidRDefault="000C278C" w:rsidP="00DC07E2">
      <w:pPr>
        <w:pStyle w:val="Default"/>
        <w:rPr>
          <w:sz w:val="20"/>
          <w:szCs w:val="20"/>
        </w:rPr>
      </w:pPr>
    </w:p>
    <w:p w14:paraId="20CDC723" w14:textId="77777777" w:rsidR="00DC07E2" w:rsidRPr="008C2BDE" w:rsidRDefault="00DC07E2" w:rsidP="00DC07E2">
      <w:pPr>
        <w:pStyle w:val="Default"/>
        <w:rPr>
          <w:sz w:val="20"/>
          <w:szCs w:val="20"/>
        </w:rPr>
      </w:pPr>
    </w:p>
    <w:p w14:paraId="115D5BD7" w14:textId="1CACFFE5" w:rsidR="00DC07E2" w:rsidRPr="008C2BDE" w:rsidRDefault="008C2BDE" w:rsidP="007659C7">
      <w:pPr>
        <w:pStyle w:val="Default"/>
        <w:jc w:val="both"/>
        <w:rPr>
          <w:sz w:val="20"/>
          <w:szCs w:val="20"/>
        </w:rPr>
      </w:pPr>
      <w:r w:rsidRPr="008C2BDE">
        <w:rPr>
          <w:sz w:val="20"/>
          <w:szCs w:val="20"/>
        </w:rPr>
        <w:t>(13</w:t>
      </w:r>
      <w:r w:rsidR="00DC07E2" w:rsidRPr="008C2BDE">
        <w:rPr>
          <w:sz w:val="20"/>
          <w:szCs w:val="20"/>
        </w:rPr>
        <w:t>) V izračunu razpoložljivih količin tekočih živinskih gnojil in gnoja na KMG se za posamezne kategorije živali upoštevajo letne količine živinskih gnojil iz preglednice 1.</w:t>
      </w:r>
    </w:p>
    <w:p w14:paraId="4598FD94" w14:textId="77777777" w:rsidR="00D47FC2" w:rsidRPr="008C2BDE" w:rsidRDefault="00D47FC2" w:rsidP="00D47FC2">
      <w:pPr>
        <w:jc w:val="both"/>
        <w:rPr>
          <w:rFonts w:ascii="Arial" w:hAnsi="Arial" w:cs="Arial"/>
          <w:sz w:val="20"/>
          <w:szCs w:val="20"/>
        </w:rPr>
      </w:pPr>
      <w:r w:rsidRPr="008C2BDE">
        <w:rPr>
          <w:rFonts w:ascii="Arial" w:hAnsi="Arial" w:cs="Arial"/>
          <w:sz w:val="20"/>
          <w:szCs w:val="20"/>
        </w:rPr>
        <w:t xml:space="preserve">Preglednica 1: </w:t>
      </w:r>
    </w:p>
    <w:tbl>
      <w:tblPr>
        <w:tblStyle w:val="Tabelamrea1"/>
        <w:tblW w:w="0" w:type="auto"/>
        <w:tblLook w:val="04A0" w:firstRow="1" w:lastRow="0" w:firstColumn="1" w:lastColumn="0" w:noHBand="0" w:noVBand="1"/>
      </w:tblPr>
      <w:tblGrid>
        <w:gridCol w:w="1575"/>
        <w:gridCol w:w="1865"/>
        <w:gridCol w:w="1869"/>
        <w:gridCol w:w="71"/>
        <w:gridCol w:w="1941"/>
        <w:gridCol w:w="1741"/>
      </w:tblGrid>
      <w:tr w:rsidR="008C2BDE" w:rsidRPr="008C2BDE" w14:paraId="1D4C7C1B" w14:textId="77777777" w:rsidTr="1AAAAE7A">
        <w:tc>
          <w:tcPr>
            <w:tcW w:w="1575" w:type="dxa"/>
            <w:vMerge w:val="restart"/>
          </w:tcPr>
          <w:p w14:paraId="1944F2A1" w14:textId="77777777" w:rsidR="008C2BDE" w:rsidRPr="008C2BDE" w:rsidRDefault="008C2BDE" w:rsidP="00D47FC2">
            <w:pPr>
              <w:jc w:val="both"/>
              <w:rPr>
                <w:rFonts w:ascii="Arial" w:hAnsi="Arial" w:cs="Arial"/>
                <w:sz w:val="20"/>
                <w:szCs w:val="20"/>
              </w:rPr>
            </w:pPr>
            <w:r w:rsidRPr="008C2BDE">
              <w:rPr>
                <w:rFonts w:ascii="Arial" w:hAnsi="Arial" w:cs="Arial"/>
                <w:sz w:val="20"/>
                <w:szCs w:val="20"/>
              </w:rPr>
              <w:t>Kategorija živali</w:t>
            </w:r>
          </w:p>
        </w:tc>
        <w:tc>
          <w:tcPr>
            <w:tcW w:w="1865" w:type="dxa"/>
          </w:tcPr>
          <w:p w14:paraId="051CD87E" w14:textId="77777777" w:rsidR="008C2BDE" w:rsidRPr="008C2BDE" w:rsidRDefault="008C2BDE" w:rsidP="00D47FC2">
            <w:pPr>
              <w:jc w:val="both"/>
              <w:rPr>
                <w:rFonts w:ascii="Arial" w:hAnsi="Arial" w:cs="Arial"/>
                <w:sz w:val="20"/>
                <w:szCs w:val="20"/>
              </w:rPr>
            </w:pPr>
            <w:r w:rsidRPr="008C2BDE">
              <w:rPr>
                <w:rFonts w:ascii="Arial" w:hAnsi="Arial" w:cs="Arial"/>
                <w:sz w:val="20"/>
                <w:szCs w:val="20"/>
              </w:rPr>
              <w:t>Sistem z gnojevko</w:t>
            </w:r>
          </w:p>
        </w:tc>
        <w:tc>
          <w:tcPr>
            <w:tcW w:w="1940" w:type="dxa"/>
            <w:gridSpan w:val="2"/>
          </w:tcPr>
          <w:p w14:paraId="1D208A92" w14:textId="7CD52CC6" w:rsidR="008C2BDE" w:rsidRPr="008C2BDE" w:rsidRDefault="008C2BDE" w:rsidP="008C2BDE">
            <w:pPr>
              <w:jc w:val="both"/>
              <w:rPr>
                <w:rFonts w:ascii="Arial" w:hAnsi="Arial" w:cs="Arial"/>
                <w:sz w:val="20"/>
                <w:szCs w:val="20"/>
              </w:rPr>
            </w:pPr>
            <w:r w:rsidRPr="008C2BDE">
              <w:rPr>
                <w:rFonts w:ascii="Arial" w:hAnsi="Arial" w:cs="Arial"/>
                <w:sz w:val="20"/>
                <w:szCs w:val="20"/>
              </w:rPr>
              <w:t xml:space="preserve">Sistem s hlevskim gnojem </w:t>
            </w:r>
          </w:p>
        </w:tc>
        <w:tc>
          <w:tcPr>
            <w:tcW w:w="1941" w:type="dxa"/>
          </w:tcPr>
          <w:p w14:paraId="74020E0B" w14:textId="38D11DD4" w:rsidR="008C2BDE" w:rsidRPr="008C2BDE" w:rsidRDefault="008C2BDE" w:rsidP="008C2BDE">
            <w:pPr>
              <w:jc w:val="both"/>
              <w:rPr>
                <w:rFonts w:ascii="Arial" w:hAnsi="Arial" w:cs="Arial"/>
                <w:sz w:val="20"/>
                <w:szCs w:val="20"/>
              </w:rPr>
            </w:pPr>
            <w:r w:rsidRPr="008C2BDE">
              <w:rPr>
                <w:rFonts w:ascii="Arial" w:hAnsi="Arial" w:cs="Arial"/>
                <w:sz w:val="20"/>
                <w:szCs w:val="20"/>
              </w:rPr>
              <w:t>Sistem z gnojnico</w:t>
            </w:r>
          </w:p>
        </w:tc>
        <w:tc>
          <w:tcPr>
            <w:tcW w:w="1741" w:type="dxa"/>
          </w:tcPr>
          <w:p w14:paraId="48F0B1F1" w14:textId="1870BFA0" w:rsidR="008C2BDE" w:rsidRPr="008C2BDE" w:rsidRDefault="008C2BDE" w:rsidP="000F072A">
            <w:pPr>
              <w:jc w:val="both"/>
              <w:rPr>
                <w:rFonts w:ascii="Arial" w:hAnsi="Arial" w:cs="Arial"/>
                <w:color w:val="000000"/>
                <w:sz w:val="20"/>
                <w:szCs w:val="20"/>
              </w:rPr>
            </w:pPr>
            <w:r w:rsidRPr="008C2BDE">
              <w:rPr>
                <w:rFonts w:ascii="Arial" w:hAnsi="Arial" w:cs="Arial"/>
                <w:color w:val="000000"/>
                <w:sz w:val="20"/>
                <w:szCs w:val="20"/>
              </w:rPr>
              <w:t>Sistem gnoj iz globokega nastilja</w:t>
            </w:r>
          </w:p>
          <w:p w14:paraId="3EAA109F" w14:textId="32975E1B" w:rsidR="008C2BDE" w:rsidRPr="008C2BDE" w:rsidRDefault="008C2BDE" w:rsidP="00D47FC2">
            <w:pPr>
              <w:jc w:val="both"/>
              <w:rPr>
                <w:rFonts w:ascii="Arial" w:hAnsi="Arial" w:cs="Arial"/>
                <w:sz w:val="20"/>
                <w:szCs w:val="20"/>
              </w:rPr>
            </w:pPr>
          </w:p>
        </w:tc>
      </w:tr>
      <w:tr w:rsidR="00006BDA" w:rsidRPr="008C2BDE" w14:paraId="75BF7EA6" w14:textId="77777777" w:rsidTr="1AAAAE7A">
        <w:tc>
          <w:tcPr>
            <w:tcW w:w="1575" w:type="dxa"/>
            <w:vMerge/>
          </w:tcPr>
          <w:p w14:paraId="1A41D135" w14:textId="77777777" w:rsidR="00006BDA" w:rsidRPr="008C2BDE" w:rsidRDefault="00006BDA" w:rsidP="00D47FC2">
            <w:pPr>
              <w:jc w:val="both"/>
              <w:rPr>
                <w:rFonts w:ascii="Arial" w:hAnsi="Arial" w:cs="Arial"/>
                <w:sz w:val="20"/>
                <w:szCs w:val="20"/>
              </w:rPr>
            </w:pPr>
          </w:p>
        </w:tc>
        <w:tc>
          <w:tcPr>
            <w:tcW w:w="1865" w:type="dxa"/>
          </w:tcPr>
          <w:p w14:paraId="6A0396F9" w14:textId="77777777" w:rsidR="00006BDA" w:rsidRPr="008C2BDE" w:rsidRDefault="00006BDA" w:rsidP="00D47FC2">
            <w:pPr>
              <w:jc w:val="both"/>
              <w:rPr>
                <w:rFonts w:ascii="Arial" w:hAnsi="Arial" w:cs="Arial"/>
                <w:sz w:val="20"/>
                <w:szCs w:val="20"/>
              </w:rPr>
            </w:pPr>
            <w:r w:rsidRPr="008C2BDE">
              <w:rPr>
                <w:rFonts w:ascii="Arial" w:hAnsi="Arial" w:cs="Arial"/>
                <w:sz w:val="20"/>
                <w:szCs w:val="20"/>
              </w:rPr>
              <w:t>Gnojevka (m3 /žival)</w:t>
            </w:r>
          </w:p>
        </w:tc>
        <w:tc>
          <w:tcPr>
            <w:tcW w:w="1869" w:type="dxa"/>
          </w:tcPr>
          <w:p w14:paraId="26C3BB8E" w14:textId="77777777" w:rsidR="00006BDA" w:rsidRPr="008C2BDE" w:rsidRDefault="00006BDA" w:rsidP="00D47FC2">
            <w:pPr>
              <w:jc w:val="both"/>
              <w:rPr>
                <w:rFonts w:ascii="Arial" w:hAnsi="Arial" w:cs="Arial"/>
                <w:sz w:val="20"/>
                <w:szCs w:val="20"/>
              </w:rPr>
            </w:pPr>
            <w:r w:rsidRPr="008C2BDE">
              <w:rPr>
                <w:rFonts w:ascii="Arial" w:hAnsi="Arial" w:cs="Arial"/>
                <w:sz w:val="20"/>
                <w:szCs w:val="20"/>
              </w:rPr>
              <w:t xml:space="preserve">Hlevski gnoj (m3 /žival) </w:t>
            </w:r>
          </w:p>
        </w:tc>
        <w:tc>
          <w:tcPr>
            <w:tcW w:w="2012" w:type="dxa"/>
            <w:gridSpan w:val="2"/>
          </w:tcPr>
          <w:p w14:paraId="3DFEFC0B" w14:textId="77777777" w:rsidR="00006BDA" w:rsidRPr="008C2BDE" w:rsidRDefault="00006BDA" w:rsidP="00D47FC2">
            <w:pPr>
              <w:jc w:val="both"/>
              <w:rPr>
                <w:rFonts w:ascii="Arial" w:hAnsi="Arial" w:cs="Arial"/>
                <w:sz w:val="20"/>
                <w:szCs w:val="20"/>
              </w:rPr>
            </w:pPr>
            <w:r w:rsidRPr="008C2BDE">
              <w:rPr>
                <w:rFonts w:ascii="Arial" w:hAnsi="Arial" w:cs="Arial"/>
                <w:sz w:val="20"/>
                <w:szCs w:val="20"/>
              </w:rPr>
              <w:t>Gnojnica (m3 /žival)</w:t>
            </w:r>
          </w:p>
        </w:tc>
        <w:tc>
          <w:tcPr>
            <w:tcW w:w="1741" w:type="dxa"/>
          </w:tcPr>
          <w:p w14:paraId="0628F559" w14:textId="77777777" w:rsidR="008C2BDE" w:rsidRPr="008C2BDE" w:rsidRDefault="008C2BDE" w:rsidP="008C2BDE">
            <w:pPr>
              <w:jc w:val="both"/>
              <w:rPr>
                <w:rFonts w:ascii="Arial" w:hAnsi="Arial" w:cs="Arial"/>
                <w:color w:val="000000"/>
                <w:sz w:val="20"/>
                <w:szCs w:val="20"/>
              </w:rPr>
            </w:pPr>
            <w:r w:rsidRPr="008C2BDE">
              <w:rPr>
                <w:rFonts w:ascii="Arial" w:hAnsi="Arial" w:cs="Arial"/>
                <w:color w:val="000000"/>
                <w:sz w:val="20"/>
                <w:szCs w:val="20"/>
              </w:rPr>
              <w:t>Gnoj iz globokega nastilja</w:t>
            </w:r>
          </w:p>
          <w:p w14:paraId="09BB6933" w14:textId="77777777" w:rsidR="00006BDA" w:rsidRPr="008C2BDE" w:rsidRDefault="00006BDA" w:rsidP="00D47FC2">
            <w:pPr>
              <w:jc w:val="both"/>
              <w:rPr>
                <w:rFonts w:ascii="Arial" w:hAnsi="Arial" w:cs="Arial"/>
                <w:sz w:val="20"/>
                <w:szCs w:val="20"/>
              </w:rPr>
            </w:pPr>
          </w:p>
        </w:tc>
      </w:tr>
      <w:tr w:rsidR="000F072A" w:rsidRPr="008C2BDE" w14:paraId="6EF16485" w14:textId="77777777" w:rsidTr="1AAAAE7A">
        <w:tc>
          <w:tcPr>
            <w:tcW w:w="1575" w:type="dxa"/>
          </w:tcPr>
          <w:p w14:paraId="4E6A9E30" w14:textId="77777777" w:rsidR="000F072A" w:rsidRPr="008C2BDE" w:rsidRDefault="000F072A" w:rsidP="00D47FC2">
            <w:pPr>
              <w:jc w:val="both"/>
              <w:rPr>
                <w:rFonts w:ascii="Arial" w:hAnsi="Arial" w:cs="Arial"/>
                <w:sz w:val="20"/>
                <w:szCs w:val="20"/>
              </w:rPr>
            </w:pPr>
            <w:r w:rsidRPr="008C2BDE">
              <w:rPr>
                <w:rFonts w:ascii="Arial" w:hAnsi="Arial" w:cs="Arial"/>
                <w:sz w:val="20"/>
                <w:szCs w:val="20"/>
              </w:rPr>
              <w:t>Govedo do dve leti</w:t>
            </w:r>
          </w:p>
        </w:tc>
        <w:tc>
          <w:tcPr>
            <w:tcW w:w="1865" w:type="dxa"/>
          </w:tcPr>
          <w:p w14:paraId="6B438940" w14:textId="77777777" w:rsidR="000F072A" w:rsidRPr="008C2BDE" w:rsidRDefault="1AAAAE7A" w:rsidP="1AAAAE7A">
            <w:pPr>
              <w:jc w:val="both"/>
              <w:rPr>
                <w:rFonts w:ascii="Arial" w:hAnsi="Arial" w:cs="Arial"/>
                <w:sz w:val="20"/>
                <w:szCs w:val="20"/>
              </w:rPr>
            </w:pPr>
            <w:r w:rsidRPr="1AAAAE7A">
              <w:rPr>
                <w:rFonts w:ascii="Arial" w:hAnsi="Arial" w:cs="Arial"/>
                <w:sz w:val="20"/>
                <w:szCs w:val="20"/>
              </w:rPr>
              <w:t xml:space="preserve">8,63 </w:t>
            </w:r>
          </w:p>
        </w:tc>
        <w:tc>
          <w:tcPr>
            <w:tcW w:w="1869" w:type="dxa"/>
          </w:tcPr>
          <w:p w14:paraId="18F55915" w14:textId="77777777" w:rsidR="000F072A" w:rsidRPr="008C2BDE" w:rsidRDefault="1AAAAE7A" w:rsidP="1AAAAE7A">
            <w:pPr>
              <w:jc w:val="both"/>
              <w:rPr>
                <w:rFonts w:ascii="Arial" w:hAnsi="Arial" w:cs="Arial"/>
                <w:sz w:val="20"/>
                <w:szCs w:val="20"/>
              </w:rPr>
            </w:pPr>
            <w:r w:rsidRPr="1AAAAE7A">
              <w:rPr>
                <w:rFonts w:ascii="Arial" w:hAnsi="Arial" w:cs="Arial"/>
                <w:sz w:val="20"/>
                <w:szCs w:val="20"/>
              </w:rPr>
              <w:t>4,71</w:t>
            </w:r>
          </w:p>
        </w:tc>
        <w:tc>
          <w:tcPr>
            <w:tcW w:w="2012" w:type="dxa"/>
            <w:gridSpan w:val="2"/>
          </w:tcPr>
          <w:p w14:paraId="176745C9" w14:textId="77777777" w:rsidR="000F072A" w:rsidRPr="008C2BDE" w:rsidRDefault="1AAAAE7A" w:rsidP="1AAAAE7A">
            <w:pPr>
              <w:jc w:val="both"/>
              <w:rPr>
                <w:rFonts w:ascii="Arial" w:hAnsi="Arial" w:cs="Arial"/>
                <w:sz w:val="20"/>
                <w:szCs w:val="20"/>
              </w:rPr>
            </w:pPr>
            <w:r w:rsidRPr="1AAAAE7A">
              <w:rPr>
                <w:rFonts w:ascii="Arial" w:hAnsi="Arial" w:cs="Arial"/>
                <w:sz w:val="20"/>
                <w:szCs w:val="20"/>
              </w:rPr>
              <w:t>9,49</w:t>
            </w:r>
          </w:p>
        </w:tc>
        <w:tc>
          <w:tcPr>
            <w:tcW w:w="1741" w:type="dxa"/>
          </w:tcPr>
          <w:p w14:paraId="6FECEA9C" w14:textId="0650165A" w:rsidR="000F072A" w:rsidRPr="008C2BDE" w:rsidRDefault="1AAAAE7A" w:rsidP="1AAAAE7A">
            <w:pPr>
              <w:jc w:val="both"/>
              <w:rPr>
                <w:rFonts w:ascii="Arial" w:hAnsi="Arial" w:cs="Arial"/>
                <w:sz w:val="20"/>
                <w:szCs w:val="20"/>
              </w:rPr>
            </w:pPr>
            <w:r w:rsidRPr="1AAAAE7A">
              <w:rPr>
                <w:rFonts w:ascii="Arial" w:hAnsi="Arial" w:cs="Arial"/>
                <w:sz w:val="20"/>
                <w:szCs w:val="20"/>
              </w:rPr>
              <w:t>10,46</w:t>
            </w:r>
          </w:p>
        </w:tc>
      </w:tr>
      <w:tr w:rsidR="000F072A" w:rsidRPr="008C2BDE" w14:paraId="62EB4DCB" w14:textId="77777777" w:rsidTr="1AAAAE7A">
        <w:tc>
          <w:tcPr>
            <w:tcW w:w="1575" w:type="dxa"/>
          </w:tcPr>
          <w:p w14:paraId="3DAA3A47" w14:textId="00EE0659" w:rsidR="000F072A" w:rsidRPr="008C2BDE" w:rsidRDefault="000F072A" w:rsidP="00006BDA">
            <w:pPr>
              <w:jc w:val="both"/>
              <w:rPr>
                <w:rFonts w:ascii="Arial" w:hAnsi="Arial" w:cs="Arial"/>
                <w:sz w:val="20"/>
                <w:szCs w:val="20"/>
              </w:rPr>
            </w:pPr>
            <w:r w:rsidRPr="008C2BDE">
              <w:rPr>
                <w:rFonts w:ascii="Arial" w:hAnsi="Arial" w:cs="Arial"/>
                <w:sz w:val="20"/>
                <w:szCs w:val="20"/>
              </w:rPr>
              <w:t>Govedo nad dve leti</w:t>
            </w:r>
          </w:p>
        </w:tc>
        <w:tc>
          <w:tcPr>
            <w:tcW w:w="1865" w:type="dxa"/>
          </w:tcPr>
          <w:p w14:paraId="468A884A" w14:textId="77777777" w:rsidR="000F072A" w:rsidRPr="008C2BDE" w:rsidRDefault="1AAAAE7A" w:rsidP="1AAAAE7A">
            <w:pPr>
              <w:jc w:val="both"/>
              <w:rPr>
                <w:rFonts w:ascii="Arial" w:hAnsi="Arial" w:cs="Arial"/>
                <w:sz w:val="20"/>
                <w:szCs w:val="20"/>
              </w:rPr>
            </w:pPr>
            <w:r w:rsidRPr="1AAAAE7A">
              <w:rPr>
                <w:rFonts w:ascii="Arial" w:hAnsi="Arial" w:cs="Arial"/>
                <w:sz w:val="20"/>
                <w:szCs w:val="20"/>
              </w:rPr>
              <w:t>17,50</w:t>
            </w:r>
          </w:p>
        </w:tc>
        <w:tc>
          <w:tcPr>
            <w:tcW w:w="1869" w:type="dxa"/>
          </w:tcPr>
          <w:p w14:paraId="4B9B5832" w14:textId="77777777" w:rsidR="000F072A" w:rsidRPr="008C2BDE" w:rsidRDefault="1AAAAE7A" w:rsidP="1AAAAE7A">
            <w:pPr>
              <w:jc w:val="both"/>
              <w:rPr>
                <w:rFonts w:ascii="Arial" w:hAnsi="Arial" w:cs="Arial"/>
                <w:sz w:val="20"/>
                <w:szCs w:val="20"/>
              </w:rPr>
            </w:pPr>
            <w:r w:rsidRPr="1AAAAE7A">
              <w:rPr>
                <w:rFonts w:ascii="Arial" w:hAnsi="Arial" w:cs="Arial"/>
                <w:sz w:val="20"/>
                <w:szCs w:val="20"/>
              </w:rPr>
              <w:t>9,55</w:t>
            </w:r>
          </w:p>
        </w:tc>
        <w:tc>
          <w:tcPr>
            <w:tcW w:w="2012" w:type="dxa"/>
            <w:gridSpan w:val="2"/>
          </w:tcPr>
          <w:p w14:paraId="219363C9" w14:textId="77777777" w:rsidR="000F072A" w:rsidRPr="008C2BDE" w:rsidRDefault="1AAAAE7A" w:rsidP="1AAAAE7A">
            <w:pPr>
              <w:jc w:val="both"/>
              <w:rPr>
                <w:rFonts w:ascii="Arial" w:hAnsi="Arial" w:cs="Arial"/>
                <w:sz w:val="20"/>
                <w:szCs w:val="20"/>
              </w:rPr>
            </w:pPr>
            <w:r w:rsidRPr="1AAAAE7A">
              <w:rPr>
                <w:rFonts w:ascii="Arial" w:hAnsi="Arial" w:cs="Arial"/>
                <w:sz w:val="20"/>
                <w:szCs w:val="20"/>
              </w:rPr>
              <w:t>19,25</w:t>
            </w:r>
          </w:p>
        </w:tc>
        <w:tc>
          <w:tcPr>
            <w:tcW w:w="1741" w:type="dxa"/>
          </w:tcPr>
          <w:p w14:paraId="2E67E5E5" w14:textId="49762C5F" w:rsidR="000F072A" w:rsidRPr="008C2BDE" w:rsidRDefault="1AAAAE7A" w:rsidP="1AAAAE7A">
            <w:pPr>
              <w:jc w:val="both"/>
              <w:rPr>
                <w:rFonts w:ascii="Arial" w:hAnsi="Arial" w:cs="Arial"/>
                <w:sz w:val="20"/>
                <w:szCs w:val="20"/>
              </w:rPr>
            </w:pPr>
            <w:r w:rsidRPr="1AAAAE7A">
              <w:rPr>
                <w:rFonts w:ascii="Arial" w:hAnsi="Arial" w:cs="Arial"/>
                <w:sz w:val="20"/>
                <w:szCs w:val="20"/>
              </w:rPr>
              <w:t>21,21</w:t>
            </w:r>
          </w:p>
        </w:tc>
      </w:tr>
      <w:tr w:rsidR="000F072A" w:rsidRPr="008C2BDE" w14:paraId="69A8F7B2" w14:textId="77777777" w:rsidTr="1AAAAE7A">
        <w:tc>
          <w:tcPr>
            <w:tcW w:w="1575" w:type="dxa"/>
          </w:tcPr>
          <w:p w14:paraId="78144926" w14:textId="77777777" w:rsidR="000F072A" w:rsidRPr="008C2BDE" w:rsidRDefault="000F072A" w:rsidP="00D47FC2">
            <w:pPr>
              <w:jc w:val="both"/>
              <w:rPr>
                <w:rFonts w:ascii="Arial" w:hAnsi="Arial" w:cs="Arial"/>
                <w:sz w:val="20"/>
                <w:szCs w:val="20"/>
              </w:rPr>
            </w:pPr>
            <w:r w:rsidRPr="008C2BDE">
              <w:rPr>
                <w:rFonts w:ascii="Arial" w:hAnsi="Arial" w:cs="Arial"/>
                <w:sz w:val="20"/>
                <w:szCs w:val="20"/>
              </w:rPr>
              <w:t>Prašiči pitanci (vključno s tekači)</w:t>
            </w:r>
          </w:p>
        </w:tc>
        <w:tc>
          <w:tcPr>
            <w:tcW w:w="1865" w:type="dxa"/>
          </w:tcPr>
          <w:p w14:paraId="3D471FEE" w14:textId="77777777" w:rsidR="000F072A" w:rsidRPr="008C2BDE" w:rsidRDefault="1AAAAE7A" w:rsidP="1AAAAE7A">
            <w:pPr>
              <w:jc w:val="both"/>
              <w:rPr>
                <w:rFonts w:ascii="Arial" w:hAnsi="Arial" w:cs="Arial"/>
                <w:sz w:val="20"/>
                <w:szCs w:val="20"/>
              </w:rPr>
            </w:pPr>
            <w:r w:rsidRPr="1AAAAE7A">
              <w:rPr>
                <w:rFonts w:ascii="Arial" w:hAnsi="Arial" w:cs="Arial"/>
                <w:sz w:val="20"/>
                <w:szCs w:val="20"/>
              </w:rPr>
              <w:t>2,32</w:t>
            </w:r>
          </w:p>
        </w:tc>
        <w:tc>
          <w:tcPr>
            <w:tcW w:w="1869" w:type="dxa"/>
          </w:tcPr>
          <w:p w14:paraId="6CA0C14E" w14:textId="77777777" w:rsidR="000F072A" w:rsidRPr="008C2BDE" w:rsidRDefault="1AAAAE7A" w:rsidP="1AAAAE7A">
            <w:pPr>
              <w:jc w:val="both"/>
              <w:rPr>
                <w:rFonts w:ascii="Arial" w:hAnsi="Arial" w:cs="Arial"/>
                <w:sz w:val="20"/>
                <w:szCs w:val="20"/>
              </w:rPr>
            </w:pPr>
            <w:r w:rsidRPr="1AAAAE7A">
              <w:rPr>
                <w:rFonts w:ascii="Arial" w:hAnsi="Arial" w:cs="Arial"/>
                <w:sz w:val="20"/>
                <w:szCs w:val="20"/>
              </w:rPr>
              <w:t>1,27</w:t>
            </w:r>
          </w:p>
        </w:tc>
        <w:tc>
          <w:tcPr>
            <w:tcW w:w="2012" w:type="dxa"/>
            <w:gridSpan w:val="2"/>
          </w:tcPr>
          <w:p w14:paraId="6E24B0FD" w14:textId="77777777" w:rsidR="000F072A" w:rsidRPr="008C2BDE" w:rsidRDefault="1AAAAE7A" w:rsidP="1AAAAE7A">
            <w:pPr>
              <w:jc w:val="both"/>
              <w:rPr>
                <w:rFonts w:ascii="Arial" w:hAnsi="Arial" w:cs="Arial"/>
                <w:sz w:val="20"/>
                <w:szCs w:val="20"/>
              </w:rPr>
            </w:pPr>
            <w:r w:rsidRPr="1AAAAE7A">
              <w:rPr>
                <w:rFonts w:ascii="Arial" w:hAnsi="Arial" w:cs="Arial"/>
                <w:sz w:val="20"/>
                <w:szCs w:val="20"/>
              </w:rPr>
              <w:t>2,55</w:t>
            </w:r>
          </w:p>
        </w:tc>
        <w:tc>
          <w:tcPr>
            <w:tcW w:w="1741" w:type="dxa"/>
          </w:tcPr>
          <w:p w14:paraId="10A6CA3B" w14:textId="559122C2" w:rsidR="000F072A" w:rsidRPr="008C2BDE" w:rsidRDefault="1AAAAE7A" w:rsidP="1AAAAE7A">
            <w:pPr>
              <w:jc w:val="both"/>
              <w:rPr>
                <w:rFonts w:ascii="Arial" w:hAnsi="Arial" w:cs="Arial"/>
                <w:sz w:val="20"/>
                <w:szCs w:val="20"/>
              </w:rPr>
            </w:pPr>
            <w:r w:rsidRPr="1AAAAE7A">
              <w:rPr>
                <w:rFonts w:ascii="Arial" w:hAnsi="Arial" w:cs="Arial"/>
                <w:sz w:val="20"/>
                <w:szCs w:val="20"/>
              </w:rPr>
              <w:t>2,83</w:t>
            </w:r>
          </w:p>
        </w:tc>
      </w:tr>
      <w:tr w:rsidR="000F072A" w:rsidRPr="008C2BDE" w14:paraId="3A889164" w14:textId="77777777" w:rsidTr="1AAAAE7A">
        <w:tc>
          <w:tcPr>
            <w:tcW w:w="1575" w:type="dxa"/>
          </w:tcPr>
          <w:p w14:paraId="123365B2" w14:textId="77777777" w:rsidR="000F072A" w:rsidRPr="008C2BDE" w:rsidRDefault="000F072A" w:rsidP="00D47FC2">
            <w:pPr>
              <w:jc w:val="both"/>
              <w:rPr>
                <w:rFonts w:ascii="Arial" w:hAnsi="Arial" w:cs="Arial"/>
                <w:sz w:val="20"/>
                <w:szCs w:val="20"/>
              </w:rPr>
            </w:pPr>
            <w:r w:rsidRPr="008C2BDE">
              <w:rPr>
                <w:rFonts w:ascii="Arial" w:hAnsi="Arial" w:cs="Arial"/>
                <w:sz w:val="20"/>
                <w:szCs w:val="20"/>
              </w:rPr>
              <w:t>Plemenski prašiči</w:t>
            </w:r>
          </w:p>
        </w:tc>
        <w:tc>
          <w:tcPr>
            <w:tcW w:w="1865" w:type="dxa"/>
          </w:tcPr>
          <w:p w14:paraId="58D12512" w14:textId="77777777" w:rsidR="000F072A" w:rsidRPr="008C2BDE" w:rsidRDefault="1AAAAE7A" w:rsidP="1AAAAE7A">
            <w:pPr>
              <w:jc w:val="both"/>
              <w:rPr>
                <w:rFonts w:ascii="Arial" w:hAnsi="Arial" w:cs="Arial"/>
                <w:sz w:val="20"/>
                <w:szCs w:val="20"/>
              </w:rPr>
            </w:pPr>
            <w:r w:rsidRPr="1AAAAE7A">
              <w:rPr>
                <w:rFonts w:ascii="Arial" w:hAnsi="Arial" w:cs="Arial"/>
                <w:sz w:val="20"/>
                <w:szCs w:val="20"/>
              </w:rPr>
              <w:t>5,12</w:t>
            </w:r>
          </w:p>
        </w:tc>
        <w:tc>
          <w:tcPr>
            <w:tcW w:w="1869" w:type="dxa"/>
          </w:tcPr>
          <w:p w14:paraId="6A880159" w14:textId="77777777" w:rsidR="000F072A" w:rsidRPr="008C2BDE" w:rsidRDefault="1AAAAE7A" w:rsidP="1AAAAE7A">
            <w:pPr>
              <w:jc w:val="both"/>
              <w:rPr>
                <w:rFonts w:ascii="Arial" w:hAnsi="Arial" w:cs="Arial"/>
                <w:sz w:val="20"/>
                <w:szCs w:val="20"/>
              </w:rPr>
            </w:pPr>
            <w:r w:rsidRPr="1AAAAE7A">
              <w:rPr>
                <w:rFonts w:ascii="Arial" w:hAnsi="Arial" w:cs="Arial"/>
                <w:sz w:val="20"/>
                <w:szCs w:val="20"/>
              </w:rPr>
              <w:t>2,82</w:t>
            </w:r>
          </w:p>
        </w:tc>
        <w:tc>
          <w:tcPr>
            <w:tcW w:w="2012" w:type="dxa"/>
            <w:gridSpan w:val="2"/>
          </w:tcPr>
          <w:p w14:paraId="7EA89D0D" w14:textId="77777777" w:rsidR="000F072A" w:rsidRPr="008C2BDE" w:rsidRDefault="1AAAAE7A" w:rsidP="1AAAAE7A">
            <w:pPr>
              <w:jc w:val="both"/>
              <w:rPr>
                <w:rFonts w:ascii="Arial" w:hAnsi="Arial" w:cs="Arial"/>
                <w:sz w:val="20"/>
                <w:szCs w:val="20"/>
              </w:rPr>
            </w:pPr>
            <w:r w:rsidRPr="1AAAAE7A">
              <w:rPr>
                <w:rFonts w:ascii="Arial" w:hAnsi="Arial" w:cs="Arial"/>
                <w:sz w:val="20"/>
                <w:szCs w:val="20"/>
              </w:rPr>
              <w:t>5,63</w:t>
            </w:r>
          </w:p>
        </w:tc>
        <w:tc>
          <w:tcPr>
            <w:tcW w:w="1741" w:type="dxa"/>
          </w:tcPr>
          <w:p w14:paraId="259E073E" w14:textId="3BEF5C0C" w:rsidR="000F072A" w:rsidRPr="008C2BDE" w:rsidRDefault="1AAAAE7A" w:rsidP="1AAAAE7A">
            <w:pPr>
              <w:jc w:val="both"/>
              <w:rPr>
                <w:rFonts w:ascii="Arial" w:hAnsi="Arial" w:cs="Arial"/>
                <w:sz w:val="20"/>
                <w:szCs w:val="20"/>
              </w:rPr>
            </w:pPr>
            <w:r w:rsidRPr="1AAAAE7A">
              <w:rPr>
                <w:rFonts w:ascii="Arial" w:hAnsi="Arial" w:cs="Arial"/>
                <w:sz w:val="20"/>
                <w:szCs w:val="20"/>
              </w:rPr>
              <w:t>6,24</w:t>
            </w:r>
          </w:p>
        </w:tc>
      </w:tr>
      <w:tr w:rsidR="000F072A" w:rsidRPr="008C2BDE" w14:paraId="588C918C" w14:textId="77777777" w:rsidTr="1AAAAE7A">
        <w:tc>
          <w:tcPr>
            <w:tcW w:w="1575" w:type="dxa"/>
          </w:tcPr>
          <w:p w14:paraId="243E8830" w14:textId="77777777" w:rsidR="000F072A" w:rsidRPr="008C2BDE" w:rsidRDefault="000F072A" w:rsidP="00D47FC2">
            <w:pPr>
              <w:jc w:val="both"/>
              <w:rPr>
                <w:rFonts w:ascii="Arial" w:hAnsi="Arial" w:cs="Arial"/>
                <w:sz w:val="20"/>
                <w:szCs w:val="20"/>
              </w:rPr>
            </w:pPr>
            <w:r w:rsidRPr="008C2BDE">
              <w:rPr>
                <w:rFonts w:ascii="Arial" w:hAnsi="Arial" w:cs="Arial"/>
                <w:sz w:val="20"/>
                <w:szCs w:val="20"/>
              </w:rPr>
              <w:t>Kokoši nesnice</w:t>
            </w:r>
          </w:p>
        </w:tc>
        <w:tc>
          <w:tcPr>
            <w:tcW w:w="1865" w:type="dxa"/>
          </w:tcPr>
          <w:p w14:paraId="0DFB71A2" w14:textId="77777777" w:rsidR="000F072A" w:rsidRPr="008C2BDE" w:rsidRDefault="1AAAAE7A" w:rsidP="1AAAAE7A">
            <w:pPr>
              <w:jc w:val="both"/>
              <w:rPr>
                <w:rFonts w:ascii="Arial" w:hAnsi="Arial" w:cs="Arial"/>
                <w:sz w:val="20"/>
                <w:szCs w:val="20"/>
              </w:rPr>
            </w:pPr>
            <w:r w:rsidRPr="1AAAAE7A">
              <w:rPr>
                <w:rFonts w:ascii="Arial" w:hAnsi="Arial" w:cs="Arial"/>
                <w:sz w:val="20"/>
                <w:szCs w:val="20"/>
              </w:rPr>
              <w:t>0,16</w:t>
            </w:r>
          </w:p>
        </w:tc>
        <w:tc>
          <w:tcPr>
            <w:tcW w:w="1869" w:type="dxa"/>
          </w:tcPr>
          <w:p w14:paraId="0242FF50" w14:textId="77777777" w:rsidR="000F072A" w:rsidRPr="008C2BDE" w:rsidRDefault="000F072A" w:rsidP="00D47FC2">
            <w:pPr>
              <w:jc w:val="both"/>
              <w:rPr>
                <w:rFonts w:ascii="Arial" w:hAnsi="Arial" w:cs="Arial"/>
                <w:sz w:val="20"/>
                <w:szCs w:val="20"/>
              </w:rPr>
            </w:pPr>
          </w:p>
        </w:tc>
        <w:tc>
          <w:tcPr>
            <w:tcW w:w="2012" w:type="dxa"/>
            <w:gridSpan w:val="2"/>
          </w:tcPr>
          <w:p w14:paraId="5F496106" w14:textId="77777777" w:rsidR="000F072A" w:rsidRPr="008C2BDE" w:rsidRDefault="000F072A" w:rsidP="00D47FC2">
            <w:pPr>
              <w:jc w:val="both"/>
              <w:rPr>
                <w:rFonts w:ascii="Arial" w:hAnsi="Arial" w:cs="Arial"/>
                <w:sz w:val="20"/>
                <w:szCs w:val="20"/>
              </w:rPr>
            </w:pPr>
          </w:p>
        </w:tc>
        <w:tc>
          <w:tcPr>
            <w:tcW w:w="1741" w:type="dxa"/>
          </w:tcPr>
          <w:p w14:paraId="1D1C0F88" w14:textId="60CB46D6" w:rsidR="000F072A" w:rsidRPr="008C2BDE" w:rsidRDefault="000F072A" w:rsidP="00D47FC2">
            <w:pPr>
              <w:jc w:val="both"/>
              <w:rPr>
                <w:rFonts w:ascii="Arial" w:hAnsi="Arial" w:cs="Arial"/>
                <w:sz w:val="20"/>
                <w:szCs w:val="20"/>
              </w:rPr>
            </w:pPr>
            <w:r w:rsidRPr="008C2BDE">
              <w:rPr>
                <w:rFonts w:ascii="Arial" w:hAnsi="Arial" w:cs="Arial"/>
                <w:sz w:val="20"/>
                <w:szCs w:val="20"/>
              </w:rPr>
              <w:t>0,05</w:t>
            </w:r>
            <w:r w:rsidR="00006BDA" w:rsidRPr="008C2BDE">
              <w:rPr>
                <w:rFonts w:ascii="Arial" w:hAnsi="Arial" w:cs="Arial"/>
                <w:sz w:val="20"/>
                <w:szCs w:val="20"/>
              </w:rPr>
              <w:t>*</w:t>
            </w:r>
          </w:p>
        </w:tc>
      </w:tr>
      <w:tr w:rsidR="000F072A" w:rsidRPr="008C2BDE" w14:paraId="24192B22" w14:textId="77777777" w:rsidTr="1AAAAE7A">
        <w:tc>
          <w:tcPr>
            <w:tcW w:w="1575" w:type="dxa"/>
          </w:tcPr>
          <w:p w14:paraId="23B88A18" w14:textId="77777777" w:rsidR="000F072A" w:rsidRPr="008C2BDE" w:rsidRDefault="000F072A" w:rsidP="00D47FC2">
            <w:pPr>
              <w:jc w:val="both"/>
              <w:rPr>
                <w:rFonts w:ascii="Arial" w:hAnsi="Arial" w:cs="Arial"/>
                <w:sz w:val="20"/>
                <w:szCs w:val="20"/>
              </w:rPr>
            </w:pPr>
            <w:r w:rsidRPr="008C2BDE">
              <w:rPr>
                <w:rFonts w:ascii="Arial" w:hAnsi="Arial" w:cs="Arial"/>
                <w:sz w:val="20"/>
                <w:szCs w:val="20"/>
              </w:rPr>
              <w:t>Pitovni piščanci</w:t>
            </w:r>
          </w:p>
        </w:tc>
        <w:tc>
          <w:tcPr>
            <w:tcW w:w="1865" w:type="dxa"/>
          </w:tcPr>
          <w:p w14:paraId="79967336" w14:textId="77777777" w:rsidR="000F072A" w:rsidRPr="008C2BDE" w:rsidRDefault="000F072A" w:rsidP="00D47FC2">
            <w:pPr>
              <w:jc w:val="both"/>
              <w:rPr>
                <w:rFonts w:ascii="Arial" w:hAnsi="Arial" w:cs="Arial"/>
                <w:sz w:val="20"/>
                <w:szCs w:val="20"/>
              </w:rPr>
            </w:pPr>
          </w:p>
        </w:tc>
        <w:tc>
          <w:tcPr>
            <w:tcW w:w="1869" w:type="dxa"/>
          </w:tcPr>
          <w:p w14:paraId="1BCEDD2C" w14:textId="77777777" w:rsidR="000F072A" w:rsidRPr="008C2BDE" w:rsidRDefault="000F072A" w:rsidP="00D47FC2">
            <w:pPr>
              <w:jc w:val="both"/>
              <w:rPr>
                <w:rFonts w:ascii="Arial" w:hAnsi="Arial" w:cs="Arial"/>
                <w:sz w:val="20"/>
                <w:szCs w:val="20"/>
              </w:rPr>
            </w:pPr>
          </w:p>
        </w:tc>
        <w:tc>
          <w:tcPr>
            <w:tcW w:w="2012" w:type="dxa"/>
            <w:gridSpan w:val="2"/>
          </w:tcPr>
          <w:p w14:paraId="6A07B2E1" w14:textId="77777777" w:rsidR="000F072A" w:rsidRPr="008C2BDE" w:rsidRDefault="000F072A" w:rsidP="00D47FC2">
            <w:pPr>
              <w:jc w:val="both"/>
              <w:rPr>
                <w:rFonts w:ascii="Arial" w:hAnsi="Arial" w:cs="Arial"/>
                <w:sz w:val="20"/>
                <w:szCs w:val="20"/>
              </w:rPr>
            </w:pPr>
          </w:p>
        </w:tc>
        <w:tc>
          <w:tcPr>
            <w:tcW w:w="1741" w:type="dxa"/>
          </w:tcPr>
          <w:p w14:paraId="44665008" w14:textId="77777777" w:rsidR="000F072A" w:rsidRPr="008C2BDE" w:rsidRDefault="1AAAAE7A" w:rsidP="1AAAAE7A">
            <w:pPr>
              <w:jc w:val="both"/>
              <w:rPr>
                <w:rFonts w:ascii="Arial" w:hAnsi="Arial" w:cs="Arial"/>
                <w:sz w:val="20"/>
                <w:szCs w:val="20"/>
              </w:rPr>
            </w:pPr>
            <w:r w:rsidRPr="1AAAAE7A">
              <w:rPr>
                <w:rFonts w:ascii="Arial" w:hAnsi="Arial" w:cs="Arial"/>
                <w:sz w:val="20"/>
                <w:szCs w:val="20"/>
              </w:rPr>
              <w:t>0,02</w:t>
            </w:r>
          </w:p>
        </w:tc>
      </w:tr>
      <w:tr w:rsidR="000C278C" w:rsidRPr="008C2BDE" w14:paraId="25101DE5" w14:textId="77777777" w:rsidTr="1AAAAE7A">
        <w:tc>
          <w:tcPr>
            <w:tcW w:w="1575" w:type="dxa"/>
          </w:tcPr>
          <w:p w14:paraId="5D1F2259" w14:textId="2296542D" w:rsidR="000C278C" w:rsidRPr="008C2BDE" w:rsidRDefault="000C278C" w:rsidP="000C278C">
            <w:pPr>
              <w:jc w:val="both"/>
              <w:rPr>
                <w:rFonts w:ascii="Arial" w:hAnsi="Arial" w:cs="Arial"/>
                <w:sz w:val="20"/>
                <w:szCs w:val="20"/>
              </w:rPr>
            </w:pPr>
            <w:r w:rsidRPr="008C2BDE">
              <w:rPr>
                <w:rFonts w:ascii="Arial" w:eastAsia="Times New Roman" w:hAnsi="Arial" w:cs="Arial"/>
                <w:sz w:val="20"/>
                <w:szCs w:val="20"/>
                <w:lang w:eastAsia="sl-SI"/>
              </w:rPr>
              <w:t>Žrebeta do 1 leta in poniji</w:t>
            </w:r>
          </w:p>
        </w:tc>
        <w:tc>
          <w:tcPr>
            <w:tcW w:w="1865" w:type="dxa"/>
          </w:tcPr>
          <w:p w14:paraId="0E758B73" w14:textId="7C280422" w:rsidR="000C278C" w:rsidRPr="008C2BDE" w:rsidRDefault="000C278C" w:rsidP="000C278C">
            <w:pPr>
              <w:jc w:val="both"/>
              <w:rPr>
                <w:rFonts w:ascii="Arial" w:hAnsi="Arial" w:cs="Arial"/>
                <w:sz w:val="20"/>
                <w:szCs w:val="20"/>
              </w:rPr>
            </w:pPr>
            <w:r w:rsidRPr="008C2BDE">
              <w:rPr>
                <w:rFonts w:ascii="Arial" w:eastAsia="Times New Roman" w:hAnsi="Arial" w:cs="Arial"/>
                <w:noProof/>
                <w:sz w:val="20"/>
                <w:szCs w:val="20"/>
                <w:lang w:eastAsia="sl-SI"/>
              </w:rPr>
              <w:drawing>
                <wp:inline distT="0" distB="0" distL="0" distR="0" wp14:anchorId="263378A0" wp14:editId="1FA757BC">
                  <wp:extent cx="6350" cy="6350"/>
                  <wp:effectExtent l="0" t="0" r="0" b="0"/>
                  <wp:docPr id="6" name="Slika 6" descr="C:\Users\METKA~1.VAL\AppData\Local\Temp\notesDF7E7A\~b13410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ETKA~1.VAL\AppData\Local\Temp\notesDF7E7A\~b134100.TMP"/>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p>
        </w:tc>
        <w:tc>
          <w:tcPr>
            <w:tcW w:w="1869" w:type="dxa"/>
          </w:tcPr>
          <w:p w14:paraId="4E736975" w14:textId="71DD9751" w:rsidR="000C278C" w:rsidRPr="008C2BDE" w:rsidRDefault="000C278C" w:rsidP="000C278C">
            <w:pPr>
              <w:jc w:val="both"/>
              <w:rPr>
                <w:rFonts w:ascii="Arial" w:hAnsi="Arial" w:cs="Arial"/>
                <w:sz w:val="20"/>
                <w:szCs w:val="20"/>
              </w:rPr>
            </w:pPr>
            <w:r w:rsidRPr="008C2BDE">
              <w:rPr>
                <w:rFonts w:ascii="Arial" w:eastAsia="Times New Roman" w:hAnsi="Arial" w:cs="Arial"/>
                <w:noProof/>
                <w:sz w:val="20"/>
                <w:szCs w:val="20"/>
                <w:lang w:eastAsia="sl-SI"/>
              </w:rPr>
              <w:drawing>
                <wp:inline distT="0" distB="0" distL="0" distR="0" wp14:anchorId="5D02FE54" wp14:editId="56E3B8C0">
                  <wp:extent cx="6350" cy="6350"/>
                  <wp:effectExtent l="0" t="0" r="0" b="0"/>
                  <wp:docPr id="5" name="Slika 5" descr="C:\Users\METKA~1.VAL\AppData\Local\Temp\notesDF7E7A\~b13410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ETKA~1.VAL\AppData\Local\Temp\notesDF7E7A\~b134100.TMP"/>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p>
        </w:tc>
        <w:tc>
          <w:tcPr>
            <w:tcW w:w="2012" w:type="dxa"/>
            <w:gridSpan w:val="2"/>
          </w:tcPr>
          <w:p w14:paraId="3CA18D90" w14:textId="79338E97" w:rsidR="000C278C" w:rsidRPr="008C2BDE" w:rsidRDefault="000C278C" w:rsidP="000C278C">
            <w:pPr>
              <w:jc w:val="both"/>
              <w:rPr>
                <w:rFonts w:ascii="Arial" w:hAnsi="Arial" w:cs="Arial"/>
                <w:sz w:val="20"/>
                <w:szCs w:val="20"/>
              </w:rPr>
            </w:pPr>
            <w:r w:rsidRPr="008C2BDE">
              <w:rPr>
                <w:rFonts w:ascii="Arial" w:eastAsia="Times New Roman" w:hAnsi="Arial" w:cs="Arial"/>
                <w:noProof/>
                <w:sz w:val="20"/>
                <w:szCs w:val="20"/>
                <w:lang w:eastAsia="sl-SI"/>
              </w:rPr>
              <w:drawing>
                <wp:inline distT="0" distB="0" distL="0" distR="0" wp14:anchorId="49F225D3" wp14:editId="69A1E9F0">
                  <wp:extent cx="6350" cy="6350"/>
                  <wp:effectExtent l="0" t="0" r="0" b="0"/>
                  <wp:docPr id="4" name="Slika 4" descr="C:\Users\METKA~1.VAL\AppData\Local\Temp\notesDF7E7A\~b13410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ETKA~1.VAL\AppData\Local\Temp\notesDF7E7A\~b134100.TMP"/>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p>
        </w:tc>
        <w:tc>
          <w:tcPr>
            <w:tcW w:w="1741" w:type="dxa"/>
          </w:tcPr>
          <w:p w14:paraId="1CC0A1E9" w14:textId="039897AC" w:rsidR="000C278C" w:rsidRPr="008C2BDE" w:rsidRDefault="1AAAAE7A" w:rsidP="1AAAAE7A">
            <w:pPr>
              <w:jc w:val="both"/>
              <w:rPr>
                <w:rFonts w:ascii="Arial" w:hAnsi="Arial" w:cs="Arial"/>
                <w:sz w:val="20"/>
                <w:szCs w:val="20"/>
              </w:rPr>
            </w:pPr>
            <w:r w:rsidRPr="1AAAAE7A">
              <w:rPr>
                <w:rFonts w:ascii="Arial" w:eastAsia="Times New Roman" w:hAnsi="Arial" w:cs="Arial"/>
                <w:sz w:val="20"/>
                <w:szCs w:val="20"/>
                <w:lang w:eastAsia="sl-SI"/>
              </w:rPr>
              <w:t>13,64</w:t>
            </w:r>
          </w:p>
        </w:tc>
      </w:tr>
      <w:tr w:rsidR="000C278C" w:rsidRPr="008C2BDE" w14:paraId="400C839D" w14:textId="77777777" w:rsidTr="1AAAAE7A">
        <w:tc>
          <w:tcPr>
            <w:tcW w:w="1575" w:type="dxa"/>
          </w:tcPr>
          <w:p w14:paraId="2AA4445B" w14:textId="3B21F52D" w:rsidR="000C278C" w:rsidRPr="008C2BDE" w:rsidRDefault="000C278C" w:rsidP="000C278C">
            <w:pPr>
              <w:jc w:val="both"/>
              <w:rPr>
                <w:rFonts w:ascii="Arial" w:eastAsia="Times New Roman" w:hAnsi="Arial" w:cs="Arial"/>
                <w:sz w:val="20"/>
                <w:szCs w:val="20"/>
                <w:lang w:eastAsia="sl-SI"/>
              </w:rPr>
            </w:pPr>
            <w:r w:rsidRPr="008C2BDE">
              <w:rPr>
                <w:rFonts w:ascii="Arial" w:eastAsia="Times New Roman" w:hAnsi="Arial" w:cs="Arial"/>
                <w:sz w:val="20"/>
                <w:szCs w:val="20"/>
                <w:lang w:eastAsia="sl-SI"/>
              </w:rPr>
              <w:t>Konji nad 1 letom</w:t>
            </w:r>
          </w:p>
        </w:tc>
        <w:tc>
          <w:tcPr>
            <w:tcW w:w="1865" w:type="dxa"/>
          </w:tcPr>
          <w:p w14:paraId="7ADF2F52" w14:textId="20C7A2B4" w:rsidR="000C278C" w:rsidRPr="008C2BDE" w:rsidRDefault="000C278C" w:rsidP="000C278C">
            <w:pPr>
              <w:jc w:val="both"/>
              <w:rPr>
                <w:rFonts w:ascii="Arial" w:eastAsia="Times New Roman" w:hAnsi="Arial" w:cs="Arial"/>
                <w:noProof/>
                <w:sz w:val="20"/>
                <w:szCs w:val="20"/>
                <w:lang w:eastAsia="sl-SI"/>
              </w:rPr>
            </w:pPr>
            <w:r w:rsidRPr="008C2BDE">
              <w:rPr>
                <w:rFonts w:ascii="Arial" w:eastAsia="Times New Roman" w:hAnsi="Arial" w:cs="Arial"/>
                <w:noProof/>
                <w:sz w:val="20"/>
                <w:szCs w:val="20"/>
                <w:lang w:eastAsia="sl-SI"/>
              </w:rPr>
              <w:drawing>
                <wp:inline distT="0" distB="0" distL="0" distR="0" wp14:anchorId="25B9A7B0" wp14:editId="5E62CBAD">
                  <wp:extent cx="6350" cy="6350"/>
                  <wp:effectExtent l="0" t="0" r="0" b="0"/>
                  <wp:docPr id="3" name="Slika 3" descr="C:\Users\METKA~1.VAL\AppData\Local\Temp\notesDF7E7A\~b13410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ETKA~1.VAL\AppData\Local\Temp\notesDF7E7A\~b134100.TMP"/>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p>
        </w:tc>
        <w:tc>
          <w:tcPr>
            <w:tcW w:w="1869" w:type="dxa"/>
          </w:tcPr>
          <w:p w14:paraId="5F275BF1" w14:textId="0F2C834B" w:rsidR="000C278C" w:rsidRPr="008C2BDE" w:rsidRDefault="000C278C" w:rsidP="000C278C">
            <w:pPr>
              <w:jc w:val="both"/>
              <w:rPr>
                <w:rFonts w:ascii="Arial" w:eastAsia="Times New Roman" w:hAnsi="Arial" w:cs="Arial"/>
                <w:noProof/>
                <w:sz w:val="20"/>
                <w:szCs w:val="20"/>
                <w:lang w:eastAsia="sl-SI"/>
              </w:rPr>
            </w:pPr>
            <w:r w:rsidRPr="008C2BDE">
              <w:rPr>
                <w:rFonts w:ascii="Arial" w:eastAsia="Times New Roman" w:hAnsi="Arial" w:cs="Arial"/>
                <w:noProof/>
                <w:sz w:val="20"/>
                <w:szCs w:val="20"/>
                <w:lang w:eastAsia="sl-SI"/>
              </w:rPr>
              <w:drawing>
                <wp:inline distT="0" distB="0" distL="0" distR="0" wp14:anchorId="39B586C0" wp14:editId="03FF3790">
                  <wp:extent cx="6350" cy="6350"/>
                  <wp:effectExtent l="0" t="0" r="0" b="0"/>
                  <wp:docPr id="2" name="Slika 2" descr="C:\Users\METKA~1.VAL\AppData\Local\Temp\notesDF7E7A\~b13410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ETKA~1.VAL\AppData\Local\Temp\notesDF7E7A\~b134100.TMP"/>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p>
        </w:tc>
        <w:tc>
          <w:tcPr>
            <w:tcW w:w="2012" w:type="dxa"/>
            <w:gridSpan w:val="2"/>
          </w:tcPr>
          <w:p w14:paraId="03FF0FD6" w14:textId="7103518C" w:rsidR="000C278C" w:rsidRPr="008C2BDE" w:rsidRDefault="000C278C" w:rsidP="000C278C">
            <w:pPr>
              <w:jc w:val="both"/>
              <w:rPr>
                <w:rFonts w:ascii="Arial" w:eastAsia="Times New Roman" w:hAnsi="Arial" w:cs="Arial"/>
                <w:noProof/>
                <w:sz w:val="20"/>
                <w:szCs w:val="20"/>
                <w:lang w:eastAsia="sl-SI"/>
              </w:rPr>
            </w:pPr>
            <w:r w:rsidRPr="008C2BDE">
              <w:rPr>
                <w:rFonts w:ascii="Arial" w:eastAsia="Times New Roman" w:hAnsi="Arial" w:cs="Arial"/>
                <w:noProof/>
                <w:sz w:val="20"/>
                <w:szCs w:val="20"/>
                <w:lang w:eastAsia="sl-SI"/>
              </w:rPr>
              <w:drawing>
                <wp:inline distT="0" distB="0" distL="0" distR="0" wp14:anchorId="275C5794" wp14:editId="1C989C03">
                  <wp:extent cx="6350" cy="6350"/>
                  <wp:effectExtent l="0" t="0" r="0" b="0"/>
                  <wp:docPr id="1" name="Slika 1" descr="C:\Users\METKA~1.VAL\AppData\Local\Temp\notesDF7E7A\~b13410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ETKA~1.VAL\AppData\Local\Temp\notesDF7E7A\~b134100.TMP"/>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p>
        </w:tc>
        <w:tc>
          <w:tcPr>
            <w:tcW w:w="1741" w:type="dxa"/>
          </w:tcPr>
          <w:p w14:paraId="6B0F2BB4" w14:textId="25A5F15D" w:rsidR="000C278C" w:rsidRPr="008C2BDE" w:rsidRDefault="1AAAAE7A" w:rsidP="1AAAAE7A">
            <w:pPr>
              <w:jc w:val="both"/>
              <w:rPr>
                <w:rFonts w:ascii="Arial" w:eastAsia="Times New Roman" w:hAnsi="Arial" w:cs="Arial"/>
                <w:sz w:val="20"/>
                <w:szCs w:val="20"/>
                <w:lang w:eastAsia="sl-SI"/>
              </w:rPr>
            </w:pPr>
            <w:r w:rsidRPr="1AAAAE7A">
              <w:rPr>
                <w:rFonts w:ascii="Arial" w:eastAsia="Times New Roman" w:hAnsi="Arial" w:cs="Arial"/>
                <w:sz w:val="20"/>
                <w:szCs w:val="20"/>
                <w:lang w:eastAsia="sl-SI"/>
              </w:rPr>
              <w:t>27,27</w:t>
            </w:r>
          </w:p>
        </w:tc>
      </w:tr>
    </w:tbl>
    <w:p w14:paraId="7498843A" w14:textId="71696BDC" w:rsidR="00D47FC2" w:rsidRPr="008C2BDE" w:rsidRDefault="00006BDA" w:rsidP="00D47FC2">
      <w:pPr>
        <w:jc w:val="both"/>
        <w:rPr>
          <w:rFonts w:ascii="Arial" w:hAnsi="Arial" w:cs="Arial"/>
          <w:sz w:val="20"/>
          <w:szCs w:val="20"/>
        </w:rPr>
      </w:pPr>
      <w:r w:rsidRPr="008C2BDE">
        <w:rPr>
          <w:rFonts w:ascii="Arial" w:hAnsi="Arial" w:cs="Arial"/>
          <w:sz w:val="20"/>
          <w:szCs w:val="20"/>
        </w:rPr>
        <w:t>Velja tudi za gnoj brez nastilja</w:t>
      </w:r>
    </w:p>
    <w:p w14:paraId="1A158CD9" w14:textId="1B253CE9" w:rsidR="005C29D4" w:rsidRPr="008C2BDE" w:rsidRDefault="005C29D4" w:rsidP="005C29D4">
      <w:pPr>
        <w:jc w:val="both"/>
        <w:rPr>
          <w:rFonts w:ascii="Arial" w:hAnsi="Arial" w:cs="Arial"/>
          <w:sz w:val="20"/>
          <w:szCs w:val="20"/>
        </w:rPr>
      </w:pPr>
      <w:r w:rsidRPr="008C2BDE">
        <w:rPr>
          <w:rFonts w:ascii="Arial" w:hAnsi="Arial" w:cs="Arial"/>
          <w:sz w:val="20"/>
          <w:szCs w:val="20"/>
        </w:rPr>
        <w:t xml:space="preserve">(13) </w:t>
      </w:r>
      <w:r w:rsidR="000F072A" w:rsidRPr="008C2BDE">
        <w:rPr>
          <w:rFonts w:ascii="Arial" w:hAnsi="Arial" w:cs="Arial"/>
          <w:sz w:val="20"/>
          <w:szCs w:val="20"/>
        </w:rPr>
        <w:t>Pri shemi se prijavljen</w:t>
      </w:r>
      <w:r w:rsidR="008C2BDE" w:rsidRPr="008C2BDE">
        <w:rPr>
          <w:rFonts w:ascii="Arial" w:hAnsi="Arial" w:cs="Arial"/>
          <w:sz w:val="20"/>
          <w:szCs w:val="20"/>
        </w:rPr>
        <w:t>a</w:t>
      </w:r>
      <w:r w:rsidR="000F072A" w:rsidRPr="008C2BDE">
        <w:rPr>
          <w:rFonts w:ascii="Arial" w:hAnsi="Arial" w:cs="Arial"/>
          <w:sz w:val="20"/>
          <w:szCs w:val="20"/>
        </w:rPr>
        <w:t xml:space="preserve"> površina zahtevka lahko izplača v celoti, če je nosilec KMG zagotovil, da prijavljena površina </w:t>
      </w:r>
      <w:r w:rsidRPr="008C2BDE">
        <w:rPr>
          <w:rFonts w:ascii="Arial" w:hAnsi="Arial" w:cs="Arial"/>
          <w:sz w:val="20"/>
          <w:szCs w:val="20"/>
        </w:rPr>
        <w:t>glede na razpoložljivo količina gnojil</w:t>
      </w:r>
      <w:r w:rsidR="000F072A" w:rsidRPr="008C2BDE">
        <w:rPr>
          <w:rFonts w:ascii="Arial" w:hAnsi="Arial" w:cs="Arial"/>
          <w:sz w:val="20"/>
          <w:szCs w:val="20"/>
        </w:rPr>
        <w:t xml:space="preserve"> pokrita vsaj z 15m3 na ha. </w:t>
      </w:r>
      <w:r w:rsidRPr="008C2BDE">
        <w:rPr>
          <w:rFonts w:ascii="Arial" w:hAnsi="Arial" w:cs="Arial"/>
          <w:sz w:val="20"/>
          <w:szCs w:val="20"/>
        </w:rPr>
        <w:t xml:space="preserve"> Pri tem se za namen </w:t>
      </w:r>
      <w:r w:rsidR="008C2BDE" w:rsidRPr="008C2BDE">
        <w:rPr>
          <w:rFonts w:ascii="Arial" w:hAnsi="Arial" w:cs="Arial"/>
          <w:sz w:val="20"/>
          <w:szCs w:val="20"/>
        </w:rPr>
        <w:t xml:space="preserve">izračuna plačila </w:t>
      </w:r>
      <w:r w:rsidRPr="008C2BDE">
        <w:rPr>
          <w:rFonts w:ascii="Arial" w:hAnsi="Arial" w:cs="Arial"/>
          <w:sz w:val="20"/>
          <w:szCs w:val="20"/>
        </w:rPr>
        <w:t>NIZI prevzem gnojnice ne upošteva.</w:t>
      </w:r>
    </w:p>
    <w:p w14:paraId="47C92A56" w14:textId="41D5C964" w:rsidR="000F072A" w:rsidRPr="008C2BDE" w:rsidRDefault="1AAAAE7A" w:rsidP="1AAAAE7A">
      <w:pPr>
        <w:jc w:val="both"/>
        <w:rPr>
          <w:rFonts w:ascii="Arial" w:hAnsi="Arial" w:cs="Arial"/>
          <w:sz w:val="20"/>
          <w:szCs w:val="20"/>
        </w:rPr>
      </w:pPr>
      <w:r w:rsidRPr="1AAAAE7A">
        <w:rPr>
          <w:rFonts w:ascii="Arial" w:hAnsi="Arial" w:cs="Arial"/>
          <w:sz w:val="20"/>
          <w:szCs w:val="20"/>
        </w:rPr>
        <w:t>Če je upravičena količina živinskih gnojil manjša od 15m3 na hektar se razpoložljiva količina gnojil ustrezno porazdeli na manjše število odobrene površine, da se zadosti pogoju vsaj 15m3 hektar. V tem primeru ne bodo izplačani vsi prijavljeni hektarji.</w:t>
      </w:r>
    </w:p>
    <w:p w14:paraId="0B6A065A" w14:textId="16AE48B1" w:rsidR="000F072A" w:rsidRPr="008C2BDE" w:rsidRDefault="000F072A" w:rsidP="000F072A">
      <w:pPr>
        <w:jc w:val="both"/>
        <w:rPr>
          <w:rFonts w:ascii="Arial" w:hAnsi="Arial" w:cs="Arial"/>
          <w:sz w:val="20"/>
          <w:szCs w:val="20"/>
        </w:rPr>
      </w:pPr>
      <w:r w:rsidRPr="008C2BDE">
        <w:rPr>
          <w:rFonts w:ascii="Arial" w:hAnsi="Arial" w:cs="Arial"/>
          <w:sz w:val="20"/>
          <w:szCs w:val="20"/>
        </w:rPr>
        <w:lastRenderedPageBreak/>
        <w:t>Preveriti</w:t>
      </w:r>
      <w:r w:rsidR="005C29D4" w:rsidRPr="008C2BDE">
        <w:rPr>
          <w:rFonts w:ascii="Arial" w:hAnsi="Arial" w:cs="Arial"/>
          <w:sz w:val="20"/>
          <w:szCs w:val="20"/>
        </w:rPr>
        <w:t xml:space="preserve"> je treba </w:t>
      </w:r>
      <w:r w:rsidRPr="008C2BDE">
        <w:rPr>
          <w:rFonts w:ascii="Arial" w:hAnsi="Arial" w:cs="Arial"/>
          <w:sz w:val="20"/>
          <w:szCs w:val="20"/>
        </w:rPr>
        <w:t>tudi izpolnjevanje zgornje</w:t>
      </w:r>
      <w:r w:rsidR="005C29D4" w:rsidRPr="008C2BDE">
        <w:rPr>
          <w:rFonts w:ascii="Arial" w:hAnsi="Arial" w:cs="Arial"/>
          <w:sz w:val="20"/>
          <w:szCs w:val="20"/>
        </w:rPr>
        <w:t xml:space="preserve"> meje</w:t>
      </w:r>
      <w:r w:rsidRPr="008C2BDE">
        <w:rPr>
          <w:rFonts w:ascii="Arial" w:hAnsi="Arial" w:cs="Arial"/>
          <w:sz w:val="20"/>
          <w:szCs w:val="20"/>
        </w:rPr>
        <w:t xml:space="preserve"> </w:t>
      </w:r>
      <w:r w:rsidR="005C29D4" w:rsidRPr="008C2BDE">
        <w:rPr>
          <w:rFonts w:ascii="Arial" w:hAnsi="Arial" w:cs="Arial"/>
          <w:sz w:val="20"/>
          <w:szCs w:val="20"/>
        </w:rPr>
        <w:t>letnega vnosa dušika iz živinskih gnojil, ki</w:t>
      </w:r>
      <w:r w:rsidR="00243057" w:rsidRPr="008C2BDE">
        <w:rPr>
          <w:rFonts w:ascii="Arial" w:hAnsi="Arial" w:cs="Arial"/>
          <w:sz w:val="20"/>
          <w:szCs w:val="20"/>
        </w:rPr>
        <w:t xml:space="preserve"> ne sme presegati 17</w:t>
      </w:r>
      <w:r w:rsidR="00C66B2F" w:rsidRPr="008C2BDE">
        <w:rPr>
          <w:rFonts w:ascii="Arial" w:hAnsi="Arial" w:cs="Arial"/>
          <w:sz w:val="20"/>
          <w:szCs w:val="20"/>
        </w:rPr>
        <w:t>0</w:t>
      </w:r>
      <w:r w:rsidR="005C29D4" w:rsidRPr="008C2BDE">
        <w:rPr>
          <w:rFonts w:ascii="Arial" w:hAnsi="Arial" w:cs="Arial"/>
          <w:sz w:val="20"/>
          <w:szCs w:val="20"/>
        </w:rPr>
        <w:t xml:space="preserve"> kg N/ha kmetijskih zemljišč v uporabi na ravni kmetijskega gospodarstva.</w:t>
      </w:r>
      <w:r w:rsidR="00A159B6" w:rsidRPr="008C2BDE">
        <w:rPr>
          <w:rFonts w:ascii="Arial" w:hAnsi="Arial" w:cs="Arial"/>
          <w:sz w:val="20"/>
          <w:szCs w:val="20"/>
        </w:rPr>
        <w:t xml:space="preserve"> Pri tej preveritvi se upoštevajo tudi podatki iz obrazca za oddajo in prejem živinskih gnojil, digestata ali komposta</w:t>
      </w:r>
      <w:r w:rsidRPr="008C2BDE">
        <w:rPr>
          <w:rFonts w:ascii="Arial" w:hAnsi="Arial" w:cs="Arial"/>
          <w:sz w:val="20"/>
          <w:szCs w:val="20"/>
        </w:rPr>
        <w:t xml:space="preserve"> </w:t>
      </w:r>
      <w:r w:rsidR="00A159B6" w:rsidRPr="008C2BDE">
        <w:rPr>
          <w:rFonts w:ascii="Arial" w:hAnsi="Arial" w:cs="Arial"/>
          <w:sz w:val="20"/>
          <w:szCs w:val="20"/>
        </w:rPr>
        <w:t xml:space="preserve">, če ga je nosilec izpolnil. </w:t>
      </w:r>
      <w:r w:rsidRPr="008C2BDE">
        <w:rPr>
          <w:rFonts w:ascii="Arial" w:hAnsi="Arial" w:cs="Arial"/>
          <w:sz w:val="20"/>
          <w:szCs w:val="20"/>
        </w:rPr>
        <w:t>Če nosilec KMG presega zgornjo mejo glede na nitratno uredbo, tudi po morebitni oddaji živinskih gnojil ali pa po morebitnem prevzemu živinskih gnojil, se zahtevek v celoti zavrne.</w:t>
      </w:r>
    </w:p>
    <w:p w14:paraId="5094BA7B" w14:textId="2D3BF0AB" w:rsidR="00A11630" w:rsidRPr="008C2BDE" w:rsidRDefault="1AAAAE7A" w:rsidP="1AAAAE7A">
      <w:pPr>
        <w:jc w:val="both"/>
        <w:rPr>
          <w:rFonts w:ascii="Arial" w:hAnsi="Arial" w:cs="Arial"/>
          <w:sz w:val="20"/>
          <w:szCs w:val="20"/>
        </w:rPr>
      </w:pPr>
      <w:r w:rsidRPr="1AAAAE7A">
        <w:rPr>
          <w:rFonts w:ascii="Arial" w:hAnsi="Arial" w:cs="Arial"/>
          <w:sz w:val="20"/>
          <w:szCs w:val="20"/>
        </w:rPr>
        <w:t xml:space="preserve">(14) Preveritev izpolnjevanja zgornje meje </w:t>
      </w:r>
      <w:r w:rsidRPr="1AAAAE7A">
        <w:rPr>
          <w:rFonts w:ascii="Arial" w:hAnsi="Arial" w:cs="Arial"/>
          <w:noProof/>
          <w:sz w:val="20"/>
          <w:szCs w:val="20"/>
        </w:rPr>
        <w:t xml:space="preserve">Letnega vnosa dušika iz organskih gnojil na enoto rabe kmetijskih zemljišč pa se naredi s pomočjo </w:t>
      </w:r>
      <w:r w:rsidRPr="00211126">
        <w:rPr>
          <w:rFonts w:ascii="Arial" w:hAnsi="Arial" w:cs="Arial"/>
          <w:noProof/>
          <w:sz w:val="20"/>
          <w:szCs w:val="20"/>
        </w:rPr>
        <w:t xml:space="preserve">evidenc </w:t>
      </w:r>
      <w:r w:rsidRPr="00211126">
        <w:rPr>
          <w:rFonts w:ascii="Arial" w:hAnsi="Arial" w:cs="Arial"/>
          <w:sz w:val="20"/>
          <w:szCs w:val="20"/>
        </w:rPr>
        <w:t xml:space="preserve">o uporabi </w:t>
      </w:r>
      <w:r w:rsidR="00211126">
        <w:rPr>
          <w:rFonts w:ascii="Arial" w:hAnsi="Arial" w:cs="Arial"/>
          <w:sz w:val="20"/>
          <w:szCs w:val="20"/>
        </w:rPr>
        <w:t xml:space="preserve">organskih in mineralnih </w:t>
      </w:r>
      <w:r w:rsidRPr="00211126">
        <w:rPr>
          <w:rFonts w:ascii="Arial" w:hAnsi="Arial" w:cs="Arial"/>
          <w:sz w:val="20"/>
          <w:szCs w:val="20"/>
        </w:rPr>
        <w:t>gnojil na kmetijskem gospodarstvu.</w:t>
      </w:r>
    </w:p>
    <w:p w14:paraId="7D826DC1" w14:textId="0221D6E3" w:rsidR="00DC07E2" w:rsidRPr="008C2BDE" w:rsidRDefault="1AAAAE7A" w:rsidP="1AAAAE7A">
      <w:pPr>
        <w:pStyle w:val="Default"/>
        <w:jc w:val="both"/>
        <w:rPr>
          <w:sz w:val="20"/>
          <w:szCs w:val="20"/>
        </w:rPr>
      </w:pPr>
      <w:r w:rsidRPr="1AAAAE7A">
        <w:rPr>
          <w:sz w:val="20"/>
          <w:szCs w:val="20"/>
        </w:rPr>
        <w:t>(15) Z upravnim pregledom zahtevkov za Shemo Gnojenje z organskimi gnojili z majhnimi izpusti v zrak se preveri, ali KMG razpolaga z zadostnimi količinami tekočih živinskih gnojil in gnoja za upravičenost izplačila zahtevkov glede na površine, prijavljene na geoprostorskem obrazcu za vloge in zahtevke na površino iz</w:t>
      </w:r>
      <w:r w:rsidR="00211126">
        <w:rPr>
          <w:sz w:val="20"/>
          <w:szCs w:val="20"/>
        </w:rPr>
        <w:t xml:space="preserve"> uredbe, </w:t>
      </w:r>
      <w:r w:rsidRPr="1AAAAE7A">
        <w:rPr>
          <w:sz w:val="20"/>
          <w:szCs w:val="20"/>
        </w:rPr>
        <w:t xml:space="preserve"> </w:t>
      </w:r>
      <w:r w:rsidR="00211126" w:rsidRPr="00211126">
        <w:rPr>
          <w:sz w:val="20"/>
          <w:szCs w:val="20"/>
        </w:rPr>
        <w:t>ki ureja integrirani administrativni in kontrolni sistem za tekoče leto.</w:t>
      </w:r>
      <w:bookmarkStart w:id="0" w:name="_GoBack"/>
      <w:bookmarkEnd w:id="0"/>
    </w:p>
    <w:sectPr w:rsidR="00DC07E2" w:rsidRPr="008C2BDE">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4571FE" w16cex:dateUtc="2022-12-15T09:1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D03CBD8" w16cid:durableId="274571FE"/>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4000ACFF" w:usb2="00000001" w:usb3="00000000" w:csb0="000001FF" w:csb1="00000000"/>
  </w:font>
  <w:font w:name="Times New Roman">
    <w:panose1 w:val="02020603050405020304"/>
    <w:charset w:val="EE"/>
    <w:family w:val="roman"/>
    <w:pitch w:val="variable"/>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07E2"/>
    <w:rsid w:val="00006BDA"/>
    <w:rsid w:val="000C278C"/>
    <w:rsid w:val="000F072A"/>
    <w:rsid w:val="00144F08"/>
    <w:rsid w:val="00165C8A"/>
    <w:rsid w:val="001777FA"/>
    <w:rsid w:val="00211126"/>
    <w:rsid w:val="00243057"/>
    <w:rsid w:val="00365236"/>
    <w:rsid w:val="00372D60"/>
    <w:rsid w:val="00385344"/>
    <w:rsid w:val="0042783B"/>
    <w:rsid w:val="00565DE7"/>
    <w:rsid w:val="005C29D4"/>
    <w:rsid w:val="00711952"/>
    <w:rsid w:val="007659C7"/>
    <w:rsid w:val="00794777"/>
    <w:rsid w:val="007F5F04"/>
    <w:rsid w:val="00830BA4"/>
    <w:rsid w:val="008C2BDE"/>
    <w:rsid w:val="008C4CDB"/>
    <w:rsid w:val="008F5736"/>
    <w:rsid w:val="009758B4"/>
    <w:rsid w:val="009C1FFA"/>
    <w:rsid w:val="00A11630"/>
    <w:rsid w:val="00A159B6"/>
    <w:rsid w:val="00AD4183"/>
    <w:rsid w:val="00C66B2F"/>
    <w:rsid w:val="00CA07AB"/>
    <w:rsid w:val="00D47FC2"/>
    <w:rsid w:val="00DC07E2"/>
    <w:rsid w:val="00E22905"/>
    <w:rsid w:val="00F36263"/>
    <w:rsid w:val="00F44208"/>
    <w:rsid w:val="00F87AB9"/>
    <w:rsid w:val="00F969C7"/>
    <w:rsid w:val="00FA10F3"/>
    <w:rsid w:val="1AAAAE7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1296F4"/>
  <w15:docId w15:val="{D6377581-898F-4132-B68B-DF3C362959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efault">
    <w:name w:val="Default"/>
    <w:rsid w:val="00DC07E2"/>
    <w:pPr>
      <w:autoSpaceDE w:val="0"/>
      <w:autoSpaceDN w:val="0"/>
      <w:adjustRightInd w:val="0"/>
      <w:spacing w:after="0" w:line="240" w:lineRule="auto"/>
    </w:pPr>
    <w:rPr>
      <w:rFonts w:ascii="Arial" w:hAnsi="Arial" w:cs="Arial"/>
      <w:color w:val="000000"/>
      <w:sz w:val="24"/>
      <w:szCs w:val="24"/>
    </w:rPr>
  </w:style>
  <w:style w:type="table" w:styleId="Tabelamrea">
    <w:name w:val="Table Grid"/>
    <w:basedOn w:val="Navadnatabela"/>
    <w:uiPriority w:val="39"/>
    <w:rsid w:val="00DC07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1">
    <w:name w:val="Tabela – mreža1"/>
    <w:basedOn w:val="Navadnatabela"/>
    <w:next w:val="Tabelamrea"/>
    <w:uiPriority w:val="39"/>
    <w:rsid w:val="00D47F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D47FC2"/>
    <w:rPr>
      <w:sz w:val="16"/>
      <w:szCs w:val="16"/>
    </w:rPr>
  </w:style>
  <w:style w:type="paragraph" w:styleId="Pripombabesedilo">
    <w:name w:val="annotation text"/>
    <w:basedOn w:val="Navaden"/>
    <w:link w:val="PripombabesediloZnak"/>
    <w:uiPriority w:val="99"/>
    <w:semiHidden/>
    <w:unhideWhenUsed/>
    <w:rsid w:val="00D47FC2"/>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D47FC2"/>
    <w:rPr>
      <w:sz w:val="20"/>
      <w:szCs w:val="20"/>
    </w:rPr>
  </w:style>
  <w:style w:type="paragraph" w:styleId="Besedilooblaka">
    <w:name w:val="Balloon Text"/>
    <w:basedOn w:val="Navaden"/>
    <w:link w:val="BesedilooblakaZnak"/>
    <w:uiPriority w:val="99"/>
    <w:semiHidden/>
    <w:unhideWhenUsed/>
    <w:rsid w:val="00D47FC2"/>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D47FC2"/>
    <w:rPr>
      <w:rFonts w:ascii="Segoe UI" w:hAnsi="Segoe UI" w:cs="Segoe UI"/>
      <w:sz w:val="18"/>
      <w:szCs w:val="18"/>
    </w:rPr>
  </w:style>
  <w:style w:type="paragraph" w:styleId="Zadevapripombe">
    <w:name w:val="annotation subject"/>
    <w:basedOn w:val="Pripombabesedilo"/>
    <w:next w:val="Pripombabesedilo"/>
    <w:link w:val="ZadevapripombeZnak"/>
    <w:uiPriority w:val="99"/>
    <w:semiHidden/>
    <w:unhideWhenUsed/>
    <w:rsid w:val="005C29D4"/>
    <w:rPr>
      <w:b/>
      <w:bCs/>
    </w:rPr>
  </w:style>
  <w:style w:type="character" w:customStyle="1" w:styleId="ZadevapripombeZnak">
    <w:name w:val="Zadeva pripombe Znak"/>
    <w:basedOn w:val="PripombabesediloZnak"/>
    <w:link w:val="Zadevapripombe"/>
    <w:uiPriority w:val="99"/>
    <w:semiHidden/>
    <w:rsid w:val="005C29D4"/>
    <w:rPr>
      <w:b/>
      <w:bCs/>
      <w:sz w:val="20"/>
      <w:szCs w:val="20"/>
    </w:rPr>
  </w:style>
  <w:style w:type="paragraph" w:styleId="Revizija">
    <w:name w:val="Revision"/>
    <w:hidden/>
    <w:uiPriority w:val="99"/>
    <w:semiHidden/>
    <w:rsid w:val="00830BA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9844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6/09/relationships/commentsIds" Target="commentsIds.xml"/><Relationship Id="rId5" Type="http://schemas.openxmlformats.org/officeDocument/2006/relationships/settings" Target="settings.xml"/><Relationship Id="rId10" Type="http://schemas.microsoft.com/office/2018/08/relationships/commentsExtensible" Target="commentsExtensible.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454EF45AA6538E4DA69DD396424B65F5" ma:contentTypeVersion="2" ma:contentTypeDescription="Ustvari nov dokument." ma:contentTypeScope="" ma:versionID="a2a88cf9661e034eb19d2acdcbb89b22">
  <xsd:schema xmlns:xsd="http://www.w3.org/2001/XMLSchema" xmlns:xs="http://www.w3.org/2001/XMLSchema" xmlns:p="http://schemas.microsoft.com/office/2006/metadata/properties" xmlns:ns2="2020fa91-e7d2-4d2a-afcb-d56719a7723a" targetNamespace="http://schemas.microsoft.com/office/2006/metadata/properties" ma:root="true" ma:fieldsID="7d30f137495e7319d0a91f6198042758" ns2:_="">
    <xsd:import namespace="2020fa91-e7d2-4d2a-afcb-d56719a7723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020fa91-e7d2-4d2a-afcb-d56719a7723a"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9773D01-39E7-4572-87CE-BB287D32B34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9D1A068-F8EB-40B7-9FB9-8EEC69B8588E}">
  <ds:schemaRefs>
    <ds:schemaRef ds:uri="http://schemas.microsoft.com/sharepoint/v3/contenttype/forms"/>
  </ds:schemaRefs>
</ds:datastoreItem>
</file>

<file path=customXml/itemProps3.xml><?xml version="1.0" encoding="utf-8"?>
<ds:datastoreItem xmlns:ds="http://schemas.openxmlformats.org/officeDocument/2006/customXml" ds:itemID="{57BD318F-D78B-4FDB-8E0E-1F2E440ED0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020fa91-e7d2-4d2a-afcb-d56719a772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945</Words>
  <Characters>5390</Characters>
  <Application>Microsoft Office Word</Application>
  <DocSecurity>0</DocSecurity>
  <Lines>44</Lines>
  <Paragraphs>12</Paragraphs>
  <ScaleCrop>false</ScaleCrop>
  <HeadingPairs>
    <vt:vector size="2" baseType="variant">
      <vt:variant>
        <vt:lpstr>Naslov</vt:lpstr>
      </vt:variant>
      <vt:variant>
        <vt:i4>1</vt:i4>
      </vt:variant>
    </vt:vector>
  </HeadingPairs>
  <TitlesOfParts>
    <vt:vector size="1" baseType="lpstr">
      <vt:lpstr/>
    </vt:vector>
  </TitlesOfParts>
  <Company>Kmetijski inštitut Slovenije</Company>
  <LinksUpToDate>false</LinksUpToDate>
  <CharactersWithSpaces>6323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Metka Valek</dc:creator>
  <cp:lastModifiedBy>Metka Valek</cp:lastModifiedBy>
  <cp:revision>2</cp:revision>
  <dcterms:created xsi:type="dcterms:W3CDTF">2022-12-21T23:25:00Z</dcterms:created>
  <dcterms:modified xsi:type="dcterms:W3CDTF">2022-12-21T23:25:00Z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0x010100454EF45AA6538E4DA69DD396424B65F5</vt:lpwstr>
  </property>
</Properties>
</file>