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633D" w:rsidRPr="002760DC" w:rsidRDefault="00AD633D" w:rsidP="00AD633D">
      <w:pPr>
        <w:pStyle w:val="datumtevilka"/>
      </w:pPr>
      <w:r w:rsidRPr="002760DC">
        <w:rPr>
          <w:rFonts w:cs="Arial"/>
          <w:color w:val="000000"/>
        </w:rPr>
        <w:t>EVA:</w:t>
      </w:r>
      <w:r w:rsidRPr="002760DC">
        <w:rPr>
          <w:rFonts w:cs="Arial"/>
          <w:color w:val="000000"/>
        </w:rPr>
        <w:tab/>
      </w:r>
      <w:r>
        <w:rPr>
          <w:rFonts w:cs="Arial"/>
          <w:color w:val="000000"/>
        </w:rPr>
        <w:t>2022-1611-0093</w:t>
      </w:r>
    </w:p>
    <w:p w:rsidR="00AD633D" w:rsidRPr="002760DC" w:rsidRDefault="00AD633D" w:rsidP="00AD633D">
      <w:pPr>
        <w:pStyle w:val="datumtevilka"/>
      </w:pPr>
      <w:r w:rsidRPr="002760DC">
        <w:t xml:space="preserve">Številka: </w:t>
      </w:r>
      <w:r w:rsidRPr="002760DC">
        <w:tab/>
      </w:r>
      <w:r>
        <w:rPr>
          <w:rFonts w:cs="Arial"/>
          <w:color w:val="000000"/>
        </w:rPr>
        <w:t>00704-335/2022/17</w:t>
      </w:r>
    </w:p>
    <w:p w:rsidR="00AD633D" w:rsidRDefault="00AD633D" w:rsidP="00AD633D">
      <w:pPr>
        <w:pStyle w:val="datumtevilka"/>
      </w:pPr>
      <w:r>
        <w:t>Datum:</w:t>
      </w:r>
      <w:r w:rsidRPr="002760DC">
        <w:tab/>
      </w:r>
      <w:r>
        <w:rPr>
          <w:rFonts w:cs="Arial"/>
          <w:color w:val="000000"/>
        </w:rPr>
        <w:t>7. 12. 2022</w:t>
      </w:r>
      <w:r w:rsidRPr="002760DC">
        <w:t xml:space="preserve"> </w:t>
      </w:r>
    </w:p>
    <w:p w:rsidR="00AD633D" w:rsidRDefault="00AD633D" w:rsidP="00AD633D">
      <w:pPr>
        <w:pStyle w:val="datumtevilka"/>
      </w:pPr>
    </w:p>
    <w:p w:rsidR="00AD633D" w:rsidRPr="002760DC" w:rsidRDefault="00AD633D" w:rsidP="00AD633D">
      <w:pPr>
        <w:pStyle w:val="datumtevilka"/>
      </w:pPr>
    </w:p>
    <w:p w:rsidR="00AD633D" w:rsidRPr="00AD633D" w:rsidRDefault="00AD633D" w:rsidP="00AD633D">
      <w:pPr>
        <w:jc w:val="center"/>
        <w:rPr>
          <w:b/>
        </w:rPr>
      </w:pPr>
      <w:r w:rsidRPr="00AD633D">
        <w:rPr>
          <w:rFonts w:cs="Arial"/>
          <w:b/>
          <w:color w:val="000000"/>
          <w:szCs w:val="20"/>
        </w:rPr>
        <w:t>Mnenje o zahtevi Državnega sveta, da Državni zbor ponovno odloča o Zakonu o spremembah in dopolnitvah Zakona o dohodnini</w:t>
      </w:r>
    </w:p>
    <w:p w:rsidR="005446B9" w:rsidRDefault="005446B9" w:rsidP="00AD633D"/>
    <w:p w:rsidR="00AD633D" w:rsidRDefault="00AD633D" w:rsidP="00AD633D"/>
    <w:p w:rsidR="00AD633D" w:rsidRDefault="00AD633D" w:rsidP="00AD633D">
      <w:pPr>
        <w:jc w:val="both"/>
        <w:rPr>
          <w:rFonts w:cs="Arial"/>
          <w:szCs w:val="20"/>
        </w:rPr>
      </w:pPr>
      <w:r>
        <w:rPr>
          <w:rFonts w:cs="Arial"/>
          <w:szCs w:val="20"/>
        </w:rPr>
        <w:t>Državni svet Republike Slovenije (v nadaljnjem besedilu: Državni svet) je na 33. izredni seji 5. 12. 2022 sprejel zahtevo, da Državni zbor Republike Slovenije ponovno odloča o Zakonu o spremembah in dopolnitvah zakona o dohodnini (ZDoh-2AA, EPA 302-IX, ki ga je Državni zbor Republike Slovenije sprejel na 27. izredni seji 28. 11. 2022. Državni svet  zahtevo utemeljuje z naslednjim:</w:t>
      </w:r>
    </w:p>
    <w:p w:rsidR="00AD633D" w:rsidRDefault="00AD633D" w:rsidP="00AD633D">
      <w:pPr>
        <w:jc w:val="both"/>
        <w:rPr>
          <w:rFonts w:cs="Arial"/>
          <w:szCs w:val="20"/>
        </w:rPr>
      </w:pPr>
    </w:p>
    <w:p w:rsidR="00AD633D" w:rsidRDefault="00AD633D" w:rsidP="00AD633D">
      <w:pPr>
        <w:jc w:val="both"/>
        <w:rPr>
          <w:rFonts w:cs="Arial"/>
          <w:szCs w:val="20"/>
        </w:rPr>
      </w:pPr>
      <w:r>
        <w:rPr>
          <w:rFonts w:cs="Arial"/>
          <w:szCs w:val="20"/>
        </w:rPr>
        <w:t>Državni svet opozarja na zaostreno ekonomsko situacijo ter makroekonomske napovedi, ki povečujejo tveganja na področju splošne draginje. Državni svet meni, da je dolžnost Vlade Republike, da tudi z ustrezno dohodninsko politiko prispeva k omejitvi poslabšanja položaja prebivalstva, pri čemer pa zakon predstavlja korak k nižjim plačam. Državni svet se zavzema za razbremenitev plač in znižanje obdavčitve plač.</w:t>
      </w:r>
    </w:p>
    <w:p w:rsidR="00AD633D" w:rsidRDefault="00AD633D" w:rsidP="00AD633D">
      <w:pPr>
        <w:jc w:val="both"/>
        <w:rPr>
          <w:rFonts w:cs="Arial"/>
          <w:szCs w:val="20"/>
        </w:rPr>
      </w:pPr>
    </w:p>
    <w:p w:rsidR="00AD633D" w:rsidRDefault="00AD633D" w:rsidP="00AD633D">
      <w:pPr>
        <w:jc w:val="both"/>
        <w:rPr>
          <w:rFonts w:cs="Arial"/>
          <w:szCs w:val="20"/>
        </w:rPr>
      </w:pPr>
      <w:r>
        <w:rPr>
          <w:rFonts w:cs="Arial"/>
          <w:szCs w:val="20"/>
        </w:rPr>
        <w:t>Državni svet opozarja, da sprejete rešitve na področju obdavčitve dohodkov iz dejavnosti (sistem normiranih odhodkov) niso dovolj dodelane, zato ni pričakovati pozitivnih učinkov, niti za davčne zavezance niti za davčno blagajno.</w:t>
      </w:r>
    </w:p>
    <w:p w:rsidR="00AD633D" w:rsidRDefault="00AD633D" w:rsidP="00AD633D">
      <w:pPr>
        <w:jc w:val="both"/>
        <w:rPr>
          <w:rFonts w:cs="Arial"/>
          <w:szCs w:val="20"/>
        </w:rPr>
      </w:pPr>
    </w:p>
    <w:p w:rsidR="00AD633D" w:rsidRDefault="00AD633D" w:rsidP="00AD633D">
      <w:pPr>
        <w:jc w:val="both"/>
        <w:rPr>
          <w:rFonts w:cs="Arial"/>
          <w:szCs w:val="20"/>
        </w:rPr>
      </w:pPr>
      <w:r>
        <w:rPr>
          <w:rFonts w:cs="Arial"/>
          <w:szCs w:val="20"/>
        </w:rPr>
        <w:t>Državni svet je kritičen tudi do povišanja stopnje dohodnine pri dohodkih iz oddajanja premoženja v najem, saj po mnenju Državnega sveta lahko dodatno prispevka k poslabšanju razmer na najemnem trgu in k že tako previsokim cenam najemnin.</w:t>
      </w:r>
    </w:p>
    <w:p w:rsidR="00AD633D" w:rsidRDefault="00AD633D" w:rsidP="00AD633D">
      <w:pPr>
        <w:jc w:val="both"/>
        <w:rPr>
          <w:rFonts w:cs="Arial"/>
          <w:szCs w:val="20"/>
        </w:rPr>
      </w:pPr>
    </w:p>
    <w:p w:rsidR="00AD633D" w:rsidRDefault="00AD633D" w:rsidP="00AD633D">
      <w:pPr>
        <w:jc w:val="both"/>
        <w:rPr>
          <w:rFonts w:cs="Arial"/>
          <w:szCs w:val="20"/>
        </w:rPr>
      </w:pPr>
      <w:r>
        <w:rPr>
          <w:rFonts w:cs="Arial"/>
          <w:szCs w:val="20"/>
        </w:rPr>
        <w:t>Državni svet nadalje izpostavlja, da zakon, kljub splošno priznani potrebi po nacionalni krepitvi pridelave hrane in s tem kmetijstva za zagotavljanje prehranske varnosti, prinaša nove nepotrebne obremenitve kmetov, z delnim (50%) vštevanjem plačil, ki jih kmetje prejemajo zaradi težjih pridelovalnih pogojev (tim. OMD plačila), v davčno osnovo. Državni svet poudarja, da je tovrstni ukrep v času krize energentov in splošne potrebe po večji samooskrbi nesprejemljiv.</w:t>
      </w:r>
    </w:p>
    <w:p w:rsidR="00AD633D" w:rsidRDefault="00AD633D" w:rsidP="00AD633D">
      <w:pPr>
        <w:jc w:val="both"/>
        <w:rPr>
          <w:rFonts w:cs="Arial"/>
          <w:szCs w:val="20"/>
        </w:rPr>
      </w:pPr>
    </w:p>
    <w:p w:rsidR="00AD633D" w:rsidRPr="002302DA" w:rsidRDefault="00AD633D" w:rsidP="00AD633D">
      <w:pPr>
        <w:jc w:val="both"/>
        <w:rPr>
          <w:rFonts w:cs="Arial"/>
          <w:szCs w:val="20"/>
        </w:rPr>
      </w:pPr>
      <w:r>
        <w:rPr>
          <w:rFonts w:cs="Arial"/>
          <w:szCs w:val="20"/>
        </w:rPr>
        <w:t>Državni svet tudi opozarja, da zakon s spremembami v sistemu normiranih odhodkov, bistveno poslabšuje tudi davčni položaj nosilcev dopolnilnih dejavnosti na kmetiji. Državni svet meni, da gre za nesprejemljivo in hkrati nelogično spremembo v času vsesplošne draginje, ki je škodljiva za slovensko kmetijstvo.</w:t>
      </w:r>
    </w:p>
    <w:p w:rsidR="00AD633D" w:rsidRPr="002302DA" w:rsidRDefault="00AD633D" w:rsidP="00AD633D">
      <w:pPr>
        <w:jc w:val="both"/>
        <w:rPr>
          <w:rFonts w:cs="Arial"/>
          <w:szCs w:val="20"/>
        </w:rPr>
      </w:pPr>
    </w:p>
    <w:p w:rsidR="00AD633D" w:rsidRPr="002302DA" w:rsidRDefault="00AD633D" w:rsidP="00AD633D">
      <w:pPr>
        <w:pStyle w:val="Odstavekseznama"/>
        <w:rPr>
          <w:rFonts w:cs="Arial"/>
          <w:bCs/>
          <w:szCs w:val="20"/>
        </w:rPr>
      </w:pPr>
    </w:p>
    <w:p w:rsidR="00AD633D" w:rsidRPr="002302DA" w:rsidRDefault="00AD633D" w:rsidP="00AD633D">
      <w:pPr>
        <w:pStyle w:val="Odstavekseznama"/>
        <w:ind w:left="0"/>
        <w:rPr>
          <w:rFonts w:cs="Arial"/>
          <w:b/>
          <w:szCs w:val="20"/>
        </w:rPr>
      </w:pPr>
      <w:r>
        <w:rPr>
          <w:rFonts w:cs="Arial"/>
          <w:b/>
          <w:szCs w:val="20"/>
        </w:rPr>
        <w:t xml:space="preserve">Na podano zahtevo Državnega sveta </w:t>
      </w:r>
      <w:r w:rsidRPr="002302DA">
        <w:rPr>
          <w:rFonts w:cs="Arial"/>
          <w:b/>
          <w:szCs w:val="20"/>
        </w:rPr>
        <w:t>Vlade Republike Slovenije</w:t>
      </w:r>
      <w:r>
        <w:rPr>
          <w:rFonts w:cs="Arial"/>
          <w:b/>
          <w:szCs w:val="20"/>
        </w:rPr>
        <w:t xml:space="preserve"> (v nadaljnjem besedilu: vlada)  podaja naslednje mnenje:</w:t>
      </w:r>
    </w:p>
    <w:p w:rsidR="00AD633D" w:rsidRPr="002302DA" w:rsidRDefault="00AD633D" w:rsidP="00AD633D">
      <w:pPr>
        <w:ind w:left="284" w:hanging="284"/>
        <w:jc w:val="both"/>
        <w:rPr>
          <w:rFonts w:cs="Arial"/>
          <w:bCs/>
          <w:szCs w:val="20"/>
        </w:rPr>
      </w:pPr>
      <w:r w:rsidRPr="002302DA">
        <w:rPr>
          <w:rFonts w:cs="Arial"/>
          <w:bCs/>
          <w:szCs w:val="20"/>
        </w:rPr>
        <w:t xml:space="preserve"> </w:t>
      </w:r>
    </w:p>
    <w:p w:rsidR="00AD633D" w:rsidRPr="00B07AF4" w:rsidRDefault="00AD633D" w:rsidP="00AD633D">
      <w:pPr>
        <w:jc w:val="both"/>
        <w:rPr>
          <w:rFonts w:cs="Arial"/>
          <w:bCs/>
          <w:szCs w:val="20"/>
        </w:rPr>
      </w:pPr>
      <w:r w:rsidRPr="00B07AF4">
        <w:rPr>
          <w:rFonts w:cs="Arial"/>
          <w:bCs/>
          <w:szCs w:val="20"/>
        </w:rPr>
        <w:t xml:space="preserve">Slovenija je po obremenitvi plač nadpovprečna, česar se kot vlada zaveda in skuša prve korake v razbremenitvi narediti že s </w:t>
      </w:r>
      <w:r>
        <w:rPr>
          <w:rFonts w:cs="Arial"/>
          <w:bCs/>
          <w:szCs w:val="20"/>
        </w:rPr>
        <w:t xml:space="preserve">to </w:t>
      </w:r>
      <w:r w:rsidRPr="00B07AF4">
        <w:rPr>
          <w:rFonts w:cs="Arial"/>
          <w:bCs/>
          <w:szCs w:val="20"/>
        </w:rPr>
        <w:t xml:space="preserve">novelo Zakona o dohodnini. Pomembno merilo obremenitve dela je </w:t>
      </w:r>
      <w:proofErr w:type="spellStart"/>
      <w:r w:rsidRPr="00B07AF4">
        <w:rPr>
          <w:rFonts w:cs="Arial"/>
          <w:bCs/>
          <w:szCs w:val="20"/>
        </w:rPr>
        <w:t>t.i</w:t>
      </w:r>
      <w:proofErr w:type="spellEnd"/>
      <w:r w:rsidRPr="00B07AF4">
        <w:rPr>
          <w:rFonts w:cs="Arial"/>
          <w:bCs/>
          <w:szCs w:val="20"/>
        </w:rPr>
        <w:t>. davčni primež, merjen po metodologiji OECD (</w:t>
      </w:r>
      <w:proofErr w:type="spellStart"/>
      <w:r w:rsidRPr="00B07AF4">
        <w:rPr>
          <w:rFonts w:cs="Arial"/>
          <w:bCs/>
          <w:szCs w:val="20"/>
        </w:rPr>
        <w:t>Taxing</w:t>
      </w:r>
      <w:proofErr w:type="spellEnd"/>
      <w:r w:rsidRPr="00B07AF4">
        <w:rPr>
          <w:rFonts w:cs="Arial"/>
          <w:bCs/>
          <w:szCs w:val="20"/>
        </w:rPr>
        <w:t xml:space="preserve"> </w:t>
      </w:r>
      <w:proofErr w:type="spellStart"/>
      <w:r w:rsidRPr="00B07AF4">
        <w:rPr>
          <w:rFonts w:cs="Arial"/>
          <w:bCs/>
          <w:szCs w:val="20"/>
        </w:rPr>
        <w:t>wages</w:t>
      </w:r>
      <w:proofErr w:type="spellEnd"/>
      <w:r w:rsidRPr="00B07AF4">
        <w:rPr>
          <w:rFonts w:cs="Arial"/>
          <w:bCs/>
          <w:szCs w:val="20"/>
        </w:rPr>
        <w:t xml:space="preserve"> 2021), ki torej izračunava velikost davčnega bremena v stroških dela in nam pove, kolikšen je skupni odstotni delež dohodnine ter delodajalčevih in delojemalčevih socialnih prispevkov v skupnih stroških dela, ki jih </w:t>
      </w:r>
      <w:r w:rsidRPr="00B07AF4">
        <w:rPr>
          <w:rFonts w:cs="Arial"/>
          <w:bCs/>
          <w:szCs w:val="20"/>
        </w:rPr>
        <w:lastRenderedPageBreak/>
        <w:t xml:space="preserve">mora delodajalec izplačati za zaposlenega. Iz podatkov je razvidno, da največji delež v Sloveniji prispevajo prispevki za socialno varnost, saj zajemajo v stroških dela, pri samski osebi brez otrok z dohodkom v višini povprečne plače, prispevki delojemalca 19 %, prispevki delodajalca 13,9 % in dohodnina 10,7 % (skupaj 43,6 %). Za primerjavo v državah članicah OECD znaša skupna obremenitev v povprečju 34,6 %, od tega prispevki za socialno varnost 21,7 % (prispevki delodajalca v višini 13,5 % in prispevki delojemalca 8,2 %) in dohodnina 13,0 %. Izhajajoč iz mednarodne primerjave bi morali torej ustrezne rešitve in prilagoditve glede razbremenitve v stroških dela, v prvi vrsti iskati predvsem v sistemu obveznega socialnega zavarovanja. Vsekakor pa je tu pomembno povezati ukrepe s cilji oziroma zavezami na področju socialnih zavarovanj in trga dela (področje pokojninskega in invalidskega zavarovanja ter področje zdravstvenega zavarovanja in v tem okviru opredelitev ključnih elementov teh sistemov – opredelitev zavarovancev in zavarovanih oseb, prispevnih osnov, prispevnih stopenj in v končni fazi pravic in stopnje solidarnosti v teh sistemih). To pa bo </w:t>
      </w:r>
      <w:r w:rsidRPr="007D4AC8">
        <w:rPr>
          <w:rFonts w:cs="Arial"/>
          <w:bCs/>
          <w:szCs w:val="20"/>
        </w:rPr>
        <w:t>lahko del sprememb davčnih predpisov</w:t>
      </w:r>
      <w:r w:rsidRPr="00B07AF4">
        <w:rPr>
          <w:rFonts w:cs="Arial"/>
          <w:bCs/>
          <w:szCs w:val="20"/>
        </w:rPr>
        <w:t xml:space="preserve"> ob </w:t>
      </w:r>
      <w:r>
        <w:rPr>
          <w:rFonts w:cs="Arial"/>
          <w:bCs/>
          <w:szCs w:val="20"/>
        </w:rPr>
        <w:t xml:space="preserve">izvedbi </w:t>
      </w:r>
      <w:r w:rsidRPr="00B07AF4">
        <w:rPr>
          <w:rFonts w:cs="Arial"/>
          <w:bCs/>
          <w:szCs w:val="20"/>
        </w:rPr>
        <w:t>ključnih strukturnih reform, kot so reforme pokojninskega in zdravstvenega sistema ter dolgotrajne oskrbe, kjer davčna politika sicer predstavlja le manjši gradnik, a je ta v širšem smislu zagotavljanja vzpodbudnega davčnega okolja izredno pomemben.</w:t>
      </w:r>
    </w:p>
    <w:p w:rsidR="00AD633D" w:rsidRPr="00B07AF4" w:rsidRDefault="00AD633D" w:rsidP="00AD633D">
      <w:pPr>
        <w:jc w:val="both"/>
        <w:rPr>
          <w:rFonts w:cs="Arial"/>
          <w:bCs/>
          <w:szCs w:val="20"/>
        </w:rPr>
      </w:pPr>
    </w:p>
    <w:p w:rsidR="00AD633D" w:rsidRPr="009F7A84" w:rsidRDefault="00AD633D" w:rsidP="00AD633D">
      <w:pPr>
        <w:jc w:val="both"/>
        <w:rPr>
          <w:rFonts w:cs="Arial"/>
          <w:bCs/>
          <w:szCs w:val="20"/>
        </w:rPr>
      </w:pPr>
      <w:r w:rsidRPr="00FC0FFD">
        <w:rPr>
          <w:rFonts w:cs="Arial"/>
          <w:bCs/>
          <w:szCs w:val="20"/>
        </w:rPr>
        <w:t>Osrednja naloga davčnega sistema je na eni strani zagotavljati predvidljive in stabilne prihodke za financiranje javne porabe, na drugi strani pa se mora prilagajati tudi spremenjenim ekonomskim razmeram v Sloveniji in v svetu.</w:t>
      </w:r>
      <w:r w:rsidRPr="009F7A84">
        <w:t xml:space="preserve"> </w:t>
      </w:r>
      <w:r w:rsidRPr="009F7A84">
        <w:rPr>
          <w:rFonts w:cs="Arial"/>
          <w:bCs/>
          <w:szCs w:val="20"/>
        </w:rPr>
        <w:t>Ob tem pa velja izpostaviti, da je davčna politika oziroma sam davčni sistem kot eden izmed elementov, ki vplivajo na materialno blagostanje in kakovost življenja prebivalstva ter posledično tudi na migracijska gibanja, vpet v siceršnje ekonomske in pravne okvire družbe. Ukrepi davčne politike so odvisni od konteksta splošne ekonomske politike, dogovorjenih prioritet razvoja ter siceršnjih družbenih razmerij v družbi in državi. Pri tem ni pomembna le preučitev ukrepov davčne politike v okviru posamezne vrste davka, ampak tudi širše - torej kakšna je glede na ekonomsko in družbeno okolje najprimernejša kombinacija davčnih oblik, ki se uveljavi v davčnem sistemu (davki na dohodek, na potrošnjo in na premoženje) in ki zagotavlja pogoje za gospodarsko rast.</w:t>
      </w:r>
    </w:p>
    <w:p w:rsidR="00AD633D" w:rsidRPr="009F7A84" w:rsidRDefault="00AD633D" w:rsidP="00AD633D">
      <w:pPr>
        <w:jc w:val="both"/>
        <w:rPr>
          <w:rFonts w:cs="Arial"/>
          <w:bCs/>
          <w:szCs w:val="20"/>
        </w:rPr>
      </w:pPr>
    </w:p>
    <w:p w:rsidR="00AD633D" w:rsidRDefault="00AD633D" w:rsidP="00AD633D">
      <w:pPr>
        <w:jc w:val="both"/>
        <w:rPr>
          <w:rFonts w:cs="Arial"/>
          <w:bCs/>
          <w:szCs w:val="20"/>
        </w:rPr>
      </w:pPr>
      <w:r w:rsidRPr="005B73CB">
        <w:rPr>
          <w:rFonts w:cs="Arial"/>
          <w:bCs/>
          <w:szCs w:val="20"/>
        </w:rPr>
        <w:t>Torej davčna politika ni, ne more in ne sme biti ključni kazalec privlačnosti poslovnega in družbenega okolja določene države. Z vidika poslovanja in investiranja domačih in tujih vlagateljev so v njihovih očeh bistveno bolj pomembni drugi kazalci, kot so urejena pravna država, urejena infrastruktura, predvidljivo poslovno in politično okolje</w:t>
      </w:r>
      <w:r w:rsidRPr="009F7A84">
        <w:rPr>
          <w:rFonts w:cs="Arial"/>
          <w:bCs/>
          <w:szCs w:val="20"/>
        </w:rPr>
        <w:t>, dostop do trgov, usposobljenost delovne sile in zahtevnost administrativnih postopkov. Davčna politika je le podporni element vsem ukrepom in ne edini ter ključni.</w:t>
      </w:r>
    </w:p>
    <w:p w:rsidR="00AD633D" w:rsidRDefault="00AD633D" w:rsidP="00AD633D">
      <w:pPr>
        <w:jc w:val="both"/>
        <w:rPr>
          <w:rFonts w:cs="Arial"/>
          <w:bCs/>
          <w:szCs w:val="20"/>
        </w:rPr>
      </w:pPr>
    </w:p>
    <w:p w:rsidR="00AD633D" w:rsidRDefault="00AD633D" w:rsidP="00AD633D">
      <w:pPr>
        <w:jc w:val="both"/>
        <w:rPr>
          <w:rFonts w:cs="Arial"/>
          <w:bCs/>
          <w:szCs w:val="20"/>
        </w:rPr>
      </w:pPr>
      <w:r w:rsidRPr="00B07AF4">
        <w:rPr>
          <w:rFonts w:cs="Arial"/>
          <w:bCs/>
          <w:szCs w:val="20"/>
        </w:rPr>
        <w:t xml:space="preserve">Vlada poudarja, da </w:t>
      </w:r>
      <w:r>
        <w:rPr>
          <w:rFonts w:cs="Arial"/>
          <w:bCs/>
          <w:szCs w:val="20"/>
        </w:rPr>
        <w:t xml:space="preserve">predmetne </w:t>
      </w:r>
      <w:r w:rsidRPr="00B07AF4">
        <w:rPr>
          <w:rFonts w:cs="Arial"/>
          <w:bCs/>
          <w:szCs w:val="20"/>
        </w:rPr>
        <w:t>dohodninske spremembe del širšega svežnja ciljno usmerjenih ukrepov na področju obvladovanja draginje v teh negotovih časih.</w:t>
      </w:r>
      <w:r>
        <w:rPr>
          <w:rFonts w:cs="Arial"/>
          <w:bCs/>
          <w:szCs w:val="20"/>
        </w:rPr>
        <w:t xml:space="preserve"> </w:t>
      </w:r>
      <w:r w:rsidRPr="009F7A84">
        <w:rPr>
          <w:rFonts w:cs="Arial"/>
          <w:bCs/>
          <w:szCs w:val="20"/>
        </w:rPr>
        <w:t xml:space="preserve">Zaradi dviga cen vseh življenjskih potrebščin </w:t>
      </w:r>
      <w:r>
        <w:rPr>
          <w:rFonts w:cs="Arial"/>
          <w:bCs/>
          <w:szCs w:val="20"/>
        </w:rPr>
        <w:t xml:space="preserve">se je </w:t>
      </w:r>
      <w:r w:rsidRPr="009F7A84">
        <w:rPr>
          <w:rFonts w:cs="Arial"/>
          <w:bCs/>
          <w:szCs w:val="20"/>
        </w:rPr>
        <w:t>uv</w:t>
      </w:r>
      <w:r>
        <w:rPr>
          <w:rFonts w:cs="Arial"/>
          <w:bCs/>
          <w:szCs w:val="20"/>
        </w:rPr>
        <w:t>edel</w:t>
      </w:r>
      <w:r w:rsidRPr="009F7A84">
        <w:rPr>
          <w:rFonts w:cs="Arial"/>
          <w:bCs/>
          <w:szCs w:val="20"/>
        </w:rPr>
        <w:t xml:space="preserve"> enkratni draginjski dodatek za vse prejemnike otroškega dodatka</w:t>
      </w:r>
      <w:r>
        <w:rPr>
          <w:rFonts w:cs="Arial"/>
          <w:bCs/>
          <w:szCs w:val="20"/>
        </w:rPr>
        <w:t xml:space="preserve"> ter draginjski dodatek za </w:t>
      </w:r>
      <w:r w:rsidRPr="009F7A84">
        <w:rPr>
          <w:rFonts w:cs="Arial"/>
          <w:bCs/>
          <w:szCs w:val="20"/>
        </w:rPr>
        <w:t>prejemnik</w:t>
      </w:r>
      <w:r>
        <w:rPr>
          <w:rFonts w:cs="Arial"/>
          <w:bCs/>
          <w:szCs w:val="20"/>
        </w:rPr>
        <w:t>e</w:t>
      </w:r>
      <w:r w:rsidRPr="009F7A84">
        <w:rPr>
          <w:rFonts w:cs="Arial"/>
          <w:bCs/>
          <w:szCs w:val="20"/>
        </w:rPr>
        <w:t xml:space="preserve"> denarne socialne pomoči in varstvenega dodatka ter invalid</w:t>
      </w:r>
      <w:r>
        <w:rPr>
          <w:rFonts w:cs="Arial"/>
          <w:bCs/>
          <w:szCs w:val="20"/>
        </w:rPr>
        <w:t>e</w:t>
      </w:r>
      <w:r w:rsidRPr="009F7A84">
        <w:rPr>
          <w:rFonts w:cs="Arial"/>
          <w:bCs/>
          <w:szCs w:val="20"/>
        </w:rPr>
        <w:t>.</w:t>
      </w:r>
      <w:r>
        <w:rPr>
          <w:rFonts w:cs="Arial"/>
          <w:bCs/>
          <w:szCs w:val="20"/>
        </w:rPr>
        <w:t xml:space="preserve"> </w:t>
      </w:r>
      <w:r w:rsidRPr="00B07AF4">
        <w:rPr>
          <w:rFonts w:cs="Arial"/>
          <w:bCs/>
          <w:szCs w:val="20"/>
        </w:rPr>
        <w:t>Poleg tega so bile že sprejete spremembe v povezavi s povračili stroškov za prehrano na delovnem mestu, prevoza na in iz dela in vsi ostali drugi ukrepi (regulacija cen energentov, znižanje DDV na energente, itd.). Tudi s spremembo dohodninske zakonodaje se sočasno naslavlja izzive draginje, a kar je nujno, da se ustvarja nujni fiskalni prostor za odzivnost vlade na nove nujne ukrepe namenjene naslavljanju negotovih razmer, povezanih tako z inflacijo kot energetsko draginjo. Kljub temu pa gre za spremembe, s katerimi</w:t>
      </w:r>
      <w:r>
        <w:rPr>
          <w:rFonts w:cs="Arial"/>
          <w:bCs/>
          <w:szCs w:val="20"/>
        </w:rPr>
        <w:t xml:space="preserve"> se</w:t>
      </w:r>
      <w:r w:rsidRPr="00B07AF4">
        <w:rPr>
          <w:rFonts w:cs="Arial"/>
          <w:bCs/>
          <w:szCs w:val="20"/>
        </w:rPr>
        <w:t xml:space="preserve"> vse zavezance, ki se jim odmeri dohodnina zaradi višje splošne olajšave glede na sedanjo ureditev davčno razbremeni in </w:t>
      </w:r>
      <w:r>
        <w:rPr>
          <w:rFonts w:cs="Arial"/>
          <w:bCs/>
          <w:szCs w:val="20"/>
        </w:rPr>
        <w:t xml:space="preserve">se </w:t>
      </w:r>
      <w:r w:rsidRPr="00B07AF4">
        <w:rPr>
          <w:rFonts w:cs="Arial"/>
          <w:bCs/>
          <w:szCs w:val="20"/>
        </w:rPr>
        <w:t>jim tako tudi z davčnimi ukrepi pomaga pri reševanju stisk. Ob tem je vlada cilje splošne olajšave zasledovala ob upoštevanju javnofinančne stabilnosti in ne zgolj kratkoročno in parcialno, saj vsak premik splošne olajšave predstavlja precejšnjo spremembo za javne finance. Dodatna prekomerna zviševanja splošne olajšave bi brez ustreznih komplementarnih ukrepov neizogibno pripeljal</w:t>
      </w:r>
      <w:r>
        <w:rPr>
          <w:rFonts w:cs="Arial"/>
          <w:bCs/>
          <w:szCs w:val="20"/>
        </w:rPr>
        <w:t>a</w:t>
      </w:r>
      <w:r w:rsidRPr="00B07AF4">
        <w:rPr>
          <w:rFonts w:cs="Arial"/>
          <w:bCs/>
          <w:szCs w:val="20"/>
        </w:rPr>
        <w:t xml:space="preserve"> do javnofinančnih težav v prihodnje ali pa do nujnega nadomeščanja izpada z drugimi viri.</w:t>
      </w:r>
    </w:p>
    <w:p w:rsidR="00AD633D" w:rsidRDefault="00AD633D" w:rsidP="00AD633D">
      <w:pPr>
        <w:jc w:val="both"/>
        <w:rPr>
          <w:rFonts w:cs="Arial"/>
          <w:bCs/>
          <w:szCs w:val="20"/>
        </w:rPr>
      </w:pPr>
    </w:p>
    <w:p w:rsidR="00AD633D" w:rsidRDefault="00AD633D" w:rsidP="00AD633D">
      <w:pPr>
        <w:jc w:val="both"/>
        <w:rPr>
          <w:rFonts w:cs="Arial"/>
          <w:bCs/>
          <w:szCs w:val="20"/>
        </w:rPr>
      </w:pPr>
      <w:r>
        <w:rPr>
          <w:rFonts w:cs="Arial"/>
          <w:bCs/>
          <w:szCs w:val="20"/>
        </w:rPr>
        <w:t>Glede v zahtevi za ponovno odločanje izpostavljenih ukrepov je treba poudariti, da je vlada pri spremembi ureditve sistema priznavanja normiranih odhodkov izhajala predvsem iz ugotovitev, da s</w:t>
      </w:r>
      <w:r w:rsidRPr="007D4AC8">
        <w:rPr>
          <w:rFonts w:cs="Arial"/>
          <w:bCs/>
          <w:szCs w:val="20"/>
        </w:rPr>
        <w:t>istem ostaja instrument zniževanja davčne obveznosti in posledično spodbuja uporabo nezakonitih praks za izpolnjevanje pogojev za vstop v sistem</w:t>
      </w:r>
      <w:r>
        <w:rPr>
          <w:rFonts w:cs="Arial"/>
          <w:bCs/>
          <w:szCs w:val="20"/>
        </w:rPr>
        <w:t>. To pa</w:t>
      </w:r>
      <w:r w:rsidRPr="007D4AC8">
        <w:rPr>
          <w:rFonts w:cs="Arial"/>
          <w:bCs/>
          <w:szCs w:val="20"/>
        </w:rPr>
        <w:t xml:space="preserve"> ni problematično samo z vidika obveznosti iz dohodnine (nesorazmerno odstopanja od obdavčevanja po ekonomski moči), temveč tudi z vidika prispevanja v sisteme socialnih zavarovanj, koriščenja pravic iz javnih sredstev, nelojalne konkurence na trgu dela ter zagotavljanja zaščite subjektov, ki nastopajo na trgu dela v odvisnih razmerjih z vidika pravic iz dela in socialne varnosti za primer bolezni, nesreč, invalidnosti ali starosti. Veljaven sistem se kaže kot eden pomembnih generatorjev </w:t>
      </w:r>
      <w:proofErr w:type="spellStart"/>
      <w:r w:rsidRPr="007D4AC8">
        <w:rPr>
          <w:rFonts w:cs="Arial"/>
          <w:bCs/>
          <w:szCs w:val="20"/>
        </w:rPr>
        <w:t>prekarnosti</w:t>
      </w:r>
      <w:proofErr w:type="spellEnd"/>
      <w:r w:rsidRPr="007D4AC8">
        <w:rPr>
          <w:rFonts w:cs="Arial"/>
          <w:bCs/>
          <w:szCs w:val="20"/>
        </w:rPr>
        <w:t xml:space="preserve"> na trgu dela</w:t>
      </w:r>
      <w:r>
        <w:rPr>
          <w:rFonts w:cs="Arial"/>
          <w:bCs/>
          <w:szCs w:val="20"/>
        </w:rPr>
        <w:t>.</w:t>
      </w:r>
    </w:p>
    <w:p w:rsidR="00AD633D" w:rsidRDefault="00AD633D" w:rsidP="00AD633D">
      <w:pPr>
        <w:jc w:val="both"/>
        <w:rPr>
          <w:rFonts w:cs="Arial"/>
          <w:bCs/>
          <w:szCs w:val="20"/>
        </w:rPr>
      </w:pPr>
    </w:p>
    <w:p w:rsidR="00AD633D" w:rsidRDefault="00AD633D" w:rsidP="00AD633D">
      <w:pPr>
        <w:jc w:val="both"/>
        <w:rPr>
          <w:rFonts w:cs="Arial"/>
          <w:bCs/>
          <w:szCs w:val="20"/>
        </w:rPr>
      </w:pPr>
      <w:r>
        <w:rPr>
          <w:rFonts w:cs="Arial"/>
          <w:bCs/>
          <w:szCs w:val="20"/>
        </w:rPr>
        <w:t xml:space="preserve">V zvezi z dopolnilnimi dejavnostmi na kmetiji je vlada izhajala iz primerljive obravnave teh zavezancev z zavezanci, ki opravljajo vsebinsko primerljive dejavnosti. Treba je tudi pojasniti, da ne drži navedba državnega sveta, da se znižujejo priznani normirani odhodki za vse nosilce normiranih odhodkov iz 80 </w:t>
      </w:r>
      <w:r w:rsidRPr="005B73CB">
        <w:rPr>
          <w:rFonts w:cs="Arial"/>
          <w:bCs/>
          <w:szCs w:val="20"/>
        </w:rPr>
        <w:t>% na 40 % normiranih odhodkov. Navedeno drži samo za zavezance, ki bodo dosegli prihodke višje 12.500 EUR v davčnem letu.</w:t>
      </w:r>
      <w:r>
        <w:rPr>
          <w:rFonts w:cs="Arial"/>
          <w:bCs/>
          <w:szCs w:val="20"/>
        </w:rPr>
        <w:t xml:space="preserve"> </w:t>
      </w:r>
    </w:p>
    <w:p w:rsidR="00AD633D" w:rsidRDefault="00AD633D" w:rsidP="00AD633D">
      <w:pPr>
        <w:jc w:val="both"/>
        <w:rPr>
          <w:rFonts w:cs="Arial"/>
          <w:bCs/>
          <w:szCs w:val="20"/>
        </w:rPr>
      </w:pPr>
    </w:p>
    <w:p w:rsidR="00AD633D" w:rsidRDefault="00AD633D" w:rsidP="00AD633D">
      <w:pPr>
        <w:spacing w:line="260" w:lineRule="atLeast"/>
        <w:jc w:val="both"/>
        <w:rPr>
          <w:rFonts w:cs="Arial"/>
          <w:bCs/>
          <w:szCs w:val="20"/>
        </w:rPr>
      </w:pPr>
      <w:r>
        <w:rPr>
          <w:rFonts w:cs="Arial"/>
          <w:bCs/>
          <w:szCs w:val="20"/>
        </w:rPr>
        <w:t>Ukrep glede vključitve 50 odstotkov  p</w:t>
      </w:r>
      <w:r w:rsidRPr="009B0CCA">
        <w:rPr>
          <w:rFonts w:cs="Arial"/>
          <w:bCs/>
          <w:szCs w:val="20"/>
        </w:rPr>
        <w:t>lačila za težje pridelovalne razmere</w:t>
      </w:r>
      <w:r>
        <w:rPr>
          <w:rFonts w:cs="Arial"/>
          <w:bCs/>
          <w:szCs w:val="20"/>
        </w:rPr>
        <w:t xml:space="preserve"> v obdavčitev</w:t>
      </w:r>
      <w:r w:rsidRPr="009B0CCA">
        <w:rPr>
          <w:rFonts w:cs="Arial"/>
          <w:bCs/>
          <w:szCs w:val="20"/>
        </w:rPr>
        <w:t>, tako imenovana OMD plačila</w:t>
      </w:r>
      <w:r>
        <w:rPr>
          <w:rFonts w:cs="Arial"/>
          <w:bCs/>
          <w:szCs w:val="20"/>
        </w:rPr>
        <w:t>, pa sledi cilju, da se v obdavčitev zajamejo tista plačila, ki kmetom predstavljajo dohodek (ali v obliki povračila njihovih stroškov ali v obliki nadomestila izpada dohodka). Vezano na ta plačila pa se upošteva, da je polovica teh plačil upoštevanih kot plačilo za zeleno komponento, ki pa so v 26. členu Zakona o dohodnini oproščena plačila dohodnine. Na drugi strani pa vlada dodatno med oprostitve uvršča</w:t>
      </w:r>
      <w:r w:rsidRPr="009B0CCA">
        <w:t xml:space="preserve"> </w:t>
      </w:r>
      <w:r w:rsidRPr="009B0CCA">
        <w:rPr>
          <w:rFonts w:cs="Arial"/>
          <w:bCs/>
          <w:szCs w:val="20"/>
        </w:rPr>
        <w:t>plačila za sofinanciranje zavarovalnih premij</w:t>
      </w:r>
      <w:r>
        <w:rPr>
          <w:rFonts w:cs="Arial"/>
          <w:bCs/>
          <w:szCs w:val="20"/>
        </w:rPr>
        <w:t>, ki so bila do sedaj obdavčena. S tem se želi doseči večji obseg zavarovanja kmetijskih pridelkov ob vedno pogostejših naravnih nesrečah. Dodatno se tudi med investicijske podpore, ki so v celoti oproščene plačila dohodnine, uvršča tudi tisti del plačil za mlade kmete, ki jih prejemnik sredstev nameni za odkup deležev osnovnih sredstev od drugih lastnikov ob prevzemu kmetije.</w:t>
      </w:r>
    </w:p>
    <w:p w:rsidR="00AD633D" w:rsidRDefault="00AD633D" w:rsidP="00AD633D">
      <w:pPr>
        <w:spacing w:line="260" w:lineRule="atLeast"/>
        <w:jc w:val="both"/>
        <w:rPr>
          <w:rFonts w:cs="Arial"/>
          <w:bCs/>
          <w:szCs w:val="20"/>
        </w:rPr>
      </w:pPr>
    </w:p>
    <w:p w:rsidR="00AD633D" w:rsidRPr="00EA4484" w:rsidRDefault="00AD633D" w:rsidP="00AD633D">
      <w:pPr>
        <w:spacing w:line="260" w:lineRule="atLeast"/>
        <w:jc w:val="both"/>
        <w:rPr>
          <w:rFonts w:cs="Arial"/>
          <w:bCs/>
          <w:szCs w:val="20"/>
        </w:rPr>
      </w:pPr>
      <w:r w:rsidRPr="00EA4484">
        <w:rPr>
          <w:rFonts w:cs="Arial"/>
          <w:bCs/>
          <w:szCs w:val="20"/>
        </w:rPr>
        <w:t>Vlada dodatno pojasnjuje, da bi v primeru, da predlog zakon ne bi bil sprejet, navedeno pomenilo, da:</w:t>
      </w:r>
    </w:p>
    <w:p w:rsidR="00AD633D" w:rsidRDefault="00AD633D" w:rsidP="00AD633D">
      <w:pPr>
        <w:pStyle w:val="Odstavekseznama"/>
        <w:numPr>
          <w:ilvl w:val="1"/>
          <w:numId w:val="14"/>
        </w:numPr>
        <w:spacing w:line="260" w:lineRule="atLeast"/>
        <w:ind w:left="426"/>
        <w:jc w:val="both"/>
        <w:rPr>
          <w:rFonts w:cs="Arial"/>
          <w:bCs/>
          <w:szCs w:val="20"/>
        </w:rPr>
      </w:pPr>
      <w:r w:rsidRPr="00EA4484">
        <w:rPr>
          <w:rFonts w:cs="Arial"/>
          <w:bCs/>
          <w:szCs w:val="20"/>
        </w:rPr>
        <w:t xml:space="preserve">se bo v obdavčitev po splošnih pravilih </w:t>
      </w:r>
      <w:r>
        <w:rPr>
          <w:rFonts w:cs="Arial"/>
          <w:bCs/>
          <w:szCs w:val="20"/>
        </w:rPr>
        <w:t xml:space="preserve">zaradi </w:t>
      </w:r>
      <w:proofErr w:type="spellStart"/>
      <w:r>
        <w:rPr>
          <w:rFonts w:cs="Arial"/>
          <w:bCs/>
          <w:szCs w:val="20"/>
        </w:rPr>
        <w:t>neuskladitve</w:t>
      </w:r>
      <w:proofErr w:type="spellEnd"/>
      <w:r>
        <w:rPr>
          <w:rFonts w:cs="Arial"/>
          <w:bCs/>
          <w:szCs w:val="20"/>
        </w:rPr>
        <w:t xml:space="preserve"> določbe zakona z novimi evropskimi kmetijskimi ukrepi </w:t>
      </w:r>
      <w:r w:rsidRPr="00EA4484">
        <w:rPr>
          <w:rFonts w:cs="Arial"/>
          <w:bCs/>
          <w:szCs w:val="20"/>
        </w:rPr>
        <w:t>všteval celoten znesek kmetijskih subvencij</w:t>
      </w:r>
      <w:r>
        <w:rPr>
          <w:rFonts w:cs="Arial"/>
          <w:bCs/>
          <w:szCs w:val="20"/>
        </w:rPr>
        <w:t>, kar pomeni, da bi se po novem v davčno osnovo in s tem v obdavčitev vštevalo preko 100 mio EUR letno</w:t>
      </w:r>
      <w:r w:rsidRPr="00EA4484">
        <w:rPr>
          <w:rFonts w:cs="Arial"/>
          <w:bCs/>
          <w:szCs w:val="20"/>
        </w:rPr>
        <w:t xml:space="preserve">, </w:t>
      </w:r>
    </w:p>
    <w:p w:rsidR="00AD633D" w:rsidRDefault="00AD633D" w:rsidP="00AD633D">
      <w:pPr>
        <w:pStyle w:val="Odstavekseznama"/>
        <w:numPr>
          <w:ilvl w:val="1"/>
          <w:numId w:val="14"/>
        </w:numPr>
        <w:spacing w:line="260" w:lineRule="atLeast"/>
        <w:ind w:left="426"/>
        <w:jc w:val="both"/>
        <w:rPr>
          <w:rFonts w:cs="Arial"/>
          <w:bCs/>
          <w:szCs w:val="20"/>
        </w:rPr>
      </w:pPr>
      <w:r>
        <w:rPr>
          <w:rFonts w:cs="Arial"/>
          <w:bCs/>
          <w:szCs w:val="20"/>
        </w:rPr>
        <w:t>mladi kmetje ne bodo deležni rešitve, po kateri se med podpore za vlaganja štejejo tudi podpore mladim kmetom za nakup deležev osnovnih sredstev ob prevzemu kmetije,</w:t>
      </w:r>
    </w:p>
    <w:p w:rsidR="00AD633D" w:rsidRDefault="00AD633D" w:rsidP="00AD633D">
      <w:pPr>
        <w:pStyle w:val="Odstavekseznama"/>
        <w:numPr>
          <w:ilvl w:val="1"/>
          <w:numId w:val="14"/>
        </w:numPr>
        <w:spacing w:line="260" w:lineRule="atLeast"/>
        <w:ind w:left="426"/>
        <w:jc w:val="both"/>
        <w:rPr>
          <w:rFonts w:cs="Arial"/>
          <w:bCs/>
          <w:szCs w:val="20"/>
        </w:rPr>
      </w:pPr>
      <w:r>
        <w:rPr>
          <w:rFonts w:cs="Arial"/>
          <w:bCs/>
          <w:szCs w:val="20"/>
        </w:rPr>
        <w:t>kmetje ne bodo deležni oprostitve za podpore za zavarovalne premije,</w:t>
      </w:r>
    </w:p>
    <w:p w:rsidR="00AD633D" w:rsidRPr="00EA4484" w:rsidRDefault="00AD633D" w:rsidP="00AD633D">
      <w:pPr>
        <w:pStyle w:val="Odstavekseznama"/>
        <w:numPr>
          <w:ilvl w:val="1"/>
          <w:numId w:val="14"/>
        </w:numPr>
        <w:spacing w:line="260" w:lineRule="atLeast"/>
        <w:ind w:left="426"/>
        <w:jc w:val="both"/>
        <w:rPr>
          <w:rFonts w:cs="Arial"/>
          <w:bCs/>
          <w:szCs w:val="20"/>
        </w:rPr>
      </w:pPr>
      <w:r w:rsidRPr="00EA4484">
        <w:rPr>
          <w:rFonts w:cs="Arial"/>
          <w:bCs/>
          <w:szCs w:val="20"/>
        </w:rPr>
        <w:t>del najbolj ranljive skupine davčnih zavezancev ne b</w:t>
      </w:r>
      <w:r>
        <w:rPr>
          <w:rFonts w:cs="Arial"/>
          <w:bCs/>
          <w:szCs w:val="20"/>
        </w:rPr>
        <w:t xml:space="preserve">o </w:t>
      </w:r>
      <w:r w:rsidRPr="005B73CB">
        <w:rPr>
          <w:rFonts w:cs="Arial"/>
          <w:bCs/>
          <w:szCs w:val="20"/>
        </w:rPr>
        <w:t>deležen dodatne splošne olajšave</w:t>
      </w:r>
      <w:r>
        <w:rPr>
          <w:rFonts w:cs="Arial"/>
          <w:bCs/>
          <w:szCs w:val="20"/>
        </w:rPr>
        <w:t>, katere cenzus se iz trenutnih cca. 13.700 EUR dviguje na 16.000 EUR v letu 2023</w:t>
      </w:r>
      <w:r w:rsidRPr="00EA4484">
        <w:rPr>
          <w:rFonts w:cs="Arial"/>
          <w:bCs/>
          <w:szCs w:val="20"/>
        </w:rPr>
        <w:t>,</w:t>
      </w:r>
    </w:p>
    <w:p w:rsidR="00AD633D" w:rsidRDefault="00AD633D" w:rsidP="00AD633D">
      <w:pPr>
        <w:pStyle w:val="Odstavekseznama"/>
        <w:numPr>
          <w:ilvl w:val="1"/>
          <w:numId w:val="14"/>
        </w:numPr>
        <w:spacing w:line="260" w:lineRule="atLeast"/>
        <w:ind w:left="426"/>
        <w:jc w:val="both"/>
        <w:rPr>
          <w:rFonts w:cs="Arial"/>
          <w:bCs/>
          <w:szCs w:val="20"/>
        </w:rPr>
      </w:pPr>
      <w:r w:rsidRPr="00EA4484">
        <w:rPr>
          <w:rFonts w:cs="Arial"/>
          <w:bCs/>
          <w:szCs w:val="20"/>
        </w:rPr>
        <w:t>mladi do 29. leta ne</w:t>
      </w:r>
      <w:r>
        <w:rPr>
          <w:rFonts w:cs="Arial"/>
          <w:bCs/>
          <w:szCs w:val="20"/>
        </w:rPr>
        <w:t xml:space="preserve"> bodo </w:t>
      </w:r>
      <w:r w:rsidRPr="00EA4484">
        <w:rPr>
          <w:rFonts w:cs="Arial"/>
          <w:bCs/>
          <w:szCs w:val="20"/>
        </w:rPr>
        <w:t>deležni dodatne olajšave v višini 1.300 EUR,</w:t>
      </w:r>
    </w:p>
    <w:p w:rsidR="00AD633D" w:rsidRPr="00EA4484" w:rsidRDefault="00AD633D" w:rsidP="00AD633D">
      <w:pPr>
        <w:pStyle w:val="Odstavekseznama"/>
        <w:numPr>
          <w:ilvl w:val="1"/>
          <w:numId w:val="14"/>
        </w:numPr>
        <w:spacing w:line="260" w:lineRule="atLeast"/>
        <w:ind w:left="426"/>
        <w:jc w:val="both"/>
        <w:rPr>
          <w:rFonts w:cs="Arial"/>
          <w:bCs/>
          <w:szCs w:val="20"/>
        </w:rPr>
      </w:pPr>
      <w:r>
        <w:rPr>
          <w:rFonts w:cs="Arial"/>
          <w:bCs/>
          <w:szCs w:val="20"/>
        </w:rPr>
        <w:t>se ohranja ocenjena dinamika izpada javnih sredstev, ki bi v štirih letih dosegla cca. 800 mio EUR (letno!) skupnega izpada, od katerega bi bili okoli dobre polovice prizadeti občinski proračuni (op. 54% dohodnine se namenja za delovanje občin; dohodnina tako predstavlja enega izmed ključnih virov za financiranje njihovega delovanja).</w:t>
      </w:r>
    </w:p>
    <w:p w:rsidR="00AD633D" w:rsidRDefault="00AD633D" w:rsidP="00AD633D">
      <w:pPr>
        <w:pStyle w:val="Odstavekseznama"/>
        <w:spacing w:line="260" w:lineRule="atLeast"/>
        <w:ind w:left="426"/>
        <w:rPr>
          <w:rFonts w:cs="Arial"/>
          <w:bCs/>
          <w:szCs w:val="20"/>
        </w:rPr>
      </w:pPr>
    </w:p>
    <w:p w:rsidR="00AD633D" w:rsidRPr="00B44906" w:rsidRDefault="00AD633D" w:rsidP="00AD633D">
      <w:pPr>
        <w:spacing w:line="260" w:lineRule="atLeast"/>
        <w:jc w:val="both"/>
        <w:rPr>
          <w:rFonts w:cs="Arial"/>
          <w:bCs/>
          <w:szCs w:val="20"/>
        </w:rPr>
      </w:pPr>
      <w:r>
        <w:rPr>
          <w:rFonts w:cs="Arial"/>
          <w:bCs/>
          <w:szCs w:val="20"/>
        </w:rPr>
        <w:t xml:space="preserve">Davčni sistem mora biti kar se da pregleden in predvidljiv, zato vlada kot pomembno prepoznava, da so zakoni na davčnem področju pravočasno uveljavljeni, kar omogoča davčnim zavezancem, da se na spremembe zakonskih podlag lahko pravočasno pripravijo. </w:t>
      </w:r>
    </w:p>
    <w:p w:rsidR="00AD633D" w:rsidRPr="002302DA" w:rsidRDefault="00AD633D" w:rsidP="00AD633D">
      <w:pPr>
        <w:pStyle w:val="Neotevilenodstavek"/>
        <w:spacing w:before="0" w:after="0" w:line="260" w:lineRule="atLeast"/>
        <w:rPr>
          <w:bCs/>
          <w:iCs/>
          <w:sz w:val="20"/>
          <w:szCs w:val="20"/>
        </w:rPr>
      </w:pPr>
    </w:p>
    <w:p w:rsidR="00AD633D" w:rsidRPr="002302DA" w:rsidRDefault="00AD633D" w:rsidP="00AD633D">
      <w:pPr>
        <w:pStyle w:val="Neotevilenodstavek"/>
        <w:spacing w:before="0" w:after="0" w:line="260" w:lineRule="atLeast"/>
        <w:rPr>
          <w:bCs/>
          <w:iCs/>
          <w:sz w:val="20"/>
          <w:szCs w:val="20"/>
        </w:rPr>
      </w:pPr>
      <w:r w:rsidRPr="002302DA">
        <w:rPr>
          <w:bCs/>
          <w:iCs/>
          <w:sz w:val="20"/>
          <w:szCs w:val="20"/>
        </w:rPr>
        <w:t xml:space="preserve">Vlada je tako odgovorila na ključne </w:t>
      </w:r>
      <w:r>
        <w:rPr>
          <w:bCs/>
          <w:iCs/>
          <w:sz w:val="20"/>
          <w:szCs w:val="20"/>
        </w:rPr>
        <w:t>razloge Državnega sveta za ponovno odločanje o zakonu</w:t>
      </w:r>
      <w:r w:rsidRPr="002302DA">
        <w:rPr>
          <w:bCs/>
          <w:iCs/>
          <w:sz w:val="20"/>
          <w:szCs w:val="20"/>
        </w:rPr>
        <w:t xml:space="preserve">, </w:t>
      </w:r>
      <w:r>
        <w:rPr>
          <w:bCs/>
          <w:iCs/>
          <w:sz w:val="20"/>
          <w:szCs w:val="20"/>
        </w:rPr>
        <w:t>zato predlaga Državnemu zboru, da ob ponovnem glasovanju predlog Zakona o spremembah in dopolnitvah zakona o dohodnini</w:t>
      </w:r>
      <w:r w:rsidRPr="002302DA">
        <w:rPr>
          <w:bCs/>
          <w:iCs/>
          <w:sz w:val="20"/>
          <w:szCs w:val="20"/>
        </w:rPr>
        <w:t xml:space="preserve">, </w:t>
      </w:r>
      <w:r w:rsidRPr="00FB0BB1">
        <w:rPr>
          <w:bCs/>
          <w:sz w:val="20"/>
          <w:szCs w:val="20"/>
        </w:rPr>
        <w:t xml:space="preserve">EPA 302-IX, </w:t>
      </w:r>
      <w:r>
        <w:rPr>
          <w:bCs/>
          <w:sz w:val="20"/>
          <w:szCs w:val="20"/>
        </w:rPr>
        <w:t xml:space="preserve">podpre. </w:t>
      </w:r>
    </w:p>
    <w:p w:rsidR="00AD633D" w:rsidRPr="00AD633D" w:rsidRDefault="00AD633D" w:rsidP="00AD633D">
      <w:bookmarkStart w:id="0" w:name="_GoBack"/>
      <w:bookmarkEnd w:id="0"/>
    </w:p>
    <w:sectPr w:rsidR="00AD633D" w:rsidRPr="00AD633D" w:rsidSect="007E62AC">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340C" w:rsidRDefault="0079340C" w:rsidP="00767987">
      <w:pPr>
        <w:spacing w:line="240" w:lineRule="auto"/>
      </w:pPr>
      <w:r>
        <w:separator/>
      </w:r>
    </w:p>
  </w:endnote>
  <w:endnote w:type="continuationSeparator" w:id="0">
    <w:p w:rsidR="0079340C" w:rsidRDefault="0079340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18BB" w:rsidRDefault="00DA18B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18BB" w:rsidRDefault="00DA18B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18BB" w:rsidRDefault="00DA18B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340C" w:rsidRDefault="0079340C" w:rsidP="00767987">
      <w:pPr>
        <w:spacing w:line="240" w:lineRule="auto"/>
      </w:pPr>
      <w:r>
        <w:separator/>
      </w:r>
    </w:p>
  </w:footnote>
  <w:footnote w:type="continuationSeparator" w:id="0">
    <w:p w:rsidR="0079340C" w:rsidRDefault="0079340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18BB" w:rsidRDefault="00DA18B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18BB" w:rsidRDefault="00DA18B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62AC" w:rsidRPr="00A9231D" w:rsidRDefault="007E62AC" w:rsidP="007E62AC">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21E9AA63" wp14:editId="1C3A4D3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E62AC" w:rsidRPr="00A9231D" w:rsidRDefault="007E62AC" w:rsidP="007E62AC">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7E62AC" w:rsidRPr="00A9231D" w:rsidRDefault="007E62AC" w:rsidP="007E62A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7E62AC" w:rsidRPr="00A9231D" w:rsidRDefault="007E62AC" w:rsidP="007E62A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7E62AC" w:rsidRPr="00A9231D" w:rsidRDefault="007E62AC" w:rsidP="007E62A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B2716E"/>
    <w:multiLevelType w:val="hybridMultilevel"/>
    <w:tmpl w:val="F26251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ED5DCF"/>
    <w:multiLevelType w:val="hybridMultilevel"/>
    <w:tmpl w:val="4A6A23DC"/>
    <w:lvl w:ilvl="0" w:tplc="5684846C">
      <w:start w:val="1"/>
      <w:numFmt w:val="bullet"/>
      <w:lvlText w:val="–"/>
      <w:lvlJc w:val="left"/>
      <w:pPr>
        <w:ind w:left="743" w:hanging="360"/>
      </w:pPr>
      <w:rPr>
        <w:rFonts w:ascii="Arial" w:hAnsi="Aria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2" w15:restartNumberingAfterBreak="0">
    <w:nsid w:val="136B24DE"/>
    <w:multiLevelType w:val="hybridMultilevel"/>
    <w:tmpl w:val="3C944D76"/>
    <w:lvl w:ilvl="0" w:tplc="4022A28A">
      <w:start w:val="29"/>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D14EB3"/>
    <w:multiLevelType w:val="hybridMultilevel"/>
    <w:tmpl w:val="709A2816"/>
    <w:lvl w:ilvl="0" w:tplc="E1D67A68">
      <w:start w:val="1"/>
      <w:numFmt w:val="decimal"/>
      <w:lvlText w:val="%1."/>
      <w:lvlJc w:val="left"/>
      <w:pPr>
        <w:ind w:left="360" w:hanging="360"/>
      </w:pPr>
      <w:rPr>
        <w:rFonts w:hint="default"/>
        <w:color w:val="00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3605F0C"/>
    <w:multiLevelType w:val="hybridMultilevel"/>
    <w:tmpl w:val="17AC8D66"/>
    <w:lvl w:ilvl="0" w:tplc="4394F1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3EC444E"/>
    <w:multiLevelType w:val="hybridMultilevel"/>
    <w:tmpl w:val="FE04A1C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DAD46D7"/>
    <w:multiLevelType w:val="hybridMultilevel"/>
    <w:tmpl w:val="BE183C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E5464D4"/>
    <w:multiLevelType w:val="hybridMultilevel"/>
    <w:tmpl w:val="B6D81ADC"/>
    <w:lvl w:ilvl="0" w:tplc="FFFFFFFF">
      <w:start w:val="1"/>
      <w:numFmt w:val="bullet"/>
      <w:lvlText w:val=""/>
      <w:lvlJc w:val="left"/>
      <w:pPr>
        <w:ind w:left="720" w:hanging="360"/>
      </w:pPr>
      <w:rPr>
        <w:rFonts w:ascii="Symbol" w:hAnsi="Symbol" w:hint="default"/>
      </w:rPr>
    </w:lvl>
    <w:lvl w:ilvl="1" w:tplc="8C74E200">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85F2003"/>
    <w:multiLevelType w:val="hybridMultilevel"/>
    <w:tmpl w:val="DC0E83E0"/>
    <w:lvl w:ilvl="0" w:tplc="9CC0E2EA">
      <w:start w:val="5"/>
      <w:numFmt w:val="bullet"/>
      <w:lvlText w:val="-"/>
      <w:lvlJc w:val="left"/>
      <w:pPr>
        <w:ind w:left="720" w:hanging="360"/>
      </w:pPr>
      <w:rPr>
        <w:rFonts w:ascii="Calibri" w:eastAsia="Calibri" w:hAnsi="Calibri" w:cs="Calibri"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5CF39D5"/>
    <w:multiLevelType w:val="hybridMultilevel"/>
    <w:tmpl w:val="E7C40684"/>
    <w:lvl w:ilvl="0" w:tplc="60E0DB62">
      <w:start w:val="2"/>
      <w:numFmt w:val="bullet"/>
      <w:lvlText w:val="-"/>
      <w:lvlJc w:val="left"/>
      <w:pPr>
        <w:tabs>
          <w:tab w:val="num" w:pos="720"/>
        </w:tabs>
        <w:ind w:left="720" w:hanging="360"/>
      </w:pPr>
      <w:rPr>
        <w:rFonts w:ascii="Times New Roman" w:eastAsia="Times New Roman" w:hAnsi="Times New Roman" w:cs="Times New Roman" w:hint="default"/>
        <w:color w:val="auto"/>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8E61012"/>
    <w:multiLevelType w:val="multilevel"/>
    <w:tmpl w:val="E8A23D4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3" w15:restartNumberingAfterBreak="0">
    <w:nsid w:val="7C035671"/>
    <w:multiLevelType w:val="hybridMultilevel"/>
    <w:tmpl w:val="33ACAD92"/>
    <w:lvl w:ilvl="0" w:tplc="7632B5D6">
      <w:start w:val="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num w:numId="1">
    <w:abstractNumId w:val="12"/>
  </w:num>
  <w:num w:numId="2">
    <w:abstractNumId w:val="1"/>
  </w:num>
  <w:num w:numId="3">
    <w:abstractNumId w:val="3"/>
  </w:num>
  <w:num w:numId="4">
    <w:abstractNumId w:val="9"/>
  </w:num>
  <w:num w:numId="5">
    <w:abstractNumId w:val="2"/>
  </w:num>
  <w:num w:numId="6">
    <w:abstractNumId w:val="11"/>
  </w:num>
  <w:num w:numId="7">
    <w:abstractNumId w:val="0"/>
  </w:num>
  <w:num w:numId="8">
    <w:abstractNumId w:val="13"/>
  </w:num>
  <w:num w:numId="9">
    <w:abstractNumId w:val="6"/>
  </w:num>
  <w:num w:numId="10">
    <w:abstractNumId w:val="8"/>
  </w:num>
  <w:num w:numId="11">
    <w:abstractNumId w:val="4"/>
  </w:num>
  <w:num w:numId="12">
    <w:abstractNumId w:val="5"/>
  </w:num>
  <w:num w:numId="13">
    <w:abstractNumId w:val="7"/>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100FD5"/>
    <w:rsid w:val="002B62EC"/>
    <w:rsid w:val="002C1B9A"/>
    <w:rsid w:val="002D6593"/>
    <w:rsid w:val="00366636"/>
    <w:rsid w:val="00367DE6"/>
    <w:rsid w:val="003B36E2"/>
    <w:rsid w:val="003B3E19"/>
    <w:rsid w:val="003E62DC"/>
    <w:rsid w:val="004076C6"/>
    <w:rsid w:val="00457A58"/>
    <w:rsid w:val="004B7F76"/>
    <w:rsid w:val="004D52A8"/>
    <w:rsid w:val="004E1BCE"/>
    <w:rsid w:val="004E3483"/>
    <w:rsid w:val="004F1230"/>
    <w:rsid w:val="005446B9"/>
    <w:rsid w:val="00574AF1"/>
    <w:rsid w:val="00592079"/>
    <w:rsid w:val="005B028D"/>
    <w:rsid w:val="006617D5"/>
    <w:rsid w:val="00682FFE"/>
    <w:rsid w:val="00684751"/>
    <w:rsid w:val="006C084A"/>
    <w:rsid w:val="006C69EC"/>
    <w:rsid w:val="007039D0"/>
    <w:rsid w:val="00767987"/>
    <w:rsid w:val="00782FD4"/>
    <w:rsid w:val="0079340C"/>
    <w:rsid w:val="007C248C"/>
    <w:rsid w:val="007E1230"/>
    <w:rsid w:val="007E62AC"/>
    <w:rsid w:val="00811140"/>
    <w:rsid w:val="00904A48"/>
    <w:rsid w:val="00923B41"/>
    <w:rsid w:val="00980294"/>
    <w:rsid w:val="009C5392"/>
    <w:rsid w:val="00A50E4B"/>
    <w:rsid w:val="00A6682D"/>
    <w:rsid w:val="00A9231D"/>
    <w:rsid w:val="00AC7DD2"/>
    <w:rsid w:val="00AD3BB3"/>
    <w:rsid w:val="00AD633D"/>
    <w:rsid w:val="00B15E34"/>
    <w:rsid w:val="00B43D28"/>
    <w:rsid w:val="00BA3063"/>
    <w:rsid w:val="00C0216A"/>
    <w:rsid w:val="00CD6077"/>
    <w:rsid w:val="00CE234E"/>
    <w:rsid w:val="00D02973"/>
    <w:rsid w:val="00DA09BE"/>
    <w:rsid w:val="00DA18BB"/>
    <w:rsid w:val="00DA208F"/>
    <w:rsid w:val="00E60A9D"/>
    <w:rsid w:val="00E83A83"/>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5:docId w15:val="{964FBC96-40D6-4052-B9F3-4226CE16C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2">
    <w:name w:val="heading 2"/>
    <w:basedOn w:val="Navaden"/>
    <w:next w:val="Navaden"/>
    <w:link w:val="Naslov2Znak"/>
    <w:unhideWhenUsed/>
    <w:qFormat/>
    <w:rsid w:val="003B36E2"/>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E60A9D"/>
    <w:pPr>
      <w:tabs>
        <w:tab w:val="left" w:pos="3402"/>
      </w:tabs>
    </w:pPr>
    <w:rPr>
      <w:lang w:val="it-IT"/>
    </w:rPr>
  </w:style>
  <w:style w:type="paragraph" w:styleId="Besedilooblaka">
    <w:name w:val="Balloon Text"/>
    <w:basedOn w:val="Navaden"/>
    <w:link w:val="BesedilooblakaZnak"/>
    <w:uiPriority w:val="99"/>
    <w:semiHidden/>
    <w:unhideWhenUsed/>
    <w:rsid w:val="003E62DC"/>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E62DC"/>
    <w:rPr>
      <w:rFonts w:ascii="Tahoma" w:eastAsia="Times New Roman" w:hAnsi="Tahoma" w:cs="Tahoma"/>
      <w:sz w:val="16"/>
      <w:szCs w:val="16"/>
    </w:rPr>
  </w:style>
  <w:style w:type="character" w:customStyle="1" w:styleId="Telobesedila-zamikZnak">
    <w:name w:val="Telo besedila - zamik Znak"/>
    <w:link w:val="Telobesedila-zamik"/>
    <w:qFormat/>
    <w:rsid w:val="004D52A8"/>
    <w:rPr>
      <w:bCs/>
      <w:i/>
      <w:iCs/>
      <w:sz w:val="24"/>
    </w:rPr>
  </w:style>
  <w:style w:type="paragraph" w:styleId="Telobesedila-zamik">
    <w:name w:val="Body Text Indent"/>
    <w:basedOn w:val="Navaden"/>
    <w:link w:val="Telobesedila-zamikZnak"/>
    <w:rsid w:val="004D52A8"/>
    <w:pPr>
      <w:tabs>
        <w:tab w:val="left" w:pos="5812"/>
      </w:tabs>
      <w:spacing w:line="240" w:lineRule="auto"/>
      <w:ind w:left="360"/>
      <w:jc w:val="both"/>
    </w:pPr>
    <w:rPr>
      <w:rFonts w:asciiTheme="minorHAnsi" w:eastAsiaTheme="minorHAnsi" w:hAnsiTheme="minorHAnsi" w:cstheme="minorBidi"/>
      <w:bCs/>
      <w:i/>
      <w:iCs/>
      <w:sz w:val="24"/>
      <w:szCs w:val="22"/>
    </w:rPr>
  </w:style>
  <w:style w:type="character" w:customStyle="1" w:styleId="Telobesedila-zamikZnak1">
    <w:name w:val="Telo besedila - zamik Znak1"/>
    <w:basedOn w:val="Privzetapisavaodstavka"/>
    <w:uiPriority w:val="99"/>
    <w:semiHidden/>
    <w:rsid w:val="004D52A8"/>
    <w:rPr>
      <w:rFonts w:ascii="Arial" w:eastAsia="Times New Roman" w:hAnsi="Arial" w:cs="Times New Roman"/>
      <w:sz w:val="20"/>
      <w:szCs w:val="24"/>
    </w:rPr>
  </w:style>
  <w:style w:type="character" w:customStyle="1" w:styleId="Naslov2Znak">
    <w:name w:val="Naslov 2 Znak"/>
    <w:basedOn w:val="Privzetapisavaodstavka"/>
    <w:link w:val="Naslov2"/>
    <w:rsid w:val="003B36E2"/>
    <w:rPr>
      <w:rFonts w:asciiTheme="majorHAnsi" w:eastAsiaTheme="majorEastAsia" w:hAnsiTheme="majorHAnsi" w:cstheme="majorBidi"/>
      <w:b/>
      <w:bCs/>
      <w:color w:val="4472C4" w:themeColor="accent1"/>
      <w:sz w:val="26"/>
      <w:szCs w:val="26"/>
    </w:rPr>
  </w:style>
  <w:style w:type="paragraph" w:styleId="Odstavekseznama">
    <w:name w:val="List Paragraph"/>
    <w:aliases w:val="Dot pt,F5 List Paragraph,List Paragraph Char Char Char,Indicator Text,Numbered Para 1,Bullet 1,Bullet Points,List Paragraph2,MAIN CONTENT,Normal numbered,Colorful List - Accent 11,Issue Action POC,3,POCG Table Text,Bulle"/>
    <w:basedOn w:val="Navaden"/>
    <w:link w:val="OdstavekseznamaZnak"/>
    <w:uiPriority w:val="34"/>
    <w:qFormat/>
    <w:rsid w:val="003B36E2"/>
    <w:pPr>
      <w:ind w:left="720"/>
      <w:contextualSpacing/>
    </w:pPr>
  </w:style>
  <w:style w:type="paragraph" w:styleId="Telobesedila2">
    <w:name w:val="Body Text 2"/>
    <w:basedOn w:val="Navaden"/>
    <w:link w:val="Telobesedila2Znak"/>
    <w:rsid w:val="003B36E2"/>
    <w:pPr>
      <w:spacing w:after="120" w:line="480" w:lineRule="auto"/>
    </w:pPr>
  </w:style>
  <w:style w:type="character" w:customStyle="1" w:styleId="Telobesedila2Znak">
    <w:name w:val="Telo besedila 2 Znak"/>
    <w:basedOn w:val="Privzetapisavaodstavka"/>
    <w:link w:val="Telobesedila2"/>
    <w:rsid w:val="003B36E2"/>
    <w:rPr>
      <w:rFonts w:ascii="Arial" w:eastAsia="Times New Roman" w:hAnsi="Arial" w:cs="Times New Roman"/>
      <w:sz w:val="20"/>
      <w:szCs w:val="24"/>
    </w:rPr>
  </w:style>
  <w:style w:type="paragraph" w:styleId="Sprotnaopomba-besedilo">
    <w:name w:val="footnote text"/>
    <w:basedOn w:val="Navaden"/>
    <w:link w:val="Sprotnaopomba-besediloZnak"/>
    <w:unhideWhenUsed/>
    <w:rsid w:val="00A6682D"/>
    <w:pPr>
      <w:spacing w:line="240" w:lineRule="auto"/>
    </w:pPr>
    <w:rPr>
      <w:rFonts w:ascii="Calibri" w:eastAsiaTheme="minorHAnsi" w:hAnsi="Calibri" w:cs="Calibri"/>
      <w:szCs w:val="20"/>
      <w:lang w:eastAsia="sl-SI"/>
    </w:rPr>
  </w:style>
  <w:style w:type="character" w:customStyle="1" w:styleId="Sprotnaopomba-besediloZnak">
    <w:name w:val="Sprotna opomba - besedilo Znak"/>
    <w:basedOn w:val="Privzetapisavaodstavka"/>
    <w:link w:val="Sprotnaopomba-besedilo"/>
    <w:rsid w:val="00A6682D"/>
    <w:rPr>
      <w:rFonts w:ascii="Calibri" w:hAnsi="Calibri" w:cs="Calibri"/>
      <w:sz w:val="20"/>
      <w:szCs w:val="20"/>
      <w:lang w:eastAsia="sl-SI"/>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basedOn w:val="Privzetapisavaodstavka"/>
    <w:unhideWhenUsed/>
    <w:qFormat/>
    <w:rsid w:val="00A6682D"/>
    <w:rPr>
      <w:vertAlign w:val="superscript"/>
    </w:rPr>
  </w:style>
  <w:style w:type="character" w:customStyle="1" w:styleId="OdstavekseznamaZnak">
    <w:name w:val="Odstavek seznama Znak"/>
    <w:aliases w:val="Dot pt Znak,F5 List Paragraph Znak,List Paragraph Char Char Char Znak,Indicator Text Znak,Numbered Para 1 Znak,Bullet 1 Znak,Bullet Points Znak,List Paragraph2 Znak,MAIN CONTENT Znak,Normal numbered Znak,Issue Action POC Znak"/>
    <w:link w:val="Odstavekseznama"/>
    <w:uiPriority w:val="34"/>
    <w:locked/>
    <w:rsid w:val="00B43D28"/>
    <w:rPr>
      <w:rFonts w:ascii="Arial" w:eastAsia="Times New Roman" w:hAnsi="Arial" w:cs="Times New Roman"/>
      <w:sz w:val="20"/>
      <w:szCs w:val="24"/>
    </w:rPr>
  </w:style>
  <w:style w:type="character" w:styleId="Hiperpovezava">
    <w:name w:val="Hyperlink"/>
    <w:uiPriority w:val="99"/>
    <w:rsid w:val="005B028D"/>
    <w:rPr>
      <w:color w:val="0000FF"/>
      <w:u w:val="single"/>
    </w:rPr>
  </w:style>
  <w:style w:type="paragraph" w:customStyle="1" w:styleId="Neotevilenodstavek">
    <w:name w:val="Neoštevilčen odstavek"/>
    <w:basedOn w:val="Navaden"/>
    <w:link w:val="NeotevilenodstavekZnak"/>
    <w:qFormat/>
    <w:rsid w:val="005B028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5B028D"/>
    <w:rPr>
      <w:rFonts w:ascii="Arial" w:eastAsia="Times New Roman" w:hAnsi="Arial"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1673</Words>
  <Characters>9538</Characters>
  <Application>Microsoft Office Word</Application>
  <DocSecurity>0</DocSecurity>
  <Lines>79</Lines>
  <Paragraphs>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2022-12-07T09:11:00Z</dcterms:created>
  <dcterms:modified xsi:type="dcterms:W3CDTF">2022-12-07T09:11:00Z</dcterms:modified>
</cp:coreProperties>
</file>