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3BBF" w:rsidRPr="002760DC" w:rsidRDefault="00573BBF" w:rsidP="0014362F"/>
    <w:p w:rsidR="00573BBF" w:rsidRDefault="00573BBF" w:rsidP="0014362F">
      <w:pPr>
        <w:autoSpaceDE w:val="0"/>
        <w:autoSpaceDN w:val="0"/>
        <w:adjustRightInd w:val="0"/>
        <w:rPr>
          <w:rFonts w:cs="Arial"/>
          <w:color w:val="000000"/>
          <w:szCs w:val="20"/>
        </w:rPr>
      </w:pPr>
    </w:p>
    <w:p w:rsidR="0014362F" w:rsidRDefault="0014362F" w:rsidP="0014362F">
      <w:pPr>
        <w:jc w:val="right"/>
        <w:rPr>
          <w:rFonts w:cs="Arial"/>
          <w:b/>
          <w:szCs w:val="20"/>
        </w:rPr>
      </w:pPr>
      <w:r w:rsidRPr="004C5FE4">
        <w:rPr>
          <w:rFonts w:cs="Arial"/>
          <w:b/>
          <w:szCs w:val="20"/>
        </w:rPr>
        <w:t>PREDLOG</w:t>
      </w:r>
    </w:p>
    <w:p w:rsidR="005A156D" w:rsidRDefault="005A156D" w:rsidP="0014362F">
      <w:pPr>
        <w:jc w:val="right"/>
        <w:rPr>
          <w:rFonts w:cs="Arial"/>
          <w:b/>
          <w:szCs w:val="20"/>
        </w:rPr>
      </w:pPr>
      <w:r>
        <w:rPr>
          <w:rFonts w:cs="Arial"/>
          <w:b/>
          <w:szCs w:val="20"/>
        </w:rPr>
        <w:t>PRVA OBRAVNAVA</w:t>
      </w:r>
      <w:bookmarkStart w:id="0" w:name="_GoBack"/>
      <w:bookmarkEnd w:id="0"/>
    </w:p>
    <w:p w:rsidR="0014362F" w:rsidRPr="004C5FE4" w:rsidRDefault="0014362F" w:rsidP="0014362F">
      <w:pPr>
        <w:jc w:val="right"/>
        <w:rPr>
          <w:rFonts w:cs="Arial"/>
          <w:b/>
          <w:szCs w:val="20"/>
        </w:rPr>
      </w:pPr>
      <w:r>
        <w:rPr>
          <w:rFonts w:cs="Arial"/>
          <w:b/>
          <w:szCs w:val="20"/>
        </w:rPr>
        <w:t xml:space="preserve">EVA </w:t>
      </w:r>
      <w:r w:rsidRPr="004C5FE4">
        <w:rPr>
          <w:rFonts w:cs="Arial"/>
          <w:b/>
          <w:szCs w:val="20"/>
        </w:rPr>
        <w:t>2021-1611-0093</w:t>
      </w:r>
    </w:p>
    <w:p w:rsidR="0014362F" w:rsidRDefault="0014362F" w:rsidP="0014362F">
      <w:pPr>
        <w:jc w:val="right"/>
        <w:rPr>
          <w:rFonts w:cs="Arial"/>
          <w:bCs/>
          <w:szCs w:val="20"/>
        </w:rPr>
      </w:pPr>
    </w:p>
    <w:p w:rsidR="0014362F" w:rsidRPr="004C5FE4" w:rsidRDefault="0014362F" w:rsidP="0014362F">
      <w:pPr>
        <w:jc w:val="right"/>
        <w:rPr>
          <w:rFonts w:cs="Arial"/>
          <w:bCs/>
          <w:szCs w:val="20"/>
        </w:rPr>
      </w:pPr>
    </w:p>
    <w:p w:rsidR="0014362F" w:rsidRPr="004C5FE4" w:rsidRDefault="0014362F" w:rsidP="0014362F">
      <w:pPr>
        <w:pStyle w:val="Vrstapredpisa"/>
        <w:spacing w:before="0" w:line="260" w:lineRule="exact"/>
        <w:rPr>
          <w:sz w:val="20"/>
          <w:szCs w:val="20"/>
        </w:rPr>
      </w:pPr>
      <w:bookmarkStart w:id="1" w:name="_Hlk66266060"/>
      <w:r w:rsidRPr="004C5FE4">
        <w:rPr>
          <w:sz w:val="20"/>
          <w:szCs w:val="20"/>
        </w:rPr>
        <w:t>ZAKON</w:t>
      </w:r>
    </w:p>
    <w:p w:rsidR="0014362F" w:rsidRPr="004C5FE4" w:rsidRDefault="0014362F" w:rsidP="0014362F">
      <w:pPr>
        <w:pStyle w:val="Naslovpredpisa"/>
        <w:spacing w:before="0" w:after="0" w:line="260" w:lineRule="exact"/>
        <w:rPr>
          <w:sz w:val="20"/>
        </w:rPr>
      </w:pPr>
      <w:r w:rsidRPr="004C5FE4">
        <w:rPr>
          <w:sz w:val="20"/>
        </w:rPr>
        <w:t xml:space="preserve">O IZVAJANJU UREDBE (EU) O VSEEVROPSKEM OSEBNEM POKOJNINSKEM PRODUKTU </w:t>
      </w:r>
    </w:p>
    <w:bookmarkEnd w:id="1"/>
    <w:p w:rsidR="0014362F" w:rsidRPr="004C5FE4" w:rsidRDefault="0014362F" w:rsidP="0014362F">
      <w:pPr>
        <w:ind w:left="1080" w:hanging="720"/>
        <w:rPr>
          <w:rFonts w:cs="Arial"/>
          <w:szCs w:val="20"/>
        </w:rPr>
      </w:pPr>
    </w:p>
    <w:p w:rsidR="0014362F" w:rsidRPr="004C5FE4" w:rsidRDefault="0014362F" w:rsidP="0014362F">
      <w:pPr>
        <w:numPr>
          <w:ilvl w:val="0"/>
          <w:numId w:val="5"/>
        </w:numPr>
        <w:rPr>
          <w:rFonts w:cs="Arial"/>
          <w:b/>
          <w:szCs w:val="20"/>
        </w:rPr>
      </w:pPr>
      <w:r w:rsidRPr="004C5FE4">
        <w:rPr>
          <w:rFonts w:cs="Arial"/>
          <w:b/>
          <w:szCs w:val="20"/>
        </w:rPr>
        <w:t>UVOD</w:t>
      </w:r>
    </w:p>
    <w:p w:rsidR="0014362F" w:rsidRPr="004C5FE4" w:rsidRDefault="0014362F" w:rsidP="0014362F">
      <w:pPr>
        <w:jc w:val="both"/>
        <w:rPr>
          <w:rFonts w:cs="Arial"/>
          <w:szCs w:val="20"/>
        </w:rPr>
      </w:pPr>
    </w:p>
    <w:p w:rsidR="0014362F" w:rsidRPr="004C5FE4" w:rsidRDefault="0014362F" w:rsidP="0014362F">
      <w:pPr>
        <w:numPr>
          <w:ilvl w:val="0"/>
          <w:numId w:val="4"/>
        </w:numPr>
        <w:rPr>
          <w:rFonts w:cs="Arial"/>
          <w:b/>
          <w:szCs w:val="20"/>
        </w:rPr>
      </w:pPr>
      <w:bookmarkStart w:id="2" w:name="_Hlk55770662"/>
      <w:r w:rsidRPr="004C5FE4">
        <w:rPr>
          <w:rFonts w:cs="Arial"/>
          <w:b/>
          <w:szCs w:val="20"/>
        </w:rPr>
        <w:t>OCENA STANJA IN RAZLOGI ZA SPREJEM PREDLOGA ZAKONA</w:t>
      </w:r>
    </w:p>
    <w:p w:rsidR="0014362F" w:rsidRPr="004C5FE4" w:rsidRDefault="0014362F" w:rsidP="0014362F">
      <w:pPr>
        <w:jc w:val="both"/>
        <w:rPr>
          <w:rFonts w:cs="Arial"/>
          <w:szCs w:val="20"/>
        </w:rPr>
      </w:pPr>
      <w:bookmarkStart w:id="3" w:name="_Hlk55770710"/>
      <w:bookmarkEnd w:id="2"/>
    </w:p>
    <w:bookmarkEnd w:id="3"/>
    <w:p w:rsidR="0014362F" w:rsidRPr="00815544" w:rsidRDefault="0014362F" w:rsidP="0014362F">
      <w:pPr>
        <w:jc w:val="both"/>
        <w:rPr>
          <w:rFonts w:cs="Arial"/>
          <w:szCs w:val="20"/>
        </w:rPr>
      </w:pPr>
      <w:r w:rsidRPr="00815544">
        <w:rPr>
          <w:rFonts w:cs="Arial"/>
          <w:szCs w:val="20"/>
        </w:rPr>
        <w:t xml:space="preserve">S predlogom Zakona o izvajanju Uredbe (EU) o vseevropskem osebnem pokojninskem produktu (v nadaljnjem besedilu: predlog zakona) se ureja izvajanje Uredbe (EU) 2019/1238 Evropskega parlamenta in Sveta z dne 20. junija 2019 o vseevropskem osebnem pokojninskem produktu (UL L št. 198 z dne 25. 7. 2019, str. 1), zadnjič spremenjene z Delegirano uredbo Komisije (EU) 2021/896 z dne 24. februarja 2021 o dopolnitvi Uredbe (EU) 2019/1238 Evropskega parlamenta in Sveta v zvezi z dodatnimi informacijami za namene zbliževanja nadzornega poročanja (UL L št. 197 z dne 4. 6. 2021, str. 5), (v nadaljnjem besedilu: Uredba </w:t>
      </w:r>
      <w:bookmarkStart w:id="4" w:name="_Hlk97553255"/>
      <w:r w:rsidRPr="00815544">
        <w:rPr>
          <w:rFonts w:cs="Arial"/>
          <w:szCs w:val="20"/>
        </w:rPr>
        <w:t>2019/1238</w:t>
      </w:r>
      <w:bookmarkEnd w:id="4"/>
      <w:r w:rsidRPr="00815544">
        <w:rPr>
          <w:rFonts w:cs="Arial"/>
          <w:szCs w:val="20"/>
        </w:rPr>
        <w:t xml:space="preserve">/EU). </w:t>
      </w:r>
    </w:p>
    <w:p w:rsidR="0014362F" w:rsidRPr="00815544" w:rsidRDefault="0014362F" w:rsidP="0014362F">
      <w:pPr>
        <w:jc w:val="both"/>
        <w:rPr>
          <w:rFonts w:cs="Arial"/>
          <w:szCs w:val="20"/>
        </w:rPr>
      </w:pPr>
    </w:p>
    <w:p w:rsidR="0014362F" w:rsidRPr="00815544" w:rsidRDefault="0014362F" w:rsidP="0014362F">
      <w:pPr>
        <w:jc w:val="both"/>
        <w:rPr>
          <w:rFonts w:cs="Arial"/>
          <w:szCs w:val="20"/>
        </w:rPr>
      </w:pPr>
      <w:r w:rsidRPr="00815544">
        <w:rPr>
          <w:rFonts w:cs="Arial"/>
          <w:szCs w:val="20"/>
        </w:rPr>
        <w:t>Uredba 2019/1238/EU vzpostavlja pravni temelj za vseevropski osebni pokojninski produkt (v nadaljnjem besedilu: PEPP) z zagotavljanjem standardizacije temeljnih značilnosti produkta, kot so: zahteve glede preglednosti, naložbena pravila, pravica do zamenjave in vrsta naložbenih možnosti.</w:t>
      </w:r>
    </w:p>
    <w:p w:rsidR="0014362F" w:rsidRPr="00815544" w:rsidRDefault="0014362F" w:rsidP="0014362F">
      <w:pPr>
        <w:jc w:val="both"/>
        <w:rPr>
          <w:rFonts w:cs="Arial"/>
          <w:szCs w:val="20"/>
        </w:rPr>
      </w:pPr>
    </w:p>
    <w:p w:rsidR="0014362F" w:rsidRPr="00815544" w:rsidRDefault="0014362F" w:rsidP="0014362F">
      <w:pPr>
        <w:jc w:val="both"/>
        <w:rPr>
          <w:rFonts w:cs="Arial"/>
          <w:szCs w:val="20"/>
        </w:rPr>
      </w:pPr>
      <w:r w:rsidRPr="00815544">
        <w:rPr>
          <w:rFonts w:cs="Arial"/>
          <w:szCs w:val="20"/>
        </w:rPr>
        <w:t>Določa tudi pravila o registraciji, proizvodnji, distribuciji in nadzoru osebnih pokojninskih produktov, ki se distribuirajo v Evropski uniji (v nadaljnjem besedilu: EU) pod oznako PEPP. PEPP je prostovoljni osebni pokojninski načrt, ki bo dopolnil javne pokojninske sisteme in pokojninske sisteme poklicnega zavarovanja ter nacionalne zasebne pokojninske načrte.</w:t>
      </w:r>
    </w:p>
    <w:p w:rsidR="0014362F" w:rsidRPr="00815544" w:rsidRDefault="0014362F" w:rsidP="0014362F">
      <w:pPr>
        <w:jc w:val="both"/>
        <w:rPr>
          <w:rFonts w:cs="Arial"/>
          <w:szCs w:val="20"/>
        </w:rPr>
      </w:pPr>
    </w:p>
    <w:p w:rsidR="0014362F" w:rsidRPr="00815544" w:rsidRDefault="0014362F" w:rsidP="0014362F">
      <w:pPr>
        <w:jc w:val="both"/>
        <w:rPr>
          <w:rFonts w:cs="Arial"/>
          <w:szCs w:val="20"/>
        </w:rPr>
      </w:pPr>
      <w:r w:rsidRPr="00815544">
        <w:rPr>
          <w:rFonts w:cs="Arial"/>
          <w:szCs w:val="20"/>
        </w:rPr>
        <w:t xml:space="preserve">Namen Uredbe 2019/1238/EU je varčevalcem zagotoviti večjo izbiro in jim pri varčevanju za upokojitev dati na voljo konkurenčnejše osebne pokojninske produkte ter zagotoviti boljše varstvo potrošnikov. PEPP lahko ponujajo številne finančne institucije vključno z zavarovalnicami, </w:t>
      </w:r>
      <w:r>
        <w:rPr>
          <w:rFonts w:cs="Arial"/>
          <w:szCs w:val="20"/>
        </w:rPr>
        <w:t>investicijskimi podjetji</w:t>
      </w:r>
      <w:r w:rsidRPr="00815544">
        <w:rPr>
          <w:rFonts w:cs="Arial"/>
          <w:szCs w:val="20"/>
        </w:rPr>
        <w:t>, bankami, nekaterimi</w:t>
      </w:r>
      <w:r>
        <w:rPr>
          <w:rFonts w:cs="Arial"/>
          <w:szCs w:val="20"/>
        </w:rPr>
        <w:t xml:space="preserve"> družbami za upravljanje</w:t>
      </w:r>
      <w:r w:rsidRPr="00815544">
        <w:rPr>
          <w:rFonts w:cs="Arial"/>
          <w:szCs w:val="20"/>
        </w:rPr>
        <w:t xml:space="preserve"> in pokojninskimi skladi poklicnega zavarovanja. Uredba 2019/1238/EU določa minimalne zahteve glede vsebine pogodbe, o kateri se dogovorijo ponudniki PEPP in varčevalci v PEPP. Ponudniki, ki želijo ponuditi PEPP, morajo upoštevati postopek registracije. Evropski organ za zavarovanja in poklicne pokojnine (v nadaljnjem besedilu: EIOPA) nove PEPP registrira v centralnem registru na podlagi odločitve, ki jo sprejmejo nacionalni pristojni organi. Produkt PEPP se lahko po registraciji zagotavlja in distribuira po vsej EU. Uredba 2019/1238/EU podrobno opisuje postopke registracije PEPP, okoliščine za preklic registracije PEPP in pooblastila pristojnih organov matičnih držav v EU in držav gostiteljic v EU. Ponudniki in distributerji PEPP imajo koristi od dovoljenja EU za čezmejno prodajo, ki jim omogoča prodajo PEPP v različnih državah EU. Dovoljenje za čezmejno prodajo jim omogoča dostop do celotnega trga EU z eno samo registracijo produkta, ki se odobri na podlagi enotnih pravil.</w:t>
      </w:r>
    </w:p>
    <w:p w:rsidR="0014362F" w:rsidRPr="00815544" w:rsidRDefault="0014362F" w:rsidP="0014362F">
      <w:pPr>
        <w:jc w:val="both"/>
        <w:rPr>
          <w:rFonts w:cs="Arial"/>
          <w:szCs w:val="20"/>
        </w:rPr>
      </w:pPr>
    </w:p>
    <w:p w:rsidR="0014362F" w:rsidRPr="00815544" w:rsidRDefault="0014362F" w:rsidP="0014362F">
      <w:pPr>
        <w:jc w:val="both"/>
        <w:rPr>
          <w:rFonts w:cs="Arial"/>
          <w:szCs w:val="20"/>
        </w:rPr>
      </w:pPr>
      <w:r w:rsidRPr="00815544">
        <w:rPr>
          <w:rFonts w:cs="Arial"/>
          <w:szCs w:val="20"/>
        </w:rPr>
        <w:lastRenderedPageBreak/>
        <w:t>Kadar ponudnik ali distributer PEPP ponudi PEPP, mora prihodnjim varčevalcem v PEPP zagotoviti informacije o storitvi prenosljivosti in kateri podračuni so že na voljo. Če varčevalci v PEPP spremenijo prebivališče zaradi selitve v drugo državo EU, lahko še naprej vplačujejo prispevke v isti PEPP tako, da odprejo podračun za PEPP pri istem ponudniku PEPP v svoji novi državi prebivališča (če ima njihov ponudnik PEPP na voljo to možnost) ali naprej vplačujejo prispevke na svoj obstoječi podračun za PEPP. Če njihov ponudnik PEPP ne zagotavlja te možnosti v njihovi novi državi prebivališča, imajo varčevalci v PEPP pravico takoj in brezplačno zamenjati ponudnika PEPP. Ponudniki PEPP morajo po prehodnem obdobju treh let odpreti vsaj dva podračuna.</w:t>
      </w:r>
    </w:p>
    <w:p w:rsidR="0014362F" w:rsidRPr="00815544" w:rsidRDefault="0014362F" w:rsidP="0014362F">
      <w:pPr>
        <w:jc w:val="both"/>
        <w:rPr>
          <w:rFonts w:cs="Arial"/>
          <w:szCs w:val="20"/>
        </w:rPr>
      </w:pPr>
    </w:p>
    <w:p w:rsidR="0014362F" w:rsidRPr="00815544" w:rsidRDefault="0014362F" w:rsidP="0014362F">
      <w:pPr>
        <w:jc w:val="both"/>
        <w:rPr>
          <w:rFonts w:cs="Arial"/>
          <w:szCs w:val="20"/>
        </w:rPr>
      </w:pPr>
      <w:r w:rsidRPr="00815544">
        <w:rPr>
          <w:rFonts w:cs="Arial"/>
          <w:szCs w:val="20"/>
        </w:rPr>
        <w:t>Ponudniki in distributerji PEPP morajo pred podpisom pogodbe o PEPP prihodnjim varčevalcem v PEPP zagotoviti izčrpno svetovanje, da jim omogočijo ozaveščeno odločitev in izbiro produkta, ki je najustreznejši glede na njihove potrebe.</w:t>
      </w:r>
    </w:p>
    <w:p w:rsidR="0014362F" w:rsidRDefault="0014362F" w:rsidP="0014362F">
      <w:pPr>
        <w:jc w:val="both"/>
        <w:rPr>
          <w:rFonts w:cs="Arial"/>
          <w:szCs w:val="20"/>
        </w:rPr>
      </w:pPr>
    </w:p>
    <w:p w:rsidR="0014362F" w:rsidRPr="00815544" w:rsidRDefault="0014362F" w:rsidP="0014362F">
      <w:pPr>
        <w:jc w:val="both"/>
        <w:rPr>
          <w:rFonts w:cs="Arial"/>
          <w:szCs w:val="20"/>
        </w:rPr>
      </w:pPr>
      <w:r w:rsidRPr="00815544">
        <w:rPr>
          <w:rFonts w:cs="Arial"/>
          <w:szCs w:val="20"/>
        </w:rPr>
        <w:t>Uredba 2019/1238/EU določa: i) obveznost za vse ponudnike in distributerje PEPP, da pred podpisom pogodbe opredelijo zahteve in potrebe varčevalcev v PEPP v zvezi z upokojitvijo, vključno s preverjanjem morebitne potrebe po nakupu PEPP, ki nudi rento (da se zagotovi njihova ustrezna zaščita v primeru tveganja daljše življenjske dobe), in ii) celovito obvezno svetovanje: poduk o možnosti odpovedi za varčevalce in obvezen je preskus primernosti za vse varčevalce v PEPP. Svetovanje mora vključevati tudi izbiro naložbene možnosti in individualizirane projekcije pokojninskih prejemkov.</w:t>
      </w:r>
    </w:p>
    <w:p w:rsidR="0014362F" w:rsidRPr="00815544" w:rsidRDefault="0014362F" w:rsidP="0014362F">
      <w:pPr>
        <w:jc w:val="both"/>
        <w:rPr>
          <w:rFonts w:cs="Arial"/>
          <w:szCs w:val="20"/>
        </w:rPr>
      </w:pPr>
    </w:p>
    <w:p w:rsidR="0014362F" w:rsidRPr="00815544" w:rsidRDefault="0014362F" w:rsidP="0014362F">
      <w:pPr>
        <w:jc w:val="both"/>
        <w:rPr>
          <w:rFonts w:cs="Arial"/>
          <w:szCs w:val="20"/>
        </w:rPr>
      </w:pPr>
      <w:r w:rsidRPr="00815544">
        <w:rPr>
          <w:rFonts w:cs="Arial"/>
          <w:szCs w:val="20"/>
        </w:rPr>
        <w:t>Poleg tega morajo ponudniki PEPP za osnovni PEPP varčevalcem na začetku faze izplačevanja zagotoviti obvezno individualizirano svetovanje o pokojninskem načrtovanju z individualnim priporočilom o optimalni obliki izplačil. Da se zagotovi velika preglednost, Uredba 2019/1238/EU določa, da morajo varčevalci v PEPP pred sklenitvijo pogodbe prejeti ključne informacije o produktu s standardiziranim dokumentom (to je dokument s ključnimi informacijami o PEPP) in vsako leto obvestilo o pravicah v okviru PEPP s ključnimi informacijami o stanju njihovih prihrankov. Zlasti stroški in provizije morajo biti popolnoma pregledni. Evropska komisija bo z regulativnimi tehničnimi standardi dodatno opredelila podrobnosti prikaza informacij, ki se zagotovijo v dokumentu s ključnimi informacijami o PEPP in obvestilu o pravicah v okviru PEPP.</w:t>
      </w:r>
    </w:p>
    <w:p w:rsidR="0014362F" w:rsidRPr="00815544" w:rsidRDefault="0014362F" w:rsidP="0014362F">
      <w:pPr>
        <w:jc w:val="both"/>
        <w:rPr>
          <w:rFonts w:cs="Arial"/>
          <w:szCs w:val="20"/>
        </w:rPr>
      </w:pPr>
    </w:p>
    <w:p w:rsidR="0014362F" w:rsidRPr="00815544" w:rsidRDefault="0014362F" w:rsidP="0014362F">
      <w:pPr>
        <w:jc w:val="both"/>
        <w:rPr>
          <w:rFonts w:cs="Arial"/>
          <w:szCs w:val="20"/>
        </w:rPr>
      </w:pPr>
      <w:r w:rsidRPr="00815544">
        <w:rPr>
          <w:rFonts w:cs="Arial"/>
          <w:szCs w:val="20"/>
        </w:rPr>
        <w:t>Skladno z Uredbo 2019/1238/EU morajo nacionalni pristojni organi nadzorovati ponudnike in distributerje PEPP. EIOPA ima pooblastila za ukrepanje v vsej EU v primeru znatnih pomislekov glede zaščite varčevalca v PEPP ali tveganj za pravilno delovanje in celovitost finančnih trgov ter za stabilnost celotnega oziroma dela finančnega sistema EU, v primeru, da teh tveganj nacionalni pristojni organi ne obravnavajo ustrezno.</w:t>
      </w:r>
    </w:p>
    <w:p w:rsidR="0014362F" w:rsidRPr="00815544" w:rsidRDefault="0014362F" w:rsidP="0014362F">
      <w:pPr>
        <w:jc w:val="both"/>
        <w:rPr>
          <w:rFonts w:cs="Arial"/>
          <w:szCs w:val="20"/>
        </w:rPr>
      </w:pPr>
    </w:p>
    <w:p w:rsidR="0014362F" w:rsidRPr="00815544" w:rsidRDefault="0014362F" w:rsidP="0014362F">
      <w:pPr>
        <w:jc w:val="both"/>
        <w:rPr>
          <w:rFonts w:cs="Arial"/>
          <w:szCs w:val="20"/>
        </w:rPr>
      </w:pPr>
      <w:r w:rsidRPr="00815544">
        <w:rPr>
          <w:rFonts w:cs="Arial"/>
          <w:szCs w:val="20"/>
        </w:rPr>
        <w:t>Produkt PEPP je pomembna novost v EU, saj so starostne pokojnine bistveni del prihodka upokojencev, ustrezna zagotovitev višine pokojnine pa pomeni ločnico med dostojnim življenjem in revščino starostnika. Za znaten del starostnih pokojnin poskrbijo javni sistemi. Ne glede na izključno nacionalno pristojnost za organizacijo pokojninskih sistemov pa so ustrezni prihodki in finančna vzdržnost nacionalnih pokojninskih sistemov ključnega pomena za stabilnost posamezne države članice kakor tudi celotne EU. Posamezniki, ki želijo dopolniti svoje pokojnine v EU, različno varčujejo, na primer z vlaganjem v nepremičnine, življenjskim zavarovanjem, klasičnim varčevanjem v banki ali drugimi produkti dolgoročnega varčevanja.</w:t>
      </w:r>
    </w:p>
    <w:p w:rsidR="0014362F" w:rsidRPr="00815544" w:rsidRDefault="0014362F" w:rsidP="0014362F">
      <w:pPr>
        <w:jc w:val="both"/>
        <w:rPr>
          <w:rFonts w:cs="Arial"/>
          <w:szCs w:val="20"/>
        </w:rPr>
      </w:pPr>
    </w:p>
    <w:p w:rsidR="0014362F" w:rsidRPr="00815544" w:rsidRDefault="0014362F" w:rsidP="0014362F">
      <w:pPr>
        <w:jc w:val="both"/>
        <w:rPr>
          <w:rFonts w:cs="Arial"/>
          <w:szCs w:val="20"/>
        </w:rPr>
      </w:pPr>
      <w:r w:rsidRPr="00815544">
        <w:rPr>
          <w:rFonts w:cs="Arial"/>
          <w:szCs w:val="20"/>
        </w:rPr>
        <w:t xml:space="preserve">Ena od možnosti dolgoročnega varčevanja za starost so tudi osebni pokojninski produkti. Trgi osebnih pokojninskih produktov so v EU neenakomerno razviti in razdrobljeni, zato je njihova prenosljivost omejena. Notranji trg za te produkte zato ne more delovati brez ovir in  je izvajanje temeljih svoboščin za posameznike omejeno, saj jim preprečuje, da bi sprejeli delovno mesto ali se upokojili v drugi državi članici EU. Tudi ponudnikom obstoječih osebnih pokojninskih produktov pomanjkanje standardizacije omejuje svobodo ustanavljanja in opravljanja storitev, pokojninskim </w:t>
      </w:r>
      <w:r w:rsidRPr="00815544">
        <w:rPr>
          <w:rFonts w:cs="Arial"/>
          <w:szCs w:val="20"/>
        </w:rPr>
        <w:lastRenderedPageBreak/>
        <w:t>varčevalcem pa povečuje stroške. Razdrobljenost trga vpliva na pomanjkanje likvidnosti in globine kapitalskih trgov, kar državam EU predstavlja izziv pri zagotavljanju dolgoročne vzdržnosti pokojninskega sistema z ustreznim razmerjem prihodkov iz obveznih, poklicnih in dodatnih osebnih pokojnin.</w:t>
      </w:r>
    </w:p>
    <w:p w:rsidR="0014362F" w:rsidRPr="00815544" w:rsidRDefault="0014362F" w:rsidP="0014362F">
      <w:pPr>
        <w:jc w:val="both"/>
        <w:rPr>
          <w:rFonts w:cs="Arial"/>
          <w:szCs w:val="20"/>
        </w:rPr>
      </w:pPr>
    </w:p>
    <w:p w:rsidR="0014362F" w:rsidRPr="00815544" w:rsidRDefault="0014362F" w:rsidP="0014362F">
      <w:pPr>
        <w:jc w:val="both"/>
        <w:rPr>
          <w:rFonts w:cs="Arial"/>
          <w:szCs w:val="20"/>
        </w:rPr>
      </w:pPr>
      <w:r w:rsidRPr="00815544">
        <w:rPr>
          <w:rFonts w:cs="Arial"/>
          <w:szCs w:val="20"/>
        </w:rPr>
        <w:t xml:space="preserve">Osebno pokojninsko zavarovanje je opredeljeno kot pokojninski finančni produkt, ki se v obliki pogodbe prostovoljno sklene med varčevalcem in ponudnikom tega produkta. Namenjeno je zagotavljanju dodatnih prihodkov po upokojitvi, pri čemer prihranki v obliki obveznega pokojninskega varčevanja tvorijo akumulacijo kapitala do upokojitve in služijo kot redni prihodek po upokojitvi, prihodki iz osebnih prostovoljnih pokojninskih zavarovanj dopolnjujejo obvezne in poklicne pokojnine. </w:t>
      </w:r>
    </w:p>
    <w:p w:rsidR="0014362F" w:rsidRPr="00815544" w:rsidRDefault="0014362F" w:rsidP="0014362F">
      <w:pPr>
        <w:jc w:val="both"/>
        <w:rPr>
          <w:rFonts w:cs="Arial"/>
          <w:szCs w:val="20"/>
        </w:rPr>
      </w:pPr>
    </w:p>
    <w:p w:rsidR="0014362F" w:rsidRPr="00815544" w:rsidRDefault="0014362F" w:rsidP="0014362F">
      <w:pPr>
        <w:jc w:val="both"/>
        <w:rPr>
          <w:rFonts w:cs="Arial"/>
          <w:szCs w:val="20"/>
        </w:rPr>
      </w:pPr>
      <w:r w:rsidRPr="00815544">
        <w:rPr>
          <w:rFonts w:cs="Arial"/>
          <w:szCs w:val="20"/>
        </w:rPr>
        <w:t>Evropska komisija je že v akcijskem načrtu o oblikovanju unije kapitalskih trgov</w:t>
      </w:r>
      <w:r w:rsidRPr="00815544">
        <w:rPr>
          <w:rStyle w:val="Sprotnaopomba-sklic"/>
          <w:rFonts w:cs="Arial"/>
          <w:szCs w:val="20"/>
        </w:rPr>
        <w:footnoteReference w:id="1"/>
      </w:r>
      <w:r w:rsidRPr="00815544">
        <w:rPr>
          <w:rFonts w:cs="Arial"/>
          <w:szCs w:val="20"/>
        </w:rPr>
        <w:t xml:space="preserve"> iz leta 2015 zapisala, da učinkovit enotni trg za osebna pokojninska zavarovanja tretjega stebra ne obstaja. Popoln razvoj velikega in konkurenčnega trga za osebna pokojninska zavarovanja ovirajo predpisi na ravni EU in posameznih držav članic EU. Zato tržna razdrobljenost ponudnikom osebnih pokojninskih zavarovanj preprečuje realizacijo ekonomije obsega in razpršitev tveganj, kakor tudi omejuje naložbene priložnosti za upravljavce dolgoročnih sredstev, ki so namenjeni dodatnim pokojninskim prihodkom. Zelo omejeni sta tudi čezmejna prodaja in prenosljivost obstoječih osebnih pokojninskih zavarovanj. </w:t>
      </w:r>
    </w:p>
    <w:p w:rsidR="0014362F" w:rsidRPr="00815544" w:rsidRDefault="0014362F" w:rsidP="0014362F">
      <w:pPr>
        <w:jc w:val="both"/>
        <w:rPr>
          <w:rFonts w:cs="Arial"/>
          <w:szCs w:val="20"/>
        </w:rPr>
      </w:pPr>
    </w:p>
    <w:p w:rsidR="0014362F" w:rsidRPr="00815544" w:rsidRDefault="0014362F" w:rsidP="0014362F">
      <w:pPr>
        <w:jc w:val="both"/>
        <w:rPr>
          <w:rFonts w:cs="Arial"/>
          <w:szCs w:val="20"/>
        </w:rPr>
      </w:pPr>
      <w:r w:rsidRPr="00815544">
        <w:rPr>
          <w:rFonts w:cs="Arial"/>
          <w:szCs w:val="20"/>
        </w:rPr>
        <w:t xml:space="preserve">Cilj EU je oblikovanje enotnega trga za osebna pokojninska zavarovanja in tudi tako pripomoči k dokončanju unije kapitalskih trgov. EU se zavzema za: </w:t>
      </w:r>
    </w:p>
    <w:p w:rsidR="0014362F" w:rsidRPr="00815544" w:rsidRDefault="0014362F" w:rsidP="0014362F">
      <w:pPr>
        <w:jc w:val="both"/>
        <w:rPr>
          <w:rFonts w:cs="Arial"/>
          <w:szCs w:val="20"/>
        </w:rPr>
      </w:pPr>
      <w:r w:rsidRPr="00815544">
        <w:rPr>
          <w:rFonts w:cs="Arial"/>
          <w:szCs w:val="20"/>
        </w:rPr>
        <w:t xml:space="preserve">1) povečanje naložb v EU in dokončanje unije kapitalskih trgov – dolgoročno oblikovanje večjih skupin pokojninskih prihrankov, namenjenih naložbam na kapitalskih trgih;  </w:t>
      </w:r>
    </w:p>
    <w:p w:rsidR="0014362F" w:rsidRPr="00815544" w:rsidRDefault="0014362F" w:rsidP="0014362F">
      <w:pPr>
        <w:jc w:val="both"/>
        <w:rPr>
          <w:rFonts w:cs="Arial"/>
          <w:szCs w:val="20"/>
        </w:rPr>
      </w:pPr>
      <w:r w:rsidRPr="00815544">
        <w:rPr>
          <w:rFonts w:cs="Arial"/>
          <w:szCs w:val="20"/>
        </w:rPr>
        <w:t>2) izboljšanje značilnosti osebnih pokojninskih produktov – omogočiti oblikovanje preprostih in preglednih osebnih pokojninskih produktov;</w:t>
      </w:r>
    </w:p>
    <w:p w:rsidR="0014362F" w:rsidRPr="00815544" w:rsidRDefault="0014362F" w:rsidP="0014362F">
      <w:pPr>
        <w:jc w:val="both"/>
        <w:rPr>
          <w:rFonts w:cs="Arial"/>
          <w:szCs w:val="20"/>
        </w:rPr>
      </w:pPr>
      <w:r w:rsidRPr="00815544">
        <w:rPr>
          <w:rFonts w:cs="Arial"/>
          <w:szCs w:val="20"/>
        </w:rPr>
        <w:t xml:space="preserve">3) povečanje čezmejnega zagotavljanja in prenosljivosti osebnih pokojninskih produktov – omogočiti ponudnikom, da izkoristijo ekonomijo obsega, kakor tudi omogočiti malim vlagateljem – imetnikom osebnih pokojninskih produktov, da jih lahko vzamejo s seboj, ko se preselijo v drugo državo članico EU. </w:t>
      </w:r>
    </w:p>
    <w:p w:rsidR="0014362F" w:rsidRPr="00815544" w:rsidRDefault="0014362F" w:rsidP="0014362F">
      <w:pPr>
        <w:jc w:val="both"/>
        <w:rPr>
          <w:rFonts w:cs="Arial"/>
          <w:szCs w:val="20"/>
        </w:rPr>
      </w:pPr>
    </w:p>
    <w:p w:rsidR="0014362F" w:rsidRPr="00815544" w:rsidRDefault="0014362F" w:rsidP="0014362F">
      <w:pPr>
        <w:jc w:val="both"/>
        <w:rPr>
          <w:rFonts w:cs="Arial"/>
          <w:szCs w:val="20"/>
        </w:rPr>
      </w:pPr>
      <w:r w:rsidRPr="00815544">
        <w:rPr>
          <w:rFonts w:cs="Arial"/>
          <w:szCs w:val="20"/>
        </w:rPr>
        <w:t xml:space="preserve">Evropska komisija je 8. junija 2017 v sporočilu z naslovom »Vmesni pregled akcijskega načrta o uniji kapitalskih trgov« napovedala zakonodajni predlog o vseevropskem osebnem pokojninskem produktu (v nadaljnjem besedilu: PEPP), ki bo ustvaril temelje za varnejši, stroškovno učinkovitejši in pregleden trg cenovno dostopnih in prostovoljnih osebnih pokojninskih prihrankov, ki se bodo lahko upravljali na vseevropski ravni. To bo zadovoljilo potrebe ljudi, ki želijo povečati svoje pokojninske prihranke, pripomoglo k reševanju demografskih izzivov, dopolnjevalo sedanje pokojninske produkte in načrte ter podprlo stroškovno učinkovitost osebnih pokojnin z zagotavljanjem dobrih priložnosti za dolgoročno vlaganje pokojninskih prihrankov. </w:t>
      </w:r>
    </w:p>
    <w:p w:rsidR="0014362F" w:rsidRPr="00815544" w:rsidRDefault="0014362F" w:rsidP="0014362F">
      <w:pPr>
        <w:jc w:val="both"/>
        <w:rPr>
          <w:rFonts w:cs="Arial"/>
          <w:szCs w:val="20"/>
        </w:rPr>
      </w:pPr>
    </w:p>
    <w:p w:rsidR="0014362F" w:rsidRPr="00815544" w:rsidRDefault="0014362F" w:rsidP="0014362F">
      <w:pPr>
        <w:jc w:val="both"/>
        <w:rPr>
          <w:rFonts w:cs="Arial"/>
          <w:szCs w:val="20"/>
        </w:rPr>
      </w:pPr>
      <w:r w:rsidRPr="00815544">
        <w:rPr>
          <w:rFonts w:cs="Arial"/>
          <w:szCs w:val="20"/>
        </w:rPr>
        <w:t xml:space="preserve">Uredba 2019/1238/EU </w:t>
      </w:r>
      <w:r>
        <w:rPr>
          <w:rFonts w:cs="Arial"/>
          <w:szCs w:val="20"/>
        </w:rPr>
        <w:t>opredeljuje</w:t>
      </w:r>
      <w:r w:rsidRPr="00815544">
        <w:rPr>
          <w:rFonts w:cs="Arial"/>
          <w:szCs w:val="20"/>
        </w:rPr>
        <w:t xml:space="preserve"> sklop temeljnih značilnosti PEPP, kot so distribucija, minimalna vsebina pogodb, naložbena politika, zamenjava ponudnikov ali čezmejno zagotavljanje in prenosljivost. Implementacija Uredbe 2019/1238/EU bo izboljšala enake konkurenčne pogoje za ponudnike osebnih pokojnin in pripomogla k pospešitvi dokončanja unije kapitalskih trgov ter povezovanju notranjega trga za osebne pokojnine. Privedla bo do oblikovanja pretežno standardiziranega vseevropskega produkta, ki bo na voljo v vseh državah članicah, kar bo potrošnikom omogočilo, da v celoti izkoristijo notranji trg, saj bodo lahko svoje pokojninske pravice prenesli v tujino, in jim ponudilo večjo izbiro med različnimi vrstami ponudnikov, vključno s ponudniki v </w:t>
      </w:r>
      <w:r>
        <w:rPr>
          <w:rFonts w:cs="Arial"/>
          <w:szCs w:val="20"/>
        </w:rPr>
        <w:t>drugih državah članicah EU</w:t>
      </w:r>
      <w:r w:rsidRPr="00815544">
        <w:rPr>
          <w:rFonts w:cs="Arial"/>
          <w:szCs w:val="20"/>
        </w:rPr>
        <w:t xml:space="preserve">. Zaradi manjšega števila ovir za čezmejno zagotavljanje </w:t>
      </w:r>
      <w:r w:rsidRPr="00815544">
        <w:rPr>
          <w:rFonts w:cs="Arial"/>
          <w:szCs w:val="20"/>
        </w:rPr>
        <w:lastRenderedPageBreak/>
        <w:t xml:space="preserve">storitev pokojninskega zavarovanja bo PEPP povečal konkurenco med ponudniki na vseevropski ravni in ustvaril ekonomijo obsega, kar bi moralo koristiti varčevalcem. </w:t>
      </w:r>
    </w:p>
    <w:p w:rsidR="0014362F" w:rsidRPr="00815544" w:rsidRDefault="0014362F" w:rsidP="0014362F">
      <w:pPr>
        <w:jc w:val="both"/>
        <w:rPr>
          <w:rFonts w:cs="Arial"/>
          <w:szCs w:val="20"/>
        </w:rPr>
      </w:pPr>
    </w:p>
    <w:p w:rsidR="0014362F" w:rsidRPr="00815544" w:rsidRDefault="0014362F" w:rsidP="0014362F">
      <w:pPr>
        <w:jc w:val="both"/>
        <w:rPr>
          <w:rFonts w:cs="Arial"/>
          <w:szCs w:val="20"/>
        </w:rPr>
      </w:pPr>
      <w:r w:rsidRPr="00815544">
        <w:rPr>
          <w:rFonts w:cs="Arial"/>
          <w:szCs w:val="20"/>
        </w:rPr>
        <w:t>S predlogom zakona se bo v pravnem redu Republike Slovenije uredilo izvajanje Uredbe 2019/1238/EU, in sicer</w:t>
      </w:r>
      <w:bookmarkStart w:id="5" w:name="_Hlk64973733"/>
      <w:r w:rsidRPr="00815544">
        <w:rPr>
          <w:rFonts w:cs="Arial"/>
          <w:szCs w:val="20"/>
        </w:rPr>
        <w:t xml:space="preserve"> se bo ali bodo:</w:t>
      </w:r>
    </w:p>
    <w:p w:rsidR="0014362F" w:rsidRPr="00815544" w:rsidRDefault="0014362F" w:rsidP="0014362F">
      <w:pPr>
        <w:pStyle w:val="Odstavekseznama"/>
        <w:numPr>
          <w:ilvl w:val="0"/>
          <w:numId w:val="11"/>
        </w:numPr>
        <w:jc w:val="both"/>
        <w:rPr>
          <w:rFonts w:cs="Arial"/>
          <w:szCs w:val="20"/>
        </w:rPr>
      </w:pPr>
      <w:r w:rsidRPr="00815544">
        <w:rPr>
          <w:rFonts w:cs="Arial"/>
          <w:szCs w:val="20"/>
        </w:rPr>
        <w:t>določil nacionalni nadzorni organ, in sicer bo to Agencija za zavarovalni nadzor (v nadaljnjem besedilu: agencija);</w:t>
      </w:r>
    </w:p>
    <w:p w:rsidR="0014362F" w:rsidRPr="00815544" w:rsidRDefault="0014362F" w:rsidP="0014362F">
      <w:pPr>
        <w:pStyle w:val="Odstavekseznama"/>
        <w:numPr>
          <w:ilvl w:val="0"/>
          <w:numId w:val="11"/>
        </w:numPr>
        <w:jc w:val="both"/>
        <w:rPr>
          <w:rFonts w:cs="Arial"/>
          <w:szCs w:val="20"/>
        </w:rPr>
      </w:pPr>
      <w:r w:rsidRPr="00815544">
        <w:rPr>
          <w:rFonts w:cs="Arial"/>
          <w:szCs w:val="20"/>
        </w:rPr>
        <w:t>določila merila za ocenjevanje znanja in sposobnosti oseb, ki distribuirajo PEPP;</w:t>
      </w:r>
    </w:p>
    <w:p w:rsidR="0014362F" w:rsidRPr="00815544" w:rsidRDefault="0014362F" w:rsidP="0014362F">
      <w:pPr>
        <w:pStyle w:val="Odstavekseznama"/>
        <w:numPr>
          <w:ilvl w:val="0"/>
          <w:numId w:val="11"/>
        </w:numPr>
        <w:jc w:val="both"/>
        <w:rPr>
          <w:rFonts w:cs="Arial"/>
          <w:szCs w:val="20"/>
        </w:rPr>
      </w:pPr>
      <w:r w:rsidRPr="00815544">
        <w:rPr>
          <w:rFonts w:cs="Arial"/>
          <w:szCs w:val="20"/>
        </w:rPr>
        <w:t>določili pogoji glede faze varčevanja in faze izplačevanja PEPP;</w:t>
      </w:r>
    </w:p>
    <w:p w:rsidR="0014362F" w:rsidRPr="00815544" w:rsidRDefault="0014362F" w:rsidP="0014362F">
      <w:pPr>
        <w:pStyle w:val="Odstavekseznama"/>
        <w:numPr>
          <w:ilvl w:val="0"/>
          <w:numId w:val="11"/>
        </w:numPr>
        <w:jc w:val="both"/>
        <w:rPr>
          <w:rFonts w:cs="Arial"/>
          <w:szCs w:val="20"/>
        </w:rPr>
      </w:pPr>
      <w:r w:rsidRPr="00815544">
        <w:rPr>
          <w:rFonts w:cs="Arial"/>
          <w:szCs w:val="20"/>
        </w:rPr>
        <w:t xml:space="preserve">uredil postopek izrekanja nadzornih ukrepov in določile višine glob, ki jih bo lahko izrekla agencija v primeru kršitev določb </w:t>
      </w:r>
      <w:bookmarkEnd w:id="5"/>
      <w:r w:rsidRPr="00815544">
        <w:rPr>
          <w:rFonts w:cs="Arial"/>
          <w:szCs w:val="20"/>
        </w:rPr>
        <w:t>Uredbe 2019/1238/EU in predloga zakona;</w:t>
      </w:r>
    </w:p>
    <w:p w:rsidR="0014362F" w:rsidRPr="00815544" w:rsidRDefault="0014362F" w:rsidP="0014362F">
      <w:pPr>
        <w:pStyle w:val="Odstavekseznama"/>
        <w:numPr>
          <w:ilvl w:val="0"/>
          <w:numId w:val="11"/>
        </w:numPr>
        <w:jc w:val="both"/>
        <w:rPr>
          <w:rFonts w:cs="Arial"/>
          <w:szCs w:val="20"/>
        </w:rPr>
      </w:pPr>
      <w:r w:rsidRPr="00815544">
        <w:rPr>
          <w:rFonts w:cs="Arial"/>
          <w:szCs w:val="20"/>
        </w:rPr>
        <w:t xml:space="preserve">določila podlaga za spremembo tarife nadzornega organa; </w:t>
      </w:r>
    </w:p>
    <w:p w:rsidR="0014362F" w:rsidRPr="00815544" w:rsidRDefault="0014362F" w:rsidP="0014362F">
      <w:pPr>
        <w:pStyle w:val="Odstavekseznama"/>
        <w:numPr>
          <w:ilvl w:val="0"/>
          <w:numId w:val="11"/>
        </w:numPr>
        <w:jc w:val="both"/>
        <w:rPr>
          <w:rFonts w:cs="Arial"/>
          <w:szCs w:val="20"/>
        </w:rPr>
      </w:pPr>
      <w:r w:rsidRPr="00815544">
        <w:rPr>
          <w:rFonts w:cs="Arial"/>
          <w:szCs w:val="20"/>
        </w:rPr>
        <w:t>določila agencija kot pristojni organ za poročanje obveznosti Evropskemu organu za zavarovanja in poklicne pokojnine (v nadaljnjem besedilu: EIOPA);</w:t>
      </w:r>
    </w:p>
    <w:p w:rsidR="0014362F" w:rsidRPr="00815544" w:rsidRDefault="0014362F" w:rsidP="0014362F">
      <w:pPr>
        <w:pStyle w:val="Odstavekseznama"/>
        <w:numPr>
          <w:ilvl w:val="0"/>
          <w:numId w:val="11"/>
        </w:numPr>
        <w:jc w:val="both"/>
        <w:rPr>
          <w:rFonts w:cs="Arial"/>
          <w:szCs w:val="20"/>
        </w:rPr>
      </w:pPr>
      <w:r w:rsidRPr="00815544">
        <w:rPr>
          <w:rFonts w:cs="Arial"/>
          <w:szCs w:val="20"/>
        </w:rPr>
        <w:t xml:space="preserve">določile </w:t>
      </w:r>
      <w:r w:rsidRPr="004E42B2">
        <w:t xml:space="preserve">obveznosti objave izrečenih </w:t>
      </w:r>
      <w:r w:rsidRPr="00815544">
        <w:rPr>
          <w:rFonts w:cs="Arial"/>
          <w:szCs w:val="20"/>
        </w:rPr>
        <w:t>nadzornih ukrepov, ki so pravnomočni, na spletni strani</w:t>
      </w:r>
      <w:r w:rsidRPr="004E42B2">
        <w:t xml:space="preserve"> </w:t>
      </w:r>
      <w:r w:rsidRPr="00815544">
        <w:rPr>
          <w:rFonts w:cs="Arial"/>
          <w:szCs w:val="20"/>
        </w:rPr>
        <w:t>a</w:t>
      </w:r>
      <w:r w:rsidRPr="004E42B2">
        <w:t>gencije</w:t>
      </w:r>
    </w:p>
    <w:p w:rsidR="0014362F" w:rsidRPr="00815544" w:rsidRDefault="0014362F" w:rsidP="0014362F">
      <w:pPr>
        <w:jc w:val="both"/>
        <w:rPr>
          <w:rFonts w:cs="Arial"/>
          <w:szCs w:val="20"/>
        </w:rPr>
      </w:pPr>
    </w:p>
    <w:p w:rsidR="0014362F" w:rsidRPr="00815544" w:rsidRDefault="0014362F" w:rsidP="0014362F">
      <w:pPr>
        <w:jc w:val="both"/>
        <w:rPr>
          <w:rFonts w:cs="Arial"/>
          <w:szCs w:val="20"/>
        </w:rPr>
      </w:pPr>
    </w:p>
    <w:p w:rsidR="0014362F" w:rsidRPr="00815544" w:rsidRDefault="0014362F" w:rsidP="0014362F">
      <w:pPr>
        <w:jc w:val="both"/>
        <w:rPr>
          <w:rFonts w:cs="Arial"/>
          <w:szCs w:val="20"/>
        </w:rPr>
      </w:pPr>
      <w:r w:rsidRPr="00815544">
        <w:rPr>
          <w:rFonts w:cs="Arial"/>
          <w:b/>
          <w:szCs w:val="20"/>
        </w:rPr>
        <w:t>CILJI, NAČELA IN POGLAVITNE REŠITVE PREDLOGA ZAKONA</w:t>
      </w:r>
    </w:p>
    <w:p w:rsidR="0014362F" w:rsidRPr="00815544" w:rsidRDefault="0014362F" w:rsidP="0014362F">
      <w:pPr>
        <w:jc w:val="both"/>
        <w:rPr>
          <w:rFonts w:cs="Arial"/>
          <w:szCs w:val="20"/>
        </w:rPr>
      </w:pPr>
    </w:p>
    <w:p w:rsidR="0014362F" w:rsidRPr="00815544" w:rsidRDefault="0014362F" w:rsidP="0014362F">
      <w:pPr>
        <w:jc w:val="both"/>
        <w:rPr>
          <w:rFonts w:cs="Arial"/>
          <w:b/>
          <w:szCs w:val="20"/>
        </w:rPr>
      </w:pPr>
      <w:r w:rsidRPr="00815544">
        <w:rPr>
          <w:rFonts w:cs="Arial"/>
          <w:b/>
          <w:szCs w:val="20"/>
        </w:rPr>
        <w:t>2.1. Cilji</w:t>
      </w:r>
    </w:p>
    <w:p w:rsidR="0014362F" w:rsidRPr="00815544" w:rsidRDefault="0014362F" w:rsidP="0014362F">
      <w:pPr>
        <w:jc w:val="both"/>
        <w:rPr>
          <w:rFonts w:cs="Arial"/>
          <w:szCs w:val="20"/>
        </w:rPr>
      </w:pPr>
    </w:p>
    <w:p w:rsidR="0014362F" w:rsidRPr="00815544" w:rsidRDefault="0014362F" w:rsidP="0014362F">
      <w:pPr>
        <w:jc w:val="both"/>
        <w:rPr>
          <w:rFonts w:cs="Arial"/>
          <w:szCs w:val="20"/>
        </w:rPr>
      </w:pPr>
      <w:r w:rsidRPr="00815544">
        <w:rPr>
          <w:rFonts w:cs="Arial"/>
          <w:szCs w:val="20"/>
        </w:rPr>
        <w:t>Cilj predloga zakona je ureditev izvajanja Uredbe 2019/1238/EU.</w:t>
      </w:r>
    </w:p>
    <w:p w:rsidR="0014362F" w:rsidRPr="00815544" w:rsidRDefault="0014362F" w:rsidP="0014362F">
      <w:pPr>
        <w:jc w:val="both"/>
        <w:rPr>
          <w:rFonts w:cs="Arial"/>
          <w:szCs w:val="20"/>
        </w:rPr>
      </w:pPr>
    </w:p>
    <w:p w:rsidR="0014362F" w:rsidRPr="00815544" w:rsidRDefault="0014362F" w:rsidP="0014362F">
      <w:pPr>
        <w:jc w:val="both"/>
        <w:rPr>
          <w:rFonts w:cs="Arial"/>
          <w:b/>
          <w:szCs w:val="20"/>
        </w:rPr>
      </w:pPr>
      <w:r w:rsidRPr="00815544">
        <w:rPr>
          <w:rFonts w:cs="Arial"/>
          <w:b/>
          <w:szCs w:val="20"/>
        </w:rPr>
        <w:t>2.2. Načela</w:t>
      </w:r>
    </w:p>
    <w:p w:rsidR="0014362F" w:rsidRPr="00815544" w:rsidRDefault="0014362F" w:rsidP="0014362F">
      <w:pPr>
        <w:autoSpaceDE w:val="0"/>
        <w:autoSpaceDN w:val="0"/>
        <w:adjustRightInd w:val="0"/>
        <w:jc w:val="both"/>
        <w:rPr>
          <w:rFonts w:cs="Arial"/>
          <w:szCs w:val="20"/>
        </w:rPr>
      </w:pPr>
    </w:p>
    <w:p w:rsidR="0014362F" w:rsidRPr="00815544" w:rsidRDefault="0014362F" w:rsidP="0014362F">
      <w:pPr>
        <w:autoSpaceDE w:val="0"/>
        <w:autoSpaceDN w:val="0"/>
        <w:adjustRightInd w:val="0"/>
        <w:jc w:val="both"/>
        <w:rPr>
          <w:rFonts w:cs="Arial"/>
          <w:szCs w:val="20"/>
        </w:rPr>
      </w:pPr>
      <w:r w:rsidRPr="00815544">
        <w:rPr>
          <w:rFonts w:cs="Arial"/>
          <w:szCs w:val="20"/>
        </w:rPr>
        <w:t>Načela predloga zakona so: načelo enakopravne obravnave, preglednosti, skrbnega in učinkovitega nadzora, sorazmernih in odvračilnih sankcij in pravne jasnosti.</w:t>
      </w:r>
    </w:p>
    <w:p w:rsidR="0014362F" w:rsidRPr="00815544" w:rsidRDefault="0014362F" w:rsidP="0014362F">
      <w:pPr>
        <w:jc w:val="both"/>
        <w:rPr>
          <w:rFonts w:cs="Arial"/>
          <w:szCs w:val="20"/>
        </w:rPr>
      </w:pPr>
    </w:p>
    <w:p w:rsidR="0014362F" w:rsidRPr="00815544" w:rsidRDefault="0014362F" w:rsidP="0014362F">
      <w:pPr>
        <w:jc w:val="both"/>
        <w:rPr>
          <w:rFonts w:cs="Arial"/>
          <w:b/>
          <w:szCs w:val="20"/>
        </w:rPr>
      </w:pPr>
      <w:bookmarkStart w:id="6" w:name="_Hlk55899654"/>
      <w:bookmarkStart w:id="7" w:name="_Hlk36040354"/>
      <w:r w:rsidRPr="00815544">
        <w:rPr>
          <w:rFonts w:cs="Arial"/>
          <w:b/>
          <w:szCs w:val="20"/>
        </w:rPr>
        <w:t>2.3. Poglavitne rešitve</w:t>
      </w:r>
    </w:p>
    <w:bookmarkEnd w:id="6"/>
    <w:p w:rsidR="0014362F" w:rsidRPr="00815544" w:rsidRDefault="0014362F" w:rsidP="0014362F">
      <w:pPr>
        <w:jc w:val="both"/>
        <w:rPr>
          <w:rFonts w:cs="Arial"/>
          <w:szCs w:val="20"/>
        </w:rPr>
      </w:pPr>
    </w:p>
    <w:p w:rsidR="0014362F" w:rsidRPr="00815544" w:rsidRDefault="0014362F" w:rsidP="0014362F">
      <w:pPr>
        <w:jc w:val="both"/>
        <w:rPr>
          <w:rFonts w:cs="Arial"/>
          <w:szCs w:val="20"/>
        </w:rPr>
      </w:pPr>
      <w:r w:rsidRPr="00815544">
        <w:rPr>
          <w:rFonts w:cs="Arial"/>
          <w:szCs w:val="20"/>
        </w:rPr>
        <w:t xml:space="preserve">V skladu s cilji, ki so navedeni v točki 2.1. tega gradiva, bodo v slovenski pravni red vpeljane rešitve glede oblikovanja in distribucije vseevropskega osebnega pokojninskega produkta k sedanjemu portfelju pokojninskih produktov, ki jih v Republiki Sloveniji ponujajo zavarovalnice, pokojninski skladi, investicijska podjetja, </w:t>
      </w:r>
      <w:r>
        <w:rPr>
          <w:rFonts w:cs="Arial"/>
          <w:szCs w:val="20"/>
        </w:rPr>
        <w:t>družbe za upravljanje</w:t>
      </w:r>
      <w:r w:rsidRPr="00815544">
        <w:rPr>
          <w:rFonts w:cs="Arial"/>
          <w:szCs w:val="20"/>
        </w:rPr>
        <w:t xml:space="preserve"> in banke, ki delujejo pod nadzorom nacionalnih pristojnih organov v okviru sedanjih regulativnih okvirov. </w:t>
      </w:r>
    </w:p>
    <w:p w:rsidR="0014362F" w:rsidRPr="00815544" w:rsidRDefault="0014362F" w:rsidP="0014362F">
      <w:pPr>
        <w:jc w:val="both"/>
        <w:rPr>
          <w:rFonts w:cs="Arial"/>
          <w:szCs w:val="20"/>
        </w:rPr>
      </w:pPr>
    </w:p>
    <w:p w:rsidR="0014362F" w:rsidRPr="00815544" w:rsidRDefault="0014362F" w:rsidP="0014362F">
      <w:pPr>
        <w:jc w:val="both"/>
        <w:rPr>
          <w:rFonts w:cs="Arial"/>
          <w:color w:val="000000"/>
          <w:szCs w:val="20"/>
        </w:rPr>
      </w:pPr>
      <w:r w:rsidRPr="00815544">
        <w:rPr>
          <w:rFonts w:cs="Arial"/>
          <w:color w:val="000000"/>
          <w:szCs w:val="20"/>
        </w:rPr>
        <w:t>Namen U</w:t>
      </w:r>
      <w:r w:rsidRPr="00815544">
        <w:rPr>
          <w:rFonts w:cs="Arial"/>
          <w:szCs w:val="20"/>
        </w:rPr>
        <w:t>redbe 2019/1238/EU in predlaganega zakona</w:t>
      </w:r>
      <w:r w:rsidRPr="00815544">
        <w:rPr>
          <w:rFonts w:cs="Arial"/>
          <w:color w:val="000000"/>
          <w:szCs w:val="20"/>
        </w:rPr>
        <w:t xml:space="preserve"> je spodbujanje varčevanja za starost v okviru dodatnega pokojninskega zavarovanja z namenom, da si posameznik zagotovi dodaten prihodek za starost. Zlasti bi to lahko imelo večji pomen za delavce v nestandardnih delovnih razmerjih, samozaposlene in mobilne delavce, ki nimajo zadostnega dostopa do obveznega pokojninskega sistema in/ali do sistema poklicnih pokojnin ali tega sploh nimajo. </w:t>
      </w:r>
    </w:p>
    <w:p w:rsidR="0014362F" w:rsidRPr="00815544" w:rsidRDefault="0014362F" w:rsidP="0014362F">
      <w:pPr>
        <w:jc w:val="both"/>
        <w:rPr>
          <w:rFonts w:cs="Arial"/>
          <w:color w:val="000000"/>
          <w:szCs w:val="20"/>
        </w:rPr>
      </w:pPr>
    </w:p>
    <w:p w:rsidR="0014362F" w:rsidRPr="00815544" w:rsidRDefault="0014362F" w:rsidP="0014362F">
      <w:pPr>
        <w:jc w:val="both"/>
        <w:rPr>
          <w:rFonts w:cs="Arial"/>
          <w:color w:val="000000"/>
          <w:szCs w:val="20"/>
        </w:rPr>
      </w:pPr>
      <w:r w:rsidRPr="00815544">
        <w:rPr>
          <w:rFonts w:cs="Arial"/>
          <w:color w:val="000000"/>
          <w:szCs w:val="20"/>
        </w:rPr>
        <w:t xml:space="preserve">Zaradi prenosljivosti produkta po vsej EU bodo potrošniki dobili tudi možnost preglednosti stroškov vseevropskih osebnih pokojninskih produktov in možnost zamenjave ponudnikov ob selitvi. </w:t>
      </w:r>
    </w:p>
    <w:p w:rsidR="0014362F" w:rsidRPr="00815544" w:rsidRDefault="0014362F" w:rsidP="0014362F">
      <w:pPr>
        <w:jc w:val="both"/>
        <w:rPr>
          <w:rFonts w:cs="Arial"/>
          <w:color w:val="000000"/>
          <w:szCs w:val="20"/>
        </w:rPr>
      </w:pPr>
    </w:p>
    <w:p w:rsidR="0014362F" w:rsidRPr="00815544" w:rsidRDefault="0014362F" w:rsidP="0014362F">
      <w:pPr>
        <w:jc w:val="both"/>
        <w:rPr>
          <w:rFonts w:cs="Arial"/>
          <w:color w:val="000000"/>
          <w:szCs w:val="20"/>
        </w:rPr>
      </w:pPr>
      <w:r w:rsidRPr="00815544">
        <w:rPr>
          <w:rFonts w:cs="Arial"/>
          <w:color w:val="000000"/>
          <w:szCs w:val="20"/>
        </w:rPr>
        <w:t xml:space="preserve">Na podlagi navedenega se </w:t>
      </w:r>
      <w:r w:rsidRPr="00815544">
        <w:rPr>
          <w:rFonts w:cs="Arial"/>
          <w:szCs w:val="20"/>
        </w:rPr>
        <w:t xml:space="preserve">vseevropski osebni pokojninski produkt umešča v dodatni del sistema osebnega pokojninskega varčevanja III. stebra in ne za dodatno pokojninsko zavarovanje v skladu z določili </w:t>
      </w:r>
      <w:r w:rsidRPr="00815544">
        <w:rPr>
          <w:rFonts w:cs="Arial"/>
          <w:color w:val="000000"/>
          <w:szCs w:val="20"/>
        </w:rPr>
        <w:t>Zakona o pokojninskem in invalidskem zavarovanju (</w:t>
      </w:r>
      <w:r w:rsidRPr="00E648BE">
        <w:rPr>
          <w:rFonts w:cs="Arial"/>
          <w:color w:val="000000"/>
          <w:szCs w:val="20"/>
        </w:rPr>
        <w:t>Uradni list RS, št. 48/22 – uradno prečiščeno besedilo</w:t>
      </w:r>
      <w:r w:rsidRPr="00815544">
        <w:rPr>
          <w:rFonts w:cs="Arial"/>
          <w:color w:val="000000"/>
          <w:szCs w:val="20"/>
        </w:rPr>
        <w:t>).</w:t>
      </w:r>
    </w:p>
    <w:p w:rsidR="0014362F" w:rsidRPr="00815544" w:rsidRDefault="0014362F" w:rsidP="0014362F">
      <w:pPr>
        <w:jc w:val="both"/>
        <w:rPr>
          <w:rFonts w:cs="Arial"/>
          <w:color w:val="000000"/>
          <w:szCs w:val="20"/>
        </w:rPr>
      </w:pPr>
    </w:p>
    <w:bookmarkEnd w:id="7"/>
    <w:p w:rsidR="0014362F" w:rsidRPr="00815544" w:rsidRDefault="0014362F" w:rsidP="0014362F">
      <w:pPr>
        <w:contextualSpacing/>
        <w:jc w:val="both"/>
        <w:rPr>
          <w:rFonts w:cs="Arial"/>
          <w:szCs w:val="20"/>
        </w:rPr>
      </w:pPr>
    </w:p>
    <w:p w:rsidR="0014362F" w:rsidRPr="00815544" w:rsidRDefault="0014362F" w:rsidP="0014362F">
      <w:pPr>
        <w:numPr>
          <w:ilvl w:val="0"/>
          <w:numId w:val="4"/>
        </w:numPr>
        <w:rPr>
          <w:rFonts w:cs="Arial"/>
          <w:b/>
          <w:szCs w:val="20"/>
        </w:rPr>
      </w:pPr>
      <w:r w:rsidRPr="00815544">
        <w:rPr>
          <w:rFonts w:cs="Arial"/>
          <w:b/>
          <w:szCs w:val="20"/>
        </w:rPr>
        <w:lastRenderedPageBreak/>
        <w:t>OCENA FINANČNIH POSLEDIC PREDLOGA ZAKONA ZA DRŽAVNI PRORAČUN IN DRUGA JAVNA FINANČNA SREDSTVA</w:t>
      </w:r>
    </w:p>
    <w:p w:rsidR="0014362F" w:rsidRPr="00815544" w:rsidRDefault="0014362F" w:rsidP="0014362F">
      <w:pPr>
        <w:rPr>
          <w:rFonts w:cs="Arial"/>
          <w:b/>
          <w:szCs w:val="20"/>
        </w:rPr>
      </w:pPr>
    </w:p>
    <w:p w:rsidR="0014362F" w:rsidRPr="00815544" w:rsidRDefault="0014362F" w:rsidP="0014362F">
      <w:pPr>
        <w:rPr>
          <w:rFonts w:cs="Arial"/>
          <w:szCs w:val="20"/>
        </w:rPr>
      </w:pPr>
      <w:r w:rsidRPr="00815544">
        <w:rPr>
          <w:rFonts w:cs="Arial"/>
          <w:szCs w:val="20"/>
        </w:rPr>
        <w:t>Predlog zakona nima finančnih posledic za državni proračun in druga javna finančna sredstva.</w:t>
      </w:r>
    </w:p>
    <w:p w:rsidR="0014362F" w:rsidRPr="00815544" w:rsidRDefault="0014362F" w:rsidP="0014362F">
      <w:pPr>
        <w:rPr>
          <w:rFonts w:cs="Arial"/>
          <w:szCs w:val="20"/>
        </w:rPr>
      </w:pPr>
    </w:p>
    <w:p w:rsidR="0014362F" w:rsidRPr="00815544" w:rsidRDefault="0014362F" w:rsidP="0014362F">
      <w:pPr>
        <w:rPr>
          <w:rFonts w:cs="Arial"/>
          <w:szCs w:val="20"/>
        </w:rPr>
      </w:pPr>
    </w:p>
    <w:p w:rsidR="0014362F" w:rsidRPr="00815544" w:rsidRDefault="0014362F" w:rsidP="0014362F">
      <w:pPr>
        <w:numPr>
          <w:ilvl w:val="0"/>
          <w:numId w:val="4"/>
        </w:numPr>
        <w:jc w:val="both"/>
        <w:rPr>
          <w:rFonts w:cs="Arial"/>
          <w:b/>
          <w:szCs w:val="20"/>
        </w:rPr>
      </w:pPr>
      <w:r w:rsidRPr="00815544">
        <w:rPr>
          <w:rFonts w:cs="Arial"/>
          <w:b/>
          <w:szCs w:val="20"/>
        </w:rPr>
        <w:t>NAVEDBA, DA SO SREDSTVA ZA IZVAJANJE ZAKONA V DRŽAVNEM PRORAČUNU ZAGOTOVLJENA, ČE PREDLOG ZAKONA PREDVIDEVA PORABO PRORAČUNSKIH SREDSTEV V OBDOBJU, ZA KATERO JE BIL DRŽAVNI PRORAČUN ŽE SPREJET</w:t>
      </w:r>
    </w:p>
    <w:p w:rsidR="0014362F" w:rsidRPr="00815544" w:rsidRDefault="0014362F" w:rsidP="0014362F">
      <w:pPr>
        <w:rPr>
          <w:rFonts w:cs="Arial"/>
          <w:szCs w:val="20"/>
        </w:rPr>
      </w:pPr>
    </w:p>
    <w:p w:rsidR="0014362F" w:rsidRPr="00815544" w:rsidRDefault="0014362F" w:rsidP="0014362F">
      <w:pPr>
        <w:rPr>
          <w:rFonts w:cs="Arial"/>
          <w:szCs w:val="20"/>
        </w:rPr>
      </w:pPr>
      <w:r w:rsidRPr="00815544">
        <w:rPr>
          <w:rFonts w:cs="Arial"/>
          <w:szCs w:val="20"/>
        </w:rPr>
        <w:t>Predlog zakona ne predlaga porabe proračunskih sredstev.</w:t>
      </w:r>
    </w:p>
    <w:p w:rsidR="0014362F" w:rsidRPr="00815544" w:rsidRDefault="0014362F" w:rsidP="0014362F">
      <w:pPr>
        <w:jc w:val="both"/>
        <w:rPr>
          <w:rFonts w:cs="Arial"/>
          <w:szCs w:val="20"/>
        </w:rPr>
      </w:pPr>
    </w:p>
    <w:p w:rsidR="0014362F" w:rsidRPr="00815544" w:rsidRDefault="0014362F" w:rsidP="0014362F">
      <w:pPr>
        <w:numPr>
          <w:ilvl w:val="0"/>
          <w:numId w:val="4"/>
        </w:numPr>
        <w:jc w:val="both"/>
        <w:rPr>
          <w:rFonts w:cs="Arial"/>
          <w:b/>
          <w:szCs w:val="20"/>
        </w:rPr>
      </w:pPr>
      <w:bookmarkStart w:id="8" w:name="_Hlk55537161"/>
      <w:r w:rsidRPr="00815544">
        <w:rPr>
          <w:rFonts w:cs="Arial"/>
          <w:b/>
          <w:szCs w:val="20"/>
        </w:rPr>
        <w:t xml:space="preserve">PRIKAZ UREDITVE V DRUGIH PRAVNIH SISTEMIH </w:t>
      </w:r>
      <w:bookmarkEnd w:id="8"/>
      <w:r w:rsidRPr="00815544">
        <w:rPr>
          <w:rFonts w:cs="Arial"/>
          <w:b/>
          <w:szCs w:val="20"/>
        </w:rPr>
        <w:t>IN PRILAGOJENOSTI PREDLAGANE UREDITVE PRAVU EVROPSKE UNIJE</w:t>
      </w:r>
    </w:p>
    <w:p w:rsidR="0014362F" w:rsidRPr="00815544" w:rsidRDefault="0014362F" w:rsidP="0014362F">
      <w:pPr>
        <w:contextualSpacing/>
        <w:jc w:val="both"/>
        <w:rPr>
          <w:rFonts w:cs="Arial"/>
          <w:szCs w:val="20"/>
          <w:lang w:eastAsia="sl-SI"/>
        </w:rPr>
      </w:pPr>
    </w:p>
    <w:p w:rsidR="0014362F" w:rsidRPr="00815544" w:rsidRDefault="0014362F" w:rsidP="0014362F">
      <w:pPr>
        <w:autoSpaceDE w:val="0"/>
        <w:autoSpaceDN w:val="0"/>
        <w:adjustRightInd w:val="0"/>
        <w:jc w:val="both"/>
        <w:rPr>
          <w:rFonts w:cs="Arial"/>
          <w:b/>
          <w:bCs/>
          <w:szCs w:val="20"/>
        </w:rPr>
      </w:pPr>
      <w:r w:rsidRPr="00815544">
        <w:rPr>
          <w:rFonts w:cs="Arial"/>
          <w:b/>
          <w:bCs/>
          <w:szCs w:val="20"/>
        </w:rPr>
        <w:t>Prilagojenost predlagane ureditve pravu Evropske unije</w:t>
      </w:r>
    </w:p>
    <w:p w:rsidR="0014362F" w:rsidRPr="00815544" w:rsidRDefault="0014362F" w:rsidP="0014362F">
      <w:pPr>
        <w:jc w:val="both"/>
        <w:rPr>
          <w:rFonts w:cs="Arial"/>
          <w:szCs w:val="20"/>
        </w:rPr>
      </w:pPr>
    </w:p>
    <w:p w:rsidR="0014362F" w:rsidRPr="00815544" w:rsidRDefault="0014362F" w:rsidP="0014362F">
      <w:pPr>
        <w:jc w:val="both"/>
        <w:rPr>
          <w:rFonts w:cs="Arial"/>
          <w:szCs w:val="20"/>
        </w:rPr>
      </w:pPr>
      <w:r w:rsidRPr="00815544">
        <w:rPr>
          <w:rFonts w:cs="Arial"/>
          <w:szCs w:val="20"/>
        </w:rPr>
        <w:t>Predlog zakona je prilagojen pravu EU, saj ta predpis povzema določbe Uredbe 2019/1238/EU.</w:t>
      </w:r>
    </w:p>
    <w:p w:rsidR="0014362F" w:rsidRPr="00815544" w:rsidRDefault="0014362F" w:rsidP="0014362F">
      <w:pPr>
        <w:jc w:val="both"/>
        <w:rPr>
          <w:rFonts w:cs="Arial"/>
          <w:szCs w:val="20"/>
        </w:rPr>
      </w:pPr>
    </w:p>
    <w:p w:rsidR="0014362F" w:rsidRPr="00815544" w:rsidRDefault="0014362F" w:rsidP="0014362F">
      <w:pPr>
        <w:jc w:val="both"/>
        <w:rPr>
          <w:rFonts w:cs="Arial"/>
          <w:szCs w:val="20"/>
        </w:rPr>
      </w:pPr>
      <w:r w:rsidRPr="00815544">
        <w:rPr>
          <w:rFonts w:cs="Arial"/>
          <w:szCs w:val="20"/>
        </w:rPr>
        <w:t xml:space="preserve">Predlog zakona je usklajen s pravnim redom EU, pri čemer gre za harmonizacijo zakonodaje v EU in ureditev izvajanja Uredbe 2019/1238/EU v notranji zakonodaji. </w:t>
      </w:r>
    </w:p>
    <w:p w:rsidR="0014362F" w:rsidRPr="00815544" w:rsidRDefault="0014362F" w:rsidP="0014362F">
      <w:pPr>
        <w:autoSpaceDE w:val="0"/>
        <w:autoSpaceDN w:val="0"/>
        <w:adjustRightInd w:val="0"/>
        <w:jc w:val="both"/>
        <w:rPr>
          <w:rFonts w:cs="Arial"/>
          <w:b/>
          <w:bCs/>
          <w:szCs w:val="20"/>
        </w:rPr>
      </w:pPr>
    </w:p>
    <w:p w:rsidR="0014362F" w:rsidRPr="00815544" w:rsidRDefault="0014362F" w:rsidP="0014362F">
      <w:pPr>
        <w:jc w:val="both"/>
        <w:rPr>
          <w:rFonts w:cs="Arial"/>
          <w:szCs w:val="20"/>
        </w:rPr>
      </w:pPr>
      <w:r w:rsidRPr="00815544">
        <w:rPr>
          <w:rFonts w:cs="Arial"/>
          <w:szCs w:val="20"/>
        </w:rPr>
        <w:t>V nadaljevanju sledi prikaz ureditve v pravnih sistemih.</w:t>
      </w:r>
    </w:p>
    <w:p w:rsidR="0014362F" w:rsidRPr="00815544" w:rsidRDefault="0014362F" w:rsidP="0014362F">
      <w:pPr>
        <w:jc w:val="both"/>
        <w:rPr>
          <w:rFonts w:cs="Arial"/>
          <w:szCs w:val="20"/>
        </w:rPr>
      </w:pPr>
    </w:p>
    <w:p w:rsidR="0014362F" w:rsidRPr="00815544" w:rsidRDefault="0014362F" w:rsidP="0014362F">
      <w:pPr>
        <w:jc w:val="both"/>
        <w:rPr>
          <w:rFonts w:cs="Arial"/>
          <w:b/>
          <w:bCs/>
          <w:szCs w:val="20"/>
        </w:rPr>
      </w:pPr>
      <w:r w:rsidRPr="00815544">
        <w:rPr>
          <w:rFonts w:cs="Arial"/>
          <w:b/>
          <w:bCs/>
          <w:szCs w:val="20"/>
        </w:rPr>
        <w:t xml:space="preserve">Luksemburg </w:t>
      </w:r>
    </w:p>
    <w:p w:rsidR="0014362F" w:rsidRPr="00815544" w:rsidRDefault="0014362F" w:rsidP="0014362F">
      <w:pPr>
        <w:jc w:val="both"/>
        <w:rPr>
          <w:rFonts w:cs="Arial"/>
          <w:szCs w:val="20"/>
        </w:rPr>
      </w:pPr>
      <w:r w:rsidRPr="00815544">
        <w:rPr>
          <w:rFonts w:cs="Arial"/>
          <w:szCs w:val="20"/>
        </w:rPr>
        <w:t>4. marca 2022 je bil sprejet zakon</w:t>
      </w:r>
      <w:r w:rsidRPr="00815544">
        <w:rPr>
          <w:rStyle w:val="Sprotnaopomba-sklic"/>
          <w:rFonts w:cs="Arial"/>
          <w:szCs w:val="20"/>
        </w:rPr>
        <w:footnoteReference w:id="2"/>
      </w:r>
      <w:r w:rsidRPr="00815544">
        <w:rPr>
          <w:rFonts w:cs="Arial"/>
          <w:szCs w:val="20"/>
        </w:rPr>
        <w:t xml:space="preserve"> z dne 25. februarja 2022, ki med drugim določa pravila o Uredbi 2019/1238/EU. Zakon določa imenovanje Komisariata za nadzor financ (</w:t>
      </w:r>
      <w:proofErr w:type="spellStart"/>
      <w:r w:rsidRPr="00815544">
        <w:rPr>
          <w:rFonts w:cs="Arial"/>
          <w:szCs w:val="20"/>
        </w:rPr>
        <w:t>Commission</w:t>
      </w:r>
      <w:proofErr w:type="spellEnd"/>
      <w:r w:rsidRPr="00815544">
        <w:rPr>
          <w:rFonts w:cs="Arial"/>
          <w:szCs w:val="20"/>
        </w:rPr>
        <w:t xml:space="preserve"> de </w:t>
      </w:r>
      <w:proofErr w:type="spellStart"/>
      <w:r w:rsidRPr="00815544">
        <w:rPr>
          <w:rFonts w:cs="Arial"/>
          <w:szCs w:val="20"/>
        </w:rPr>
        <w:t>surveillance</w:t>
      </w:r>
      <w:proofErr w:type="spellEnd"/>
      <w:r w:rsidRPr="00815544">
        <w:rPr>
          <w:rFonts w:cs="Arial"/>
          <w:szCs w:val="20"/>
        </w:rPr>
        <w:t xml:space="preserve"> </w:t>
      </w:r>
      <w:proofErr w:type="spellStart"/>
      <w:r w:rsidRPr="00815544">
        <w:rPr>
          <w:rFonts w:cs="Arial"/>
          <w:szCs w:val="20"/>
        </w:rPr>
        <w:t>du</w:t>
      </w:r>
      <w:proofErr w:type="spellEnd"/>
      <w:r w:rsidRPr="00815544">
        <w:rPr>
          <w:rFonts w:cs="Arial"/>
          <w:szCs w:val="20"/>
        </w:rPr>
        <w:t xml:space="preserve"> </w:t>
      </w:r>
      <w:proofErr w:type="spellStart"/>
      <w:r w:rsidRPr="00815544">
        <w:rPr>
          <w:rFonts w:cs="Arial"/>
          <w:szCs w:val="20"/>
        </w:rPr>
        <w:t>secteur</w:t>
      </w:r>
      <w:proofErr w:type="spellEnd"/>
      <w:r w:rsidRPr="00815544">
        <w:rPr>
          <w:rFonts w:cs="Arial"/>
          <w:szCs w:val="20"/>
        </w:rPr>
        <w:t xml:space="preserve"> financier, v nadaljnjem besedilu: CSSF) in Komisariata za zavarovalništvo (</w:t>
      </w:r>
      <w:proofErr w:type="spellStart"/>
      <w:r w:rsidRPr="00815544">
        <w:rPr>
          <w:rFonts w:cs="Arial"/>
          <w:szCs w:val="20"/>
        </w:rPr>
        <w:t>Commissariat</w:t>
      </w:r>
      <w:proofErr w:type="spellEnd"/>
      <w:r w:rsidRPr="00815544">
        <w:rPr>
          <w:rFonts w:cs="Arial"/>
          <w:szCs w:val="20"/>
        </w:rPr>
        <w:t xml:space="preserve"> </w:t>
      </w:r>
      <w:proofErr w:type="spellStart"/>
      <w:r w:rsidRPr="00815544">
        <w:rPr>
          <w:rFonts w:cs="Arial"/>
          <w:szCs w:val="20"/>
        </w:rPr>
        <w:t>aux</w:t>
      </w:r>
      <w:proofErr w:type="spellEnd"/>
      <w:r w:rsidRPr="00815544">
        <w:rPr>
          <w:rFonts w:cs="Arial"/>
          <w:szCs w:val="20"/>
        </w:rPr>
        <w:t xml:space="preserve"> </w:t>
      </w:r>
      <w:proofErr w:type="spellStart"/>
      <w:r w:rsidRPr="00815544">
        <w:rPr>
          <w:rFonts w:cs="Arial"/>
          <w:szCs w:val="20"/>
        </w:rPr>
        <w:t>Assurances</w:t>
      </w:r>
      <w:proofErr w:type="spellEnd"/>
      <w:r w:rsidRPr="00815544">
        <w:rPr>
          <w:rFonts w:cs="Arial"/>
          <w:szCs w:val="20"/>
        </w:rPr>
        <w:t>, v nadaljnjem besedilu: CAA) kot pristojna organa za nadzor skladnosti z okvirom PEPP in opisuje pooblastila, dodeljena CSSF in CAA, vključno z veljavnimi pooblastili za sankcioniranje.</w:t>
      </w:r>
    </w:p>
    <w:p w:rsidR="0014362F" w:rsidRPr="00815544" w:rsidRDefault="0014362F" w:rsidP="0014362F">
      <w:pPr>
        <w:jc w:val="both"/>
        <w:rPr>
          <w:rFonts w:cs="Arial"/>
          <w:szCs w:val="20"/>
        </w:rPr>
      </w:pPr>
    </w:p>
    <w:p w:rsidR="0014362F" w:rsidRPr="00815544" w:rsidRDefault="0014362F" w:rsidP="0014362F">
      <w:pPr>
        <w:jc w:val="both"/>
        <w:rPr>
          <w:rFonts w:cs="Arial"/>
          <w:szCs w:val="20"/>
        </w:rPr>
      </w:pPr>
      <w:r w:rsidRPr="00815544">
        <w:rPr>
          <w:rFonts w:cs="Arial"/>
          <w:szCs w:val="20"/>
        </w:rPr>
        <w:t>Uredba 2019/1238/EU vzpostavlja nov osebni pokojninski produkt z vseevropskimi značilnostmi. Prispeva k enotnemu evropskemu trgu zasebnih pokojnin in želi varčevalcem omogočiti več izbire ter jim zagotoviti konkurenčnejše osebne pokojninske produkte pri varčevanju za upokojitev, hkrati pa jim nudi ustrezno zaščito. Ponudniki PEPP bodo lahko imeli koristi od enotnega trga EU za osebne pokojnine, vključno z enotnim  potnim listom EU. Objavljeni zakon je priložnost za Luksemburg, da izkoristi ta novi pokojninski produkt in postane glavna lokacija za ustvarjanje in distribucijo takšnih čezmejnih produktov.</w:t>
      </w:r>
    </w:p>
    <w:p w:rsidR="0014362F" w:rsidRPr="00815544" w:rsidRDefault="0014362F" w:rsidP="0014362F">
      <w:pPr>
        <w:jc w:val="both"/>
        <w:rPr>
          <w:rFonts w:cs="Arial"/>
          <w:szCs w:val="20"/>
        </w:rPr>
      </w:pPr>
    </w:p>
    <w:p w:rsidR="0014362F" w:rsidRPr="00815544" w:rsidRDefault="0014362F" w:rsidP="0014362F">
      <w:pPr>
        <w:jc w:val="both"/>
        <w:rPr>
          <w:rFonts w:cs="Arial"/>
          <w:szCs w:val="20"/>
        </w:rPr>
      </w:pPr>
      <w:r w:rsidRPr="00815544">
        <w:rPr>
          <w:rFonts w:cs="Arial"/>
          <w:b/>
          <w:bCs/>
          <w:szCs w:val="20"/>
        </w:rPr>
        <w:t>Hrvaška</w:t>
      </w:r>
    </w:p>
    <w:p w:rsidR="0014362F" w:rsidRPr="00815544" w:rsidRDefault="0014362F" w:rsidP="0014362F">
      <w:pPr>
        <w:jc w:val="both"/>
        <w:rPr>
          <w:rFonts w:cs="Arial"/>
          <w:szCs w:val="20"/>
        </w:rPr>
      </w:pPr>
      <w:r w:rsidRPr="00815544">
        <w:rPr>
          <w:rFonts w:cs="Arial"/>
          <w:szCs w:val="20"/>
        </w:rPr>
        <w:t xml:space="preserve">Hrvaška je 8. junija 2022 objavila predlog zakona o vseevropskem pokojninskem sistemu za namen posvetovanja z javnostjo.  </w:t>
      </w:r>
    </w:p>
    <w:p w:rsidR="0014362F" w:rsidRPr="00815544" w:rsidRDefault="0014362F" w:rsidP="0014362F">
      <w:pPr>
        <w:jc w:val="both"/>
        <w:rPr>
          <w:rFonts w:cs="Arial"/>
          <w:szCs w:val="20"/>
        </w:rPr>
      </w:pPr>
    </w:p>
    <w:p w:rsidR="0014362F" w:rsidRPr="00815544" w:rsidRDefault="0014362F" w:rsidP="0014362F">
      <w:pPr>
        <w:jc w:val="both"/>
        <w:rPr>
          <w:rFonts w:cs="Arial"/>
          <w:szCs w:val="20"/>
        </w:rPr>
      </w:pPr>
      <w:r w:rsidRPr="00815544">
        <w:rPr>
          <w:rFonts w:cs="Arial"/>
          <w:szCs w:val="20"/>
        </w:rPr>
        <w:t xml:space="preserve">PEPP bo uvrščen v hrvaški tretji steber pokojninskega sistema, nadzor bo izvajala hrvaška agencija za nadzor finančnih storitev (HANFA) v sodelovanju z EIOPA. Varčevanje za starost v PEPP bo prostovoljno, velika prednost vseevropskega tretjega stebra pred drugimi, ki varčujejo za starost je, da se bo prosto prenašala iz ene države članice v drugo. Mladi, ki pogosto menjajo kraj dela in prebivališča znotraj EU, bodo lahko svobodno vzeli svoje prihranke s seboj in še naprej vlagali na svoj pokojninski račun ne glede na to, ali živijo na Hrvaškem, v Franciji, na Irskem ali Švedskem in ne glede na to, kje so ga odprli. Nomadski življenjski slog in delo sta </w:t>
      </w:r>
      <w:r w:rsidRPr="00815544">
        <w:rPr>
          <w:rFonts w:cs="Arial"/>
          <w:szCs w:val="20"/>
        </w:rPr>
        <w:lastRenderedPageBreak/>
        <w:t>dobila tudi nomadski pokojninski produkt, ki naj bi po 20, 30 ali 40 letih skupnega varčevanja prinesel podobno ali enako višino pokojnine tistim, ki so vlagali v vseevropski tretji steber.</w:t>
      </w:r>
    </w:p>
    <w:p w:rsidR="0014362F" w:rsidRPr="00815544" w:rsidRDefault="0014362F" w:rsidP="0014362F">
      <w:pPr>
        <w:jc w:val="both"/>
        <w:rPr>
          <w:rFonts w:cs="Arial"/>
          <w:szCs w:val="20"/>
        </w:rPr>
      </w:pPr>
    </w:p>
    <w:p w:rsidR="0014362F" w:rsidRPr="00815544" w:rsidRDefault="0014362F" w:rsidP="0014362F">
      <w:pPr>
        <w:jc w:val="both"/>
        <w:rPr>
          <w:rFonts w:cs="Arial"/>
          <w:szCs w:val="20"/>
        </w:rPr>
      </w:pPr>
      <w:r w:rsidRPr="00815544">
        <w:rPr>
          <w:rFonts w:cs="Arial"/>
          <w:szCs w:val="20"/>
        </w:rPr>
        <w:t>Hrvaška ima tri pokojninske stebre, kljub temu je druga najslabša država članica EU za Irsko po višini pokojnin glede na plače, ki znaša 40 odstotkov.</w:t>
      </w:r>
    </w:p>
    <w:p w:rsidR="0014362F" w:rsidRPr="00815544" w:rsidRDefault="0014362F" w:rsidP="0014362F">
      <w:pPr>
        <w:jc w:val="both"/>
        <w:rPr>
          <w:rFonts w:cs="Arial"/>
          <w:szCs w:val="20"/>
        </w:rPr>
      </w:pPr>
    </w:p>
    <w:p w:rsidR="0014362F" w:rsidRPr="00815544" w:rsidRDefault="0014362F" w:rsidP="0014362F">
      <w:pPr>
        <w:jc w:val="both"/>
        <w:rPr>
          <w:rFonts w:cs="Arial"/>
          <w:szCs w:val="20"/>
        </w:rPr>
      </w:pPr>
      <w:r w:rsidRPr="00815544">
        <w:rPr>
          <w:rFonts w:cs="Arial"/>
          <w:b/>
          <w:bCs/>
          <w:szCs w:val="20"/>
        </w:rPr>
        <w:t>Avstrija</w:t>
      </w:r>
    </w:p>
    <w:p w:rsidR="0014362F" w:rsidRPr="00815544" w:rsidRDefault="0014362F" w:rsidP="0014362F">
      <w:pPr>
        <w:jc w:val="both"/>
        <w:rPr>
          <w:rFonts w:cs="Arial"/>
          <w:szCs w:val="20"/>
        </w:rPr>
      </w:pPr>
      <w:r w:rsidRPr="00815544">
        <w:rPr>
          <w:rFonts w:cs="Arial"/>
          <w:szCs w:val="20"/>
        </w:rPr>
        <w:t>10. junija 2022 je bil v Zveznem uradnem listu Avstrije objavljen Izvedbeni akt o vseevropskem zasebnem pokojninskem produktu (PEPP-</w:t>
      </w:r>
      <w:proofErr w:type="spellStart"/>
      <w:r w:rsidRPr="00815544">
        <w:rPr>
          <w:rFonts w:cs="Arial"/>
          <w:szCs w:val="20"/>
        </w:rPr>
        <w:t>Vollzugsgesetz</w:t>
      </w:r>
      <w:proofErr w:type="spellEnd"/>
      <w:r w:rsidRPr="00815544">
        <w:rPr>
          <w:rFonts w:cs="Arial"/>
          <w:szCs w:val="20"/>
        </w:rPr>
        <w:t xml:space="preserve">), ki služi za uveljavitev Uredbe 2019/1238/EU. </w:t>
      </w:r>
    </w:p>
    <w:p w:rsidR="0014362F" w:rsidRPr="00815544" w:rsidRDefault="0014362F" w:rsidP="0014362F">
      <w:pPr>
        <w:jc w:val="both"/>
        <w:rPr>
          <w:rFonts w:cs="Arial"/>
          <w:szCs w:val="20"/>
        </w:rPr>
      </w:pPr>
    </w:p>
    <w:p w:rsidR="0014362F" w:rsidRPr="00815544" w:rsidRDefault="0014362F" w:rsidP="0014362F">
      <w:pPr>
        <w:jc w:val="both"/>
        <w:rPr>
          <w:rFonts w:cs="Arial"/>
          <w:szCs w:val="20"/>
        </w:rPr>
      </w:pPr>
      <w:r w:rsidRPr="00815544">
        <w:rPr>
          <w:rFonts w:cs="Arial"/>
          <w:szCs w:val="20"/>
        </w:rPr>
        <w:t>Z izvedbenim aktom je avstrijski Organ za finančni trg (</w:t>
      </w:r>
      <w:proofErr w:type="spellStart"/>
      <w:r w:rsidRPr="00815544">
        <w:rPr>
          <w:rFonts w:cs="Arial"/>
          <w:szCs w:val="20"/>
        </w:rPr>
        <w:t>Finanzmarktaufsichtsbehörde</w:t>
      </w:r>
      <w:proofErr w:type="spellEnd"/>
      <w:r w:rsidRPr="00815544">
        <w:rPr>
          <w:rFonts w:cs="Arial"/>
          <w:szCs w:val="20"/>
        </w:rPr>
        <w:t xml:space="preserve"> oziroma FMA) imenovan za nacionalni organ, odgovoren za odobritev in nadzor ponudnikov in distributerjev PEPP, ter ima potrebna nadzorna pooblastila. Poleg tega bo FMA objavil odlok o merilih, po katerih se bo vrednotilo potrebno znanje in veščine fizičnih oseb, ki jim je zaupana ponudba in distribucija PEPP.</w:t>
      </w:r>
    </w:p>
    <w:p w:rsidR="0014362F" w:rsidRPr="00815544" w:rsidRDefault="0014362F" w:rsidP="0014362F">
      <w:pPr>
        <w:jc w:val="both"/>
        <w:rPr>
          <w:rFonts w:cs="Arial"/>
          <w:szCs w:val="20"/>
        </w:rPr>
      </w:pPr>
    </w:p>
    <w:p w:rsidR="0014362F" w:rsidRPr="00815544" w:rsidRDefault="0014362F" w:rsidP="0014362F">
      <w:pPr>
        <w:jc w:val="both"/>
        <w:rPr>
          <w:rFonts w:cs="Arial"/>
          <w:szCs w:val="20"/>
        </w:rPr>
      </w:pPr>
      <w:r w:rsidRPr="00815544">
        <w:rPr>
          <w:rFonts w:cs="Arial"/>
          <w:szCs w:val="20"/>
        </w:rPr>
        <w:t>Ponudniki PEPP morajo v vsakem primeru pripraviti nadzorniško poročilo PEPP vsaka tri leta, pa tudi po kakršni koli pomembni spremembi v poslovanju PEPP ali po kakršni koli spremembi PEPP, s čimer se zagotavlja izvajanje Delegirane uredbe Komisije (EU) 2021/896 z dne 24. februarja 2021 o dopolnitvi Uredbe (EU) 2019/1238 Evropskega parlamenta in Sveta v zvezi z dodatnimi informacijami za namene zbliževanja nadzornega poročanja in Izvedbene uredbe (EU) 2021/897 z dne 4. marca 2021 o izvedbenih tehničnih standardih za uporabo Uredbe (EU) 2019/1238 Evropskega parlamenta in Sveta v zvezi z obliko nadzornega poročanja pristojnim organom ter sodelovanjem in izmenjavo informacij med pristojnimi organi in z Evropskim organom za zavarovanja in poklicne pokojnine.</w:t>
      </w:r>
    </w:p>
    <w:p w:rsidR="0014362F" w:rsidRPr="00815544" w:rsidRDefault="0014362F" w:rsidP="0014362F">
      <w:pPr>
        <w:jc w:val="both"/>
        <w:rPr>
          <w:rFonts w:cs="Arial"/>
          <w:szCs w:val="20"/>
        </w:rPr>
      </w:pPr>
    </w:p>
    <w:p w:rsidR="0014362F" w:rsidRPr="00815544" w:rsidRDefault="0014362F" w:rsidP="0014362F">
      <w:pPr>
        <w:numPr>
          <w:ilvl w:val="0"/>
          <w:numId w:val="4"/>
        </w:numPr>
        <w:rPr>
          <w:rFonts w:cs="Arial"/>
          <w:b/>
          <w:szCs w:val="20"/>
        </w:rPr>
      </w:pPr>
      <w:r w:rsidRPr="00815544">
        <w:rPr>
          <w:rFonts w:cs="Arial"/>
          <w:b/>
          <w:szCs w:val="20"/>
        </w:rPr>
        <w:t>PRESOJA POSLEDIC, KI JIH BO IMEL SPREJEM ZAKONA</w:t>
      </w:r>
    </w:p>
    <w:p w:rsidR="0014362F" w:rsidRPr="00815544" w:rsidRDefault="0014362F" w:rsidP="0014362F">
      <w:pPr>
        <w:jc w:val="both"/>
        <w:rPr>
          <w:rFonts w:cs="Arial"/>
          <w:szCs w:val="20"/>
        </w:rPr>
      </w:pPr>
    </w:p>
    <w:p w:rsidR="0014362F" w:rsidRPr="00815544" w:rsidRDefault="0014362F" w:rsidP="0014362F">
      <w:pPr>
        <w:jc w:val="both"/>
        <w:rPr>
          <w:rFonts w:cs="Arial"/>
          <w:szCs w:val="20"/>
        </w:rPr>
      </w:pPr>
      <w:r w:rsidRPr="00815544">
        <w:rPr>
          <w:rFonts w:cs="Arial"/>
          <w:b/>
          <w:szCs w:val="20"/>
        </w:rPr>
        <w:t>5.1 Presoja administrativnih posledic</w:t>
      </w:r>
    </w:p>
    <w:p w:rsidR="0014362F" w:rsidRPr="00815544" w:rsidRDefault="0014362F" w:rsidP="0014362F">
      <w:pPr>
        <w:jc w:val="both"/>
        <w:rPr>
          <w:rFonts w:cs="Arial"/>
          <w:b/>
          <w:szCs w:val="20"/>
        </w:rPr>
      </w:pPr>
    </w:p>
    <w:p w:rsidR="0014362F" w:rsidRPr="00815544" w:rsidRDefault="0014362F" w:rsidP="0014362F">
      <w:pPr>
        <w:jc w:val="both"/>
        <w:rPr>
          <w:rFonts w:cs="Arial"/>
          <w:b/>
          <w:szCs w:val="20"/>
        </w:rPr>
      </w:pPr>
      <w:r w:rsidRPr="00815544">
        <w:rPr>
          <w:rFonts w:cs="Arial"/>
          <w:b/>
          <w:szCs w:val="20"/>
        </w:rPr>
        <w:t>a) v postopkih oziroma poslovanju javne uprave ali pravosodnih organov:</w:t>
      </w:r>
    </w:p>
    <w:p w:rsidR="0014362F" w:rsidRPr="00815544" w:rsidRDefault="0014362F" w:rsidP="0014362F">
      <w:pPr>
        <w:jc w:val="both"/>
        <w:rPr>
          <w:rFonts w:cs="Arial"/>
          <w:szCs w:val="20"/>
        </w:rPr>
      </w:pPr>
      <w:r w:rsidRPr="00815544">
        <w:rPr>
          <w:rFonts w:cs="Arial"/>
          <w:szCs w:val="20"/>
        </w:rPr>
        <w:t>Ni posledic.</w:t>
      </w:r>
    </w:p>
    <w:p w:rsidR="0014362F" w:rsidRPr="00815544" w:rsidRDefault="0014362F" w:rsidP="0014362F">
      <w:pPr>
        <w:jc w:val="both"/>
        <w:rPr>
          <w:rFonts w:cs="Arial"/>
          <w:b/>
          <w:szCs w:val="20"/>
        </w:rPr>
      </w:pPr>
    </w:p>
    <w:p w:rsidR="0014362F" w:rsidRPr="00815544" w:rsidRDefault="0014362F" w:rsidP="0014362F">
      <w:pPr>
        <w:jc w:val="both"/>
        <w:rPr>
          <w:rFonts w:cs="Arial"/>
          <w:szCs w:val="20"/>
        </w:rPr>
      </w:pPr>
      <w:r w:rsidRPr="00815544">
        <w:rPr>
          <w:rFonts w:cs="Arial"/>
          <w:b/>
          <w:szCs w:val="20"/>
        </w:rPr>
        <w:t>b) pri obveznostih strank do javne uprave ali pravosodnih organov:</w:t>
      </w:r>
    </w:p>
    <w:p w:rsidR="0014362F" w:rsidRPr="00815544" w:rsidRDefault="0014362F" w:rsidP="0014362F">
      <w:pPr>
        <w:jc w:val="both"/>
        <w:rPr>
          <w:rFonts w:cs="Arial"/>
          <w:szCs w:val="20"/>
        </w:rPr>
      </w:pPr>
      <w:r w:rsidRPr="00815544">
        <w:rPr>
          <w:rFonts w:cs="Arial"/>
          <w:szCs w:val="20"/>
        </w:rPr>
        <w:t>Ni posledic.</w:t>
      </w:r>
    </w:p>
    <w:p w:rsidR="0014362F" w:rsidRPr="00815544" w:rsidRDefault="0014362F" w:rsidP="0014362F">
      <w:pPr>
        <w:jc w:val="both"/>
        <w:rPr>
          <w:rFonts w:cs="Arial"/>
          <w:b/>
          <w:szCs w:val="20"/>
        </w:rPr>
      </w:pPr>
    </w:p>
    <w:p w:rsidR="0014362F" w:rsidRPr="00815544" w:rsidRDefault="0014362F" w:rsidP="0014362F">
      <w:pPr>
        <w:jc w:val="both"/>
        <w:rPr>
          <w:rFonts w:cs="Arial"/>
          <w:b/>
          <w:szCs w:val="20"/>
        </w:rPr>
      </w:pPr>
      <w:r w:rsidRPr="00815544">
        <w:rPr>
          <w:rFonts w:cs="Arial"/>
          <w:b/>
          <w:szCs w:val="20"/>
        </w:rPr>
        <w:t>5.2. Presoja posledic za okolje, vključno s prostorskimi in varstvenimi vidiki</w:t>
      </w:r>
    </w:p>
    <w:p w:rsidR="0014362F" w:rsidRPr="00815544" w:rsidRDefault="0014362F" w:rsidP="0014362F">
      <w:pPr>
        <w:jc w:val="both"/>
        <w:rPr>
          <w:rFonts w:cs="Arial"/>
          <w:szCs w:val="20"/>
        </w:rPr>
      </w:pPr>
      <w:r w:rsidRPr="00815544">
        <w:rPr>
          <w:rFonts w:cs="Arial"/>
          <w:szCs w:val="20"/>
        </w:rPr>
        <w:t>Predlog zakona nima posledic za okolje.</w:t>
      </w:r>
    </w:p>
    <w:p w:rsidR="0014362F" w:rsidRPr="00815544" w:rsidRDefault="0014362F" w:rsidP="0014362F">
      <w:pPr>
        <w:jc w:val="both"/>
        <w:rPr>
          <w:rFonts w:cs="Arial"/>
          <w:b/>
          <w:szCs w:val="20"/>
        </w:rPr>
      </w:pPr>
    </w:p>
    <w:p w:rsidR="0014362F" w:rsidRPr="00815544" w:rsidRDefault="0014362F" w:rsidP="0014362F">
      <w:pPr>
        <w:jc w:val="both"/>
        <w:rPr>
          <w:rFonts w:cs="Arial"/>
          <w:b/>
          <w:szCs w:val="20"/>
        </w:rPr>
      </w:pPr>
      <w:r w:rsidRPr="00815544">
        <w:rPr>
          <w:rFonts w:cs="Arial"/>
          <w:b/>
          <w:szCs w:val="20"/>
        </w:rPr>
        <w:t>5.3. Presoja posledic za gospodarstvo</w:t>
      </w:r>
    </w:p>
    <w:p w:rsidR="0014362F" w:rsidRPr="00815544" w:rsidRDefault="0014362F" w:rsidP="0014362F">
      <w:pPr>
        <w:jc w:val="both"/>
        <w:rPr>
          <w:rFonts w:cs="Arial"/>
          <w:szCs w:val="20"/>
        </w:rPr>
      </w:pPr>
      <w:r w:rsidRPr="00815544">
        <w:rPr>
          <w:rFonts w:cs="Arial"/>
          <w:szCs w:val="20"/>
        </w:rPr>
        <w:t>Osebna pokojninska zavarovanja imajo zaradi dolgoročnih sredstev pomembno vlogo pri spodbujanju kapitalskih naložb in gospodarstva. Enotni evropski trg za osebna pokojninska zavarovanja bo institucionalnim investitorjem omogočal večji obseg poslovanja in hkrati večji obseg dolgoročnih sredstev za naložbe v realno gospodarstvo.</w:t>
      </w:r>
    </w:p>
    <w:p w:rsidR="0014362F" w:rsidRPr="00815544" w:rsidRDefault="0014362F" w:rsidP="0014362F">
      <w:pPr>
        <w:jc w:val="both"/>
        <w:rPr>
          <w:rFonts w:cs="Arial"/>
          <w:b/>
          <w:szCs w:val="20"/>
        </w:rPr>
      </w:pPr>
    </w:p>
    <w:p w:rsidR="0014362F" w:rsidRPr="00815544" w:rsidRDefault="0014362F" w:rsidP="0014362F">
      <w:pPr>
        <w:jc w:val="both"/>
        <w:rPr>
          <w:rFonts w:cs="Arial"/>
          <w:b/>
          <w:szCs w:val="20"/>
        </w:rPr>
      </w:pPr>
      <w:r w:rsidRPr="00815544">
        <w:rPr>
          <w:rFonts w:cs="Arial"/>
          <w:b/>
          <w:szCs w:val="20"/>
        </w:rPr>
        <w:t>5.4. Presoja posledic za socialno področje</w:t>
      </w:r>
    </w:p>
    <w:p w:rsidR="0014362F" w:rsidRPr="00815544" w:rsidRDefault="0014362F" w:rsidP="0014362F">
      <w:pPr>
        <w:jc w:val="both"/>
        <w:rPr>
          <w:rFonts w:cs="Arial"/>
          <w:szCs w:val="20"/>
        </w:rPr>
      </w:pPr>
      <w:r w:rsidRPr="00815544">
        <w:rPr>
          <w:rFonts w:cs="Arial"/>
          <w:szCs w:val="20"/>
        </w:rPr>
        <w:t xml:space="preserve">Pobuda EU o osebnih pokojninskih zavarovanjih bi lahko dopolnila trenutna različna pravila na ravni Evropske unije in držav, saj bi dodala vseevropski okvir pokojnin za posameznike, ki želijo izkoristiti to dodatno možnost varčevanja. Ta okvir ne bo nadomestil ali uskladil sedanjih nacionalnih pokojninskih sistemov in predvsem ne obstoječih dodatnih pokojninskih zavarovanj, temveč jih bo dopolnil. </w:t>
      </w:r>
    </w:p>
    <w:p w:rsidR="0014362F" w:rsidRPr="00815544" w:rsidRDefault="0014362F" w:rsidP="0014362F">
      <w:pPr>
        <w:jc w:val="both"/>
        <w:rPr>
          <w:rFonts w:cs="Arial"/>
          <w:b/>
          <w:szCs w:val="20"/>
        </w:rPr>
      </w:pPr>
    </w:p>
    <w:p w:rsidR="0014362F" w:rsidRPr="00815544" w:rsidRDefault="0014362F" w:rsidP="0014362F">
      <w:pPr>
        <w:jc w:val="both"/>
        <w:rPr>
          <w:rFonts w:cs="Arial"/>
          <w:b/>
          <w:szCs w:val="20"/>
        </w:rPr>
      </w:pPr>
      <w:r w:rsidRPr="00815544">
        <w:rPr>
          <w:rFonts w:cs="Arial"/>
          <w:b/>
          <w:szCs w:val="20"/>
        </w:rPr>
        <w:lastRenderedPageBreak/>
        <w:t>5.5. Presoja posledic za dokumente razvojnega načrtovanja</w:t>
      </w:r>
    </w:p>
    <w:p w:rsidR="0014362F" w:rsidRPr="00815544" w:rsidRDefault="0014362F" w:rsidP="0014362F">
      <w:pPr>
        <w:jc w:val="both"/>
        <w:rPr>
          <w:rFonts w:cs="Arial"/>
          <w:szCs w:val="20"/>
        </w:rPr>
      </w:pPr>
      <w:r w:rsidRPr="00815544">
        <w:rPr>
          <w:rFonts w:cs="Arial"/>
          <w:szCs w:val="20"/>
        </w:rPr>
        <w:t>Predlog zakona nima posledic za dokumente razvojnega načrtovanja.</w:t>
      </w:r>
    </w:p>
    <w:p w:rsidR="0014362F" w:rsidRPr="00815544" w:rsidRDefault="0014362F" w:rsidP="0014362F">
      <w:pPr>
        <w:jc w:val="both"/>
        <w:rPr>
          <w:rFonts w:cs="Arial"/>
          <w:b/>
          <w:szCs w:val="20"/>
        </w:rPr>
      </w:pPr>
    </w:p>
    <w:p w:rsidR="0014362F" w:rsidRPr="00815544" w:rsidRDefault="0014362F" w:rsidP="0014362F">
      <w:pPr>
        <w:jc w:val="both"/>
        <w:rPr>
          <w:rFonts w:cs="Arial"/>
          <w:b/>
          <w:szCs w:val="20"/>
        </w:rPr>
      </w:pPr>
      <w:r w:rsidRPr="00815544">
        <w:rPr>
          <w:rFonts w:cs="Arial"/>
          <w:b/>
          <w:szCs w:val="20"/>
        </w:rPr>
        <w:t>5.6. Presoja posledic za druga področja</w:t>
      </w:r>
    </w:p>
    <w:p w:rsidR="0014362F" w:rsidRPr="00815544" w:rsidRDefault="0014362F" w:rsidP="0014362F">
      <w:pPr>
        <w:jc w:val="both"/>
        <w:rPr>
          <w:rFonts w:cs="Arial"/>
          <w:szCs w:val="20"/>
        </w:rPr>
      </w:pPr>
      <w:r w:rsidRPr="00815544">
        <w:rPr>
          <w:rFonts w:cs="Arial"/>
          <w:szCs w:val="20"/>
        </w:rPr>
        <w:t>Predlog zakona nima posledic za druga področja.</w:t>
      </w:r>
    </w:p>
    <w:p w:rsidR="0014362F" w:rsidRPr="00815544" w:rsidRDefault="0014362F" w:rsidP="0014362F">
      <w:pPr>
        <w:jc w:val="both"/>
        <w:rPr>
          <w:rFonts w:cs="Arial"/>
          <w:b/>
          <w:szCs w:val="20"/>
        </w:rPr>
      </w:pPr>
    </w:p>
    <w:p w:rsidR="0014362F" w:rsidRPr="00815544" w:rsidRDefault="0014362F" w:rsidP="0014362F">
      <w:pPr>
        <w:jc w:val="both"/>
        <w:rPr>
          <w:rFonts w:cs="Arial"/>
          <w:b/>
          <w:szCs w:val="20"/>
        </w:rPr>
      </w:pPr>
      <w:r w:rsidRPr="00815544">
        <w:rPr>
          <w:rFonts w:cs="Arial"/>
          <w:b/>
          <w:szCs w:val="20"/>
        </w:rPr>
        <w:t>5.7. Izvajanje sprejetega predpisa</w:t>
      </w:r>
    </w:p>
    <w:p w:rsidR="0014362F" w:rsidRPr="00815544" w:rsidRDefault="0014362F" w:rsidP="0014362F">
      <w:pPr>
        <w:jc w:val="both"/>
        <w:rPr>
          <w:rFonts w:cs="Arial"/>
          <w:szCs w:val="20"/>
        </w:rPr>
      </w:pPr>
      <w:r w:rsidRPr="00815544">
        <w:rPr>
          <w:rFonts w:cs="Arial"/>
          <w:szCs w:val="20"/>
        </w:rPr>
        <w:t>Izvajanje predpisa se bo spremljalo v sodelovanju z agencijo.</w:t>
      </w:r>
    </w:p>
    <w:p w:rsidR="0014362F" w:rsidRPr="00815544" w:rsidRDefault="0014362F" w:rsidP="0014362F">
      <w:pPr>
        <w:jc w:val="both"/>
        <w:rPr>
          <w:rFonts w:cs="Arial"/>
          <w:b/>
          <w:szCs w:val="20"/>
        </w:rPr>
      </w:pPr>
    </w:p>
    <w:p w:rsidR="0014362F" w:rsidRPr="00815544" w:rsidRDefault="0014362F" w:rsidP="0014362F">
      <w:pPr>
        <w:jc w:val="both"/>
        <w:rPr>
          <w:rFonts w:cs="Arial"/>
          <w:b/>
          <w:szCs w:val="20"/>
        </w:rPr>
      </w:pPr>
      <w:r w:rsidRPr="00815544">
        <w:rPr>
          <w:rFonts w:cs="Arial"/>
          <w:b/>
          <w:szCs w:val="20"/>
        </w:rPr>
        <w:t>5.8. Druge pomembne okoliščine v zvezi z vprašanji, ki jih ureja predlog zakona</w:t>
      </w:r>
    </w:p>
    <w:p w:rsidR="0014362F" w:rsidRPr="00815544" w:rsidRDefault="0014362F" w:rsidP="0014362F">
      <w:pPr>
        <w:rPr>
          <w:rFonts w:cs="Arial"/>
          <w:szCs w:val="20"/>
        </w:rPr>
      </w:pPr>
      <w:r w:rsidRPr="00815544">
        <w:rPr>
          <w:rFonts w:cs="Arial"/>
          <w:szCs w:val="20"/>
        </w:rPr>
        <w:t>V zvezi s predlogom zakona ni drugih pomembnih okoliščin.</w:t>
      </w:r>
    </w:p>
    <w:p w:rsidR="0014362F" w:rsidRPr="00815544" w:rsidRDefault="0014362F" w:rsidP="0014362F">
      <w:pPr>
        <w:rPr>
          <w:rFonts w:cs="Arial"/>
          <w:szCs w:val="20"/>
        </w:rPr>
      </w:pPr>
    </w:p>
    <w:p w:rsidR="0014362F" w:rsidRPr="00815544" w:rsidRDefault="0014362F" w:rsidP="0014362F">
      <w:pPr>
        <w:numPr>
          <w:ilvl w:val="0"/>
          <w:numId w:val="4"/>
        </w:numPr>
        <w:rPr>
          <w:rFonts w:cs="Arial"/>
          <w:b/>
          <w:szCs w:val="20"/>
        </w:rPr>
      </w:pPr>
      <w:r w:rsidRPr="00815544">
        <w:rPr>
          <w:rFonts w:cs="Arial"/>
          <w:b/>
          <w:szCs w:val="20"/>
        </w:rPr>
        <w:t>PRIKAZ SODELOVANJA JAVNOSTI PRI PRIPRAVI PREDLOGA ZAKONA</w:t>
      </w:r>
    </w:p>
    <w:p w:rsidR="0014362F" w:rsidRPr="00815544" w:rsidRDefault="0014362F" w:rsidP="0014362F">
      <w:pPr>
        <w:rPr>
          <w:rFonts w:cs="Arial"/>
          <w:b/>
          <w:szCs w:val="20"/>
        </w:rPr>
      </w:pPr>
    </w:p>
    <w:p w:rsidR="0014362F" w:rsidRPr="00815544" w:rsidRDefault="0014362F" w:rsidP="0014362F">
      <w:pPr>
        <w:jc w:val="both"/>
        <w:rPr>
          <w:rFonts w:cs="Arial"/>
          <w:szCs w:val="20"/>
        </w:rPr>
      </w:pPr>
      <w:r w:rsidRPr="00815544">
        <w:rPr>
          <w:rFonts w:cs="Arial"/>
          <w:szCs w:val="20"/>
        </w:rPr>
        <w:t>Javna obravnava predloga zakona je potekala od 20. januarja do 3. februarja 2022.</w:t>
      </w:r>
    </w:p>
    <w:p w:rsidR="0014362F" w:rsidRPr="00815544" w:rsidRDefault="0014362F" w:rsidP="0014362F">
      <w:pPr>
        <w:jc w:val="both"/>
        <w:rPr>
          <w:rFonts w:cs="Arial"/>
          <w:szCs w:val="20"/>
        </w:rPr>
      </w:pPr>
    </w:p>
    <w:p w:rsidR="0014362F" w:rsidRPr="00815544" w:rsidRDefault="0014362F" w:rsidP="0014362F">
      <w:pPr>
        <w:pStyle w:val="Brezrazmikov"/>
        <w:spacing w:line="260" w:lineRule="exact"/>
        <w:jc w:val="both"/>
        <w:rPr>
          <w:rFonts w:cs="Arial"/>
          <w:iCs/>
          <w:szCs w:val="20"/>
          <w:lang w:val="sl-SI"/>
        </w:rPr>
      </w:pPr>
      <w:r w:rsidRPr="00815544">
        <w:rPr>
          <w:rFonts w:cs="Arial"/>
          <w:iCs/>
          <w:szCs w:val="20"/>
          <w:lang w:val="sl-SI"/>
        </w:rPr>
        <w:t xml:space="preserve">Spletni naslov objave na strani e-demokracija: </w:t>
      </w:r>
      <w:hyperlink r:id="rId7" w:history="1">
        <w:r w:rsidRPr="00815544">
          <w:rPr>
            <w:rStyle w:val="Hiperpovezava"/>
            <w:lang w:val="it-IT"/>
          </w:rPr>
          <w:t>https://e-uprava.gov.si/drzava-in-druzba/e-demokracija/predlogi-predpisov/predlog-predpisa.html?id=13500</w:t>
        </w:r>
      </w:hyperlink>
      <w:r w:rsidRPr="00815544">
        <w:rPr>
          <w:rFonts w:cs="Arial"/>
          <w:iCs/>
          <w:szCs w:val="20"/>
          <w:lang w:val="sl-SI"/>
        </w:rPr>
        <w:t>.</w:t>
      </w:r>
    </w:p>
    <w:p w:rsidR="0014362F" w:rsidRPr="00815544" w:rsidRDefault="0014362F" w:rsidP="0014362F">
      <w:pPr>
        <w:pStyle w:val="Brezrazmikov"/>
        <w:spacing w:line="260" w:lineRule="exact"/>
        <w:jc w:val="both"/>
        <w:rPr>
          <w:rFonts w:cs="Arial"/>
          <w:iCs/>
          <w:szCs w:val="20"/>
          <w:lang w:val="sl-SI"/>
        </w:rPr>
      </w:pPr>
    </w:p>
    <w:p w:rsidR="0014362F" w:rsidRPr="00815544" w:rsidRDefault="0014362F" w:rsidP="0014362F">
      <w:pPr>
        <w:pStyle w:val="Brezrazmikov"/>
        <w:spacing w:line="260" w:lineRule="exact"/>
        <w:jc w:val="both"/>
        <w:rPr>
          <w:rFonts w:cs="Arial"/>
          <w:iCs/>
          <w:szCs w:val="20"/>
          <w:lang w:val="sl-SI"/>
        </w:rPr>
      </w:pPr>
      <w:r w:rsidRPr="00815544">
        <w:rPr>
          <w:rFonts w:cs="Arial"/>
          <w:iCs/>
          <w:szCs w:val="20"/>
          <w:lang w:val="sl-SI"/>
        </w:rPr>
        <w:t xml:space="preserve">V času javne obravnave niso bile podane pripombe na predlog zakona. 14. februarja 2022 so na ministrstvo za finance prispele pisne pripombe Slovenskega zavarovalnega združenja (v nadaljnjem besedilu: SZZ). Na vprašanje SZZ glede izvajalcev pojasnjujemo, da so ponudniki PEPP določeni v 6. členu </w:t>
      </w:r>
      <w:r w:rsidRPr="00815544">
        <w:rPr>
          <w:rFonts w:cs="Arial"/>
          <w:bCs/>
          <w:szCs w:val="20"/>
          <w:lang w:val="sl-SI"/>
        </w:rPr>
        <w:t>Uredbe 2019/1238/EU</w:t>
      </w:r>
      <w:r w:rsidRPr="00815544">
        <w:rPr>
          <w:rFonts w:cs="Arial"/>
          <w:iCs/>
          <w:szCs w:val="20"/>
          <w:lang w:val="sl-SI"/>
        </w:rPr>
        <w:t xml:space="preserve"> (kreditne institucije, zavarovalnice, pokojninske družbe, institucije za poklicno pokojninsko zavarovanje, investicijska podjetja, investicijske družbe ali družbe za upravljanje, </w:t>
      </w:r>
      <w:r>
        <w:rPr>
          <w:rFonts w:cs="Arial"/>
          <w:iCs/>
          <w:szCs w:val="20"/>
          <w:lang w:val="sl-SI"/>
        </w:rPr>
        <w:t xml:space="preserve">upravljavci </w:t>
      </w:r>
      <w:r w:rsidRPr="00815544">
        <w:rPr>
          <w:rFonts w:cs="Arial"/>
          <w:iCs/>
          <w:szCs w:val="20"/>
          <w:lang w:val="sl-SI"/>
        </w:rPr>
        <w:t>alternativnih investicijskih skladov EU). Uredba 2019/1238/EU velja neposredno, zato v nacionalni zakonodaji ni treba posebej določati, da lahko ponujajo tudi PEPP.</w:t>
      </w:r>
    </w:p>
    <w:p w:rsidR="0014362F" w:rsidRPr="00815544" w:rsidRDefault="0014362F" w:rsidP="0014362F">
      <w:pPr>
        <w:pStyle w:val="Brezrazmikov"/>
        <w:spacing w:line="260" w:lineRule="exact"/>
        <w:jc w:val="both"/>
        <w:rPr>
          <w:rFonts w:cs="Arial"/>
          <w:iCs/>
          <w:szCs w:val="20"/>
          <w:lang w:val="sl-SI"/>
        </w:rPr>
      </w:pPr>
    </w:p>
    <w:p w:rsidR="0014362F" w:rsidRPr="00815544" w:rsidRDefault="0014362F" w:rsidP="0014362F">
      <w:pPr>
        <w:pStyle w:val="Brezrazmikov"/>
        <w:spacing w:line="260" w:lineRule="exact"/>
        <w:jc w:val="both"/>
        <w:rPr>
          <w:rFonts w:cs="Arial"/>
          <w:iCs/>
          <w:szCs w:val="20"/>
          <w:lang w:val="sl-SI"/>
        </w:rPr>
      </w:pPr>
      <w:r w:rsidRPr="00815544">
        <w:rPr>
          <w:rFonts w:cs="Arial"/>
          <w:iCs/>
          <w:szCs w:val="20"/>
          <w:lang w:val="sl-SI"/>
        </w:rPr>
        <w:t>Glede možnosti izplačila enkratnega zneska pred dopolnitvijo 65 let starosti ali upokojitvijo v okviru obveznega pokojninskega in invalidskega zavarovanja, če so za to podani utemeljeni razlogi v zvezi s socialnim položajem ali zdravstvenim stanjem varčevalca PEPP, se ne strinjamo z mnenjem SZZ, da gre pri predlogu te ureditve za ugodnejši položaj v primerjavi z individualnim dodatnim pokojninskim zavarovanjem. Zavarovanci individualnega dodatnega pokojninskega zavarovanja lahko namreč kadar koli izstopijo in zahtevajo izplačilo odkupne vrednosti sredstev v enkratnem znesku.</w:t>
      </w:r>
    </w:p>
    <w:p w:rsidR="0014362F" w:rsidRPr="00815544" w:rsidRDefault="0014362F" w:rsidP="0014362F">
      <w:pPr>
        <w:pStyle w:val="Brezrazmikov"/>
        <w:spacing w:line="260" w:lineRule="exact"/>
        <w:jc w:val="both"/>
        <w:rPr>
          <w:rFonts w:cs="Arial"/>
          <w:iCs/>
          <w:szCs w:val="20"/>
          <w:lang w:val="sl-SI"/>
        </w:rPr>
      </w:pPr>
    </w:p>
    <w:p w:rsidR="0014362F" w:rsidRPr="007346CD" w:rsidRDefault="0014362F" w:rsidP="0014362F">
      <w:pPr>
        <w:pStyle w:val="Brezrazmikov"/>
        <w:spacing w:line="260" w:lineRule="exact"/>
        <w:jc w:val="both"/>
        <w:rPr>
          <w:lang w:val="sl-SI"/>
        </w:rPr>
      </w:pPr>
      <w:r w:rsidRPr="007346CD">
        <w:rPr>
          <w:lang w:val="sl-SI"/>
        </w:rPr>
        <w:t>Glede umestitve PEPP v pokojninski sistem se strinjamo z mnenjem SZZ, da se ga umesti v III. pokojninski steber, kamor v Sloveniji uvrščamo vse druge oblike varčevanja za starost. Tega dejstva ni treba posebej definirati v členih predloga zakona, saj je to jasno in v zakonodaji niti ne obstaja uradna opredelitev pokojninskih stebrov. Takšna informacija je zato vključena v uvod tega predloga zakona.</w:t>
      </w:r>
    </w:p>
    <w:p w:rsidR="0014362F" w:rsidRPr="007346CD" w:rsidRDefault="0014362F" w:rsidP="0014362F">
      <w:pPr>
        <w:pStyle w:val="Brezrazmikov"/>
        <w:spacing w:line="260" w:lineRule="exact"/>
        <w:jc w:val="both"/>
        <w:rPr>
          <w:lang w:val="sl-SI"/>
        </w:rPr>
      </w:pPr>
    </w:p>
    <w:p w:rsidR="0014362F" w:rsidRPr="007346CD" w:rsidRDefault="0014362F" w:rsidP="0014362F">
      <w:pPr>
        <w:pStyle w:val="Brezrazmikov"/>
        <w:spacing w:line="260" w:lineRule="exact"/>
        <w:jc w:val="both"/>
        <w:rPr>
          <w:rFonts w:cs="Arial"/>
          <w:iCs/>
          <w:szCs w:val="20"/>
          <w:lang w:val="it-IT"/>
        </w:rPr>
      </w:pPr>
      <w:r w:rsidRPr="007346CD">
        <w:rPr>
          <w:rFonts w:cs="Arial"/>
          <w:iCs/>
          <w:szCs w:val="20"/>
          <w:lang w:val="it-IT"/>
        </w:rPr>
        <w:t>V zvezi s pripombo glede določnosti pogojev varčevanja in izplačevanja (8. in 9. člen predloga zakona) menimo, da so ti določeni dovolj natančno. Določeni so krog možnih varčevalcev PEPP (osebe, ki so dopolnile starost 15 let) ter pogoji za začetek faze izplačevanja privarčevanih sredstev v okviru PEPP (65 let starosti, upokojitev v obveznem pokojninskem in invalidskem zavarovanju, izjema v zvezi s socialnim položajem ali zdravstvenim stanjem varčevalca PEPP). Ministrstvo za delo, družino, socialne zadeve in enake možnosti bo v skladu z Uredbo 2019/1238/EU objavilo pogoje, določene s predlogom zakona.</w:t>
      </w:r>
    </w:p>
    <w:p w:rsidR="0014362F" w:rsidRPr="00DD53D2" w:rsidRDefault="0014362F" w:rsidP="0014362F">
      <w:pPr>
        <w:jc w:val="both"/>
      </w:pPr>
    </w:p>
    <w:p w:rsidR="0014362F" w:rsidRPr="00815544" w:rsidRDefault="0014362F" w:rsidP="0014362F">
      <w:pPr>
        <w:numPr>
          <w:ilvl w:val="0"/>
          <w:numId w:val="4"/>
        </w:numPr>
        <w:jc w:val="both"/>
        <w:rPr>
          <w:rFonts w:cs="Arial"/>
          <w:b/>
          <w:szCs w:val="20"/>
        </w:rPr>
      </w:pPr>
      <w:r w:rsidRPr="00815544">
        <w:rPr>
          <w:rFonts w:cs="Arial"/>
          <w:b/>
          <w:szCs w:val="20"/>
        </w:rPr>
        <w:t>PODATEK O ZUNANJEM STROKOVNJAKU OZIROMA PRAVNI OSEBI, KI JE SODELOVALA PRI PRIPRAVI PREDLOGA ZAKONA</w:t>
      </w:r>
    </w:p>
    <w:p w:rsidR="0014362F" w:rsidRPr="00815544" w:rsidRDefault="0014362F" w:rsidP="0014362F">
      <w:pPr>
        <w:rPr>
          <w:rFonts w:cs="Arial"/>
          <w:szCs w:val="20"/>
        </w:rPr>
      </w:pPr>
    </w:p>
    <w:p w:rsidR="0014362F" w:rsidRPr="00815544" w:rsidRDefault="0014362F" w:rsidP="0014362F">
      <w:pPr>
        <w:rPr>
          <w:rFonts w:cs="Arial"/>
          <w:szCs w:val="20"/>
        </w:rPr>
      </w:pPr>
      <w:r w:rsidRPr="00815544">
        <w:rPr>
          <w:rFonts w:cs="Arial"/>
          <w:szCs w:val="20"/>
        </w:rPr>
        <w:lastRenderedPageBreak/>
        <w:t>Pri pripravi predloga zakona niso sodelovali zunanji strokovnjaki oziroma pravne osebe.</w:t>
      </w:r>
    </w:p>
    <w:p w:rsidR="0014362F" w:rsidRPr="00815544" w:rsidRDefault="0014362F" w:rsidP="0014362F">
      <w:pPr>
        <w:rPr>
          <w:rFonts w:cs="Arial"/>
          <w:szCs w:val="20"/>
        </w:rPr>
      </w:pPr>
    </w:p>
    <w:p w:rsidR="0014362F" w:rsidRPr="00815544" w:rsidRDefault="0014362F" w:rsidP="0014362F">
      <w:pPr>
        <w:numPr>
          <w:ilvl w:val="0"/>
          <w:numId w:val="4"/>
        </w:numPr>
        <w:rPr>
          <w:rFonts w:cs="Arial"/>
          <w:b/>
          <w:szCs w:val="20"/>
        </w:rPr>
      </w:pPr>
      <w:r w:rsidRPr="00815544">
        <w:rPr>
          <w:rFonts w:cs="Arial"/>
          <w:b/>
          <w:szCs w:val="20"/>
        </w:rPr>
        <w:t>ZNESEK PLAČILA ZUNANJIH STROKOVNJAKOV</w:t>
      </w:r>
    </w:p>
    <w:p w:rsidR="0014362F" w:rsidRPr="00815544" w:rsidRDefault="0014362F" w:rsidP="0014362F">
      <w:pPr>
        <w:rPr>
          <w:rFonts w:cs="Arial"/>
          <w:szCs w:val="20"/>
          <w:lang w:eastAsia="ar-SA"/>
        </w:rPr>
      </w:pPr>
    </w:p>
    <w:p w:rsidR="0014362F" w:rsidRPr="00815544" w:rsidRDefault="0014362F" w:rsidP="0014362F">
      <w:pPr>
        <w:rPr>
          <w:rFonts w:cs="Arial"/>
          <w:bCs/>
          <w:szCs w:val="20"/>
        </w:rPr>
      </w:pPr>
      <w:r w:rsidRPr="00815544">
        <w:rPr>
          <w:rFonts w:cs="Arial"/>
          <w:szCs w:val="20"/>
          <w:lang w:eastAsia="ar-SA"/>
        </w:rPr>
        <w:t>Za pripravo predloga zakona ni bilo izvedenih plačil zunanjih strokovnjakov.</w:t>
      </w:r>
    </w:p>
    <w:p w:rsidR="0014362F" w:rsidRPr="00815544" w:rsidRDefault="0014362F" w:rsidP="0014362F">
      <w:pPr>
        <w:rPr>
          <w:rFonts w:cs="Arial"/>
          <w:b/>
          <w:szCs w:val="20"/>
        </w:rPr>
      </w:pPr>
    </w:p>
    <w:p w:rsidR="0014362F" w:rsidRPr="00815544" w:rsidRDefault="0014362F" w:rsidP="0014362F">
      <w:pPr>
        <w:numPr>
          <w:ilvl w:val="0"/>
          <w:numId w:val="4"/>
        </w:numPr>
        <w:rPr>
          <w:rFonts w:cs="Arial"/>
          <w:b/>
          <w:szCs w:val="20"/>
        </w:rPr>
      </w:pPr>
      <w:bookmarkStart w:id="9" w:name="_Hlk55899731"/>
      <w:r w:rsidRPr="00815544">
        <w:rPr>
          <w:rFonts w:cs="Arial"/>
          <w:b/>
          <w:szCs w:val="20"/>
        </w:rPr>
        <w:t>NAVEDBA, KATERI PREDSTAVNIKI PREDLAGATELJA BODO SODELOVALI PRI DELU DRŽAVNEGA ZBORA IN DELOVNIH TELES</w:t>
      </w:r>
    </w:p>
    <w:p w:rsidR="0014362F" w:rsidRPr="00815544" w:rsidRDefault="0014362F" w:rsidP="0014362F">
      <w:pPr>
        <w:rPr>
          <w:rFonts w:cs="Arial"/>
          <w:b/>
          <w:szCs w:val="20"/>
        </w:rPr>
      </w:pPr>
    </w:p>
    <w:bookmarkEnd w:id="9"/>
    <w:p w:rsidR="0014362F" w:rsidRPr="00815544" w:rsidRDefault="0014362F" w:rsidP="0014362F">
      <w:pPr>
        <w:rPr>
          <w:rFonts w:cs="Arial"/>
          <w:szCs w:val="20"/>
        </w:rPr>
      </w:pPr>
      <w:r w:rsidRPr="00815544">
        <w:rPr>
          <w:rFonts w:cs="Arial"/>
          <w:szCs w:val="20"/>
        </w:rPr>
        <w:t>– Klemen Boštjančič, minister,</w:t>
      </w:r>
    </w:p>
    <w:p w:rsidR="0014362F" w:rsidRPr="00815544" w:rsidRDefault="0014362F" w:rsidP="0014362F">
      <w:pPr>
        <w:rPr>
          <w:rFonts w:cs="Arial"/>
          <w:szCs w:val="20"/>
        </w:rPr>
      </w:pPr>
      <w:r w:rsidRPr="00815544">
        <w:rPr>
          <w:rFonts w:cs="Arial"/>
          <w:szCs w:val="20"/>
        </w:rPr>
        <w:t>– mag. Saša Jazbec, državna sekretarka,</w:t>
      </w:r>
    </w:p>
    <w:p w:rsidR="0014362F" w:rsidRDefault="0014362F" w:rsidP="0014362F">
      <w:pPr>
        <w:rPr>
          <w:rFonts w:cs="Arial"/>
          <w:szCs w:val="20"/>
        </w:rPr>
      </w:pPr>
      <w:r w:rsidRPr="00815544">
        <w:rPr>
          <w:rFonts w:cs="Arial"/>
          <w:szCs w:val="20"/>
        </w:rPr>
        <w:t>– Tilen Božič, državni sekretar,</w:t>
      </w:r>
    </w:p>
    <w:p w:rsidR="0014362F" w:rsidRPr="00815544" w:rsidRDefault="0014362F" w:rsidP="0014362F">
      <w:pPr>
        <w:rPr>
          <w:rFonts w:cs="Arial"/>
          <w:szCs w:val="20"/>
        </w:rPr>
      </w:pPr>
      <w:r w:rsidRPr="00815544">
        <w:rPr>
          <w:rFonts w:cs="Arial"/>
          <w:szCs w:val="20"/>
        </w:rPr>
        <w:t xml:space="preserve">– </w:t>
      </w:r>
      <w:proofErr w:type="spellStart"/>
      <w:r>
        <w:rPr>
          <w:rFonts w:cs="Arial"/>
          <w:szCs w:val="20"/>
        </w:rPr>
        <w:t>Nikolina</w:t>
      </w:r>
      <w:proofErr w:type="spellEnd"/>
      <w:r>
        <w:rPr>
          <w:rFonts w:cs="Arial"/>
          <w:szCs w:val="20"/>
        </w:rPr>
        <w:t xml:space="preserve"> Prah, državna sekretarka,</w:t>
      </w:r>
    </w:p>
    <w:p w:rsidR="0014362F" w:rsidRPr="00815544" w:rsidRDefault="0014362F" w:rsidP="0014362F">
      <w:pPr>
        <w:rPr>
          <w:rFonts w:cs="Arial"/>
          <w:szCs w:val="20"/>
        </w:rPr>
      </w:pPr>
      <w:r w:rsidRPr="00815544">
        <w:rPr>
          <w:rFonts w:cs="Arial"/>
          <w:szCs w:val="20"/>
        </w:rPr>
        <w:t>– Urška Cvelbar, generalna direktorica Direktorata za finančni sistem,</w:t>
      </w:r>
    </w:p>
    <w:p w:rsidR="0014362F" w:rsidRPr="00815544" w:rsidRDefault="0014362F" w:rsidP="0014362F">
      <w:pPr>
        <w:rPr>
          <w:rFonts w:cs="Arial"/>
          <w:szCs w:val="20"/>
        </w:rPr>
      </w:pPr>
      <w:r w:rsidRPr="00815544">
        <w:rPr>
          <w:rFonts w:cs="Arial"/>
          <w:szCs w:val="20"/>
        </w:rPr>
        <w:t xml:space="preserve">– mag. Nejka </w:t>
      </w:r>
      <w:proofErr w:type="spellStart"/>
      <w:r w:rsidRPr="00815544">
        <w:rPr>
          <w:rFonts w:cs="Arial"/>
          <w:szCs w:val="20"/>
        </w:rPr>
        <w:t>Štibernik</w:t>
      </w:r>
      <w:proofErr w:type="spellEnd"/>
      <w:r w:rsidRPr="00815544">
        <w:rPr>
          <w:rFonts w:cs="Arial"/>
          <w:szCs w:val="20"/>
        </w:rPr>
        <w:t>, podsekretarka, Sektor za zavarovalništvo in trg kapitala.</w:t>
      </w:r>
    </w:p>
    <w:p w:rsidR="0014362F" w:rsidRPr="00815544" w:rsidRDefault="0014362F" w:rsidP="0014362F">
      <w:pPr>
        <w:rPr>
          <w:rFonts w:cs="Arial"/>
          <w:szCs w:val="20"/>
        </w:rPr>
      </w:pPr>
      <w:r w:rsidRPr="00815544">
        <w:rPr>
          <w:rFonts w:cs="Arial"/>
          <w:szCs w:val="20"/>
        </w:rPr>
        <w:t>– mag. Nada Bizjak, analitik, Sektor za zavarovalništvo in trg kapitala.</w:t>
      </w:r>
    </w:p>
    <w:p w:rsidR="0014362F" w:rsidRPr="00815544" w:rsidRDefault="0014362F" w:rsidP="0014362F">
      <w:pPr>
        <w:rPr>
          <w:rFonts w:cs="Arial"/>
          <w:b/>
          <w:bCs/>
          <w:szCs w:val="20"/>
        </w:rPr>
      </w:pPr>
      <w:r w:rsidRPr="00815544">
        <w:rPr>
          <w:rFonts w:cs="Arial"/>
          <w:szCs w:val="20"/>
        </w:rPr>
        <w:br w:type="page"/>
      </w:r>
      <w:r w:rsidRPr="00815544">
        <w:rPr>
          <w:rFonts w:cs="Arial"/>
          <w:b/>
          <w:bCs/>
          <w:szCs w:val="20"/>
        </w:rPr>
        <w:lastRenderedPageBreak/>
        <w:t>II. BESEDILO ČLENOV</w:t>
      </w:r>
    </w:p>
    <w:p w:rsidR="0014362F" w:rsidRPr="00815544" w:rsidRDefault="0014362F" w:rsidP="0014362F">
      <w:pPr>
        <w:jc w:val="both"/>
        <w:rPr>
          <w:rFonts w:eastAsia="Calibri" w:cs="Arial"/>
          <w:szCs w:val="20"/>
          <w:lang w:eastAsia="sl-SI"/>
        </w:rPr>
      </w:pPr>
    </w:p>
    <w:p w:rsidR="0014362F" w:rsidRPr="00815544" w:rsidRDefault="0014362F" w:rsidP="0014362F">
      <w:pPr>
        <w:jc w:val="both"/>
        <w:rPr>
          <w:rFonts w:eastAsia="Calibri" w:cs="Arial"/>
          <w:szCs w:val="20"/>
          <w:lang w:eastAsia="sl-SI"/>
        </w:rPr>
      </w:pPr>
    </w:p>
    <w:p w:rsidR="0014362F" w:rsidRPr="00815544" w:rsidRDefault="0014362F" w:rsidP="0014362F">
      <w:pPr>
        <w:pStyle w:val="len"/>
        <w:spacing w:before="0" w:line="260" w:lineRule="exact"/>
        <w:ind w:left="1080"/>
        <w:jc w:val="left"/>
        <w:rPr>
          <w:rFonts w:cs="Arial"/>
          <w:sz w:val="20"/>
          <w:szCs w:val="20"/>
        </w:rPr>
      </w:pPr>
    </w:p>
    <w:p w:rsidR="0014362F" w:rsidRPr="00815544" w:rsidRDefault="0014362F" w:rsidP="0014362F">
      <w:pPr>
        <w:pStyle w:val="len"/>
        <w:spacing w:before="0" w:line="260" w:lineRule="exact"/>
        <w:rPr>
          <w:rFonts w:cs="Arial"/>
          <w:sz w:val="20"/>
          <w:szCs w:val="20"/>
        </w:rPr>
      </w:pPr>
    </w:p>
    <w:p w:rsidR="0014362F" w:rsidRPr="00815544" w:rsidRDefault="0014362F" w:rsidP="0014362F">
      <w:pPr>
        <w:pStyle w:val="len"/>
        <w:spacing w:before="0" w:line="260" w:lineRule="exact"/>
        <w:rPr>
          <w:rFonts w:cs="Arial"/>
          <w:sz w:val="20"/>
          <w:szCs w:val="20"/>
        </w:rPr>
      </w:pPr>
      <w:r w:rsidRPr="00815544">
        <w:rPr>
          <w:rFonts w:cs="Arial"/>
          <w:sz w:val="20"/>
          <w:szCs w:val="20"/>
        </w:rPr>
        <w:t>1. člen</w:t>
      </w:r>
    </w:p>
    <w:p w:rsidR="0014362F" w:rsidRPr="00815544" w:rsidRDefault="0014362F" w:rsidP="0014362F">
      <w:pPr>
        <w:pStyle w:val="lennaslov"/>
        <w:spacing w:line="260" w:lineRule="exact"/>
        <w:rPr>
          <w:rFonts w:cs="Arial"/>
          <w:sz w:val="20"/>
          <w:szCs w:val="20"/>
        </w:rPr>
      </w:pPr>
      <w:r w:rsidRPr="00815544">
        <w:rPr>
          <w:rFonts w:cs="Arial"/>
          <w:sz w:val="20"/>
          <w:szCs w:val="20"/>
        </w:rPr>
        <w:t>(vsebina zakona)</w:t>
      </w:r>
    </w:p>
    <w:p w:rsidR="0014362F" w:rsidRPr="00815544" w:rsidRDefault="0014362F" w:rsidP="0014362F">
      <w:pPr>
        <w:pStyle w:val="lennaslov"/>
        <w:spacing w:line="260" w:lineRule="exact"/>
        <w:rPr>
          <w:rFonts w:cs="Arial"/>
          <w:sz w:val="20"/>
          <w:szCs w:val="20"/>
        </w:rPr>
      </w:pPr>
    </w:p>
    <w:p w:rsidR="0014362F" w:rsidRPr="00815544" w:rsidRDefault="0014362F" w:rsidP="0014362F">
      <w:pPr>
        <w:jc w:val="both"/>
        <w:rPr>
          <w:rFonts w:cs="Arial"/>
          <w:szCs w:val="20"/>
        </w:rPr>
      </w:pPr>
      <w:bookmarkStart w:id="10" w:name="_Hlk66349862"/>
      <w:bookmarkStart w:id="11" w:name="_Hlk98250811"/>
      <w:r w:rsidRPr="00815544">
        <w:rPr>
          <w:rFonts w:cs="Arial"/>
          <w:szCs w:val="20"/>
        </w:rPr>
        <w:t xml:space="preserve">Ta zakon določa: </w:t>
      </w:r>
    </w:p>
    <w:p w:rsidR="0014362F" w:rsidRPr="00815544" w:rsidRDefault="0014362F" w:rsidP="0014362F">
      <w:pPr>
        <w:pStyle w:val="len"/>
        <w:spacing w:before="0" w:line="260" w:lineRule="exact"/>
        <w:jc w:val="both"/>
        <w:rPr>
          <w:rFonts w:cs="Arial"/>
          <w:b w:val="0"/>
          <w:bCs/>
          <w:sz w:val="20"/>
          <w:szCs w:val="20"/>
        </w:rPr>
      </w:pPr>
      <w:r w:rsidRPr="00815544">
        <w:rPr>
          <w:rFonts w:cs="Arial"/>
          <w:b w:val="0"/>
          <w:bCs/>
          <w:sz w:val="20"/>
          <w:szCs w:val="20"/>
        </w:rPr>
        <w:t xml:space="preserve">1. pristojni organ za izvajanje Uredbe (EU) 2019/1238 Evropskega parlamenta in Sveta z dne 20. junija 2021 o vseevropskem osebnem pokojninskem produktu (UL L št. 198 z dne 25. 7. 2019, str. 1), zadnjič spremenjene z Delegirano uredbo Komisije (EU) 2021/896 z dne 24. februarja 2021 o dopolnitvi Uredbe (EU) 2019/1238 Evropskega parlamenta in Sveta v zvezi z dodatnimi informacijami za namene zbliževanja nadzornega poročanja (UL L št. 197 z dne 4. 6. 2021, str. 5), (v nadaljnjem besedilu: Uredba 2019/1238/EU) in tega zakona; </w:t>
      </w:r>
    </w:p>
    <w:p w:rsidR="0014362F" w:rsidRPr="00815544" w:rsidRDefault="0014362F" w:rsidP="0014362F">
      <w:pPr>
        <w:pStyle w:val="len"/>
        <w:spacing w:before="0" w:line="260" w:lineRule="exact"/>
        <w:jc w:val="both"/>
        <w:rPr>
          <w:rFonts w:cs="Arial"/>
          <w:b w:val="0"/>
          <w:bCs/>
          <w:sz w:val="20"/>
          <w:szCs w:val="20"/>
        </w:rPr>
      </w:pPr>
      <w:r w:rsidRPr="00815544">
        <w:rPr>
          <w:rFonts w:cs="Arial"/>
          <w:b w:val="0"/>
          <w:bCs/>
          <w:sz w:val="20"/>
          <w:szCs w:val="20"/>
        </w:rPr>
        <w:t xml:space="preserve">2. pooblastila pristojnega organa in njegovo dolžnost sodelovanja in opravljanje nadzora v skladu z Uredbo 2019/1238/EU in tem zakonom; </w:t>
      </w:r>
    </w:p>
    <w:p w:rsidR="0014362F" w:rsidRPr="00815544" w:rsidRDefault="0014362F" w:rsidP="0014362F">
      <w:pPr>
        <w:pStyle w:val="len"/>
        <w:spacing w:before="0" w:line="260" w:lineRule="exact"/>
        <w:jc w:val="both"/>
        <w:rPr>
          <w:rFonts w:cs="Arial"/>
          <w:b w:val="0"/>
          <w:bCs/>
          <w:sz w:val="20"/>
          <w:szCs w:val="20"/>
        </w:rPr>
      </w:pPr>
      <w:r w:rsidRPr="00815544">
        <w:rPr>
          <w:rFonts w:cs="Arial"/>
          <w:b w:val="0"/>
          <w:bCs/>
          <w:sz w:val="20"/>
          <w:szCs w:val="20"/>
        </w:rPr>
        <w:t xml:space="preserve">3. merila, ki se uporabljajo za ocenjevanje znanja in sposobnosti oseb, ki opravljajo distribucijo vseevropskega osebnega pokojninskega produkta (v nadaljnjem besedilu: PEPP); </w:t>
      </w:r>
    </w:p>
    <w:p w:rsidR="0014362F" w:rsidRPr="00815544" w:rsidRDefault="0014362F" w:rsidP="0014362F">
      <w:pPr>
        <w:pStyle w:val="len"/>
        <w:spacing w:before="0" w:line="260" w:lineRule="exact"/>
        <w:jc w:val="both"/>
        <w:rPr>
          <w:rFonts w:cs="Arial"/>
          <w:b w:val="0"/>
          <w:bCs/>
          <w:sz w:val="20"/>
          <w:szCs w:val="20"/>
        </w:rPr>
      </w:pPr>
      <w:r w:rsidRPr="00815544">
        <w:rPr>
          <w:rFonts w:cs="Arial"/>
          <w:b w:val="0"/>
          <w:bCs/>
          <w:sz w:val="20"/>
          <w:szCs w:val="20"/>
        </w:rPr>
        <w:t>4. pogoje varčevanja v PEPP in pogoje izplačevanja iz PEPP;</w:t>
      </w:r>
    </w:p>
    <w:p w:rsidR="0014362F" w:rsidRPr="00815544" w:rsidRDefault="0014362F" w:rsidP="0014362F">
      <w:pPr>
        <w:pStyle w:val="len"/>
        <w:spacing w:before="0" w:line="260" w:lineRule="exact"/>
        <w:jc w:val="both"/>
        <w:rPr>
          <w:rFonts w:cs="Arial"/>
          <w:b w:val="0"/>
          <w:bCs/>
          <w:sz w:val="20"/>
          <w:szCs w:val="20"/>
        </w:rPr>
      </w:pPr>
      <w:r w:rsidRPr="00815544">
        <w:rPr>
          <w:rFonts w:cs="Arial"/>
          <w:b w:val="0"/>
          <w:bCs/>
          <w:sz w:val="20"/>
          <w:szCs w:val="20"/>
        </w:rPr>
        <w:t xml:space="preserve">5. obveznosti poročanja Evropskemu organu za zavarovanja in poklicne pokojnine (v nadaljnjem besedilu: EIOPA); </w:t>
      </w:r>
    </w:p>
    <w:p w:rsidR="0014362F" w:rsidRPr="00815544" w:rsidRDefault="0014362F" w:rsidP="0014362F">
      <w:pPr>
        <w:pStyle w:val="len"/>
        <w:spacing w:before="0" w:line="260" w:lineRule="exact"/>
        <w:jc w:val="both"/>
        <w:rPr>
          <w:rFonts w:cs="Arial"/>
          <w:b w:val="0"/>
          <w:bCs/>
          <w:sz w:val="20"/>
          <w:szCs w:val="20"/>
        </w:rPr>
      </w:pPr>
      <w:r w:rsidRPr="00815544">
        <w:rPr>
          <w:rFonts w:cs="Arial"/>
          <w:b w:val="0"/>
          <w:bCs/>
          <w:sz w:val="20"/>
          <w:szCs w:val="20"/>
        </w:rPr>
        <w:t>6. objavo anonimnih podatkov o izrečenih nadzornih ukrepih na spletni strani pristojnega nacionalnega nadzornega organa in</w:t>
      </w:r>
    </w:p>
    <w:p w:rsidR="0014362F" w:rsidRPr="00815544" w:rsidRDefault="0014362F" w:rsidP="0014362F">
      <w:pPr>
        <w:pStyle w:val="len"/>
        <w:spacing w:before="0" w:line="260" w:lineRule="exact"/>
        <w:jc w:val="both"/>
        <w:rPr>
          <w:rFonts w:cs="Arial"/>
          <w:b w:val="0"/>
          <w:bCs/>
          <w:sz w:val="20"/>
          <w:szCs w:val="20"/>
        </w:rPr>
      </w:pPr>
      <w:r w:rsidRPr="00815544">
        <w:rPr>
          <w:rFonts w:cs="Arial"/>
          <w:b w:val="0"/>
          <w:bCs/>
          <w:sz w:val="20"/>
          <w:szCs w:val="20"/>
        </w:rPr>
        <w:t>7. nadzorne ukrepe in prekrške ter globe v zvezi z izvajanjem Uredbe 2019/1238/EU.</w:t>
      </w:r>
      <w:bookmarkEnd w:id="10"/>
    </w:p>
    <w:bookmarkEnd w:id="11"/>
    <w:p w:rsidR="0014362F" w:rsidRDefault="0014362F" w:rsidP="0014362F">
      <w:pPr>
        <w:pStyle w:val="Odstavekseznama"/>
        <w:jc w:val="both"/>
        <w:rPr>
          <w:rFonts w:cs="Arial"/>
          <w:szCs w:val="20"/>
        </w:rPr>
      </w:pPr>
    </w:p>
    <w:p w:rsidR="0014362F" w:rsidRPr="00815544" w:rsidRDefault="0014362F" w:rsidP="0014362F">
      <w:pPr>
        <w:pStyle w:val="Odstavekseznama"/>
        <w:jc w:val="both"/>
        <w:rPr>
          <w:rFonts w:cs="Arial"/>
          <w:szCs w:val="20"/>
        </w:rPr>
      </w:pPr>
    </w:p>
    <w:p w:rsidR="0014362F" w:rsidRPr="00815544" w:rsidRDefault="0014362F" w:rsidP="0014362F">
      <w:pPr>
        <w:pStyle w:val="len"/>
        <w:spacing w:before="0" w:line="260" w:lineRule="exact"/>
        <w:rPr>
          <w:rFonts w:cs="Arial"/>
          <w:sz w:val="20"/>
          <w:szCs w:val="20"/>
        </w:rPr>
      </w:pPr>
      <w:r w:rsidRPr="00815544">
        <w:rPr>
          <w:rFonts w:cs="Arial"/>
          <w:sz w:val="20"/>
          <w:szCs w:val="20"/>
        </w:rPr>
        <w:t>2. člen</w:t>
      </w:r>
    </w:p>
    <w:p w:rsidR="0014362F" w:rsidRPr="00815544" w:rsidRDefault="0014362F" w:rsidP="0014362F">
      <w:pPr>
        <w:pStyle w:val="lennaslov"/>
        <w:spacing w:line="260" w:lineRule="exact"/>
        <w:rPr>
          <w:rFonts w:cs="Arial"/>
          <w:sz w:val="20"/>
          <w:szCs w:val="20"/>
        </w:rPr>
      </w:pPr>
      <w:r w:rsidRPr="00815544">
        <w:rPr>
          <w:rFonts w:cs="Arial"/>
          <w:sz w:val="20"/>
          <w:szCs w:val="20"/>
        </w:rPr>
        <w:t>(pristojni organ)</w:t>
      </w:r>
    </w:p>
    <w:p w:rsidR="0014362F" w:rsidRPr="00815544" w:rsidRDefault="0014362F" w:rsidP="0014362F">
      <w:pPr>
        <w:pStyle w:val="lennaslov"/>
        <w:spacing w:line="260" w:lineRule="exact"/>
        <w:rPr>
          <w:rFonts w:cs="Arial"/>
          <w:sz w:val="20"/>
          <w:szCs w:val="20"/>
        </w:rPr>
      </w:pPr>
    </w:p>
    <w:p w:rsidR="0014362F" w:rsidRPr="00815544" w:rsidRDefault="0014362F" w:rsidP="0014362F">
      <w:pPr>
        <w:pStyle w:val="len"/>
        <w:spacing w:before="0" w:line="260" w:lineRule="exact"/>
        <w:jc w:val="both"/>
        <w:rPr>
          <w:rFonts w:cs="Arial"/>
          <w:b w:val="0"/>
          <w:bCs/>
          <w:sz w:val="20"/>
          <w:szCs w:val="20"/>
        </w:rPr>
      </w:pPr>
      <w:r w:rsidRPr="00815544">
        <w:rPr>
          <w:rFonts w:cs="Arial"/>
          <w:b w:val="0"/>
          <w:bCs/>
          <w:sz w:val="20"/>
          <w:szCs w:val="20"/>
        </w:rPr>
        <w:t>Agencija za zavarovalni nadzor (v nadaljnjem besedilu: agencija)</w:t>
      </w:r>
      <w:r w:rsidRPr="00815544">
        <w:rPr>
          <w:rFonts w:cs="Arial"/>
          <w:sz w:val="20"/>
          <w:szCs w:val="20"/>
        </w:rPr>
        <w:t xml:space="preserve"> </w:t>
      </w:r>
      <w:r w:rsidRPr="00815544">
        <w:rPr>
          <w:rFonts w:cs="Arial"/>
          <w:b w:val="0"/>
          <w:bCs/>
          <w:sz w:val="20"/>
          <w:szCs w:val="20"/>
        </w:rPr>
        <w:t xml:space="preserve">je pristojna za izvajanje Uredbe 2019/1238/EU in tega zakona v zvezi s ponudniki PEPP in distributerji PEPP. </w:t>
      </w:r>
    </w:p>
    <w:p w:rsidR="0014362F" w:rsidRDefault="0014362F" w:rsidP="0014362F">
      <w:pPr>
        <w:pStyle w:val="len"/>
        <w:spacing w:before="0" w:line="260" w:lineRule="exact"/>
        <w:jc w:val="both"/>
        <w:rPr>
          <w:rFonts w:cs="Arial"/>
          <w:b w:val="0"/>
          <w:bCs/>
          <w:sz w:val="20"/>
          <w:szCs w:val="20"/>
        </w:rPr>
      </w:pPr>
    </w:p>
    <w:p w:rsidR="0014362F" w:rsidRPr="00815544" w:rsidRDefault="0014362F" w:rsidP="0014362F">
      <w:pPr>
        <w:pStyle w:val="len"/>
        <w:spacing w:before="0" w:line="260" w:lineRule="exact"/>
        <w:jc w:val="both"/>
        <w:rPr>
          <w:rFonts w:cs="Arial"/>
          <w:b w:val="0"/>
          <w:bCs/>
          <w:sz w:val="20"/>
          <w:szCs w:val="20"/>
        </w:rPr>
      </w:pPr>
    </w:p>
    <w:p w:rsidR="0014362F" w:rsidRPr="00815544" w:rsidRDefault="0014362F" w:rsidP="0014362F">
      <w:pPr>
        <w:pStyle w:val="len"/>
        <w:spacing w:before="0" w:line="260" w:lineRule="exact"/>
        <w:rPr>
          <w:rFonts w:cs="Arial"/>
          <w:sz w:val="20"/>
          <w:szCs w:val="20"/>
        </w:rPr>
      </w:pPr>
      <w:r w:rsidRPr="00815544">
        <w:rPr>
          <w:rFonts w:cs="Arial"/>
          <w:sz w:val="20"/>
          <w:szCs w:val="20"/>
        </w:rPr>
        <w:t>3. člen</w:t>
      </w:r>
    </w:p>
    <w:p w:rsidR="0014362F" w:rsidRPr="00815544" w:rsidRDefault="0014362F" w:rsidP="0014362F">
      <w:pPr>
        <w:pStyle w:val="lennaslov"/>
        <w:spacing w:line="260" w:lineRule="exact"/>
        <w:rPr>
          <w:rFonts w:cs="Arial"/>
          <w:sz w:val="20"/>
          <w:szCs w:val="20"/>
        </w:rPr>
      </w:pPr>
      <w:r w:rsidRPr="00815544">
        <w:rPr>
          <w:rFonts w:cs="Arial"/>
          <w:sz w:val="20"/>
          <w:szCs w:val="20"/>
        </w:rPr>
        <w:t>(pristojnost agencije)</w:t>
      </w:r>
    </w:p>
    <w:p w:rsidR="0014362F" w:rsidRPr="00815544" w:rsidRDefault="0014362F" w:rsidP="0014362F">
      <w:pPr>
        <w:pStyle w:val="lennaslov"/>
        <w:spacing w:line="260" w:lineRule="exact"/>
        <w:rPr>
          <w:rFonts w:cs="Arial"/>
          <w:sz w:val="20"/>
          <w:szCs w:val="20"/>
        </w:rPr>
      </w:pPr>
    </w:p>
    <w:p w:rsidR="0014362F" w:rsidRPr="00815544" w:rsidRDefault="0014362F" w:rsidP="0014362F">
      <w:pPr>
        <w:pStyle w:val="len"/>
        <w:spacing w:before="0" w:line="260" w:lineRule="exact"/>
        <w:jc w:val="both"/>
        <w:rPr>
          <w:rFonts w:cs="Arial"/>
          <w:b w:val="0"/>
          <w:bCs/>
          <w:sz w:val="20"/>
          <w:szCs w:val="20"/>
        </w:rPr>
      </w:pPr>
      <w:r w:rsidRPr="00815544">
        <w:rPr>
          <w:rFonts w:cs="Arial"/>
          <w:b w:val="0"/>
          <w:bCs/>
          <w:sz w:val="20"/>
          <w:szCs w:val="20"/>
        </w:rPr>
        <w:t xml:space="preserve">(1) Agencija ima vse nadzorne pristojnosti, potrebne za izvajanje nalog iz Uredbe 2019/1238/EU in tega zakona. </w:t>
      </w:r>
    </w:p>
    <w:p w:rsidR="0014362F" w:rsidRPr="00815544" w:rsidRDefault="0014362F" w:rsidP="0014362F">
      <w:pPr>
        <w:pStyle w:val="len"/>
        <w:spacing w:before="0" w:line="260" w:lineRule="exact"/>
        <w:jc w:val="both"/>
        <w:rPr>
          <w:rFonts w:cs="Arial"/>
          <w:b w:val="0"/>
          <w:bCs/>
          <w:sz w:val="20"/>
          <w:szCs w:val="20"/>
        </w:rPr>
      </w:pPr>
    </w:p>
    <w:p w:rsidR="0014362F" w:rsidRPr="00815544" w:rsidRDefault="0014362F" w:rsidP="0014362F">
      <w:pPr>
        <w:jc w:val="both"/>
        <w:rPr>
          <w:rFonts w:cs="Arial"/>
          <w:szCs w:val="20"/>
        </w:rPr>
      </w:pPr>
    </w:p>
    <w:p w:rsidR="0014362F" w:rsidRPr="00815544" w:rsidRDefault="0014362F" w:rsidP="0014362F">
      <w:pPr>
        <w:jc w:val="both"/>
        <w:rPr>
          <w:rFonts w:cs="Arial"/>
          <w:szCs w:val="20"/>
        </w:rPr>
      </w:pPr>
      <w:r w:rsidRPr="00815544">
        <w:rPr>
          <w:rFonts w:cs="Arial"/>
          <w:szCs w:val="20"/>
        </w:rPr>
        <w:t xml:space="preserve">(2) Za opravljanje nadzora in odločanje agencije v posamičnih zadevah se, če Uredba 2019/1238/EU ne določa drugače, smiselno uporabljajo določbe zakona, ki ureja zavarovalništvo. </w:t>
      </w:r>
    </w:p>
    <w:p w:rsidR="0014362F" w:rsidRDefault="0014362F" w:rsidP="0014362F">
      <w:pPr>
        <w:jc w:val="both"/>
        <w:rPr>
          <w:rFonts w:cs="Arial"/>
          <w:bCs/>
          <w:szCs w:val="20"/>
        </w:rPr>
      </w:pPr>
    </w:p>
    <w:p w:rsidR="0014362F" w:rsidRPr="00815544" w:rsidRDefault="0014362F" w:rsidP="0014362F">
      <w:pPr>
        <w:jc w:val="both"/>
        <w:rPr>
          <w:rFonts w:cs="Arial"/>
          <w:bCs/>
          <w:szCs w:val="20"/>
        </w:rPr>
      </w:pPr>
    </w:p>
    <w:p w:rsidR="0014362F" w:rsidRPr="00815544" w:rsidRDefault="0014362F" w:rsidP="0014362F">
      <w:pPr>
        <w:pStyle w:val="len"/>
        <w:spacing w:before="0" w:line="260" w:lineRule="exact"/>
        <w:rPr>
          <w:rFonts w:cs="Arial"/>
          <w:sz w:val="20"/>
          <w:szCs w:val="20"/>
        </w:rPr>
      </w:pPr>
      <w:r w:rsidRPr="00815544">
        <w:rPr>
          <w:rFonts w:cs="Arial"/>
          <w:sz w:val="20"/>
          <w:szCs w:val="20"/>
        </w:rPr>
        <w:t>4. člen</w:t>
      </w:r>
    </w:p>
    <w:p w:rsidR="0014362F" w:rsidRPr="00815544" w:rsidRDefault="0014362F" w:rsidP="0014362F">
      <w:pPr>
        <w:pStyle w:val="len"/>
        <w:spacing w:before="0" w:line="260" w:lineRule="exact"/>
        <w:rPr>
          <w:rFonts w:cs="Arial"/>
          <w:sz w:val="20"/>
          <w:szCs w:val="20"/>
        </w:rPr>
      </w:pPr>
      <w:r w:rsidRPr="00815544">
        <w:rPr>
          <w:rFonts w:cs="Arial"/>
          <w:sz w:val="20"/>
          <w:szCs w:val="20"/>
        </w:rPr>
        <w:t>(sodelovanje agencije z drugimi pristojnimi organi in EIOPA)</w:t>
      </w:r>
    </w:p>
    <w:p w:rsidR="0014362F" w:rsidRPr="00815544" w:rsidRDefault="0014362F" w:rsidP="0014362F">
      <w:pPr>
        <w:pStyle w:val="len"/>
        <w:spacing w:before="0" w:line="260" w:lineRule="exact"/>
        <w:jc w:val="left"/>
        <w:rPr>
          <w:rFonts w:cs="Arial"/>
          <w:b w:val="0"/>
          <w:bCs/>
          <w:sz w:val="20"/>
          <w:szCs w:val="20"/>
        </w:rPr>
      </w:pPr>
    </w:p>
    <w:p w:rsidR="0014362F" w:rsidRPr="00815544" w:rsidRDefault="0014362F" w:rsidP="0014362F">
      <w:pPr>
        <w:jc w:val="both"/>
        <w:rPr>
          <w:rFonts w:cs="Arial"/>
          <w:szCs w:val="20"/>
        </w:rPr>
      </w:pPr>
      <w:r w:rsidRPr="00815544">
        <w:rPr>
          <w:rFonts w:cs="Arial"/>
          <w:szCs w:val="20"/>
        </w:rPr>
        <w:t>(1) Za izpolnjevanje svojih pristojnosti iz Uredbe 2019/1238/EU in tega zakona agencija sodeluje s pristojnim organom ponudnika ali distributerja PEPP, če to ni agencija, in EIOPA ter si z njima izmenjuje vse dokumente in informacije, potrebne za opravljanje svojih dolžnosti, zlasti za prepoznavanje in odpravo kršitev iz Uredbe 2019/1238/EU.</w:t>
      </w:r>
    </w:p>
    <w:p w:rsidR="0014362F" w:rsidRPr="00815544" w:rsidRDefault="0014362F" w:rsidP="0014362F">
      <w:pPr>
        <w:jc w:val="both"/>
        <w:rPr>
          <w:rFonts w:cs="Arial"/>
          <w:szCs w:val="20"/>
        </w:rPr>
      </w:pPr>
    </w:p>
    <w:p w:rsidR="0014362F" w:rsidRPr="00815544" w:rsidRDefault="0014362F" w:rsidP="0014362F">
      <w:pPr>
        <w:jc w:val="both"/>
        <w:rPr>
          <w:rFonts w:cs="Arial"/>
          <w:szCs w:val="20"/>
        </w:rPr>
      </w:pPr>
      <w:r w:rsidRPr="00815544">
        <w:rPr>
          <w:rFonts w:cs="Arial"/>
          <w:szCs w:val="20"/>
        </w:rPr>
        <w:lastRenderedPageBreak/>
        <w:t>(2) Agencija obvesti EIOPA o vseh nadzornih ukrepih in drugih ukrepih, ki so bili javno objavljeni, ter o vseh nadzornih ukrepih, ki so bili izrečeni, vendar niso bili objavljeni v skladu z 10. členom tega zakona, vključno z morebitnimi pritožbami v zvezi z njimi in njihovim izidom.</w:t>
      </w:r>
    </w:p>
    <w:p w:rsidR="0014362F" w:rsidRDefault="0014362F" w:rsidP="0014362F">
      <w:pPr>
        <w:jc w:val="both"/>
        <w:rPr>
          <w:rFonts w:cs="Arial"/>
          <w:szCs w:val="20"/>
        </w:rPr>
      </w:pPr>
    </w:p>
    <w:p w:rsidR="0014362F" w:rsidRDefault="0014362F" w:rsidP="0014362F">
      <w:pPr>
        <w:jc w:val="both"/>
        <w:rPr>
          <w:rFonts w:cs="Arial"/>
          <w:szCs w:val="20"/>
        </w:rPr>
      </w:pPr>
    </w:p>
    <w:p w:rsidR="0014362F" w:rsidRDefault="0014362F" w:rsidP="0014362F">
      <w:pPr>
        <w:jc w:val="both"/>
        <w:rPr>
          <w:rFonts w:cs="Arial"/>
          <w:szCs w:val="20"/>
        </w:rPr>
      </w:pPr>
    </w:p>
    <w:p w:rsidR="0014362F" w:rsidRPr="00815544" w:rsidRDefault="0014362F" w:rsidP="0014362F">
      <w:pPr>
        <w:jc w:val="both"/>
        <w:rPr>
          <w:rFonts w:cs="Arial"/>
          <w:szCs w:val="20"/>
        </w:rPr>
      </w:pPr>
    </w:p>
    <w:p w:rsidR="0014362F" w:rsidRPr="00815544" w:rsidRDefault="0014362F" w:rsidP="0014362F">
      <w:pPr>
        <w:pStyle w:val="len"/>
        <w:spacing w:before="0" w:line="260" w:lineRule="exact"/>
        <w:rPr>
          <w:rFonts w:cs="Arial"/>
          <w:sz w:val="20"/>
          <w:szCs w:val="20"/>
        </w:rPr>
      </w:pPr>
      <w:r w:rsidRPr="00815544">
        <w:rPr>
          <w:rFonts w:cs="Arial"/>
          <w:sz w:val="20"/>
          <w:szCs w:val="20"/>
        </w:rPr>
        <w:t xml:space="preserve">5. člen </w:t>
      </w:r>
    </w:p>
    <w:p w:rsidR="0014362F" w:rsidRPr="00815544" w:rsidRDefault="0014362F" w:rsidP="0014362F">
      <w:pPr>
        <w:pStyle w:val="len"/>
        <w:spacing w:before="0" w:line="260" w:lineRule="exact"/>
        <w:rPr>
          <w:rFonts w:cs="Arial"/>
          <w:sz w:val="20"/>
          <w:szCs w:val="20"/>
        </w:rPr>
      </w:pPr>
      <w:r w:rsidRPr="00815544">
        <w:rPr>
          <w:rFonts w:cs="Arial"/>
          <w:sz w:val="20"/>
          <w:szCs w:val="20"/>
        </w:rPr>
        <w:t>(način opravljanja nadzora)</w:t>
      </w:r>
    </w:p>
    <w:p w:rsidR="0014362F" w:rsidRPr="00815544" w:rsidRDefault="0014362F" w:rsidP="0014362F">
      <w:pPr>
        <w:jc w:val="both"/>
        <w:rPr>
          <w:rFonts w:cs="Arial"/>
          <w:szCs w:val="20"/>
        </w:rPr>
      </w:pPr>
    </w:p>
    <w:p w:rsidR="0014362F" w:rsidRPr="00815544" w:rsidRDefault="0014362F" w:rsidP="0014362F">
      <w:pPr>
        <w:jc w:val="both"/>
        <w:rPr>
          <w:rFonts w:cs="Arial"/>
          <w:szCs w:val="20"/>
        </w:rPr>
      </w:pPr>
      <w:r w:rsidRPr="00815544">
        <w:rPr>
          <w:rFonts w:cs="Arial"/>
          <w:szCs w:val="20"/>
        </w:rPr>
        <w:t>(1) Agencija v okviru pristojnosti nadzora nad ponudniki PEPP in distributerji PEPP:</w:t>
      </w:r>
    </w:p>
    <w:p w:rsidR="0014362F" w:rsidRPr="00815544" w:rsidRDefault="0014362F" w:rsidP="0014362F">
      <w:pPr>
        <w:pStyle w:val="Odstavekseznama"/>
        <w:numPr>
          <w:ilvl w:val="0"/>
          <w:numId w:val="9"/>
        </w:numPr>
        <w:jc w:val="both"/>
        <w:rPr>
          <w:rFonts w:cs="Arial"/>
          <w:szCs w:val="20"/>
        </w:rPr>
      </w:pPr>
      <w:r w:rsidRPr="00815544">
        <w:rPr>
          <w:rFonts w:cs="Arial"/>
          <w:szCs w:val="20"/>
        </w:rPr>
        <w:t>spremlja, zbira in preverja poročila in obvestila ponudnikov in distributerjev PEPP, ki so v skladu z</w:t>
      </w:r>
      <w:r w:rsidRPr="00815544">
        <w:t xml:space="preserve"> </w:t>
      </w:r>
      <w:r w:rsidRPr="00815544">
        <w:rPr>
          <w:rFonts w:cs="Arial"/>
          <w:szCs w:val="20"/>
        </w:rPr>
        <w:t>Uredbo 2019/1238/EU in tem zakonom dolžni poročati Agenciji in jo obveščati o posameznih dejstvih in okoliščinah;</w:t>
      </w:r>
    </w:p>
    <w:p w:rsidR="0014362F" w:rsidRPr="00815544" w:rsidRDefault="0014362F" w:rsidP="0014362F">
      <w:pPr>
        <w:pStyle w:val="Odstavekseznama"/>
        <w:numPr>
          <w:ilvl w:val="0"/>
          <w:numId w:val="9"/>
        </w:numPr>
        <w:jc w:val="both"/>
        <w:rPr>
          <w:rFonts w:cs="Arial"/>
          <w:szCs w:val="20"/>
        </w:rPr>
      </w:pPr>
      <w:r w:rsidRPr="00815544">
        <w:rPr>
          <w:rFonts w:cs="Arial"/>
          <w:szCs w:val="20"/>
        </w:rPr>
        <w:t>opravlja preglede poslovanja ponudnikov in distributerjev PEPP;</w:t>
      </w:r>
    </w:p>
    <w:p w:rsidR="0014362F" w:rsidRPr="00815544" w:rsidRDefault="0014362F" w:rsidP="0014362F">
      <w:pPr>
        <w:pStyle w:val="Odstavekseznama"/>
        <w:numPr>
          <w:ilvl w:val="0"/>
          <w:numId w:val="9"/>
        </w:numPr>
        <w:jc w:val="both"/>
        <w:rPr>
          <w:rFonts w:cs="Arial"/>
          <w:szCs w:val="20"/>
        </w:rPr>
      </w:pPr>
      <w:r w:rsidRPr="00815544">
        <w:rPr>
          <w:rFonts w:cs="Arial"/>
          <w:szCs w:val="20"/>
        </w:rPr>
        <w:t>izreka ukrepe nadzora v skladu z  zakonom, ki ureja zavarovalništvo.</w:t>
      </w:r>
    </w:p>
    <w:p w:rsidR="0014362F" w:rsidRPr="00815544" w:rsidRDefault="0014362F" w:rsidP="0014362F">
      <w:pPr>
        <w:jc w:val="both"/>
        <w:rPr>
          <w:rFonts w:cs="Arial"/>
          <w:szCs w:val="20"/>
        </w:rPr>
      </w:pPr>
    </w:p>
    <w:p w:rsidR="0014362F" w:rsidRPr="00815544" w:rsidRDefault="0014362F" w:rsidP="0014362F">
      <w:pPr>
        <w:pStyle w:val="len"/>
        <w:spacing w:before="0" w:line="260" w:lineRule="exact"/>
        <w:jc w:val="both"/>
        <w:rPr>
          <w:rFonts w:cs="Arial"/>
          <w:b w:val="0"/>
          <w:bCs/>
          <w:sz w:val="20"/>
          <w:szCs w:val="20"/>
        </w:rPr>
      </w:pPr>
      <w:r w:rsidRPr="00815544">
        <w:rPr>
          <w:rFonts w:cs="Arial"/>
          <w:b w:val="0"/>
          <w:bCs/>
          <w:sz w:val="20"/>
          <w:szCs w:val="20"/>
        </w:rPr>
        <w:t>(2) Agencija izvaja naloge in pristojnosti iz prvega odstavka 3. člena tega zakona tudi tako, da:</w:t>
      </w:r>
    </w:p>
    <w:p w:rsidR="0014362F" w:rsidRPr="00815544" w:rsidRDefault="0014362F" w:rsidP="0014362F">
      <w:pPr>
        <w:pStyle w:val="len"/>
        <w:spacing w:before="0" w:line="260" w:lineRule="exact"/>
        <w:jc w:val="both"/>
        <w:rPr>
          <w:rFonts w:cs="Arial"/>
          <w:b w:val="0"/>
          <w:bCs/>
          <w:sz w:val="20"/>
          <w:szCs w:val="20"/>
        </w:rPr>
      </w:pPr>
      <w:r w:rsidRPr="00815544">
        <w:rPr>
          <w:rFonts w:cs="Arial"/>
          <w:b w:val="0"/>
          <w:bCs/>
          <w:sz w:val="20"/>
          <w:szCs w:val="20"/>
        </w:rPr>
        <w:t>1. zahteva dostop do vseh dokumentov v vsakršni obliki in prejem njihovega izvoda od vsake osebe, za katero obstaja sum, da ponuja ali distribuira PEPP;</w:t>
      </w:r>
    </w:p>
    <w:p w:rsidR="0014362F" w:rsidRPr="00815544" w:rsidRDefault="0014362F" w:rsidP="0014362F">
      <w:pPr>
        <w:pStyle w:val="len"/>
        <w:spacing w:before="0" w:line="260" w:lineRule="exact"/>
        <w:jc w:val="both"/>
        <w:rPr>
          <w:rFonts w:cs="Arial"/>
          <w:b w:val="0"/>
          <w:bCs/>
          <w:sz w:val="20"/>
          <w:szCs w:val="20"/>
        </w:rPr>
      </w:pPr>
      <w:r w:rsidRPr="00815544">
        <w:rPr>
          <w:rFonts w:cs="Arial"/>
          <w:b w:val="0"/>
          <w:bCs/>
          <w:sz w:val="20"/>
          <w:szCs w:val="20"/>
        </w:rPr>
        <w:t>2. zahteva, da ponudnik ali distributer PEPP zagotovi zahtevane informacije v roku, določenem z zahtevo;</w:t>
      </w:r>
    </w:p>
    <w:p w:rsidR="0014362F" w:rsidRPr="00815544" w:rsidRDefault="0014362F" w:rsidP="0014362F">
      <w:pPr>
        <w:pStyle w:val="len"/>
        <w:spacing w:before="0" w:line="260" w:lineRule="exact"/>
        <w:jc w:val="both"/>
        <w:rPr>
          <w:rFonts w:cs="Arial"/>
          <w:b w:val="0"/>
          <w:bCs/>
          <w:sz w:val="20"/>
          <w:szCs w:val="20"/>
        </w:rPr>
      </w:pPr>
      <w:r w:rsidRPr="00815544">
        <w:rPr>
          <w:rFonts w:cs="Arial"/>
          <w:b w:val="0"/>
          <w:bCs/>
          <w:sz w:val="20"/>
          <w:szCs w:val="20"/>
        </w:rPr>
        <w:t>3. zahteva informacije od katere koli osebe, povezane z dejavnostjo ponujanja ali distribuiranja PEPP;</w:t>
      </w:r>
    </w:p>
    <w:p w:rsidR="0014362F" w:rsidRPr="00815544" w:rsidRDefault="0014362F" w:rsidP="0014362F">
      <w:pPr>
        <w:pStyle w:val="len"/>
        <w:spacing w:before="0" w:line="260" w:lineRule="exact"/>
        <w:jc w:val="both"/>
        <w:rPr>
          <w:rFonts w:cs="Arial"/>
          <w:b w:val="0"/>
          <w:bCs/>
          <w:sz w:val="20"/>
          <w:szCs w:val="20"/>
        </w:rPr>
      </w:pPr>
      <w:r w:rsidRPr="00815544">
        <w:rPr>
          <w:rFonts w:cs="Arial"/>
          <w:b w:val="0"/>
          <w:bCs/>
          <w:sz w:val="20"/>
          <w:szCs w:val="20"/>
        </w:rPr>
        <w:t>4. izvaja preglede na kraju samem s predhodno najavo ali brez nje v skladu z zakonom, ki ureja zavarovalništvo;</w:t>
      </w:r>
    </w:p>
    <w:p w:rsidR="0014362F" w:rsidRPr="00815544" w:rsidRDefault="0014362F" w:rsidP="0014362F">
      <w:pPr>
        <w:pStyle w:val="len"/>
        <w:spacing w:before="0" w:line="260" w:lineRule="exact"/>
        <w:jc w:val="both"/>
        <w:rPr>
          <w:rFonts w:cs="Arial"/>
          <w:szCs w:val="20"/>
        </w:rPr>
      </w:pPr>
      <w:r w:rsidRPr="00815544">
        <w:rPr>
          <w:rFonts w:cs="Arial"/>
          <w:b w:val="0"/>
          <w:bCs/>
          <w:sz w:val="20"/>
          <w:szCs w:val="20"/>
        </w:rPr>
        <w:t>5. sprejema ustrezne nadzorne ukrepe, s katerimi se zagotovi, da oseba, ki ponuja ali distribuira PEPP, oziroma ponudnik PEPP ali distributer PEPP, ravna v skladu z Uredbo 2019/1238/EU in tem zakonom.</w:t>
      </w:r>
    </w:p>
    <w:p w:rsidR="0014362F" w:rsidRPr="00815544" w:rsidRDefault="0014362F" w:rsidP="0014362F">
      <w:pPr>
        <w:jc w:val="both"/>
        <w:rPr>
          <w:rFonts w:cs="Arial"/>
          <w:szCs w:val="20"/>
        </w:rPr>
      </w:pPr>
    </w:p>
    <w:p w:rsidR="0014362F" w:rsidRPr="00815544" w:rsidRDefault="0014362F" w:rsidP="0014362F">
      <w:pPr>
        <w:jc w:val="both"/>
        <w:rPr>
          <w:rFonts w:cs="Arial"/>
          <w:szCs w:val="20"/>
        </w:rPr>
      </w:pPr>
      <w:r w:rsidRPr="00815544">
        <w:rPr>
          <w:rFonts w:cs="Arial"/>
          <w:szCs w:val="20"/>
        </w:rPr>
        <w:t>(3) Agencija pri opravljanju nadzora svoja pooblastila uporablja pravočasno in sorazmerno glede na velikost, vrsto, obseg in zahtevnost tveganj, povezanih z dejavnostjo ponujanja in distribucije PEPP. Obseg zbranih sredstev in zahtevnost tveganj PEPP se upošteva tudi pri določitvi pogostosti in obsega izvajanja nadzora.</w:t>
      </w:r>
    </w:p>
    <w:p w:rsidR="0014362F" w:rsidRPr="00815544" w:rsidRDefault="0014362F" w:rsidP="0014362F">
      <w:pPr>
        <w:jc w:val="both"/>
        <w:rPr>
          <w:rFonts w:cs="Arial"/>
          <w:szCs w:val="20"/>
        </w:rPr>
      </w:pPr>
    </w:p>
    <w:p w:rsidR="0014362F" w:rsidRPr="00815544" w:rsidRDefault="0014362F" w:rsidP="0014362F">
      <w:pPr>
        <w:jc w:val="both"/>
        <w:rPr>
          <w:rFonts w:cs="Arial"/>
          <w:szCs w:val="20"/>
        </w:rPr>
      </w:pPr>
      <w:r w:rsidRPr="00815544">
        <w:rPr>
          <w:rFonts w:cs="Arial"/>
          <w:szCs w:val="20"/>
        </w:rPr>
        <w:t>(4) Agencija nadzoruje izvajanje nad ponudniki PEPP in distributerji PEPP v skladu z Uredbo 2019/1238/EU in tem zakonom.</w:t>
      </w:r>
    </w:p>
    <w:p w:rsidR="0014362F" w:rsidRPr="00DD53D2" w:rsidRDefault="0014362F" w:rsidP="0014362F">
      <w:pPr>
        <w:pStyle w:val="len"/>
        <w:spacing w:before="0" w:line="260" w:lineRule="exact"/>
        <w:jc w:val="left"/>
        <w:rPr>
          <w:sz w:val="20"/>
        </w:rPr>
      </w:pPr>
    </w:p>
    <w:p w:rsidR="0014362F" w:rsidRPr="00815544" w:rsidRDefault="0014362F" w:rsidP="0014362F">
      <w:pPr>
        <w:pStyle w:val="len"/>
        <w:spacing w:before="0" w:line="260" w:lineRule="exact"/>
        <w:jc w:val="left"/>
        <w:rPr>
          <w:rFonts w:cs="Arial"/>
          <w:sz w:val="20"/>
          <w:szCs w:val="20"/>
        </w:rPr>
      </w:pPr>
    </w:p>
    <w:p w:rsidR="0014362F" w:rsidRPr="00815544" w:rsidRDefault="0014362F" w:rsidP="0014362F">
      <w:pPr>
        <w:pStyle w:val="len"/>
        <w:spacing w:before="0" w:line="260" w:lineRule="exact"/>
        <w:rPr>
          <w:rFonts w:cs="Arial"/>
          <w:sz w:val="20"/>
          <w:szCs w:val="20"/>
        </w:rPr>
      </w:pPr>
      <w:r w:rsidRPr="00815544">
        <w:rPr>
          <w:rFonts w:cs="Arial"/>
          <w:sz w:val="20"/>
          <w:szCs w:val="20"/>
        </w:rPr>
        <w:t>6. člen</w:t>
      </w:r>
    </w:p>
    <w:p w:rsidR="0014362F" w:rsidRPr="00815544" w:rsidRDefault="0014362F" w:rsidP="0014362F">
      <w:pPr>
        <w:pStyle w:val="lennaslov"/>
        <w:spacing w:line="260" w:lineRule="exact"/>
        <w:rPr>
          <w:rFonts w:cs="Arial"/>
          <w:sz w:val="20"/>
          <w:szCs w:val="20"/>
        </w:rPr>
      </w:pPr>
      <w:r w:rsidRPr="00815544">
        <w:rPr>
          <w:rFonts w:cs="Arial"/>
          <w:sz w:val="20"/>
          <w:szCs w:val="20"/>
        </w:rPr>
        <w:t>(izvajanje pristojnosti agencije in uporaba določb o postopku)</w:t>
      </w:r>
    </w:p>
    <w:p w:rsidR="0014362F" w:rsidRPr="00815544" w:rsidRDefault="0014362F" w:rsidP="0014362F">
      <w:pPr>
        <w:pStyle w:val="odstavek0"/>
        <w:shd w:val="clear" w:color="auto" w:fill="FFFFFF"/>
        <w:spacing w:before="0" w:beforeAutospacing="0" w:after="0" w:afterAutospacing="0" w:line="260" w:lineRule="exact"/>
        <w:jc w:val="both"/>
        <w:rPr>
          <w:rFonts w:ascii="Arial" w:hAnsi="Arial" w:cs="Arial"/>
          <w:sz w:val="20"/>
          <w:szCs w:val="20"/>
        </w:rPr>
      </w:pPr>
    </w:p>
    <w:p w:rsidR="0014362F" w:rsidRPr="00815544" w:rsidRDefault="0014362F" w:rsidP="0014362F">
      <w:pPr>
        <w:jc w:val="both"/>
        <w:rPr>
          <w:rFonts w:cs="Arial"/>
          <w:szCs w:val="20"/>
        </w:rPr>
      </w:pPr>
      <w:r w:rsidRPr="00815544">
        <w:rPr>
          <w:rFonts w:cs="Arial"/>
          <w:szCs w:val="20"/>
        </w:rPr>
        <w:t xml:space="preserve">(1) Agencija izvaja nadzor in izreka nadzorne ukrepe v skladu z Uredbo 2019/1238/EU, pri čemer se smiselno uporabljajo določbe zakona, ki ureja zavarovalništvo. </w:t>
      </w:r>
    </w:p>
    <w:p w:rsidR="0014362F" w:rsidRPr="00815544" w:rsidRDefault="0014362F" w:rsidP="0014362F">
      <w:pPr>
        <w:jc w:val="both"/>
        <w:rPr>
          <w:rFonts w:cs="Arial"/>
          <w:szCs w:val="20"/>
        </w:rPr>
      </w:pPr>
    </w:p>
    <w:p w:rsidR="0014362F" w:rsidRPr="00815544" w:rsidRDefault="0014362F" w:rsidP="0014362F">
      <w:pPr>
        <w:jc w:val="both"/>
        <w:rPr>
          <w:rFonts w:cs="Arial"/>
          <w:szCs w:val="20"/>
        </w:rPr>
      </w:pPr>
      <w:r w:rsidRPr="00815544">
        <w:rPr>
          <w:rFonts w:cs="Arial"/>
          <w:szCs w:val="20"/>
        </w:rPr>
        <w:t>(2) V postopkih iz prejšnjega odstavka Agencija upošteva tudi obvestila in informacije iz prvega odstavka 4. člena tega zakona.</w:t>
      </w:r>
      <w:r w:rsidRPr="00815544" w:rsidDel="007B3512">
        <w:rPr>
          <w:rFonts w:cs="Arial"/>
          <w:szCs w:val="20"/>
        </w:rPr>
        <w:t xml:space="preserve"> </w:t>
      </w:r>
    </w:p>
    <w:p w:rsidR="0014362F" w:rsidRPr="00815544" w:rsidRDefault="0014362F" w:rsidP="0014362F">
      <w:pPr>
        <w:jc w:val="both"/>
        <w:rPr>
          <w:rFonts w:cs="Arial"/>
          <w:szCs w:val="20"/>
        </w:rPr>
      </w:pPr>
    </w:p>
    <w:p w:rsidR="0014362F" w:rsidRPr="00815544" w:rsidRDefault="0014362F" w:rsidP="0014362F">
      <w:pPr>
        <w:jc w:val="both"/>
        <w:rPr>
          <w:rFonts w:cs="Arial"/>
          <w:szCs w:val="20"/>
        </w:rPr>
      </w:pPr>
      <w:r w:rsidRPr="00815544">
        <w:rPr>
          <w:rFonts w:cs="Arial"/>
          <w:szCs w:val="20"/>
        </w:rPr>
        <w:t>(3) Za postopke odločanja o posamičnih zadevah, za katere je pristojna Agencija v skladu s tem zakonom ali Uredbo 2019/1238/EU in postopkov za sodno varstvo, se smiselno uporabljajo določbe zakona, ki ureja zavarovalništvo.</w:t>
      </w:r>
      <w:r w:rsidRPr="00815544" w:rsidDel="007B3512">
        <w:rPr>
          <w:rFonts w:cs="Arial"/>
          <w:szCs w:val="20"/>
        </w:rPr>
        <w:t xml:space="preserve"> </w:t>
      </w:r>
    </w:p>
    <w:p w:rsidR="0014362F" w:rsidRPr="00815544" w:rsidRDefault="0014362F" w:rsidP="0014362F">
      <w:pPr>
        <w:pStyle w:val="len"/>
        <w:spacing w:before="0" w:line="260" w:lineRule="exact"/>
        <w:rPr>
          <w:rFonts w:cs="Arial"/>
          <w:sz w:val="20"/>
          <w:szCs w:val="20"/>
        </w:rPr>
      </w:pPr>
    </w:p>
    <w:p w:rsidR="0014362F" w:rsidRPr="00815544" w:rsidRDefault="0014362F" w:rsidP="0014362F">
      <w:pPr>
        <w:pStyle w:val="len"/>
        <w:spacing w:before="0" w:line="260" w:lineRule="exact"/>
        <w:rPr>
          <w:rFonts w:cs="Arial"/>
          <w:sz w:val="20"/>
          <w:szCs w:val="20"/>
        </w:rPr>
      </w:pPr>
    </w:p>
    <w:p w:rsidR="0014362F" w:rsidRPr="00815544" w:rsidRDefault="0014362F" w:rsidP="0014362F">
      <w:pPr>
        <w:pStyle w:val="len"/>
        <w:spacing w:before="0" w:line="260" w:lineRule="exact"/>
        <w:rPr>
          <w:rFonts w:cs="Arial"/>
          <w:sz w:val="20"/>
          <w:szCs w:val="20"/>
        </w:rPr>
      </w:pPr>
      <w:r w:rsidRPr="00815544">
        <w:rPr>
          <w:rFonts w:cs="Arial"/>
          <w:sz w:val="20"/>
          <w:szCs w:val="20"/>
        </w:rPr>
        <w:lastRenderedPageBreak/>
        <w:t>7. člen</w:t>
      </w:r>
    </w:p>
    <w:p w:rsidR="0014362F" w:rsidRPr="00815544" w:rsidRDefault="0014362F" w:rsidP="0014362F">
      <w:pPr>
        <w:pStyle w:val="lennaslov"/>
        <w:spacing w:line="260" w:lineRule="exact"/>
        <w:rPr>
          <w:rFonts w:cs="Arial"/>
          <w:sz w:val="20"/>
          <w:szCs w:val="20"/>
        </w:rPr>
      </w:pPr>
      <w:r w:rsidRPr="00815544">
        <w:rPr>
          <w:rFonts w:cs="Arial"/>
          <w:sz w:val="20"/>
          <w:szCs w:val="20"/>
        </w:rPr>
        <w:t>(pogoji varčevanja v PEPP)</w:t>
      </w:r>
    </w:p>
    <w:p w:rsidR="0014362F" w:rsidRPr="00815544" w:rsidRDefault="0014362F" w:rsidP="0014362F">
      <w:pPr>
        <w:pStyle w:val="lennaslov"/>
        <w:spacing w:line="260" w:lineRule="exact"/>
        <w:jc w:val="left"/>
        <w:rPr>
          <w:rFonts w:cs="Arial"/>
          <w:sz w:val="20"/>
          <w:szCs w:val="20"/>
        </w:rPr>
      </w:pPr>
    </w:p>
    <w:p w:rsidR="0014362F" w:rsidRPr="00815544" w:rsidRDefault="0014362F" w:rsidP="0014362F">
      <w:pPr>
        <w:pStyle w:val="lennaslov"/>
        <w:spacing w:line="260" w:lineRule="exact"/>
        <w:jc w:val="both"/>
        <w:rPr>
          <w:rFonts w:cs="Arial"/>
          <w:b w:val="0"/>
          <w:bCs/>
          <w:sz w:val="20"/>
          <w:szCs w:val="20"/>
        </w:rPr>
      </w:pPr>
      <w:r w:rsidRPr="00815544">
        <w:rPr>
          <w:rFonts w:cs="Arial"/>
          <w:b w:val="0"/>
          <w:bCs/>
          <w:sz w:val="20"/>
          <w:szCs w:val="20"/>
        </w:rPr>
        <w:t>(1) Varčevanje v PEPP smejo skleniti osebe, ki so dopolnile starost 15 let.</w:t>
      </w:r>
    </w:p>
    <w:p w:rsidR="0014362F" w:rsidRPr="00815544" w:rsidRDefault="0014362F" w:rsidP="0014362F">
      <w:pPr>
        <w:pStyle w:val="lennaslov"/>
        <w:spacing w:line="260" w:lineRule="exact"/>
        <w:jc w:val="both"/>
        <w:rPr>
          <w:rFonts w:cs="Arial"/>
          <w:b w:val="0"/>
          <w:bCs/>
          <w:sz w:val="20"/>
          <w:szCs w:val="20"/>
        </w:rPr>
      </w:pPr>
    </w:p>
    <w:p w:rsidR="0014362F" w:rsidRPr="00815544" w:rsidRDefault="0014362F" w:rsidP="0014362F">
      <w:pPr>
        <w:pStyle w:val="lennaslov"/>
        <w:spacing w:line="260" w:lineRule="exact"/>
        <w:jc w:val="both"/>
        <w:rPr>
          <w:rFonts w:cs="Arial"/>
          <w:b w:val="0"/>
          <w:bCs/>
          <w:sz w:val="20"/>
          <w:szCs w:val="20"/>
        </w:rPr>
      </w:pPr>
      <w:r w:rsidRPr="00815544">
        <w:rPr>
          <w:rFonts w:cs="Arial"/>
          <w:b w:val="0"/>
          <w:bCs/>
          <w:sz w:val="20"/>
          <w:szCs w:val="20"/>
        </w:rPr>
        <w:t>(2) V skladu z Uredbo 2019/1238/EU pogoje, povezane s fazo varčevanja, objavi in posodablja ministrstvo, pristojno za delo, družino, socialne zadeve in enake možnosti.</w:t>
      </w:r>
    </w:p>
    <w:p w:rsidR="0014362F" w:rsidRDefault="0014362F" w:rsidP="0014362F">
      <w:pPr>
        <w:pStyle w:val="len"/>
        <w:spacing w:before="0" w:line="260" w:lineRule="exact"/>
        <w:rPr>
          <w:rFonts w:cs="Arial"/>
          <w:sz w:val="20"/>
          <w:szCs w:val="20"/>
        </w:rPr>
      </w:pPr>
    </w:p>
    <w:p w:rsidR="0014362F" w:rsidRPr="00815544" w:rsidRDefault="0014362F" w:rsidP="0014362F">
      <w:pPr>
        <w:pStyle w:val="len"/>
        <w:spacing w:before="0" w:line="260" w:lineRule="exact"/>
        <w:rPr>
          <w:rFonts w:cs="Arial"/>
          <w:sz w:val="20"/>
          <w:szCs w:val="20"/>
        </w:rPr>
      </w:pPr>
    </w:p>
    <w:p w:rsidR="0014362F" w:rsidRPr="00815544" w:rsidRDefault="0014362F" w:rsidP="0014362F">
      <w:pPr>
        <w:pStyle w:val="len"/>
        <w:spacing w:before="0" w:line="260" w:lineRule="exact"/>
        <w:rPr>
          <w:rFonts w:cs="Arial"/>
          <w:sz w:val="20"/>
          <w:szCs w:val="20"/>
        </w:rPr>
      </w:pPr>
      <w:r w:rsidRPr="00815544">
        <w:rPr>
          <w:rFonts w:cs="Arial"/>
          <w:sz w:val="20"/>
          <w:szCs w:val="20"/>
        </w:rPr>
        <w:t>8. člen</w:t>
      </w:r>
    </w:p>
    <w:p w:rsidR="0014362F" w:rsidRPr="00815544" w:rsidRDefault="0014362F" w:rsidP="0014362F">
      <w:pPr>
        <w:pStyle w:val="lennaslov"/>
        <w:spacing w:line="260" w:lineRule="exact"/>
        <w:rPr>
          <w:rFonts w:cs="Arial"/>
          <w:sz w:val="20"/>
          <w:szCs w:val="20"/>
        </w:rPr>
      </w:pPr>
      <w:r w:rsidRPr="00815544">
        <w:rPr>
          <w:rFonts w:cs="Arial"/>
          <w:sz w:val="20"/>
          <w:szCs w:val="20"/>
        </w:rPr>
        <w:t>(pogoji izplačevanja v PEPP)</w:t>
      </w:r>
    </w:p>
    <w:p w:rsidR="0014362F" w:rsidRPr="00815544" w:rsidRDefault="0014362F" w:rsidP="0014362F">
      <w:pPr>
        <w:pStyle w:val="lennaslov"/>
        <w:spacing w:line="260" w:lineRule="exact"/>
        <w:jc w:val="both"/>
        <w:rPr>
          <w:rFonts w:cs="Arial"/>
          <w:b w:val="0"/>
          <w:bCs/>
          <w:sz w:val="20"/>
          <w:szCs w:val="20"/>
        </w:rPr>
      </w:pPr>
    </w:p>
    <w:p w:rsidR="0014362F" w:rsidRPr="00815544" w:rsidRDefault="0014362F" w:rsidP="0014362F">
      <w:pPr>
        <w:pStyle w:val="Odstavek"/>
        <w:spacing w:before="0" w:line="260" w:lineRule="exact"/>
        <w:ind w:firstLine="0"/>
        <w:rPr>
          <w:rFonts w:cs="Arial"/>
          <w:sz w:val="20"/>
          <w:szCs w:val="20"/>
        </w:rPr>
      </w:pPr>
      <w:r w:rsidRPr="00815544">
        <w:rPr>
          <w:rFonts w:cs="Arial"/>
          <w:sz w:val="20"/>
          <w:szCs w:val="20"/>
        </w:rPr>
        <w:t>(1) Varčevalec v PEPP pridobi pravico do izplačevanja izplačil v okviru PEPP, ko dopolni starost 65 let ali ko uveljavi pravico do predčasne pokojnine, starostne pokojnine, invalidske pokojnine, vdovske pokojnine ali poklicne pokojnine v skladu s predpisi, ki urejajo obvezno pokojninsko in invalidsko zavarovanje.</w:t>
      </w:r>
    </w:p>
    <w:p w:rsidR="0014362F" w:rsidRPr="00815544" w:rsidRDefault="0014362F" w:rsidP="0014362F">
      <w:pPr>
        <w:pStyle w:val="Odstavek"/>
        <w:spacing w:before="0" w:line="260" w:lineRule="exact"/>
        <w:ind w:firstLine="0"/>
        <w:rPr>
          <w:rFonts w:cs="Arial"/>
          <w:sz w:val="20"/>
          <w:szCs w:val="20"/>
        </w:rPr>
      </w:pPr>
    </w:p>
    <w:p w:rsidR="0014362F" w:rsidRPr="00815544" w:rsidRDefault="0014362F" w:rsidP="0014362F">
      <w:pPr>
        <w:pStyle w:val="Odstavek"/>
        <w:spacing w:before="0" w:line="260" w:lineRule="exact"/>
        <w:ind w:firstLine="0"/>
        <w:rPr>
          <w:rFonts w:cs="Arial"/>
          <w:sz w:val="20"/>
          <w:szCs w:val="20"/>
        </w:rPr>
      </w:pPr>
      <w:r w:rsidRPr="00815544">
        <w:rPr>
          <w:rFonts w:cs="Arial"/>
          <w:sz w:val="20"/>
          <w:szCs w:val="20"/>
        </w:rPr>
        <w:t xml:space="preserve">(2) Ne glede na prejšnji odstavek ponudnik PEPP omogoči izplačilo enkratnega zneska pred izpolnitvijo pogojev iz prejšnjega odstavka, če so za to podani utemeljeni razlogi v zvezi s socialnim položajem ali zdravstvenim stanjem varčevalca v PEPP. </w:t>
      </w:r>
    </w:p>
    <w:p w:rsidR="0014362F" w:rsidRPr="00815544" w:rsidRDefault="0014362F" w:rsidP="0014362F">
      <w:pPr>
        <w:pStyle w:val="Odstavek"/>
        <w:spacing w:before="0" w:line="260" w:lineRule="exact"/>
        <w:ind w:firstLine="0"/>
        <w:jc w:val="left"/>
        <w:rPr>
          <w:rFonts w:cs="Arial"/>
          <w:sz w:val="20"/>
          <w:szCs w:val="20"/>
        </w:rPr>
      </w:pPr>
    </w:p>
    <w:p w:rsidR="0014362F" w:rsidRPr="00815544" w:rsidRDefault="0014362F" w:rsidP="0014362F">
      <w:pPr>
        <w:pStyle w:val="lennaslov"/>
        <w:spacing w:line="260" w:lineRule="exact"/>
        <w:jc w:val="both"/>
        <w:rPr>
          <w:rFonts w:cs="Arial"/>
          <w:b w:val="0"/>
          <w:bCs/>
          <w:sz w:val="20"/>
          <w:szCs w:val="20"/>
        </w:rPr>
      </w:pPr>
      <w:r w:rsidRPr="00815544">
        <w:rPr>
          <w:rFonts w:cs="Arial"/>
          <w:b w:val="0"/>
          <w:bCs/>
          <w:sz w:val="20"/>
          <w:szCs w:val="20"/>
        </w:rPr>
        <w:t>(3) V skladu z Uredbo 2019/1238/EU pogoje, povezane s fazo izplačevanja, objavi in posodablja ministrstvo, pristojno za delo, družino, socialne zadeve in enake možnosti.</w:t>
      </w:r>
    </w:p>
    <w:p w:rsidR="0014362F" w:rsidRPr="00815544" w:rsidRDefault="0014362F" w:rsidP="0014362F">
      <w:pPr>
        <w:pStyle w:val="Brezrazmikov"/>
        <w:spacing w:line="260" w:lineRule="exact"/>
        <w:rPr>
          <w:rFonts w:cs="Arial"/>
          <w:szCs w:val="20"/>
          <w:lang w:val="sl-SI"/>
        </w:rPr>
      </w:pPr>
    </w:p>
    <w:p w:rsidR="0014362F" w:rsidRPr="00815544" w:rsidRDefault="0014362F" w:rsidP="0014362F">
      <w:pPr>
        <w:pStyle w:val="len"/>
        <w:spacing w:before="0" w:line="260" w:lineRule="exact"/>
        <w:rPr>
          <w:rFonts w:cs="Arial"/>
          <w:sz w:val="20"/>
          <w:szCs w:val="20"/>
        </w:rPr>
      </w:pPr>
    </w:p>
    <w:p w:rsidR="0014362F" w:rsidRPr="00815544" w:rsidRDefault="0014362F" w:rsidP="0014362F">
      <w:pPr>
        <w:pStyle w:val="len"/>
        <w:spacing w:before="0" w:line="260" w:lineRule="exact"/>
        <w:rPr>
          <w:rFonts w:cs="Arial"/>
          <w:sz w:val="20"/>
          <w:szCs w:val="20"/>
        </w:rPr>
      </w:pPr>
      <w:r w:rsidRPr="00815544">
        <w:rPr>
          <w:rFonts w:cs="Arial"/>
          <w:sz w:val="20"/>
          <w:szCs w:val="20"/>
        </w:rPr>
        <w:t>9. člen</w:t>
      </w:r>
    </w:p>
    <w:p w:rsidR="0014362F" w:rsidRPr="00815544" w:rsidRDefault="0014362F" w:rsidP="0014362F">
      <w:pPr>
        <w:pStyle w:val="len"/>
        <w:spacing w:before="0" w:line="260" w:lineRule="exact"/>
        <w:rPr>
          <w:rFonts w:cs="Arial"/>
          <w:sz w:val="20"/>
          <w:szCs w:val="20"/>
        </w:rPr>
      </w:pPr>
      <w:r w:rsidRPr="00815544">
        <w:rPr>
          <w:rFonts w:cs="Arial"/>
          <w:sz w:val="20"/>
          <w:szCs w:val="20"/>
        </w:rPr>
        <w:t xml:space="preserve">(pogoji za izvajanje poslov distribucije PEPP) </w:t>
      </w:r>
    </w:p>
    <w:p w:rsidR="0014362F" w:rsidRPr="00815544" w:rsidRDefault="0014362F" w:rsidP="0014362F">
      <w:pPr>
        <w:pStyle w:val="Brezrazmikov"/>
        <w:spacing w:line="260" w:lineRule="exact"/>
        <w:rPr>
          <w:rFonts w:cs="Arial"/>
          <w:szCs w:val="20"/>
          <w:lang w:val="sl-SI"/>
        </w:rPr>
      </w:pPr>
    </w:p>
    <w:p w:rsidR="0014362F" w:rsidRPr="00815544" w:rsidRDefault="0014362F" w:rsidP="0014362F">
      <w:pPr>
        <w:pStyle w:val="Odstavek"/>
        <w:spacing w:before="0" w:line="260" w:lineRule="exact"/>
        <w:ind w:firstLine="0"/>
        <w:rPr>
          <w:rFonts w:cs="Arial"/>
          <w:sz w:val="20"/>
          <w:szCs w:val="20"/>
        </w:rPr>
      </w:pPr>
      <w:r w:rsidRPr="00815544">
        <w:rPr>
          <w:rFonts w:cs="Arial"/>
          <w:sz w:val="20"/>
          <w:szCs w:val="20"/>
        </w:rPr>
        <w:t>Distribucijo PEPP lahko izvaja le fizična oseba, ki je pridobila dovoljenje agencije za opravljanje poslov zavarovalnega zastopanja oziroma posredovanja, pri čemer distribucija zajema storitve, kot so opredeljene za distribucijo zavarovalnih produktov z zakonom, ki ureja zavarovalništvo.</w:t>
      </w:r>
    </w:p>
    <w:p w:rsidR="0014362F" w:rsidRPr="00815544" w:rsidRDefault="0014362F" w:rsidP="0014362F">
      <w:pPr>
        <w:pStyle w:val="Odstavek"/>
        <w:spacing w:before="0" w:line="260" w:lineRule="exact"/>
        <w:ind w:left="1080" w:firstLine="0"/>
        <w:rPr>
          <w:rFonts w:cs="Arial"/>
          <w:b/>
          <w:bCs/>
          <w:sz w:val="20"/>
          <w:szCs w:val="20"/>
        </w:rPr>
      </w:pPr>
    </w:p>
    <w:p w:rsidR="0014362F" w:rsidRPr="00815544" w:rsidRDefault="0014362F" w:rsidP="0014362F">
      <w:pPr>
        <w:pStyle w:val="lennaslov"/>
        <w:spacing w:line="260" w:lineRule="exact"/>
        <w:rPr>
          <w:rFonts w:cs="Arial"/>
          <w:sz w:val="20"/>
          <w:szCs w:val="20"/>
        </w:rPr>
      </w:pPr>
    </w:p>
    <w:p w:rsidR="0014362F" w:rsidRPr="00815544" w:rsidRDefault="0014362F" w:rsidP="0014362F">
      <w:pPr>
        <w:pStyle w:val="lennaslov"/>
        <w:spacing w:line="260" w:lineRule="exact"/>
        <w:rPr>
          <w:rFonts w:cs="Arial"/>
          <w:sz w:val="20"/>
          <w:szCs w:val="20"/>
        </w:rPr>
      </w:pPr>
      <w:r w:rsidRPr="00815544">
        <w:rPr>
          <w:rFonts w:cs="Arial"/>
          <w:sz w:val="20"/>
          <w:szCs w:val="20"/>
        </w:rPr>
        <w:t>10. člen</w:t>
      </w:r>
    </w:p>
    <w:p w:rsidR="0014362F" w:rsidRPr="00815544" w:rsidRDefault="0014362F" w:rsidP="0014362F">
      <w:pPr>
        <w:pStyle w:val="lennaslov"/>
        <w:spacing w:line="260" w:lineRule="exact"/>
        <w:rPr>
          <w:rFonts w:cs="Arial"/>
          <w:sz w:val="20"/>
          <w:szCs w:val="20"/>
        </w:rPr>
      </w:pPr>
      <w:r w:rsidRPr="00815544">
        <w:rPr>
          <w:rFonts w:cs="Arial"/>
          <w:sz w:val="20"/>
          <w:szCs w:val="20"/>
        </w:rPr>
        <w:t>(razkritje informacij o izrečenih ukrepih in identiteti kršitelja)</w:t>
      </w:r>
    </w:p>
    <w:p w:rsidR="0014362F" w:rsidRPr="00815544" w:rsidRDefault="0014362F" w:rsidP="0014362F">
      <w:pPr>
        <w:pStyle w:val="Brezrazmikov"/>
        <w:spacing w:line="260" w:lineRule="exact"/>
        <w:jc w:val="both"/>
        <w:rPr>
          <w:rFonts w:cs="Arial"/>
          <w:szCs w:val="20"/>
          <w:lang w:val="sl-SI"/>
        </w:rPr>
      </w:pPr>
    </w:p>
    <w:p w:rsidR="0014362F" w:rsidRPr="00815544" w:rsidRDefault="0014362F" w:rsidP="0014362F">
      <w:pPr>
        <w:pStyle w:val="Brezrazmikov"/>
        <w:spacing w:line="260" w:lineRule="exact"/>
        <w:jc w:val="both"/>
        <w:rPr>
          <w:rFonts w:cs="Arial"/>
          <w:szCs w:val="20"/>
          <w:lang w:val="sl-SI"/>
        </w:rPr>
      </w:pPr>
      <w:r w:rsidRPr="001152CB">
        <w:rPr>
          <w:rFonts w:cs="Arial"/>
          <w:szCs w:val="20"/>
          <w:lang w:val="sl-SI"/>
        </w:rPr>
        <w:t xml:space="preserve">(1) Agencija </w:t>
      </w:r>
      <w:r w:rsidRPr="00815544">
        <w:rPr>
          <w:rFonts w:cs="Arial"/>
          <w:szCs w:val="20"/>
          <w:lang w:val="sl-SI"/>
        </w:rPr>
        <w:t>po pravnomočno končanem postopku na svoji spletni strani javno objavi vrsto in naravo kršitve, izrečene nadzorne ukrepe in sankcije zaradi prekrška, ki jih je izrekla fizični ali pravni osebi zaradi kršitve Uredbe 2019/1238/EU in tega zakona, vključno s podatki o identiteti kršitelja, v skladu z določbami zakona, ki ureja zavarovalništvo, če ta člen ne določa drugače. Agencija o javni objavi odloča v vsakem konkretnem primeru, v skladu z določbami drugega in tretjega odstavka tega člena.</w:t>
      </w:r>
    </w:p>
    <w:p w:rsidR="0014362F" w:rsidRPr="00815544" w:rsidRDefault="0014362F" w:rsidP="0014362F">
      <w:pPr>
        <w:pStyle w:val="Brezrazmikov"/>
        <w:spacing w:line="260" w:lineRule="exact"/>
        <w:jc w:val="both"/>
        <w:rPr>
          <w:rFonts w:cs="Arial"/>
          <w:szCs w:val="20"/>
          <w:lang w:val="sl-SI"/>
        </w:rPr>
      </w:pPr>
    </w:p>
    <w:p w:rsidR="0014362F" w:rsidRPr="00815544" w:rsidRDefault="0014362F" w:rsidP="0014362F">
      <w:pPr>
        <w:pStyle w:val="Brezrazmikov"/>
        <w:spacing w:line="260" w:lineRule="exact"/>
        <w:jc w:val="both"/>
        <w:rPr>
          <w:rFonts w:cs="Arial"/>
          <w:szCs w:val="20"/>
          <w:lang w:val="sl-SI"/>
        </w:rPr>
      </w:pPr>
      <w:r w:rsidRPr="00815544">
        <w:rPr>
          <w:rFonts w:cs="Arial"/>
          <w:szCs w:val="20"/>
          <w:lang w:val="sl-SI"/>
        </w:rPr>
        <w:t>(2) Ne glede na prejšnji odstavek agencija v odločbi, s katero izreče ukrepe nadzora</w:t>
      </w:r>
      <w:r>
        <w:rPr>
          <w:rFonts w:cs="Arial"/>
          <w:szCs w:val="20"/>
          <w:lang w:val="sl-SI"/>
        </w:rPr>
        <w:t xml:space="preserve"> ali izda odločbo o prekršku</w:t>
      </w:r>
      <w:r w:rsidRPr="00815544">
        <w:rPr>
          <w:rFonts w:cs="Arial"/>
          <w:szCs w:val="20"/>
          <w:lang w:val="sl-SI"/>
        </w:rPr>
        <w:t>, odloči, da se podatki o identiteti kršitelja ne objavijo, če:</w:t>
      </w:r>
    </w:p>
    <w:p w:rsidR="0014362F" w:rsidRPr="00815544" w:rsidRDefault="0014362F" w:rsidP="0014362F">
      <w:pPr>
        <w:pStyle w:val="Odstavekseznama"/>
        <w:numPr>
          <w:ilvl w:val="0"/>
          <w:numId w:val="10"/>
        </w:numPr>
        <w:jc w:val="both"/>
        <w:rPr>
          <w:rFonts w:cs="Arial"/>
          <w:szCs w:val="20"/>
        </w:rPr>
      </w:pPr>
      <w:r w:rsidRPr="00815544">
        <w:rPr>
          <w:rFonts w:cs="Arial"/>
          <w:szCs w:val="20"/>
        </w:rPr>
        <w:t>se nadzorni ukrep</w:t>
      </w:r>
      <w:r>
        <w:rPr>
          <w:rFonts w:cs="Arial"/>
          <w:szCs w:val="20"/>
        </w:rPr>
        <w:t xml:space="preserve"> ali odločba o prekršku</w:t>
      </w:r>
      <w:r w:rsidRPr="00815544">
        <w:rPr>
          <w:rFonts w:cs="Arial"/>
          <w:szCs w:val="20"/>
        </w:rPr>
        <w:t xml:space="preserve"> izreče fizični osebi in objava osebnih podatkov o kršitelju ni sorazmerna s težo kršitve, ali</w:t>
      </w:r>
    </w:p>
    <w:p w:rsidR="0014362F" w:rsidRPr="00815544" w:rsidRDefault="0014362F" w:rsidP="0014362F">
      <w:pPr>
        <w:pStyle w:val="Odstavekseznama"/>
        <w:numPr>
          <w:ilvl w:val="0"/>
          <w:numId w:val="10"/>
        </w:numPr>
        <w:jc w:val="both"/>
        <w:rPr>
          <w:rFonts w:cs="Arial"/>
          <w:szCs w:val="20"/>
        </w:rPr>
      </w:pPr>
      <w:r w:rsidRPr="00815544">
        <w:rPr>
          <w:rFonts w:cs="Arial"/>
          <w:szCs w:val="20"/>
        </w:rPr>
        <w:t xml:space="preserve">bi objava informacij </w:t>
      </w:r>
      <w:r w:rsidRPr="004C5E5B">
        <w:rPr>
          <w:rFonts w:cs="Arial"/>
          <w:szCs w:val="20"/>
        </w:rPr>
        <w:t xml:space="preserve">o identiteti kršitelja ogrozila stabilnost finančnih trgov, o čemer presojajo Banka Slovenije, Agencija za trg vrednostnih papirjev in </w:t>
      </w:r>
      <w:r>
        <w:rPr>
          <w:rFonts w:cs="Arial"/>
          <w:szCs w:val="20"/>
        </w:rPr>
        <w:t>a</w:t>
      </w:r>
      <w:r w:rsidRPr="004C5E5B">
        <w:rPr>
          <w:rFonts w:cs="Arial"/>
          <w:szCs w:val="20"/>
        </w:rPr>
        <w:t>gencija, vsaka z vidika svojih pristojnosti</w:t>
      </w:r>
      <w:r w:rsidRPr="00815544">
        <w:rPr>
          <w:rFonts w:cs="Arial"/>
          <w:szCs w:val="20"/>
        </w:rPr>
        <w:t>,</w:t>
      </w:r>
    </w:p>
    <w:p w:rsidR="0014362F" w:rsidRPr="00815544" w:rsidRDefault="0014362F" w:rsidP="0014362F">
      <w:pPr>
        <w:pStyle w:val="Odstavekseznama"/>
        <w:numPr>
          <w:ilvl w:val="0"/>
          <w:numId w:val="10"/>
        </w:numPr>
        <w:jc w:val="both"/>
        <w:rPr>
          <w:rFonts w:cs="Arial"/>
          <w:szCs w:val="20"/>
        </w:rPr>
      </w:pPr>
      <w:r w:rsidRPr="00815544">
        <w:rPr>
          <w:rFonts w:cs="Arial"/>
          <w:szCs w:val="20"/>
        </w:rPr>
        <w:t>bi objava informacij o identiteti kršitelja ogrozila izvedbo predkazenskega ali kazenskega postopka, pri čemer je agencija dolžna pridobiti in upoštevati mnenje državnega tožilca, ali</w:t>
      </w:r>
    </w:p>
    <w:p w:rsidR="0014362F" w:rsidRPr="00815544" w:rsidRDefault="0014362F" w:rsidP="0014362F">
      <w:pPr>
        <w:pStyle w:val="Odstavekseznama"/>
        <w:numPr>
          <w:ilvl w:val="0"/>
          <w:numId w:val="10"/>
        </w:numPr>
        <w:jc w:val="both"/>
        <w:rPr>
          <w:rFonts w:cs="Arial"/>
          <w:szCs w:val="20"/>
        </w:rPr>
      </w:pPr>
      <w:r w:rsidRPr="00815544">
        <w:rPr>
          <w:rFonts w:cs="Arial"/>
          <w:szCs w:val="20"/>
        </w:rPr>
        <w:lastRenderedPageBreak/>
        <w:t>bi z objavo vpletenim osebam verjetno nastala nesorazmerna škoda.</w:t>
      </w:r>
    </w:p>
    <w:p w:rsidR="0014362F" w:rsidRPr="00815544" w:rsidRDefault="0014362F" w:rsidP="0014362F">
      <w:pPr>
        <w:pStyle w:val="Brezrazmikov"/>
        <w:spacing w:line="260" w:lineRule="exact"/>
        <w:jc w:val="both"/>
        <w:rPr>
          <w:rFonts w:cs="Arial"/>
          <w:szCs w:val="20"/>
          <w:lang w:val="sl-SI"/>
        </w:rPr>
      </w:pPr>
    </w:p>
    <w:p w:rsidR="0014362F" w:rsidRPr="00815544" w:rsidRDefault="0014362F" w:rsidP="0014362F">
      <w:pPr>
        <w:pStyle w:val="Brezrazmikov"/>
        <w:spacing w:line="260" w:lineRule="exact"/>
        <w:jc w:val="both"/>
        <w:rPr>
          <w:rFonts w:cs="Arial"/>
          <w:szCs w:val="20"/>
          <w:lang w:val="sl-SI"/>
        </w:rPr>
      </w:pPr>
      <w:r w:rsidRPr="00815544">
        <w:rPr>
          <w:rFonts w:cs="Arial"/>
          <w:szCs w:val="20"/>
          <w:lang w:val="sl-SI"/>
        </w:rPr>
        <w:t>(3) Če agencija ob izdaji odločbe, s katero izreče ukrepe nadzora, ne ugotovi razlogov iz prejšnjega odstavka, v odločbi kršitelja opozori, da bodo vrsta in narava kršitve ter identiteta kršitelja (naziv in sedež pravne osebe ali osebno ime fizične osebe ter funkcija odgovorne osebe) javno objavljene kot javno opozorilo na spletni strani agencije, in ga pouči, da v primeru obstoja razlogov iz prejšnjega odstavka te razloge navede v ugovoru, ki se vloži v roku, ki je določen za vložitev pravnega sredstva zoper odločbo o nadzornem ukrepu po določbah zakona, ki ureja zavarovalništvo. Agencija v odločbi določi rok trajanja objave, ki ne sme biti krajši od petih let od objave, in svojo odločitev utemelji.</w:t>
      </w:r>
    </w:p>
    <w:p w:rsidR="0014362F" w:rsidRPr="00815544" w:rsidRDefault="0014362F" w:rsidP="0014362F">
      <w:pPr>
        <w:pStyle w:val="Brezrazmikov"/>
        <w:spacing w:line="260" w:lineRule="exact"/>
        <w:jc w:val="both"/>
        <w:rPr>
          <w:rFonts w:cs="Arial"/>
          <w:szCs w:val="20"/>
          <w:lang w:val="sl-SI"/>
        </w:rPr>
      </w:pPr>
    </w:p>
    <w:p w:rsidR="0014362F" w:rsidRPr="00815544" w:rsidRDefault="0014362F" w:rsidP="0014362F">
      <w:pPr>
        <w:pStyle w:val="Brezrazmikov"/>
        <w:spacing w:line="260" w:lineRule="exact"/>
        <w:jc w:val="both"/>
        <w:rPr>
          <w:rFonts w:cs="Arial"/>
          <w:szCs w:val="20"/>
          <w:lang w:val="sl-SI"/>
        </w:rPr>
      </w:pPr>
      <w:r w:rsidRPr="00815544">
        <w:rPr>
          <w:rFonts w:cs="Arial"/>
          <w:szCs w:val="20"/>
          <w:lang w:val="sl-SI"/>
        </w:rPr>
        <w:t>(4) Če agencija na podlagi ugovora kršitelja ugotovi, da so podani razlogi iz drugega odstavka tega člena, v odločbi, s katero ugodi ugovoru, odloči, da se identiteta kršitelja ne objavi</w:t>
      </w:r>
      <w:r>
        <w:rPr>
          <w:rFonts w:cs="Arial"/>
          <w:szCs w:val="20"/>
          <w:lang w:val="sl-SI"/>
        </w:rPr>
        <w:t>, razen v primeru odločbe o prekršku, ko o ugovoru odloči sodišče</w:t>
      </w:r>
      <w:r w:rsidRPr="00815544">
        <w:rPr>
          <w:rFonts w:cs="Arial"/>
          <w:szCs w:val="20"/>
          <w:lang w:val="sl-SI"/>
        </w:rPr>
        <w:t>.</w:t>
      </w:r>
    </w:p>
    <w:p w:rsidR="0014362F" w:rsidRPr="00815544" w:rsidRDefault="0014362F" w:rsidP="0014362F">
      <w:pPr>
        <w:pStyle w:val="Brezrazmikov"/>
        <w:spacing w:line="260" w:lineRule="exact"/>
        <w:jc w:val="both"/>
        <w:rPr>
          <w:rFonts w:cs="Arial"/>
          <w:szCs w:val="20"/>
          <w:lang w:val="sl-SI"/>
        </w:rPr>
      </w:pPr>
    </w:p>
    <w:p w:rsidR="0014362F" w:rsidRDefault="0014362F" w:rsidP="0014362F">
      <w:pPr>
        <w:pStyle w:val="Brezrazmikov"/>
        <w:spacing w:line="260" w:lineRule="exact"/>
        <w:jc w:val="both"/>
        <w:rPr>
          <w:rFonts w:cs="Arial"/>
          <w:szCs w:val="20"/>
          <w:lang w:val="sl-SI"/>
        </w:rPr>
      </w:pPr>
      <w:r w:rsidRPr="00815544">
        <w:rPr>
          <w:rFonts w:cs="Arial"/>
          <w:szCs w:val="20"/>
          <w:lang w:val="sl-SI"/>
        </w:rPr>
        <w:t xml:space="preserve">(5) Zoper odločbo, s katero agencija zavrne ugovor iz tretjega odstavka tega člena, ima kršitelj pravico do sodnega varstva. Za postopke sodnega varstva se uporabljajo določbe zakona, ki ureja upravni spor. </w:t>
      </w:r>
    </w:p>
    <w:p w:rsidR="0014362F" w:rsidRPr="004E42B2" w:rsidRDefault="0014362F" w:rsidP="0014362F">
      <w:pPr>
        <w:pStyle w:val="Brezrazmikov"/>
        <w:spacing w:line="260" w:lineRule="exact"/>
        <w:jc w:val="both"/>
        <w:rPr>
          <w:lang w:val="sl-SI"/>
        </w:rPr>
      </w:pPr>
    </w:p>
    <w:p w:rsidR="0014362F" w:rsidRPr="00DD53D2" w:rsidRDefault="0014362F" w:rsidP="0014362F">
      <w:pPr>
        <w:pStyle w:val="Brezrazmikov"/>
        <w:spacing w:line="260" w:lineRule="exact"/>
        <w:jc w:val="both"/>
        <w:rPr>
          <w:lang w:val="sl-SI"/>
        </w:rPr>
      </w:pPr>
    </w:p>
    <w:p w:rsidR="0014362F" w:rsidRPr="00815544" w:rsidRDefault="0014362F" w:rsidP="0014362F">
      <w:pPr>
        <w:ind w:firstLine="1021"/>
        <w:jc w:val="both"/>
        <w:rPr>
          <w:rFonts w:cs="Arial"/>
          <w:b/>
          <w:bCs/>
          <w:szCs w:val="20"/>
        </w:rPr>
      </w:pPr>
    </w:p>
    <w:p w:rsidR="0014362F" w:rsidRPr="00815544" w:rsidRDefault="0014362F" w:rsidP="0014362F">
      <w:pPr>
        <w:pStyle w:val="len"/>
        <w:spacing w:before="0" w:line="260" w:lineRule="exact"/>
        <w:rPr>
          <w:rFonts w:cs="Arial"/>
          <w:sz w:val="20"/>
          <w:szCs w:val="20"/>
        </w:rPr>
      </w:pPr>
      <w:r w:rsidRPr="00815544">
        <w:rPr>
          <w:rFonts w:cs="Arial"/>
          <w:sz w:val="20"/>
          <w:szCs w:val="20"/>
        </w:rPr>
        <w:t>1</w:t>
      </w:r>
      <w:r>
        <w:rPr>
          <w:rFonts w:cs="Arial"/>
          <w:sz w:val="20"/>
          <w:szCs w:val="20"/>
        </w:rPr>
        <w:t>1</w:t>
      </w:r>
      <w:r w:rsidRPr="00815544">
        <w:rPr>
          <w:rFonts w:cs="Arial"/>
          <w:sz w:val="20"/>
          <w:szCs w:val="20"/>
        </w:rPr>
        <w:t>. člen</w:t>
      </w:r>
    </w:p>
    <w:p w:rsidR="0014362F" w:rsidRPr="00815544" w:rsidRDefault="0014362F" w:rsidP="0014362F">
      <w:pPr>
        <w:pStyle w:val="lennaslov"/>
        <w:spacing w:line="260" w:lineRule="exact"/>
        <w:rPr>
          <w:rFonts w:cs="Arial"/>
          <w:sz w:val="20"/>
          <w:szCs w:val="20"/>
        </w:rPr>
      </w:pPr>
      <w:r w:rsidRPr="00815544">
        <w:rPr>
          <w:rFonts w:cs="Arial"/>
          <w:sz w:val="20"/>
          <w:szCs w:val="20"/>
        </w:rPr>
        <w:t>(prekrški)</w:t>
      </w:r>
    </w:p>
    <w:p w:rsidR="0014362F" w:rsidRPr="00815544" w:rsidRDefault="0014362F" w:rsidP="0014362F">
      <w:pPr>
        <w:pStyle w:val="lennaslov"/>
        <w:spacing w:line="260" w:lineRule="exact"/>
        <w:rPr>
          <w:rFonts w:cs="Arial"/>
          <w:sz w:val="20"/>
          <w:szCs w:val="20"/>
        </w:rPr>
      </w:pPr>
    </w:p>
    <w:p w:rsidR="0014362F" w:rsidRPr="00815544" w:rsidRDefault="0014362F" w:rsidP="0014362F">
      <w:pPr>
        <w:pStyle w:val="Odstavek"/>
        <w:spacing w:before="0" w:line="260" w:lineRule="exact"/>
        <w:ind w:firstLine="0"/>
        <w:rPr>
          <w:rFonts w:cs="Arial"/>
          <w:sz w:val="20"/>
          <w:szCs w:val="20"/>
        </w:rPr>
      </w:pPr>
      <w:r w:rsidRPr="00815544">
        <w:rPr>
          <w:rFonts w:cs="Arial"/>
          <w:sz w:val="20"/>
          <w:szCs w:val="20"/>
        </w:rPr>
        <w:t>(1) Z globo od 25.000 do 250.000 eurov se za prekršek kaznuje pravna oseba, z globo od 25.000 do 500.000 eurov pa pravna oseba, ki se po zakonu, ki ureja gospodarske družbe, šteje za srednjo ali veliko gospodarsko družbo, če:</w:t>
      </w:r>
    </w:p>
    <w:p w:rsidR="0014362F" w:rsidRPr="00815544" w:rsidRDefault="0014362F" w:rsidP="0014362F">
      <w:pPr>
        <w:pStyle w:val="tevilnatoka"/>
        <w:numPr>
          <w:ilvl w:val="0"/>
          <w:numId w:val="0"/>
        </w:numPr>
        <w:spacing w:line="260" w:lineRule="exact"/>
        <w:rPr>
          <w:rFonts w:cs="Arial"/>
          <w:sz w:val="20"/>
          <w:szCs w:val="20"/>
        </w:rPr>
      </w:pPr>
      <w:r w:rsidRPr="00815544">
        <w:rPr>
          <w:rFonts w:cs="Arial"/>
          <w:sz w:val="20"/>
          <w:szCs w:val="20"/>
        </w:rPr>
        <w:t>1. pogodba o PEPP ne vsebuje obveznih elementov iz drugega odstavka 4. člena Uredbe 2019/1238/EU;</w:t>
      </w:r>
    </w:p>
    <w:p w:rsidR="0014362F" w:rsidRPr="00815544" w:rsidRDefault="0014362F" w:rsidP="0014362F">
      <w:pPr>
        <w:pStyle w:val="tevilnatoka"/>
        <w:numPr>
          <w:ilvl w:val="0"/>
          <w:numId w:val="0"/>
        </w:numPr>
        <w:spacing w:line="260" w:lineRule="exact"/>
        <w:rPr>
          <w:rFonts w:cs="Arial"/>
          <w:sz w:val="20"/>
          <w:szCs w:val="20"/>
        </w:rPr>
      </w:pPr>
      <w:r w:rsidRPr="00815544">
        <w:rPr>
          <w:rFonts w:cs="Arial"/>
          <w:sz w:val="20"/>
          <w:szCs w:val="20"/>
        </w:rPr>
        <w:t xml:space="preserve">2. v vlogi za registracijo PEPP navaja lažne podatke ali zavajajoče izjave (drugi odstavek 6. člena Uredbe 2019/1238/EU); </w:t>
      </w:r>
    </w:p>
    <w:p w:rsidR="0014362F" w:rsidRPr="00815544" w:rsidRDefault="0014362F" w:rsidP="0014362F">
      <w:pPr>
        <w:pStyle w:val="tevilnatoka"/>
        <w:numPr>
          <w:ilvl w:val="0"/>
          <w:numId w:val="0"/>
        </w:numPr>
        <w:spacing w:line="260" w:lineRule="exact"/>
        <w:rPr>
          <w:rFonts w:cs="Arial"/>
          <w:sz w:val="20"/>
          <w:szCs w:val="20"/>
        </w:rPr>
      </w:pPr>
      <w:r w:rsidRPr="00815544">
        <w:rPr>
          <w:rFonts w:cs="Arial"/>
          <w:sz w:val="20"/>
          <w:szCs w:val="20"/>
        </w:rPr>
        <w:t>3. ponuja ali distribuira PEPP pred datumom registracije PEPP v javnem centralnem registru (tretji odstavek 7. člena Uredbe 2019/1238/EU) ali brez registracije;</w:t>
      </w:r>
    </w:p>
    <w:p w:rsidR="0014362F" w:rsidRPr="00815544" w:rsidRDefault="0014362F" w:rsidP="0014362F">
      <w:pPr>
        <w:pStyle w:val="tevilnatoka"/>
        <w:numPr>
          <w:ilvl w:val="0"/>
          <w:numId w:val="0"/>
        </w:numPr>
        <w:spacing w:line="260" w:lineRule="exact"/>
        <w:rPr>
          <w:rFonts w:cs="Arial"/>
          <w:sz w:val="20"/>
          <w:szCs w:val="20"/>
        </w:rPr>
      </w:pPr>
      <w:r w:rsidRPr="00815544">
        <w:rPr>
          <w:rFonts w:cs="Arial"/>
          <w:sz w:val="20"/>
          <w:szCs w:val="20"/>
        </w:rPr>
        <w:t>4. uporablja oznako PEPP ali vseevropski osebni pokojninski produkt v nasprotju z 9. členom Uredbe 2019/1238/EU;</w:t>
      </w:r>
    </w:p>
    <w:p w:rsidR="0014362F" w:rsidRPr="00815544" w:rsidRDefault="0014362F" w:rsidP="0014362F">
      <w:pPr>
        <w:pStyle w:val="tevilnatoka"/>
        <w:numPr>
          <w:ilvl w:val="0"/>
          <w:numId w:val="0"/>
        </w:numPr>
        <w:spacing w:line="260" w:lineRule="exact"/>
        <w:rPr>
          <w:rFonts w:cs="Arial"/>
          <w:sz w:val="20"/>
          <w:szCs w:val="20"/>
        </w:rPr>
      </w:pPr>
      <w:r w:rsidRPr="00815544">
        <w:rPr>
          <w:rFonts w:cs="Arial"/>
          <w:sz w:val="20"/>
          <w:szCs w:val="20"/>
        </w:rPr>
        <w:t>5. distribuira PEPP v nasprotju z 10. členom Uredbe 2019/1238/EU;</w:t>
      </w:r>
    </w:p>
    <w:p w:rsidR="0014362F" w:rsidRPr="00815544" w:rsidRDefault="0014362F" w:rsidP="0014362F">
      <w:pPr>
        <w:pStyle w:val="tevilnatoka"/>
        <w:numPr>
          <w:ilvl w:val="0"/>
          <w:numId w:val="0"/>
        </w:numPr>
        <w:spacing w:line="260" w:lineRule="exact"/>
        <w:ind w:left="425" w:hanging="425"/>
        <w:rPr>
          <w:rFonts w:cs="Arial"/>
          <w:sz w:val="20"/>
          <w:szCs w:val="20"/>
        </w:rPr>
      </w:pPr>
      <w:r w:rsidRPr="00815544">
        <w:rPr>
          <w:rFonts w:cs="Arial"/>
          <w:sz w:val="20"/>
          <w:szCs w:val="20"/>
        </w:rPr>
        <w:t>6. kot ponudnik PEPP ne zagotavlja storitev prenosljivosti iz 17. člena Uredbe 2019/1238/EU (prvi odstavek  18. člena Uredbe 2019/1238/EU);</w:t>
      </w:r>
    </w:p>
    <w:p w:rsidR="0014362F" w:rsidRPr="00815544" w:rsidRDefault="0014362F" w:rsidP="0014362F">
      <w:pPr>
        <w:pStyle w:val="tevilnatoka"/>
        <w:numPr>
          <w:ilvl w:val="0"/>
          <w:numId w:val="0"/>
        </w:numPr>
        <w:spacing w:line="260" w:lineRule="exact"/>
        <w:ind w:left="425" w:hanging="425"/>
        <w:rPr>
          <w:rFonts w:cs="Arial"/>
          <w:sz w:val="20"/>
          <w:szCs w:val="20"/>
        </w:rPr>
      </w:pPr>
      <w:r w:rsidRPr="00815544">
        <w:rPr>
          <w:rFonts w:cs="Arial"/>
          <w:sz w:val="20"/>
          <w:szCs w:val="20"/>
        </w:rPr>
        <w:t>7. kot ponudnik PEPP ne zagotavlja podračunov PEPP v skladu z 19. členom Uredbe 2019/1238/EU;</w:t>
      </w:r>
    </w:p>
    <w:p w:rsidR="0014362F" w:rsidRPr="00815544" w:rsidRDefault="0014362F" w:rsidP="0014362F">
      <w:pPr>
        <w:pStyle w:val="tevilnatoka"/>
        <w:numPr>
          <w:ilvl w:val="0"/>
          <w:numId w:val="0"/>
        </w:numPr>
        <w:spacing w:line="260" w:lineRule="exact"/>
        <w:rPr>
          <w:rFonts w:cs="Arial"/>
          <w:sz w:val="20"/>
          <w:szCs w:val="20"/>
        </w:rPr>
      </w:pPr>
      <w:r w:rsidRPr="00815544">
        <w:rPr>
          <w:rFonts w:cs="Arial"/>
          <w:sz w:val="20"/>
          <w:szCs w:val="20"/>
        </w:rPr>
        <w:t>8. v nasprotju s prvim odstavkom 20. člena Uredbe 2019/1238/EU ne zagotovi dokumenta s ključnimi informacijami o posebnih zahtevah iz (g) točke tretjega odstavka 28. člena Uredbe 2019/1238/EU;</w:t>
      </w:r>
    </w:p>
    <w:p w:rsidR="0014362F" w:rsidRPr="00815544" w:rsidRDefault="0014362F" w:rsidP="0014362F">
      <w:pPr>
        <w:pStyle w:val="tevilnatoka"/>
        <w:numPr>
          <w:ilvl w:val="0"/>
          <w:numId w:val="0"/>
        </w:numPr>
        <w:spacing w:line="260" w:lineRule="exact"/>
        <w:rPr>
          <w:rFonts w:cs="Arial"/>
          <w:sz w:val="20"/>
          <w:szCs w:val="20"/>
        </w:rPr>
      </w:pPr>
      <w:r w:rsidRPr="00815544">
        <w:rPr>
          <w:rFonts w:cs="Arial"/>
          <w:sz w:val="20"/>
          <w:szCs w:val="20"/>
        </w:rPr>
        <w:t>9. kot ponudnik PEPP ne obvesti pristojnih organov matične države v skladu s prvim odstavkom  21. člena Uredbe 2019/1238/EU ali obvestilu ne priloži informacij ali dokumentov iz drugega odstavka 21. člena Uredbe 2019/1238/EU;</w:t>
      </w:r>
      <w:r w:rsidRPr="00815544">
        <w:rPr>
          <w:rFonts w:cs="Arial"/>
          <w:sz w:val="20"/>
          <w:szCs w:val="20"/>
        </w:rPr>
        <w:tab/>
      </w:r>
    </w:p>
    <w:p w:rsidR="0014362F" w:rsidRPr="00815544" w:rsidRDefault="0014362F" w:rsidP="0014362F">
      <w:pPr>
        <w:pStyle w:val="tevilnatoka"/>
        <w:numPr>
          <w:ilvl w:val="0"/>
          <w:numId w:val="0"/>
        </w:numPr>
        <w:spacing w:line="260" w:lineRule="exact"/>
        <w:rPr>
          <w:rFonts w:cs="Arial"/>
          <w:sz w:val="20"/>
          <w:szCs w:val="20"/>
        </w:rPr>
      </w:pPr>
      <w:r w:rsidRPr="00815544">
        <w:rPr>
          <w:rFonts w:cs="Arial"/>
          <w:sz w:val="20"/>
          <w:szCs w:val="20"/>
        </w:rPr>
        <w:t xml:space="preserve">10. za hrambo sredstev v zvezi z zagotavljanjem PEPP in nalogami glede nadzora ne imenuje enega ali več depozitarjev v skladu s prvim odstavkom 48. člena Uredbe 2019/1238/EU; </w:t>
      </w:r>
    </w:p>
    <w:p w:rsidR="0014362F" w:rsidRPr="00815544" w:rsidRDefault="0014362F" w:rsidP="0014362F">
      <w:pPr>
        <w:pStyle w:val="tevilnatoka"/>
        <w:numPr>
          <w:ilvl w:val="0"/>
          <w:numId w:val="0"/>
        </w:numPr>
        <w:spacing w:line="260" w:lineRule="exact"/>
        <w:rPr>
          <w:rFonts w:cs="Arial"/>
          <w:sz w:val="20"/>
          <w:szCs w:val="20"/>
        </w:rPr>
      </w:pPr>
      <w:r w:rsidRPr="00815544">
        <w:rPr>
          <w:rFonts w:cs="Arial"/>
          <w:sz w:val="20"/>
          <w:szCs w:val="20"/>
        </w:rPr>
        <w:t>11. ne vzpostavi ali uporablja ustreznih in učinkovitih postopkov za reševanje pritožb, ki jih vložijo stranke PEPP v zvezi s svojimi pravicami in obveznostmi na podlagi  Uredbe 2019/1238/EU (prvi odstavek 50. člena Uredbe 2019/1238/EU).</w:t>
      </w:r>
    </w:p>
    <w:p w:rsidR="0014362F" w:rsidRPr="00815544" w:rsidRDefault="0014362F" w:rsidP="0014362F">
      <w:pPr>
        <w:pStyle w:val="Odstavek"/>
        <w:spacing w:before="0" w:line="260" w:lineRule="exact"/>
        <w:rPr>
          <w:rFonts w:cs="Arial"/>
          <w:sz w:val="20"/>
          <w:szCs w:val="20"/>
        </w:rPr>
      </w:pPr>
    </w:p>
    <w:p w:rsidR="0014362F" w:rsidRDefault="0014362F" w:rsidP="0014362F">
      <w:pPr>
        <w:pStyle w:val="Odstavek"/>
        <w:spacing w:before="0" w:line="260" w:lineRule="exact"/>
        <w:ind w:firstLine="0"/>
        <w:rPr>
          <w:rFonts w:cs="Arial"/>
          <w:sz w:val="20"/>
          <w:szCs w:val="20"/>
        </w:rPr>
      </w:pPr>
      <w:r w:rsidRPr="00815544">
        <w:rPr>
          <w:rFonts w:cs="Arial"/>
          <w:sz w:val="20"/>
          <w:szCs w:val="20"/>
        </w:rPr>
        <w:lastRenderedPageBreak/>
        <w:t>(2) Z globo od 2.400 do 10.000 eurov se za prekrške iz prejšnjega odstavka kaznuje odgovorna oseba pravne osebe.</w:t>
      </w:r>
    </w:p>
    <w:p w:rsidR="0014362F" w:rsidRPr="00815544" w:rsidRDefault="0014362F" w:rsidP="0014362F">
      <w:pPr>
        <w:pStyle w:val="Odstavek"/>
        <w:spacing w:before="0" w:line="260" w:lineRule="exact"/>
        <w:ind w:firstLine="0"/>
        <w:rPr>
          <w:rFonts w:cs="Arial"/>
          <w:sz w:val="20"/>
          <w:szCs w:val="20"/>
        </w:rPr>
      </w:pPr>
    </w:p>
    <w:p w:rsidR="0014362F" w:rsidRPr="00815544" w:rsidRDefault="0014362F" w:rsidP="0014362F">
      <w:pPr>
        <w:pStyle w:val="len"/>
        <w:spacing w:before="0" w:line="260" w:lineRule="exact"/>
        <w:rPr>
          <w:rFonts w:cs="Arial"/>
          <w:sz w:val="20"/>
          <w:szCs w:val="20"/>
        </w:rPr>
      </w:pPr>
    </w:p>
    <w:p w:rsidR="0014362F" w:rsidRPr="00815544" w:rsidRDefault="0014362F" w:rsidP="0014362F">
      <w:pPr>
        <w:pStyle w:val="len"/>
        <w:spacing w:before="0" w:line="260" w:lineRule="exact"/>
        <w:rPr>
          <w:rFonts w:cs="Arial"/>
          <w:sz w:val="20"/>
          <w:szCs w:val="20"/>
        </w:rPr>
      </w:pPr>
      <w:r w:rsidRPr="00815544">
        <w:rPr>
          <w:rFonts w:cs="Arial"/>
          <w:sz w:val="20"/>
          <w:szCs w:val="20"/>
        </w:rPr>
        <w:t>1</w:t>
      </w:r>
      <w:r>
        <w:rPr>
          <w:rFonts w:cs="Arial"/>
          <w:sz w:val="20"/>
          <w:szCs w:val="20"/>
        </w:rPr>
        <w:t>2</w:t>
      </w:r>
      <w:r w:rsidRPr="00815544">
        <w:rPr>
          <w:rFonts w:cs="Arial"/>
          <w:sz w:val="20"/>
          <w:szCs w:val="20"/>
        </w:rPr>
        <w:t>. člen</w:t>
      </w:r>
    </w:p>
    <w:p w:rsidR="0014362F" w:rsidRPr="00815544" w:rsidRDefault="0014362F" w:rsidP="0014362F">
      <w:pPr>
        <w:pStyle w:val="lennaslov"/>
        <w:spacing w:line="260" w:lineRule="exact"/>
        <w:rPr>
          <w:rFonts w:cs="Arial"/>
          <w:sz w:val="20"/>
          <w:szCs w:val="20"/>
        </w:rPr>
      </w:pPr>
      <w:r w:rsidRPr="00815544">
        <w:rPr>
          <w:rFonts w:cs="Arial"/>
          <w:sz w:val="20"/>
          <w:szCs w:val="20"/>
        </w:rPr>
        <w:t>(hujši prekrški)</w:t>
      </w:r>
    </w:p>
    <w:p w:rsidR="0014362F" w:rsidRPr="00815544" w:rsidRDefault="0014362F" w:rsidP="0014362F">
      <w:pPr>
        <w:pStyle w:val="lennaslov"/>
        <w:spacing w:line="260" w:lineRule="exact"/>
        <w:rPr>
          <w:rFonts w:cs="Arial"/>
          <w:sz w:val="20"/>
          <w:szCs w:val="20"/>
        </w:rPr>
      </w:pPr>
    </w:p>
    <w:p w:rsidR="0014362F" w:rsidRPr="00815544" w:rsidRDefault="0014362F" w:rsidP="0014362F">
      <w:pPr>
        <w:pStyle w:val="Odstavek"/>
        <w:spacing w:before="0" w:line="260" w:lineRule="exact"/>
        <w:ind w:firstLine="0"/>
        <w:rPr>
          <w:rFonts w:cs="Arial"/>
          <w:sz w:val="20"/>
          <w:szCs w:val="20"/>
        </w:rPr>
      </w:pPr>
      <w:r w:rsidRPr="00815544">
        <w:rPr>
          <w:rFonts w:cs="Arial"/>
          <w:sz w:val="20"/>
          <w:szCs w:val="20"/>
        </w:rPr>
        <w:t>(1) V primerih, ko je narava prekrška iz prvega odstavka prejšnjega člena posebno huda zaradi višine povzročene škode oziroma višine pridobljene protipravne premoženjske koristi ali zaradi storilčevega naklepa oziroma njegovega namena koristoljubnosti, se pravna oseba kaznuje z globo v višini:</w:t>
      </w:r>
    </w:p>
    <w:p w:rsidR="0014362F" w:rsidRPr="00815544" w:rsidRDefault="0014362F" w:rsidP="0014362F">
      <w:pPr>
        <w:pStyle w:val="tevilnatoka"/>
        <w:numPr>
          <w:ilvl w:val="0"/>
          <w:numId w:val="8"/>
        </w:numPr>
        <w:spacing w:line="260" w:lineRule="exact"/>
        <w:rPr>
          <w:rFonts w:cs="Arial"/>
          <w:sz w:val="20"/>
          <w:szCs w:val="20"/>
        </w:rPr>
      </w:pPr>
      <w:r w:rsidRPr="00815544">
        <w:rPr>
          <w:rFonts w:cs="Arial"/>
          <w:sz w:val="20"/>
          <w:szCs w:val="20"/>
        </w:rPr>
        <w:t>5.000.000 eurov ali do 10 % skupnega letnega prometa glede na zadnje razpoložljive računovodske izkaze, ki jih je odobril pristojni organ družbe, oziroma skupnega letnega prometa ali ustrezne vrste prihodka, ki izhaja iz zadnjih razpoložljivih konsolidiranih letnih računovodskih izkazov, ki jih je odobril pristojni organ matične družbe, če pravna oseba pripravi konsolidirane računovodske izkaze na podlagi zakona, ki ureja gospodarske družbe, pri čemer se upošteva višji znesek, ali</w:t>
      </w:r>
    </w:p>
    <w:p w:rsidR="0014362F" w:rsidRPr="00815544" w:rsidRDefault="0014362F" w:rsidP="0014362F">
      <w:pPr>
        <w:pStyle w:val="tevilnatoka"/>
        <w:numPr>
          <w:ilvl w:val="0"/>
          <w:numId w:val="8"/>
        </w:numPr>
        <w:spacing w:line="260" w:lineRule="exact"/>
        <w:rPr>
          <w:rFonts w:cs="Arial"/>
          <w:sz w:val="20"/>
          <w:szCs w:val="20"/>
        </w:rPr>
      </w:pPr>
      <w:r w:rsidRPr="00815544">
        <w:rPr>
          <w:rFonts w:cs="Arial"/>
          <w:sz w:val="20"/>
          <w:szCs w:val="20"/>
        </w:rPr>
        <w:t>dvakratnega zneska koristi, če jo je mogoče opredeliti, če ta znesek presega najvišji znesek iz prejšnje točke.</w:t>
      </w:r>
    </w:p>
    <w:p w:rsidR="0014362F" w:rsidRPr="00815544" w:rsidRDefault="0014362F" w:rsidP="0014362F">
      <w:pPr>
        <w:pStyle w:val="tevilnatoka"/>
        <w:numPr>
          <w:ilvl w:val="0"/>
          <w:numId w:val="0"/>
        </w:numPr>
        <w:spacing w:line="260" w:lineRule="exact"/>
        <w:rPr>
          <w:rFonts w:cs="Arial"/>
          <w:sz w:val="20"/>
          <w:szCs w:val="20"/>
        </w:rPr>
      </w:pPr>
    </w:p>
    <w:p w:rsidR="0014362F" w:rsidRPr="00815544" w:rsidRDefault="0014362F" w:rsidP="0014362F">
      <w:pPr>
        <w:pStyle w:val="Odstavek"/>
        <w:spacing w:before="0" w:line="260" w:lineRule="exact"/>
        <w:ind w:firstLine="0"/>
        <w:rPr>
          <w:rFonts w:cs="Arial"/>
          <w:sz w:val="20"/>
          <w:szCs w:val="20"/>
        </w:rPr>
      </w:pPr>
      <w:r w:rsidRPr="00815544">
        <w:rPr>
          <w:rFonts w:cs="Arial"/>
          <w:sz w:val="20"/>
          <w:szCs w:val="20"/>
        </w:rPr>
        <w:t>(2) Z globo v višini od 700.000 do 1.000.000 eurov se za prekrške iz prejšnjega odstavka kaznuje odgovorna oseba pravne osebe.</w:t>
      </w:r>
    </w:p>
    <w:p w:rsidR="0014362F" w:rsidRPr="00815544" w:rsidRDefault="0014362F" w:rsidP="0014362F">
      <w:pPr>
        <w:pStyle w:val="Odstavek"/>
        <w:spacing w:before="0" w:line="260" w:lineRule="exact"/>
        <w:ind w:firstLine="0"/>
        <w:rPr>
          <w:rFonts w:cs="Arial"/>
          <w:sz w:val="20"/>
          <w:szCs w:val="20"/>
        </w:rPr>
      </w:pPr>
    </w:p>
    <w:p w:rsidR="0014362F" w:rsidRPr="00815544" w:rsidRDefault="0014362F" w:rsidP="0014362F">
      <w:pPr>
        <w:pStyle w:val="Odstavek"/>
        <w:spacing w:before="0" w:line="260" w:lineRule="exact"/>
        <w:ind w:firstLine="0"/>
        <w:rPr>
          <w:rFonts w:cs="Arial"/>
          <w:sz w:val="20"/>
          <w:szCs w:val="20"/>
        </w:rPr>
      </w:pPr>
      <w:r w:rsidRPr="00815544">
        <w:rPr>
          <w:rFonts w:cs="Arial"/>
          <w:sz w:val="20"/>
          <w:szCs w:val="20"/>
        </w:rPr>
        <w:t xml:space="preserve">(3) Za potrebe tega člena se šteje, da je narava prekrška posebno huda zaradi višine pridobljene protipravne premoženjske koristi, če pravna oseba s prekrškom iz prvega odstavka prejšnjega člena povzroči škodo oz. </w:t>
      </w:r>
      <w:r>
        <w:rPr>
          <w:rFonts w:cs="Arial"/>
          <w:sz w:val="20"/>
          <w:szCs w:val="20"/>
        </w:rPr>
        <w:t xml:space="preserve">pridobi </w:t>
      </w:r>
      <w:r w:rsidRPr="00815544">
        <w:rPr>
          <w:rFonts w:cs="Arial"/>
          <w:sz w:val="20"/>
          <w:szCs w:val="20"/>
        </w:rPr>
        <w:t>protipravno premoženjsko korist, ki presega 15.000 eurov.</w:t>
      </w:r>
    </w:p>
    <w:p w:rsidR="0014362F" w:rsidRDefault="0014362F" w:rsidP="0014362F">
      <w:pPr>
        <w:pStyle w:val="Odstavek"/>
        <w:spacing w:before="0" w:line="260" w:lineRule="exact"/>
        <w:ind w:firstLine="0"/>
        <w:rPr>
          <w:rFonts w:cs="Arial"/>
          <w:sz w:val="20"/>
          <w:szCs w:val="20"/>
        </w:rPr>
      </w:pPr>
    </w:p>
    <w:p w:rsidR="0014362F" w:rsidRDefault="0014362F" w:rsidP="0014362F">
      <w:pPr>
        <w:pStyle w:val="Odstavek"/>
        <w:spacing w:before="0" w:line="260" w:lineRule="exact"/>
        <w:ind w:firstLine="0"/>
        <w:rPr>
          <w:rFonts w:cs="Arial"/>
          <w:sz w:val="20"/>
          <w:szCs w:val="20"/>
        </w:rPr>
      </w:pPr>
    </w:p>
    <w:p w:rsidR="0014362F" w:rsidRPr="00815544" w:rsidRDefault="0014362F" w:rsidP="0014362F">
      <w:pPr>
        <w:pStyle w:val="Odstavek"/>
        <w:spacing w:before="0" w:line="260" w:lineRule="exact"/>
        <w:ind w:firstLine="0"/>
        <w:rPr>
          <w:rFonts w:cs="Arial"/>
          <w:sz w:val="20"/>
          <w:szCs w:val="20"/>
        </w:rPr>
      </w:pPr>
    </w:p>
    <w:p w:rsidR="0014362F" w:rsidRPr="00815544" w:rsidRDefault="0014362F" w:rsidP="0014362F">
      <w:pPr>
        <w:pStyle w:val="len"/>
        <w:spacing w:before="0" w:line="260" w:lineRule="exact"/>
        <w:rPr>
          <w:rFonts w:cs="Arial"/>
          <w:sz w:val="20"/>
          <w:szCs w:val="20"/>
        </w:rPr>
      </w:pPr>
      <w:r w:rsidRPr="00815544">
        <w:rPr>
          <w:rFonts w:cs="Arial"/>
          <w:sz w:val="20"/>
          <w:szCs w:val="20"/>
        </w:rPr>
        <w:t>1</w:t>
      </w:r>
      <w:r>
        <w:rPr>
          <w:rFonts w:cs="Arial"/>
          <w:sz w:val="20"/>
          <w:szCs w:val="20"/>
        </w:rPr>
        <w:t>3</w:t>
      </w:r>
      <w:r w:rsidRPr="00815544">
        <w:rPr>
          <w:rFonts w:cs="Arial"/>
          <w:sz w:val="20"/>
          <w:szCs w:val="20"/>
        </w:rPr>
        <w:t>. člen</w:t>
      </w:r>
    </w:p>
    <w:p w:rsidR="0014362F" w:rsidRPr="00815544" w:rsidRDefault="0014362F" w:rsidP="0014362F">
      <w:pPr>
        <w:pStyle w:val="lennaslov"/>
        <w:spacing w:line="260" w:lineRule="exact"/>
        <w:rPr>
          <w:rFonts w:cs="Arial"/>
          <w:sz w:val="20"/>
          <w:szCs w:val="20"/>
        </w:rPr>
      </w:pPr>
      <w:r w:rsidRPr="00815544">
        <w:rPr>
          <w:rFonts w:cs="Arial"/>
          <w:sz w:val="20"/>
          <w:szCs w:val="20"/>
        </w:rPr>
        <w:t xml:space="preserve">(višina globe v hitrem </w:t>
      </w:r>
      <w:proofErr w:type="spellStart"/>
      <w:r w:rsidRPr="00815544">
        <w:rPr>
          <w:rFonts w:cs="Arial"/>
          <w:sz w:val="20"/>
          <w:szCs w:val="20"/>
        </w:rPr>
        <w:t>prekrškovnem</w:t>
      </w:r>
      <w:proofErr w:type="spellEnd"/>
      <w:r w:rsidRPr="00815544">
        <w:rPr>
          <w:rFonts w:cs="Arial"/>
          <w:sz w:val="20"/>
          <w:szCs w:val="20"/>
        </w:rPr>
        <w:t xml:space="preserve"> postopku)</w:t>
      </w:r>
    </w:p>
    <w:p w:rsidR="0014362F" w:rsidRPr="00815544" w:rsidRDefault="0014362F" w:rsidP="0014362F">
      <w:pPr>
        <w:pStyle w:val="lennaslov"/>
        <w:spacing w:line="260" w:lineRule="exact"/>
        <w:rPr>
          <w:rFonts w:cs="Arial"/>
          <w:sz w:val="20"/>
          <w:szCs w:val="20"/>
        </w:rPr>
      </w:pPr>
    </w:p>
    <w:p w:rsidR="0014362F" w:rsidRPr="00815544" w:rsidRDefault="0014362F" w:rsidP="0014362F">
      <w:pPr>
        <w:pStyle w:val="Odstavek"/>
        <w:spacing w:before="0" w:line="260" w:lineRule="exact"/>
        <w:ind w:firstLine="0"/>
        <w:rPr>
          <w:rFonts w:cs="Arial"/>
          <w:sz w:val="20"/>
          <w:szCs w:val="20"/>
        </w:rPr>
      </w:pPr>
      <w:r w:rsidRPr="00815544">
        <w:rPr>
          <w:rFonts w:cs="Arial"/>
          <w:sz w:val="20"/>
          <w:szCs w:val="20"/>
        </w:rPr>
        <w:t xml:space="preserve">Za prekrške iz tega zakona se sme v hitrem postopku izreči globa tudi v znesku, ki je višja od najnižje predpisane globe, določene s tem zakonom. </w:t>
      </w:r>
    </w:p>
    <w:p w:rsidR="0014362F" w:rsidRPr="00815544" w:rsidRDefault="0014362F" w:rsidP="0014362F">
      <w:pPr>
        <w:pStyle w:val="Odstavek"/>
        <w:spacing w:before="0" w:line="260" w:lineRule="exact"/>
        <w:ind w:firstLine="0"/>
        <w:rPr>
          <w:rFonts w:cs="Arial"/>
          <w:sz w:val="20"/>
          <w:szCs w:val="20"/>
        </w:rPr>
      </w:pPr>
    </w:p>
    <w:p w:rsidR="0014362F" w:rsidRPr="00815544" w:rsidRDefault="0014362F" w:rsidP="0014362F">
      <w:pPr>
        <w:pStyle w:val="Odstavek"/>
        <w:spacing w:before="0" w:line="260" w:lineRule="exact"/>
        <w:rPr>
          <w:rFonts w:cs="Arial"/>
          <w:sz w:val="20"/>
          <w:szCs w:val="20"/>
        </w:rPr>
      </w:pPr>
    </w:p>
    <w:p w:rsidR="0014362F" w:rsidRPr="00815544" w:rsidRDefault="0014362F" w:rsidP="0014362F">
      <w:pPr>
        <w:pStyle w:val="len"/>
        <w:spacing w:before="0" w:line="260" w:lineRule="exact"/>
        <w:rPr>
          <w:rFonts w:cs="Arial"/>
          <w:sz w:val="20"/>
          <w:szCs w:val="20"/>
        </w:rPr>
      </w:pPr>
    </w:p>
    <w:p w:rsidR="0014362F" w:rsidRPr="00815544" w:rsidRDefault="0014362F" w:rsidP="0014362F">
      <w:pPr>
        <w:pStyle w:val="len"/>
        <w:spacing w:before="0" w:line="260" w:lineRule="exact"/>
        <w:rPr>
          <w:rFonts w:cs="Arial"/>
          <w:sz w:val="20"/>
          <w:szCs w:val="20"/>
        </w:rPr>
      </w:pPr>
      <w:r w:rsidRPr="00815544">
        <w:rPr>
          <w:rFonts w:cs="Arial"/>
          <w:sz w:val="20"/>
          <w:szCs w:val="20"/>
        </w:rPr>
        <w:t>1</w:t>
      </w:r>
      <w:r>
        <w:rPr>
          <w:rFonts w:cs="Arial"/>
          <w:sz w:val="20"/>
          <w:szCs w:val="20"/>
        </w:rPr>
        <w:t>4</w:t>
      </w:r>
      <w:r w:rsidRPr="00815544">
        <w:rPr>
          <w:rFonts w:cs="Arial"/>
          <w:sz w:val="20"/>
          <w:szCs w:val="20"/>
        </w:rPr>
        <w:t>. člen</w:t>
      </w:r>
    </w:p>
    <w:p w:rsidR="0014362F" w:rsidRPr="00815544" w:rsidRDefault="0014362F" w:rsidP="0014362F">
      <w:pPr>
        <w:pStyle w:val="lennaslov"/>
        <w:spacing w:line="260" w:lineRule="exact"/>
        <w:rPr>
          <w:rFonts w:cs="Arial"/>
          <w:sz w:val="20"/>
          <w:szCs w:val="20"/>
        </w:rPr>
      </w:pPr>
      <w:r w:rsidRPr="00815544">
        <w:rPr>
          <w:rFonts w:cs="Arial"/>
          <w:sz w:val="20"/>
          <w:szCs w:val="20"/>
        </w:rPr>
        <w:t>(uporaba določb o prekrških)</w:t>
      </w:r>
    </w:p>
    <w:p w:rsidR="0014362F" w:rsidRPr="00815544" w:rsidRDefault="0014362F" w:rsidP="0014362F">
      <w:pPr>
        <w:pStyle w:val="lennaslov"/>
        <w:spacing w:line="260" w:lineRule="exact"/>
        <w:rPr>
          <w:rFonts w:cs="Arial"/>
          <w:sz w:val="20"/>
          <w:szCs w:val="20"/>
        </w:rPr>
      </w:pPr>
    </w:p>
    <w:p w:rsidR="0014362F" w:rsidRPr="00815544" w:rsidRDefault="0014362F" w:rsidP="0014362F">
      <w:pPr>
        <w:pStyle w:val="Odstavek"/>
        <w:spacing w:before="0" w:line="260" w:lineRule="exact"/>
        <w:ind w:firstLine="0"/>
        <w:rPr>
          <w:rFonts w:cs="Arial"/>
          <w:sz w:val="20"/>
          <w:szCs w:val="20"/>
        </w:rPr>
      </w:pPr>
      <w:r w:rsidRPr="00815544">
        <w:rPr>
          <w:rFonts w:cs="Arial"/>
          <w:sz w:val="20"/>
          <w:szCs w:val="20"/>
        </w:rPr>
        <w:t xml:space="preserve">Višine in razponi glob, določeni v tem zakonu, veljajo in se uporabljajo ne glede na določbe zakona, ki ureja prekrške. </w:t>
      </w:r>
    </w:p>
    <w:p w:rsidR="0014362F" w:rsidRPr="00815544" w:rsidRDefault="0014362F" w:rsidP="0014362F">
      <w:pPr>
        <w:pStyle w:val="Odstavek"/>
        <w:spacing w:before="0" w:line="260" w:lineRule="exact"/>
        <w:ind w:firstLine="0"/>
        <w:rPr>
          <w:rFonts w:cs="Arial"/>
          <w:sz w:val="20"/>
          <w:szCs w:val="20"/>
        </w:rPr>
      </w:pPr>
    </w:p>
    <w:p w:rsidR="0014362F" w:rsidRPr="00DD53D2" w:rsidRDefault="0014362F" w:rsidP="0014362F">
      <w:pPr>
        <w:pStyle w:val="Odstavek"/>
        <w:spacing w:before="0" w:line="260" w:lineRule="exact"/>
        <w:ind w:firstLine="0"/>
        <w:jc w:val="center"/>
        <w:rPr>
          <w:b/>
          <w:sz w:val="20"/>
        </w:rPr>
      </w:pPr>
      <w:r w:rsidRPr="00DD53D2">
        <w:rPr>
          <w:b/>
          <w:sz w:val="20"/>
        </w:rPr>
        <w:t>KONČNA DOLOČBA</w:t>
      </w:r>
    </w:p>
    <w:p w:rsidR="0014362F" w:rsidRPr="00815544" w:rsidRDefault="0014362F" w:rsidP="0014362F">
      <w:pPr>
        <w:pStyle w:val="Odstavek"/>
        <w:spacing w:before="0" w:line="260" w:lineRule="exact"/>
        <w:ind w:firstLine="0"/>
        <w:jc w:val="center"/>
        <w:rPr>
          <w:rFonts w:cs="Arial"/>
          <w:sz w:val="20"/>
          <w:szCs w:val="20"/>
        </w:rPr>
      </w:pPr>
    </w:p>
    <w:p w:rsidR="0014362F" w:rsidRPr="00815544" w:rsidRDefault="0014362F" w:rsidP="0014362F">
      <w:pPr>
        <w:pStyle w:val="len"/>
        <w:spacing w:before="0" w:line="260" w:lineRule="exact"/>
        <w:rPr>
          <w:rFonts w:cs="Arial"/>
          <w:sz w:val="20"/>
          <w:szCs w:val="20"/>
        </w:rPr>
      </w:pPr>
      <w:r w:rsidRPr="00815544">
        <w:rPr>
          <w:rFonts w:cs="Arial"/>
          <w:sz w:val="20"/>
          <w:szCs w:val="20"/>
        </w:rPr>
        <w:t>1</w:t>
      </w:r>
      <w:r>
        <w:rPr>
          <w:rFonts w:cs="Arial"/>
          <w:sz w:val="20"/>
          <w:szCs w:val="20"/>
        </w:rPr>
        <w:t>5</w:t>
      </w:r>
      <w:r w:rsidRPr="00815544">
        <w:rPr>
          <w:rFonts w:cs="Arial"/>
          <w:sz w:val="20"/>
          <w:szCs w:val="20"/>
        </w:rPr>
        <w:t>. člen</w:t>
      </w:r>
    </w:p>
    <w:p w:rsidR="0014362F" w:rsidRPr="00815544" w:rsidRDefault="0014362F" w:rsidP="0014362F">
      <w:pPr>
        <w:pStyle w:val="lennaslov"/>
        <w:spacing w:line="260" w:lineRule="exact"/>
        <w:rPr>
          <w:rFonts w:cs="Arial"/>
          <w:sz w:val="20"/>
          <w:szCs w:val="20"/>
        </w:rPr>
      </w:pPr>
      <w:r w:rsidRPr="00815544">
        <w:rPr>
          <w:rFonts w:cs="Arial"/>
          <w:sz w:val="20"/>
          <w:szCs w:val="20"/>
        </w:rPr>
        <w:t>(začetek veljavnosti)</w:t>
      </w:r>
    </w:p>
    <w:p w:rsidR="0014362F" w:rsidRPr="00815544" w:rsidRDefault="0014362F" w:rsidP="0014362F">
      <w:pPr>
        <w:pStyle w:val="Alineazaodstavkom"/>
        <w:numPr>
          <w:ilvl w:val="0"/>
          <w:numId w:val="0"/>
        </w:numPr>
        <w:spacing w:line="260" w:lineRule="exact"/>
        <w:ind w:firstLine="1021"/>
        <w:rPr>
          <w:sz w:val="20"/>
          <w:szCs w:val="20"/>
        </w:rPr>
      </w:pPr>
    </w:p>
    <w:p w:rsidR="0014362F" w:rsidRPr="00815544" w:rsidRDefault="0014362F" w:rsidP="0014362F">
      <w:pPr>
        <w:jc w:val="both"/>
        <w:rPr>
          <w:rFonts w:eastAsia="Calibri" w:cs="Arial"/>
          <w:b/>
          <w:szCs w:val="20"/>
        </w:rPr>
      </w:pPr>
      <w:r w:rsidRPr="00815544">
        <w:rPr>
          <w:rFonts w:cs="Arial"/>
          <w:szCs w:val="20"/>
        </w:rPr>
        <w:t>Ta zakon začne veljati petnajsti dan po objavi v Uradnem listu Republike Slovenije</w:t>
      </w:r>
      <w:r w:rsidRPr="00815544">
        <w:rPr>
          <w:rFonts w:eastAsia="Calibri" w:cs="Arial"/>
          <w:szCs w:val="20"/>
        </w:rPr>
        <w:t>.</w:t>
      </w:r>
    </w:p>
    <w:p w:rsidR="0014362F" w:rsidRPr="00815544" w:rsidRDefault="0014362F" w:rsidP="0014362F">
      <w:pPr>
        <w:rPr>
          <w:rFonts w:cs="Arial"/>
          <w:b/>
          <w:szCs w:val="20"/>
        </w:rPr>
      </w:pPr>
      <w:r w:rsidRPr="00815544">
        <w:rPr>
          <w:rFonts w:cs="Arial"/>
          <w:b/>
          <w:szCs w:val="20"/>
        </w:rPr>
        <w:br w:type="page"/>
      </w:r>
      <w:r w:rsidRPr="00815544">
        <w:rPr>
          <w:rFonts w:cs="Arial"/>
          <w:b/>
          <w:szCs w:val="20"/>
        </w:rPr>
        <w:lastRenderedPageBreak/>
        <w:t>III. OBRAZLOŽITVE</w:t>
      </w:r>
    </w:p>
    <w:p w:rsidR="0014362F" w:rsidRPr="00815544" w:rsidRDefault="0014362F" w:rsidP="0014362F">
      <w:pPr>
        <w:rPr>
          <w:rFonts w:cs="Arial"/>
          <w:bCs/>
          <w:szCs w:val="20"/>
        </w:rPr>
      </w:pPr>
    </w:p>
    <w:p w:rsidR="0014362F" w:rsidRPr="00815544" w:rsidRDefault="0014362F" w:rsidP="0014362F">
      <w:pPr>
        <w:jc w:val="both"/>
        <w:rPr>
          <w:rFonts w:cs="Arial"/>
          <w:b/>
          <w:bCs/>
          <w:szCs w:val="20"/>
        </w:rPr>
      </w:pPr>
      <w:r w:rsidRPr="00815544">
        <w:rPr>
          <w:rFonts w:cs="Arial"/>
          <w:b/>
          <w:bCs/>
          <w:szCs w:val="20"/>
        </w:rPr>
        <w:t>K 1. členu</w:t>
      </w:r>
    </w:p>
    <w:p w:rsidR="0014362F" w:rsidRPr="00815544" w:rsidRDefault="0014362F" w:rsidP="0014362F">
      <w:pPr>
        <w:jc w:val="both"/>
        <w:rPr>
          <w:rFonts w:cs="Arial"/>
          <w:szCs w:val="20"/>
        </w:rPr>
      </w:pPr>
      <w:r w:rsidRPr="00815544">
        <w:rPr>
          <w:rFonts w:cs="Arial"/>
          <w:szCs w:val="20"/>
        </w:rPr>
        <w:t>S predlogom tega zakona se ureja izvajanje Uredbe (EU) 2019/1238 Evropskega parlamenta in Sveta z dne 20. junija 2019 o vseevropskem osebnem pokojninskem produktu (UL L, št. 198 z dne 25. julija 2019, str. 1) zadnjič spremenjene z Delegirano uredbo Komisije (EU) 2021/896 z dne 24. februarja 2021 o dopolnitvi Uredbe (EU) 2019/1238 Evropskega parlamenta in Sveta v zvezi z dodatnimi informacijami za namene zbliževanja nadzornega poročanja (UL L št. 197 z dne 4. 6. 2021, str. 5) (v nadaljnjem besedilu: Uredba 2019/1238/EU) ter se predvsem določajo pristojni organ, njegova dolžnost sodelovanja, nadzor in opravljanje nadzora nad spoštovanjem Uredbe 2019/1238/EU in tega zakona. Prav tako določa nadzorne ukrepe in prekrške ter globe v zvezi z izvajanjem Uredbe 2019/1238/EU.</w:t>
      </w:r>
    </w:p>
    <w:p w:rsidR="0014362F" w:rsidRPr="00815544" w:rsidRDefault="0014362F" w:rsidP="0014362F">
      <w:pPr>
        <w:jc w:val="both"/>
        <w:rPr>
          <w:rFonts w:cs="Arial"/>
          <w:szCs w:val="20"/>
        </w:rPr>
      </w:pPr>
    </w:p>
    <w:p w:rsidR="0014362F" w:rsidRPr="00815544" w:rsidRDefault="0014362F" w:rsidP="0014362F">
      <w:pPr>
        <w:jc w:val="both"/>
        <w:rPr>
          <w:rFonts w:cs="Arial"/>
          <w:b/>
          <w:bCs/>
          <w:szCs w:val="20"/>
        </w:rPr>
      </w:pPr>
      <w:r w:rsidRPr="00815544">
        <w:rPr>
          <w:rFonts w:cs="Arial"/>
          <w:b/>
          <w:bCs/>
          <w:szCs w:val="20"/>
        </w:rPr>
        <w:t>K 2. členu</w:t>
      </w:r>
    </w:p>
    <w:p w:rsidR="0014362F" w:rsidRPr="00815544" w:rsidRDefault="0014362F" w:rsidP="0014362F">
      <w:pPr>
        <w:jc w:val="both"/>
        <w:rPr>
          <w:rFonts w:cs="Arial"/>
          <w:szCs w:val="20"/>
        </w:rPr>
      </w:pPr>
      <w:r w:rsidRPr="00815544">
        <w:rPr>
          <w:rFonts w:cs="Arial"/>
          <w:szCs w:val="20"/>
        </w:rPr>
        <w:t>Predlog zakona v 2. členu določa</w:t>
      </w:r>
      <w:r>
        <w:rPr>
          <w:rFonts w:cs="Arial"/>
          <w:szCs w:val="20"/>
        </w:rPr>
        <w:t xml:space="preserve"> </w:t>
      </w:r>
      <w:r w:rsidRPr="00815544">
        <w:rPr>
          <w:rFonts w:cs="Arial"/>
          <w:szCs w:val="20"/>
        </w:rPr>
        <w:t xml:space="preserve">pristojni organ, in sicer Agencijo za zavarovalni nadzor (v nadaljnjem besedilu: agencija), za namen opravljanja nadzora nad izvajanjem Uredbe 2019/1238/EU. Uredba 2019/1238/EU namreč v 18. odstavku 2. člena predpisuje, da države članice imenujejo nacionalni nadzorni organ, ki je pristojen za nadzor ponudnikov in distributerjev vseevropskega osebnega pokojninskega produkta (v nadaljnjem besedilu: PEPP). </w:t>
      </w:r>
    </w:p>
    <w:p w:rsidR="0014362F" w:rsidRPr="00815544" w:rsidRDefault="0014362F" w:rsidP="0014362F">
      <w:pPr>
        <w:jc w:val="both"/>
        <w:rPr>
          <w:rFonts w:cs="Arial"/>
          <w:szCs w:val="20"/>
        </w:rPr>
      </w:pPr>
    </w:p>
    <w:p w:rsidR="0014362F" w:rsidRPr="00815544" w:rsidRDefault="0014362F" w:rsidP="0014362F">
      <w:pPr>
        <w:jc w:val="both"/>
        <w:rPr>
          <w:rFonts w:cs="Arial"/>
          <w:szCs w:val="20"/>
        </w:rPr>
      </w:pPr>
      <w:r w:rsidRPr="00815544">
        <w:rPr>
          <w:rFonts w:cs="Arial"/>
          <w:b/>
          <w:bCs/>
          <w:szCs w:val="20"/>
        </w:rPr>
        <w:t>K 3. členu</w:t>
      </w:r>
    </w:p>
    <w:p w:rsidR="0014362F" w:rsidRPr="00815544" w:rsidRDefault="0014362F" w:rsidP="0014362F">
      <w:pPr>
        <w:jc w:val="both"/>
        <w:rPr>
          <w:rFonts w:cs="Arial"/>
          <w:szCs w:val="20"/>
        </w:rPr>
      </w:pPr>
      <w:r w:rsidRPr="00815544">
        <w:rPr>
          <w:rFonts w:cs="Arial"/>
          <w:szCs w:val="20"/>
        </w:rPr>
        <w:t xml:space="preserve">Pristojnosti agencije nad nadzorovanimi subjekti v zvezi s ponudbo in distribucijo PEPP že neposredno določa Uredba 2019/1238/EU. V predlogu zakona so opredeljene zgolj pristojnosti, ki jih Uredba 2019/1238/EU prepušča državam članicam. </w:t>
      </w:r>
    </w:p>
    <w:p w:rsidR="0014362F" w:rsidRPr="00815544" w:rsidRDefault="0014362F" w:rsidP="0014362F">
      <w:pPr>
        <w:jc w:val="both"/>
        <w:rPr>
          <w:rFonts w:cs="Arial"/>
          <w:szCs w:val="20"/>
        </w:rPr>
      </w:pPr>
    </w:p>
    <w:p w:rsidR="0014362F" w:rsidRPr="00815544" w:rsidRDefault="0014362F" w:rsidP="0014362F">
      <w:pPr>
        <w:jc w:val="both"/>
        <w:rPr>
          <w:rFonts w:cs="Arial"/>
          <w:szCs w:val="20"/>
        </w:rPr>
      </w:pPr>
      <w:r w:rsidRPr="00815544">
        <w:rPr>
          <w:rFonts w:cs="Arial"/>
          <w:szCs w:val="20"/>
        </w:rPr>
        <w:t xml:space="preserve">Člen določa, da se za opravljanje nadzora in odločanje agencije v posamičnih zadevah uporabljajo določbe Uredbe 2019/1238/EU, tega zakona in smiselno zakona, ki ureja zavarovalništvo. Pri smiselni uporabi zakona, ki ureja zavarovalništvo, se smiselno uporabljajo vsa poglavja zakona, ki ureja zavarovalništvo, še posebno pa določbe 10. poglavja zakona, ki ureja zavarovalništvo, ki predpisujejo postopek odločanja agencije v posamičnih zadevah. </w:t>
      </w:r>
    </w:p>
    <w:p w:rsidR="0014362F" w:rsidRPr="00815544" w:rsidRDefault="0014362F" w:rsidP="0014362F">
      <w:pPr>
        <w:jc w:val="both"/>
        <w:rPr>
          <w:rFonts w:cs="Arial"/>
          <w:szCs w:val="20"/>
        </w:rPr>
      </w:pPr>
    </w:p>
    <w:p w:rsidR="0014362F" w:rsidRPr="00815544" w:rsidRDefault="0014362F" w:rsidP="0014362F">
      <w:pPr>
        <w:jc w:val="both"/>
        <w:rPr>
          <w:rFonts w:cs="Arial"/>
          <w:szCs w:val="20"/>
        </w:rPr>
      </w:pPr>
      <w:r w:rsidRPr="00815544">
        <w:rPr>
          <w:rFonts w:cs="Arial"/>
          <w:b/>
          <w:bCs/>
          <w:szCs w:val="20"/>
        </w:rPr>
        <w:t>K 4. členu</w:t>
      </w:r>
    </w:p>
    <w:p w:rsidR="0014362F" w:rsidRPr="00815544" w:rsidRDefault="0014362F" w:rsidP="0014362F">
      <w:pPr>
        <w:jc w:val="both"/>
        <w:rPr>
          <w:rFonts w:cs="Arial"/>
          <w:szCs w:val="20"/>
        </w:rPr>
      </w:pPr>
      <w:r w:rsidRPr="00815544">
        <w:rPr>
          <w:rFonts w:cs="Arial"/>
          <w:szCs w:val="20"/>
        </w:rPr>
        <w:t>Na podlagi 66. in 70. člena Uredbe 2019/1238/EU se standardizirano urejata medsebojno sodelovanje in izmenjava vseh informacij agencije z drugimi nadzornimi organi na državni ravni (npr. Banko Slovenije, Agencijo za trg vrednostnih papirjev), pristojnimi organi držav članic ter EIOPA, kar omogoča primerjavo. Prav tako se ureja pristojnost agencije na podlagi tretjega odstavka 70. člena Uredbe 2019/1238/EU, ki določa obveznost predložitve informacij Evropskemu organu za zavarovanja in poklicne pokojnine (v nadaljnjem besedilu: EIOPA) v zvezi z upravnimi kaznimi in drugimi ukrepi.</w:t>
      </w:r>
    </w:p>
    <w:p w:rsidR="0014362F" w:rsidRPr="00815544" w:rsidRDefault="0014362F" w:rsidP="0014362F">
      <w:pPr>
        <w:jc w:val="both"/>
        <w:rPr>
          <w:rFonts w:cs="Arial"/>
          <w:szCs w:val="20"/>
        </w:rPr>
      </w:pPr>
    </w:p>
    <w:p w:rsidR="0014362F" w:rsidRPr="00815544" w:rsidRDefault="0014362F" w:rsidP="0014362F">
      <w:pPr>
        <w:jc w:val="both"/>
        <w:rPr>
          <w:rFonts w:cs="Arial"/>
          <w:szCs w:val="20"/>
        </w:rPr>
      </w:pPr>
      <w:r w:rsidRPr="00815544">
        <w:rPr>
          <w:rFonts w:cs="Arial"/>
          <w:b/>
          <w:bCs/>
          <w:szCs w:val="20"/>
        </w:rPr>
        <w:t>K 5. členu</w:t>
      </w:r>
    </w:p>
    <w:p w:rsidR="0014362F" w:rsidRPr="00815544" w:rsidRDefault="0014362F" w:rsidP="0014362F">
      <w:pPr>
        <w:jc w:val="both"/>
        <w:rPr>
          <w:rFonts w:cs="Arial"/>
          <w:szCs w:val="20"/>
        </w:rPr>
      </w:pPr>
      <w:r w:rsidRPr="00815544">
        <w:rPr>
          <w:rFonts w:cs="Arial"/>
          <w:szCs w:val="20"/>
        </w:rPr>
        <w:t>Člen določa, da agencija kot pristojni organ za izvajanje Uredbe 2019/1238/EU redno pregleduje in izvaja nadzor nad ponudniki in distributerji PEPP.</w:t>
      </w:r>
    </w:p>
    <w:p w:rsidR="0014362F" w:rsidRPr="00815544" w:rsidRDefault="0014362F" w:rsidP="0014362F">
      <w:pPr>
        <w:jc w:val="both"/>
        <w:rPr>
          <w:rFonts w:cs="Arial"/>
          <w:szCs w:val="20"/>
        </w:rPr>
      </w:pPr>
    </w:p>
    <w:p w:rsidR="0014362F" w:rsidRPr="00815544" w:rsidRDefault="0014362F" w:rsidP="0014362F">
      <w:pPr>
        <w:jc w:val="both"/>
        <w:rPr>
          <w:rFonts w:cs="Arial"/>
          <w:szCs w:val="20"/>
        </w:rPr>
      </w:pPr>
      <w:r w:rsidRPr="00815544">
        <w:rPr>
          <w:rFonts w:cs="Arial"/>
          <w:szCs w:val="20"/>
        </w:rPr>
        <w:t>Za nadzor nad ponudbo in distribucijo PEPP se smiselno uporabljajo vse določbe Zakona o zavarovalništvu (Uradni list RS, št. 93/15, 9/19 in 102/20</w:t>
      </w:r>
      <w:r>
        <w:rPr>
          <w:rFonts w:cs="Arial"/>
          <w:szCs w:val="20"/>
        </w:rPr>
        <w:t>; v nadaljnjem besedilu: ZZavar-1</w:t>
      </w:r>
      <w:r w:rsidRPr="00815544">
        <w:rPr>
          <w:rFonts w:cs="Arial"/>
          <w:szCs w:val="20"/>
        </w:rPr>
        <w:t xml:space="preserve">), še posebno pa določbe 7. poglavja </w:t>
      </w:r>
      <w:r>
        <w:rPr>
          <w:rFonts w:cs="Arial"/>
          <w:szCs w:val="20"/>
        </w:rPr>
        <w:t>ZZavar-1</w:t>
      </w:r>
      <w:r w:rsidRPr="00815544">
        <w:rPr>
          <w:rFonts w:cs="Arial"/>
          <w:szCs w:val="20"/>
        </w:rPr>
        <w:t xml:space="preserve">, ki ureja nadzor nad zavarovalnicami. </w:t>
      </w:r>
    </w:p>
    <w:p w:rsidR="0014362F" w:rsidRPr="00815544" w:rsidRDefault="0014362F" w:rsidP="0014362F">
      <w:pPr>
        <w:jc w:val="both"/>
        <w:rPr>
          <w:rFonts w:cs="Arial"/>
          <w:szCs w:val="20"/>
        </w:rPr>
      </w:pPr>
    </w:p>
    <w:p w:rsidR="0014362F" w:rsidRPr="00815544" w:rsidRDefault="0014362F" w:rsidP="0014362F">
      <w:pPr>
        <w:jc w:val="both"/>
        <w:rPr>
          <w:rFonts w:cs="Arial"/>
          <w:szCs w:val="20"/>
        </w:rPr>
      </w:pPr>
      <w:r w:rsidRPr="00815544">
        <w:rPr>
          <w:rFonts w:cs="Arial"/>
          <w:szCs w:val="20"/>
        </w:rPr>
        <w:t xml:space="preserve">Za distribucijo PEPP, ki jo opravljajo osebe iz 9. člena, se smiselno uporabljajo določbe </w:t>
      </w:r>
      <w:r>
        <w:rPr>
          <w:rFonts w:cs="Arial"/>
          <w:szCs w:val="20"/>
        </w:rPr>
        <w:t>ZZavar-1</w:t>
      </w:r>
      <w:r w:rsidRPr="00815544">
        <w:rPr>
          <w:rFonts w:cs="Arial"/>
          <w:szCs w:val="20"/>
        </w:rPr>
        <w:t xml:space="preserve">, še posebno pa: </w:t>
      </w:r>
    </w:p>
    <w:p w:rsidR="0014362F" w:rsidRPr="00815544" w:rsidRDefault="0014362F" w:rsidP="0014362F">
      <w:pPr>
        <w:jc w:val="both"/>
        <w:rPr>
          <w:rFonts w:cs="Arial"/>
          <w:szCs w:val="20"/>
        </w:rPr>
      </w:pPr>
      <w:r w:rsidRPr="00815544">
        <w:rPr>
          <w:rFonts w:cs="Arial"/>
          <w:szCs w:val="20"/>
        </w:rPr>
        <w:t>– 1. do 12. točka prvega odstavka 522. člena,</w:t>
      </w:r>
    </w:p>
    <w:p w:rsidR="0014362F" w:rsidRPr="00815544" w:rsidRDefault="0014362F" w:rsidP="0014362F">
      <w:pPr>
        <w:jc w:val="both"/>
        <w:rPr>
          <w:rFonts w:cs="Arial"/>
          <w:szCs w:val="20"/>
        </w:rPr>
      </w:pPr>
      <w:r w:rsidRPr="00815544">
        <w:rPr>
          <w:rFonts w:cs="Arial"/>
          <w:szCs w:val="20"/>
        </w:rPr>
        <w:t>– drugi do sedmi odstavek 522. člena,</w:t>
      </w:r>
    </w:p>
    <w:p w:rsidR="0014362F" w:rsidRPr="00815544" w:rsidRDefault="0014362F" w:rsidP="0014362F">
      <w:pPr>
        <w:jc w:val="both"/>
        <w:rPr>
          <w:rFonts w:cs="Arial"/>
          <w:szCs w:val="20"/>
        </w:rPr>
      </w:pPr>
      <w:r w:rsidRPr="00815544">
        <w:rPr>
          <w:rFonts w:cs="Arial"/>
          <w:szCs w:val="20"/>
        </w:rPr>
        <w:t xml:space="preserve">– 524., 526. in 527.a člen, </w:t>
      </w:r>
    </w:p>
    <w:p w:rsidR="0014362F" w:rsidRPr="00815544" w:rsidRDefault="0014362F" w:rsidP="0014362F">
      <w:pPr>
        <w:jc w:val="both"/>
        <w:rPr>
          <w:rFonts w:cs="Arial"/>
          <w:szCs w:val="20"/>
        </w:rPr>
      </w:pPr>
      <w:r w:rsidRPr="00815544">
        <w:rPr>
          <w:rFonts w:cs="Arial"/>
          <w:szCs w:val="20"/>
        </w:rPr>
        <w:lastRenderedPageBreak/>
        <w:t xml:space="preserve">– prvi odstavek 528.a člena, </w:t>
      </w:r>
    </w:p>
    <w:p w:rsidR="0014362F" w:rsidRPr="00815544" w:rsidRDefault="0014362F" w:rsidP="0014362F">
      <w:pPr>
        <w:jc w:val="both"/>
        <w:rPr>
          <w:rFonts w:cs="Arial"/>
          <w:szCs w:val="20"/>
        </w:rPr>
      </w:pPr>
      <w:r w:rsidRPr="00815544">
        <w:rPr>
          <w:rFonts w:cs="Arial"/>
          <w:szCs w:val="20"/>
        </w:rPr>
        <w:t xml:space="preserve">– 528.b, 528.c in 528.č člen, </w:t>
      </w:r>
    </w:p>
    <w:p w:rsidR="0014362F" w:rsidRPr="00815544" w:rsidRDefault="0014362F" w:rsidP="0014362F">
      <w:pPr>
        <w:jc w:val="both"/>
        <w:rPr>
          <w:rFonts w:cs="Arial"/>
          <w:szCs w:val="20"/>
        </w:rPr>
      </w:pPr>
      <w:r w:rsidRPr="00815544">
        <w:rPr>
          <w:rFonts w:cs="Arial"/>
          <w:szCs w:val="20"/>
        </w:rPr>
        <w:t>– prvi do peti odstavek 528.d člena</w:t>
      </w:r>
    </w:p>
    <w:p w:rsidR="0014362F" w:rsidRPr="00815544" w:rsidRDefault="0014362F" w:rsidP="0014362F">
      <w:pPr>
        <w:jc w:val="both"/>
        <w:rPr>
          <w:rFonts w:cs="Arial"/>
          <w:szCs w:val="20"/>
        </w:rPr>
      </w:pPr>
      <w:r w:rsidRPr="00815544">
        <w:rPr>
          <w:rFonts w:cs="Arial"/>
          <w:szCs w:val="20"/>
        </w:rPr>
        <w:t xml:space="preserve">– sedmi do dvanajsti odstavek 528.d člena, </w:t>
      </w:r>
    </w:p>
    <w:p w:rsidR="0014362F" w:rsidRPr="00815544" w:rsidRDefault="0014362F" w:rsidP="0014362F">
      <w:pPr>
        <w:jc w:val="both"/>
        <w:rPr>
          <w:rFonts w:cs="Arial"/>
          <w:szCs w:val="20"/>
        </w:rPr>
      </w:pPr>
      <w:r w:rsidRPr="00815544">
        <w:rPr>
          <w:rFonts w:cs="Arial"/>
          <w:szCs w:val="20"/>
        </w:rPr>
        <w:t>– 545. člen (razen določbe 3. točke drugega odstavka, 1. točke tretjega odstavka ter določb četrtega do sedmega odstavka in desetega do dvajsetega odstavka).</w:t>
      </w:r>
    </w:p>
    <w:p w:rsidR="0014362F" w:rsidRPr="00815544" w:rsidRDefault="0014362F" w:rsidP="0014362F">
      <w:pPr>
        <w:jc w:val="both"/>
        <w:rPr>
          <w:rFonts w:cs="Arial"/>
          <w:szCs w:val="20"/>
        </w:rPr>
      </w:pPr>
    </w:p>
    <w:p w:rsidR="0014362F" w:rsidRPr="00815544" w:rsidRDefault="0014362F" w:rsidP="0014362F">
      <w:pPr>
        <w:jc w:val="both"/>
        <w:rPr>
          <w:rFonts w:cs="Arial"/>
          <w:b/>
          <w:bCs/>
          <w:szCs w:val="20"/>
        </w:rPr>
      </w:pPr>
      <w:r w:rsidRPr="00815544">
        <w:rPr>
          <w:rFonts w:cs="Arial"/>
          <w:b/>
          <w:bCs/>
          <w:szCs w:val="20"/>
        </w:rPr>
        <w:t>K 6. členu</w:t>
      </w:r>
    </w:p>
    <w:p w:rsidR="0014362F" w:rsidRPr="00815544" w:rsidRDefault="0014362F" w:rsidP="0014362F">
      <w:pPr>
        <w:jc w:val="both"/>
        <w:rPr>
          <w:rFonts w:cs="Arial"/>
          <w:szCs w:val="20"/>
        </w:rPr>
      </w:pPr>
      <w:r w:rsidRPr="00815544">
        <w:rPr>
          <w:rFonts w:cs="Arial"/>
          <w:szCs w:val="20"/>
        </w:rPr>
        <w:t>Na podlagi 67. člena Uredbe 2019/1238/EU se urejata izrekanje nadzornih ukrepov agencije v skladu z Uredbo 2019/1238/EU in smiselno uporabo zakona, ki ureja zavarovalništvo. Pri smiselni uporabi zakona, ki ureja zavarovalništvo, se smiselno uporabljajo vsa poglavja zakona, ki ureja zavarovalništvo, še posebno pa določbe 10. poglavja zakona, ki ureja zavarovalništvo, ki predpisujejo postopek odločanja agencije v posamičnih zadevah. Predpisano je orodje agencije, da lahko izvede nadzorne ukrepe, ko in če bo to potrebno.</w:t>
      </w:r>
      <w:r w:rsidRPr="00815544">
        <w:t xml:space="preserve"> </w:t>
      </w:r>
      <w:r w:rsidRPr="00815544">
        <w:rPr>
          <w:rFonts w:cs="Arial"/>
          <w:szCs w:val="20"/>
        </w:rPr>
        <w:t>Glede na vseevropsko naravo PEPP je treba zagotoviti dosledno visoko raven zaščite varčevalcev v PEPP po celotnem notranjem trgu. Za to so potrebna ustrezna orodja za učinkovit boj proti kršitvam in preprečevanje škode za potrošnike.</w:t>
      </w:r>
    </w:p>
    <w:p w:rsidR="0014362F" w:rsidRPr="00815544" w:rsidRDefault="0014362F" w:rsidP="0014362F">
      <w:pPr>
        <w:jc w:val="both"/>
        <w:rPr>
          <w:rFonts w:cs="Arial"/>
          <w:szCs w:val="20"/>
        </w:rPr>
      </w:pPr>
    </w:p>
    <w:p w:rsidR="0014362F" w:rsidRPr="00815544" w:rsidRDefault="0014362F" w:rsidP="0014362F">
      <w:pPr>
        <w:jc w:val="both"/>
        <w:rPr>
          <w:rFonts w:cs="Arial"/>
          <w:szCs w:val="20"/>
        </w:rPr>
      </w:pPr>
      <w:r w:rsidRPr="00815544">
        <w:rPr>
          <w:rFonts w:cs="Arial"/>
          <w:b/>
          <w:bCs/>
          <w:szCs w:val="20"/>
        </w:rPr>
        <w:t>K 7. členu</w:t>
      </w:r>
    </w:p>
    <w:p w:rsidR="0014362F" w:rsidRPr="00815544" w:rsidRDefault="0014362F" w:rsidP="0014362F">
      <w:pPr>
        <w:pStyle w:val="Pripombabesedilo"/>
        <w:spacing w:line="260" w:lineRule="exact"/>
        <w:jc w:val="both"/>
        <w:rPr>
          <w:rFonts w:cs="Arial"/>
          <w:lang w:val="sl-SI"/>
        </w:rPr>
      </w:pPr>
      <w:r w:rsidRPr="00815544">
        <w:rPr>
          <w:rFonts w:cs="Arial"/>
          <w:lang w:val="sl-SI"/>
        </w:rPr>
        <w:t>Uredba 2019/1238/EU v 47. členu predpisuje, da pogoje v zvezi s fazo varčevanja za nacionalne podračune določijo države članice. Taki pogoji poleg starostne omejitve za začetek faze varčevanja lahko vključujejo tudi minimalno trajanje faze varčevanja, najvišji in najnižji znesek prispevkov ter njihovo pogostost.</w:t>
      </w:r>
    </w:p>
    <w:p w:rsidR="0014362F" w:rsidRPr="00815544" w:rsidRDefault="0014362F" w:rsidP="0014362F">
      <w:pPr>
        <w:jc w:val="both"/>
        <w:rPr>
          <w:rFonts w:cs="Arial"/>
          <w:szCs w:val="20"/>
        </w:rPr>
      </w:pPr>
      <w:r w:rsidRPr="00815544">
        <w:rPr>
          <w:rFonts w:cs="Arial"/>
          <w:szCs w:val="20"/>
        </w:rPr>
        <w:t>Predlagana je starostna omejitev, ko lahko fizična oseba sklene varčevanje v PEPP. Fizična oseba z dopolnitvijo starosti 15 let pridobi delno poslovno sposobnost in lahko tako sama sklepa pravne posle, če zakon ne določa drugače. Ob tej starosti pa lahko osebe tudi sklenejo pogodbo o zaposlitvi in razpolagajo s svojim prihodkom. Glede na namen varčevanja v PEPP se tako lahko v to varčevanje vključijo vsi z izjemo otrok, ki niso dopolnili 15 let starosti.</w:t>
      </w:r>
    </w:p>
    <w:p w:rsidR="0014362F" w:rsidRPr="00815544" w:rsidRDefault="0014362F" w:rsidP="0014362F">
      <w:pPr>
        <w:jc w:val="both"/>
        <w:rPr>
          <w:rFonts w:cs="Arial"/>
          <w:szCs w:val="20"/>
        </w:rPr>
      </w:pPr>
    </w:p>
    <w:p w:rsidR="0014362F" w:rsidRPr="00815544" w:rsidRDefault="0014362F" w:rsidP="0014362F">
      <w:pPr>
        <w:jc w:val="both"/>
        <w:rPr>
          <w:rFonts w:cs="Arial"/>
          <w:szCs w:val="20"/>
        </w:rPr>
      </w:pPr>
      <w:r w:rsidRPr="00815544">
        <w:rPr>
          <w:rFonts w:cs="Arial"/>
          <w:szCs w:val="20"/>
        </w:rPr>
        <w:t>V skladu z 12. členom Uredbe 2019/1238/EU se določa Ministrstvo,  za delo, družino, socialne zadeve in enake možnosti Republike Slovenije za organ, ki na svoji spletni strani sproti objavi vse informacije, ki urejajo pogoje, povezane s fazo varčevanja.</w:t>
      </w:r>
    </w:p>
    <w:p w:rsidR="0014362F" w:rsidRPr="00815544" w:rsidRDefault="0014362F" w:rsidP="0014362F">
      <w:pPr>
        <w:jc w:val="both"/>
        <w:rPr>
          <w:rFonts w:cs="Arial"/>
          <w:szCs w:val="20"/>
        </w:rPr>
      </w:pPr>
    </w:p>
    <w:p w:rsidR="0014362F" w:rsidRPr="00815544" w:rsidRDefault="0014362F" w:rsidP="0014362F">
      <w:pPr>
        <w:jc w:val="both"/>
        <w:rPr>
          <w:rFonts w:cs="Arial"/>
          <w:szCs w:val="20"/>
        </w:rPr>
      </w:pPr>
      <w:r w:rsidRPr="00815544">
        <w:rPr>
          <w:rFonts w:cs="Arial"/>
          <w:b/>
          <w:bCs/>
          <w:szCs w:val="20"/>
        </w:rPr>
        <w:t>K 8. členu</w:t>
      </w:r>
    </w:p>
    <w:p w:rsidR="0014362F" w:rsidRPr="00F03379" w:rsidRDefault="0014362F" w:rsidP="0014362F">
      <w:pPr>
        <w:jc w:val="both"/>
        <w:rPr>
          <w:rFonts w:cs="Arial"/>
          <w:szCs w:val="20"/>
        </w:rPr>
      </w:pPr>
      <w:r w:rsidRPr="00F03379">
        <w:rPr>
          <w:rFonts w:cs="Arial"/>
          <w:szCs w:val="20"/>
        </w:rPr>
        <w:t>57. člen Uredbe 2019/1238/EU predpisuje, da pogoje v zvezi s fazo izplačevanja in izplačili nacionalnih podračunov določijo države članice. Taki pogoji lahko poleg najnižje starosti za začetek faze izplačevanja vključujejo tudi najdaljše obdobje za vključitev v PEPP pred dopolnitvijo upokojitvene starosti, pa tudi pogoje za odkup pred najnižjo starostjo za začetek faze izplačevanja, zlasti v primeru posebnih težav.</w:t>
      </w:r>
    </w:p>
    <w:p w:rsidR="0014362F" w:rsidRDefault="0014362F" w:rsidP="0014362F">
      <w:pPr>
        <w:jc w:val="both"/>
        <w:rPr>
          <w:rFonts w:cs="Arial"/>
          <w:szCs w:val="20"/>
        </w:rPr>
      </w:pPr>
    </w:p>
    <w:p w:rsidR="0014362F" w:rsidRPr="00815544" w:rsidRDefault="0014362F" w:rsidP="0014362F">
      <w:pPr>
        <w:jc w:val="both"/>
        <w:rPr>
          <w:rFonts w:cs="Arial"/>
          <w:szCs w:val="20"/>
        </w:rPr>
      </w:pPr>
      <w:r w:rsidRPr="00815544">
        <w:rPr>
          <w:rFonts w:cs="Arial"/>
          <w:szCs w:val="20"/>
        </w:rPr>
        <w:t>Namen varčevanja v PEPP je varčevanje za starost. V skladu s tem namenom so določeni pogoji, ko je predviden začetek faze izplačevanja privarčevanih sredstev v okviru PEPP. V skladu s predlaganim členom se za začetek faze izplačevanja določa starostni pogoj 65 let, ob tem pa je mogoč začetek faze izplačevanja tudi v primeru, ko se varčevalec upokoji v okviru obveznega pokojninskega in invalidskega zavarovanja ali poklicnega zavarovanja (uveljavi pravico do predčasne pokojnine, invalidske pokojnine, vdovske pokojnine ali poklicne pokojnine v skladu s predpisi, ki urejajo obvezno pokojninsko in invalidsko zavarovanje). Starost 65 let je temeljni upokojitveni pogoj za osebe z manj kot 40 leti pokojninske dobe ter tako pomeni mejo, ko večina aktivnega prebivalstva zapusti trg dela.</w:t>
      </w:r>
    </w:p>
    <w:p w:rsidR="0014362F" w:rsidRPr="00815544" w:rsidRDefault="0014362F" w:rsidP="0014362F">
      <w:pPr>
        <w:jc w:val="both"/>
        <w:rPr>
          <w:rFonts w:cs="Arial"/>
          <w:szCs w:val="20"/>
        </w:rPr>
      </w:pPr>
    </w:p>
    <w:p w:rsidR="0014362F" w:rsidRPr="00815544" w:rsidRDefault="0014362F" w:rsidP="0014362F">
      <w:pPr>
        <w:jc w:val="both"/>
        <w:rPr>
          <w:rFonts w:cs="Arial"/>
          <w:szCs w:val="20"/>
        </w:rPr>
      </w:pPr>
      <w:r w:rsidRPr="00815544">
        <w:rPr>
          <w:rFonts w:cs="Arial"/>
          <w:szCs w:val="20"/>
        </w:rPr>
        <w:t xml:space="preserve">Z drugim odstavkom tega člena je določena izjema od splošnih pogojev za začetek faze izplačevanja. V skladu z Uredbo 2019/1238/EU (57. člen, drugi odstavek) lahko ponudniki PEPP omogočijo tudi izplačilo enkratnega zneska. V zvezi s to obliko izplačila je varčevalcem PEPP </w:t>
      </w:r>
      <w:r w:rsidRPr="00815544">
        <w:rPr>
          <w:rFonts w:cs="Arial"/>
          <w:szCs w:val="20"/>
        </w:rPr>
        <w:lastRenderedPageBreak/>
        <w:t xml:space="preserve">dana možnost, da </w:t>
      </w:r>
      <w:r>
        <w:rPr>
          <w:rFonts w:cs="Arial"/>
          <w:szCs w:val="20"/>
        </w:rPr>
        <w:t xml:space="preserve">imajo </w:t>
      </w:r>
      <w:r w:rsidRPr="00815544">
        <w:rPr>
          <w:rFonts w:cs="Arial"/>
          <w:szCs w:val="20"/>
        </w:rPr>
        <w:t xml:space="preserve">v primeru poslabšanja socialnega položaja (na primer izguba zaposlitve, ločitev in podobno) ali poslabšanja zdravstvenega stanja (na primer nastanek invalidnosti in podobno) </w:t>
      </w:r>
      <w:r>
        <w:rPr>
          <w:rFonts w:cs="Arial"/>
          <w:szCs w:val="20"/>
        </w:rPr>
        <w:t>možnost</w:t>
      </w:r>
      <w:r w:rsidRPr="00815544">
        <w:rPr>
          <w:rFonts w:cs="Arial"/>
          <w:szCs w:val="20"/>
        </w:rPr>
        <w:t xml:space="preserve"> zahteva</w:t>
      </w:r>
      <w:r>
        <w:rPr>
          <w:rFonts w:cs="Arial"/>
          <w:szCs w:val="20"/>
        </w:rPr>
        <w:t>ti</w:t>
      </w:r>
      <w:r w:rsidRPr="00815544">
        <w:rPr>
          <w:rFonts w:cs="Arial"/>
          <w:szCs w:val="20"/>
        </w:rPr>
        <w:t xml:space="preserve"> izplačilo enkratnega zneska. </w:t>
      </w:r>
    </w:p>
    <w:p w:rsidR="0014362F" w:rsidRPr="00815544" w:rsidRDefault="0014362F" w:rsidP="0014362F">
      <w:pPr>
        <w:jc w:val="both"/>
        <w:rPr>
          <w:rFonts w:cs="Arial"/>
          <w:szCs w:val="20"/>
        </w:rPr>
      </w:pPr>
    </w:p>
    <w:p w:rsidR="0014362F" w:rsidRPr="00815544" w:rsidRDefault="0014362F" w:rsidP="0014362F">
      <w:pPr>
        <w:jc w:val="both"/>
        <w:rPr>
          <w:rFonts w:cs="Arial"/>
          <w:szCs w:val="20"/>
        </w:rPr>
      </w:pPr>
      <w:r w:rsidRPr="00815544">
        <w:rPr>
          <w:rFonts w:cs="Arial"/>
          <w:szCs w:val="20"/>
        </w:rPr>
        <w:t>V skladu z 12. členom Uredbe 2019/1238/EU se določa Ministrstvo za delo, družino, socialne zadeve in enake možnosti Republike Slovenije za organ, ki na svoji spletni strani objavi vse informacije o pogojih, povezanih s fazo izplačevanja.</w:t>
      </w:r>
    </w:p>
    <w:p w:rsidR="0014362F" w:rsidRPr="00815544" w:rsidRDefault="0014362F" w:rsidP="0014362F">
      <w:pPr>
        <w:jc w:val="both"/>
        <w:rPr>
          <w:rFonts w:cs="Arial"/>
          <w:szCs w:val="20"/>
        </w:rPr>
      </w:pPr>
    </w:p>
    <w:p w:rsidR="0014362F" w:rsidRPr="00815544" w:rsidRDefault="0014362F" w:rsidP="0014362F">
      <w:pPr>
        <w:jc w:val="both"/>
        <w:rPr>
          <w:rFonts w:cs="Arial"/>
          <w:szCs w:val="20"/>
        </w:rPr>
      </w:pPr>
      <w:r w:rsidRPr="00815544">
        <w:rPr>
          <w:rFonts w:cs="Arial"/>
          <w:b/>
          <w:bCs/>
          <w:szCs w:val="20"/>
        </w:rPr>
        <w:t>K 9. členu</w:t>
      </w:r>
    </w:p>
    <w:p w:rsidR="0014362F" w:rsidRPr="00815544" w:rsidRDefault="0014362F" w:rsidP="0014362F">
      <w:pPr>
        <w:jc w:val="both"/>
        <w:rPr>
          <w:rFonts w:cs="Arial"/>
          <w:szCs w:val="20"/>
        </w:rPr>
      </w:pPr>
      <w:r w:rsidRPr="00815544">
        <w:rPr>
          <w:rFonts w:cs="Arial"/>
          <w:szCs w:val="20"/>
        </w:rPr>
        <w:t>Uredba 2019/1238/EU v šestem odstavku 34. člena določa, da države članice objavijo merila, ki se uporabljajo za ocenjevanje potrebnega znanja in sposobnosti fizičnih oseb, ki svetujejo o PEPP. Prihodnjim varčevalcem v PEPP bodo svetovale fizične osebe, ki jih bo ponudnik in/ali distributer PEPP ustrezno izobrazil. V skladu s 33. členom Uredbe 2019/1238/EU mora vse informacije za vključitev varčevalcev v PEPP zagotoviti ponudnik in/ali distributer PEPP, vključno z dokumenti s ključnimi informacijami o PEPP, še preden se s pogodbo zavežejo o takšni obliki varčevanja za starost. Pri tem je pomembno, da jim svetuje kompetentna oseba. Na podlagi navedenega sodi distribucija PEPP v okvir 7.a in posledično 7.f člena zakona</w:t>
      </w:r>
      <w:r>
        <w:rPr>
          <w:rFonts w:cs="Arial"/>
          <w:szCs w:val="20"/>
        </w:rPr>
        <w:t xml:space="preserve"> ZZavar-1</w:t>
      </w:r>
      <w:r w:rsidRPr="00815544">
        <w:rPr>
          <w:rFonts w:cs="Arial"/>
          <w:szCs w:val="20"/>
        </w:rPr>
        <w:t xml:space="preserve"> in je torej predlagano, da mora oseba, ki bo ponujala varčevalcem PEPP, izpolnjevati pogoje iz zakona, ki ureja zavarovalništvo, in sicer pridobiti dovoljenje za opravljanje poslov zavarovalnega zastopanja oziroma posredovanja. Agencija</w:t>
      </w:r>
      <w:r w:rsidRPr="00815544" w:rsidDel="0092712D">
        <w:rPr>
          <w:rFonts w:cs="Arial"/>
          <w:szCs w:val="20"/>
        </w:rPr>
        <w:t xml:space="preserve"> </w:t>
      </w:r>
      <w:r w:rsidRPr="00815544">
        <w:rPr>
          <w:rFonts w:cs="Arial"/>
          <w:szCs w:val="20"/>
        </w:rPr>
        <w:t xml:space="preserve">bo v skladu s tem zakonom in zakonom, ki ureja zavarovalništvo zavračala zahteve za izdajo takšnega dovoljenja, izdajala in odvzemala dovoljenja. </w:t>
      </w:r>
    </w:p>
    <w:p w:rsidR="0014362F" w:rsidRPr="00815544" w:rsidRDefault="0014362F" w:rsidP="0014362F">
      <w:pPr>
        <w:jc w:val="both"/>
        <w:rPr>
          <w:rFonts w:cs="Arial"/>
          <w:szCs w:val="20"/>
        </w:rPr>
      </w:pPr>
    </w:p>
    <w:p w:rsidR="0014362F" w:rsidRPr="00815544" w:rsidRDefault="0014362F" w:rsidP="0014362F">
      <w:pPr>
        <w:jc w:val="both"/>
        <w:rPr>
          <w:rFonts w:cs="Arial"/>
          <w:szCs w:val="20"/>
        </w:rPr>
      </w:pPr>
      <w:r w:rsidRPr="00815544">
        <w:rPr>
          <w:rFonts w:cs="Arial"/>
          <w:b/>
          <w:bCs/>
          <w:szCs w:val="20"/>
        </w:rPr>
        <w:t>K 10. členu</w:t>
      </w:r>
    </w:p>
    <w:p w:rsidR="0014362F" w:rsidRPr="00815544" w:rsidRDefault="0014362F" w:rsidP="0014362F">
      <w:pPr>
        <w:jc w:val="both"/>
        <w:rPr>
          <w:rFonts w:cs="Arial"/>
          <w:szCs w:val="20"/>
        </w:rPr>
      </w:pPr>
      <w:r w:rsidRPr="00815544">
        <w:rPr>
          <w:rFonts w:cs="Arial"/>
          <w:szCs w:val="20"/>
        </w:rPr>
        <w:t>Uredba 2019/1238/EU v 69. členu od držav članic zahteva, da zagotovijo, da pristojni organ na svojem uradnem spletnem mestu takoj po seznanitvi kršitelja objavi vse odločitve o izreku upravne kazni ali drugih ukrepov</w:t>
      </w:r>
      <w:r>
        <w:rPr>
          <w:rFonts w:cs="Arial"/>
          <w:szCs w:val="20"/>
        </w:rPr>
        <w:t xml:space="preserve"> (ukrep nadzora ali odločbo o prekršku)</w:t>
      </w:r>
      <w:r w:rsidRPr="00815544">
        <w:rPr>
          <w:rFonts w:cs="Arial"/>
          <w:szCs w:val="20"/>
        </w:rPr>
        <w:t xml:space="preserve"> zaradi kršitve Uredbe 2019/1238/EU. Objava ni avtomatična, saj mora agencija o objavi odločati v vsakem konkretnem primeru, skladno z določbami drugega in tretjega odstavka tega člena.</w:t>
      </w:r>
    </w:p>
    <w:p w:rsidR="0014362F" w:rsidRPr="00815544" w:rsidRDefault="0014362F" w:rsidP="0014362F">
      <w:pPr>
        <w:jc w:val="both"/>
        <w:rPr>
          <w:rFonts w:cs="Arial"/>
          <w:szCs w:val="20"/>
        </w:rPr>
      </w:pPr>
    </w:p>
    <w:p w:rsidR="0014362F" w:rsidRPr="00815544" w:rsidRDefault="0014362F" w:rsidP="0014362F">
      <w:pPr>
        <w:jc w:val="both"/>
        <w:rPr>
          <w:rFonts w:cs="Arial"/>
          <w:szCs w:val="20"/>
        </w:rPr>
      </w:pPr>
      <w:r w:rsidRPr="00815544">
        <w:rPr>
          <w:rFonts w:cs="Arial"/>
          <w:szCs w:val="20"/>
        </w:rPr>
        <w:t>Na podlagi navedenega je v predlogu zakona določeno, da agencija na svoji spletni strani javno objavi izrečene nadzorne ukrepe in sankcije zaradi kršitve Uredbe 2019/1238/EU. Opredeljen je tudi najkrajši čas hrambe objave kršitev na uradnem spletnem mestu pristojnih organov, to je najmanj pet let po objavi, s čimer se sledi ureditvi iz petega odstavka 69. člena Uredbe 2019/1238/EU.</w:t>
      </w:r>
    </w:p>
    <w:p w:rsidR="0014362F" w:rsidRPr="00815544" w:rsidRDefault="0014362F" w:rsidP="0014362F">
      <w:pPr>
        <w:jc w:val="both"/>
        <w:rPr>
          <w:rFonts w:cs="Arial"/>
          <w:szCs w:val="20"/>
        </w:rPr>
      </w:pPr>
    </w:p>
    <w:p w:rsidR="0014362F" w:rsidRPr="00815544" w:rsidRDefault="0014362F" w:rsidP="0014362F">
      <w:pPr>
        <w:jc w:val="both"/>
        <w:rPr>
          <w:rFonts w:cs="Arial"/>
          <w:szCs w:val="20"/>
        </w:rPr>
      </w:pPr>
      <w:r w:rsidRPr="001816D7">
        <w:rPr>
          <w:rFonts w:cs="Arial"/>
          <w:szCs w:val="20"/>
        </w:rPr>
        <w:t>Podatki</w:t>
      </w:r>
      <w:r w:rsidRPr="00815544">
        <w:rPr>
          <w:rFonts w:cs="Arial"/>
          <w:szCs w:val="20"/>
        </w:rPr>
        <w:t xml:space="preserve"> o identiteti se ne objavijo, v kolikor (i) se nadzorni ukrep</w:t>
      </w:r>
      <w:r>
        <w:rPr>
          <w:rFonts w:cs="Arial"/>
          <w:szCs w:val="20"/>
        </w:rPr>
        <w:t xml:space="preserve"> ali odločba o prekršku</w:t>
      </w:r>
      <w:r w:rsidRPr="00815544">
        <w:rPr>
          <w:rFonts w:cs="Arial"/>
          <w:szCs w:val="20"/>
        </w:rPr>
        <w:t xml:space="preserve"> izreče fizični osebi in je ugotovljena nesorazmernost nad objavo osebnih podatkov kršitelja ter težo kršitve, (ii) agencija pridobi mnenje Agencije za trg vrednostnih papirjev</w:t>
      </w:r>
      <w:r>
        <w:rPr>
          <w:rFonts w:cs="Arial"/>
          <w:szCs w:val="20"/>
        </w:rPr>
        <w:t xml:space="preserve"> ali Banke Slovenije oziroma sledi mnenju strokovnih služb agencije</w:t>
      </w:r>
      <w:r w:rsidRPr="00815544">
        <w:rPr>
          <w:rFonts w:cs="Arial"/>
          <w:szCs w:val="20"/>
        </w:rPr>
        <w:t>, da bi objava identitete kršitelja ogrozila stabilnost finančnega trga, (iii) agencija pridobi mnenje državnega tožilca v kolikor bi objava identitete kršitelja ogrozila izvedbo predkazenskega ali kazenskega postopka, oziroma (iv) bi z objavo vpletenim osebam povzročili nesorazmerno škodo.</w:t>
      </w:r>
    </w:p>
    <w:p w:rsidR="0014362F" w:rsidRDefault="0014362F" w:rsidP="0014362F">
      <w:pPr>
        <w:jc w:val="both"/>
        <w:rPr>
          <w:rFonts w:cs="Arial"/>
          <w:szCs w:val="20"/>
        </w:rPr>
      </w:pPr>
    </w:p>
    <w:p w:rsidR="0014362F" w:rsidRDefault="0014362F" w:rsidP="0014362F">
      <w:pPr>
        <w:jc w:val="both"/>
        <w:rPr>
          <w:rFonts w:cs="Arial"/>
          <w:szCs w:val="20"/>
        </w:rPr>
      </w:pPr>
      <w:r>
        <w:rPr>
          <w:rFonts w:cs="Arial"/>
          <w:szCs w:val="20"/>
        </w:rPr>
        <w:t>Zoper odločbo o prekršku se lahko vloži zahteva za sodno varstvo po določbah zakona, ki ureja prekrške. V tem primeru glede objave odloča sodišče in ne agencija.</w:t>
      </w:r>
    </w:p>
    <w:p w:rsidR="0014362F" w:rsidRPr="00815544" w:rsidRDefault="0014362F" w:rsidP="0014362F">
      <w:pPr>
        <w:jc w:val="both"/>
        <w:rPr>
          <w:rFonts w:cs="Arial"/>
          <w:szCs w:val="20"/>
        </w:rPr>
      </w:pPr>
    </w:p>
    <w:p w:rsidR="0014362F" w:rsidRPr="00815544" w:rsidRDefault="0014362F" w:rsidP="0014362F">
      <w:pPr>
        <w:jc w:val="both"/>
        <w:rPr>
          <w:rFonts w:cs="Arial"/>
          <w:szCs w:val="20"/>
        </w:rPr>
      </w:pPr>
      <w:r w:rsidRPr="00815544">
        <w:rPr>
          <w:rFonts w:cs="Arial"/>
          <w:b/>
          <w:bCs/>
          <w:szCs w:val="20"/>
        </w:rPr>
        <w:t>K 1</w:t>
      </w:r>
      <w:r>
        <w:rPr>
          <w:rFonts w:cs="Arial"/>
          <w:b/>
          <w:bCs/>
          <w:szCs w:val="20"/>
        </w:rPr>
        <w:t>1</w:t>
      </w:r>
      <w:r w:rsidRPr="00815544">
        <w:rPr>
          <w:rFonts w:cs="Arial"/>
          <w:b/>
          <w:bCs/>
          <w:szCs w:val="20"/>
        </w:rPr>
        <w:t>. in 1</w:t>
      </w:r>
      <w:r>
        <w:rPr>
          <w:rFonts w:cs="Arial"/>
          <w:b/>
          <w:bCs/>
          <w:szCs w:val="20"/>
        </w:rPr>
        <w:t>2</w:t>
      </w:r>
      <w:r w:rsidRPr="00815544">
        <w:rPr>
          <w:rFonts w:cs="Arial"/>
          <w:b/>
          <w:bCs/>
          <w:szCs w:val="20"/>
        </w:rPr>
        <w:t>. členu</w:t>
      </w:r>
    </w:p>
    <w:p w:rsidR="0014362F" w:rsidRPr="00815544" w:rsidRDefault="0014362F" w:rsidP="0014362F">
      <w:pPr>
        <w:jc w:val="both"/>
        <w:rPr>
          <w:rFonts w:cs="Arial"/>
          <w:szCs w:val="20"/>
        </w:rPr>
      </w:pPr>
      <w:r w:rsidRPr="00815544">
        <w:rPr>
          <w:rFonts w:cs="Arial"/>
          <w:szCs w:val="20"/>
        </w:rPr>
        <w:t>67. člen Uredbe 2019/1238/EU določa višine glob za dejanja, ki morajo biti sankcionirana kot prekršek v točkah d, e, f in g tretjega odstavka. Zaradi načela določnosti in jasnosti ter pravne varnosti predlog zakona v prvem odstavku 1</w:t>
      </w:r>
      <w:r>
        <w:rPr>
          <w:rFonts w:cs="Arial"/>
          <w:szCs w:val="20"/>
        </w:rPr>
        <w:t>1</w:t>
      </w:r>
      <w:r w:rsidRPr="00815544">
        <w:rPr>
          <w:rFonts w:cs="Arial"/>
          <w:szCs w:val="20"/>
        </w:rPr>
        <w:t xml:space="preserve">. člena opredeljuje dejansko stanje prekrška in višino glob, ki se izrečejo, kadar je kršitelj pravna oseba ali pravna oseba, ki se po zakonu, ki ureja gospodarske družbe, šteje za srednjo ali veliko gospodarsko družbo, ter odgovorna oseba pravne osebe. Glede na opredelitev finančnih podjetij, ki lahko zaprosijo za registracijo PEPP </w:t>
      </w:r>
      <w:r w:rsidRPr="00815544">
        <w:rPr>
          <w:rFonts w:cs="Arial"/>
          <w:szCs w:val="20"/>
        </w:rPr>
        <w:lastRenderedPageBreak/>
        <w:t>(prvi in drugi odstavek 6. člena Uredbe 2019/1238/EU) sta lahko storilca prekrškov iz predloga zakona zgolj pravna oseba in odgovorna oseba pravne osebe, zato drugih kategorij v predlogu zakona ni urejenih. V kolikor bi zavarovalnica ponujala svoje produkte preko agentov (zavarovalnih zastopnikov), ki so samostojni podjetniki posamezniki, se te osebe skladno z zakonom, ki ureja prekrške (15.a člen ZP-1), šteje za odgovorne osebe pravne osebe, za prekrške pa akcesorno odgovarja tudi zavarovalnica kot pravna oseba, saj je bil prekršek storjen pri opravljanju njene dejavnosti (14. člen ZP-1).</w:t>
      </w:r>
    </w:p>
    <w:p w:rsidR="0014362F" w:rsidRPr="00815544" w:rsidRDefault="0014362F" w:rsidP="0014362F">
      <w:pPr>
        <w:jc w:val="both"/>
        <w:rPr>
          <w:rFonts w:cs="Arial"/>
          <w:szCs w:val="20"/>
        </w:rPr>
      </w:pPr>
    </w:p>
    <w:p w:rsidR="0014362F" w:rsidRPr="00815544" w:rsidRDefault="0014362F" w:rsidP="0014362F">
      <w:pPr>
        <w:jc w:val="both"/>
        <w:rPr>
          <w:rFonts w:cs="Arial"/>
          <w:szCs w:val="20"/>
        </w:rPr>
      </w:pPr>
      <w:r w:rsidRPr="00815544">
        <w:rPr>
          <w:rFonts w:cs="Arial"/>
          <w:szCs w:val="20"/>
        </w:rPr>
        <w:t>1</w:t>
      </w:r>
      <w:r>
        <w:rPr>
          <w:rFonts w:cs="Arial"/>
          <w:szCs w:val="20"/>
        </w:rPr>
        <w:t>2</w:t>
      </w:r>
      <w:r w:rsidRPr="00815544">
        <w:rPr>
          <w:rFonts w:cs="Arial"/>
          <w:szCs w:val="20"/>
        </w:rPr>
        <w:t xml:space="preserve">. člen </w:t>
      </w:r>
      <w:r>
        <w:rPr>
          <w:rFonts w:cs="Arial"/>
          <w:szCs w:val="20"/>
        </w:rPr>
        <w:t xml:space="preserve">predloga </w:t>
      </w:r>
      <w:r w:rsidRPr="00815544">
        <w:rPr>
          <w:rFonts w:cs="Arial"/>
          <w:szCs w:val="20"/>
        </w:rPr>
        <w:t>zakona v nadaljevanju določa primere, ko je narava prekrška iz prvega odstavka 1</w:t>
      </w:r>
      <w:r>
        <w:rPr>
          <w:rFonts w:cs="Arial"/>
          <w:szCs w:val="20"/>
        </w:rPr>
        <w:t>1</w:t>
      </w:r>
      <w:r w:rsidRPr="00815544">
        <w:rPr>
          <w:rFonts w:cs="Arial"/>
          <w:szCs w:val="20"/>
        </w:rPr>
        <w:t>. člena zakona posebno huda zaradi višine povzročene škode ali višine pridobljene protipravne premoženjske koristi in zaradi storilčevega naklepa ali njegovega namena koristoljubnosti, ter določa višino glob posebej za pravno osebo in osebe iz drugega odstavka 1</w:t>
      </w:r>
      <w:r>
        <w:rPr>
          <w:rFonts w:cs="Arial"/>
          <w:szCs w:val="20"/>
        </w:rPr>
        <w:t>1</w:t>
      </w:r>
      <w:r w:rsidRPr="00815544">
        <w:rPr>
          <w:rFonts w:cs="Arial"/>
          <w:szCs w:val="20"/>
        </w:rPr>
        <w:t>. člena zakona. Glede določitve hujših prekrškov je vključen tretji odstavek 1</w:t>
      </w:r>
      <w:r>
        <w:rPr>
          <w:rFonts w:cs="Arial"/>
          <w:szCs w:val="20"/>
        </w:rPr>
        <w:t>2</w:t>
      </w:r>
      <w:r w:rsidRPr="00815544">
        <w:rPr>
          <w:rFonts w:cs="Arial"/>
          <w:szCs w:val="20"/>
        </w:rPr>
        <w:t xml:space="preserve">. člena, s katerim se spoštuje načelo </w:t>
      </w:r>
      <w:proofErr w:type="spellStart"/>
      <w:r w:rsidRPr="00815544">
        <w:rPr>
          <w:rFonts w:cs="Arial"/>
          <w:szCs w:val="20"/>
        </w:rPr>
        <w:t>lex</w:t>
      </w:r>
      <w:proofErr w:type="spellEnd"/>
      <w:r w:rsidRPr="00815544">
        <w:rPr>
          <w:rFonts w:cs="Arial"/>
          <w:szCs w:val="20"/>
        </w:rPr>
        <w:t xml:space="preserve"> </w:t>
      </w:r>
      <w:proofErr w:type="spellStart"/>
      <w:r w:rsidRPr="00815544">
        <w:rPr>
          <w:rFonts w:cs="Arial"/>
          <w:szCs w:val="20"/>
        </w:rPr>
        <w:t>certa</w:t>
      </w:r>
      <w:proofErr w:type="spellEnd"/>
      <w:r w:rsidRPr="00815544">
        <w:rPr>
          <w:rFonts w:cs="Arial"/>
          <w:szCs w:val="20"/>
        </w:rPr>
        <w:t xml:space="preserve"> (načelo jasnosti in dokončnosti predpisov kot del načela pravne države in spoštovanje 2. člena Ustave Republike Slovenije v povezavi z načelom zakonitosti v kaznovalnem pravu (28. člen Ustave Republike Slovenije).</w:t>
      </w:r>
    </w:p>
    <w:p w:rsidR="0014362F" w:rsidRPr="00815544" w:rsidRDefault="0014362F" w:rsidP="0014362F">
      <w:pPr>
        <w:jc w:val="both"/>
        <w:rPr>
          <w:rFonts w:cs="Arial"/>
          <w:szCs w:val="20"/>
        </w:rPr>
      </w:pPr>
    </w:p>
    <w:p w:rsidR="0014362F" w:rsidRPr="00815544" w:rsidRDefault="0014362F" w:rsidP="0014362F">
      <w:pPr>
        <w:jc w:val="both"/>
        <w:rPr>
          <w:rFonts w:cs="Arial"/>
          <w:szCs w:val="20"/>
        </w:rPr>
      </w:pPr>
      <w:r w:rsidRPr="00815544">
        <w:rPr>
          <w:rFonts w:cs="Arial"/>
          <w:b/>
          <w:bCs/>
          <w:szCs w:val="20"/>
        </w:rPr>
        <w:t>K 1</w:t>
      </w:r>
      <w:r>
        <w:rPr>
          <w:rFonts w:cs="Arial"/>
          <w:b/>
          <w:bCs/>
          <w:szCs w:val="20"/>
        </w:rPr>
        <w:t>3</w:t>
      </w:r>
      <w:r w:rsidRPr="00815544">
        <w:rPr>
          <w:rFonts w:cs="Arial"/>
          <w:b/>
          <w:bCs/>
          <w:szCs w:val="20"/>
        </w:rPr>
        <w:t>. členu</w:t>
      </w:r>
    </w:p>
    <w:p w:rsidR="0014362F" w:rsidRPr="00815544" w:rsidRDefault="0014362F" w:rsidP="0014362F">
      <w:pPr>
        <w:jc w:val="both"/>
        <w:rPr>
          <w:rFonts w:cs="Arial"/>
          <w:szCs w:val="20"/>
        </w:rPr>
      </w:pPr>
      <w:r w:rsidRPr="00815544">
        <w:rPr>
          <w:rFonts w:cs="Arial"/>
          <w:szCs w:val="20"/>
        </w:rPr>
        <w:t xml:space="preserve">Ker predlog zakona določa globe v razponih, se s členom v skladu s tretjim odstavkom 52. člena Zakona o prekrških (Uradni list RS, št. 29/11 – uradno prečiščeno besedilo, 21/13, 111/13, 74/14 – </w:t>
      </w:r>
      <w:proofErr w:type="spellStart"/>
      <w:r w:rsidRPr="00815544">
        <w:rPr>
          <w:rFonts w:cs="Arial"/>
          <w:szCs w:val="20"/>
        </w:rPr>
        <w:t>odl</w:t>
      </w:r>
      <w:proofErr w:type="spellEnd"/>
      <w:r w:rsidRPr="00815544">
        <w:rPr>
          <w:rFonts w:cs="Arial"/>
          <w:szCs w:val="20"/>
        </w:rPr>
        <w:t xml:space="preserve">. US, 92/14 – </w:t>
      </w:r>
      <w:proofErr w:type="spellStart"/>
      <w:r w:rsidRPr="00815544">
        <w:rPr>
          <w:rFonts w:cs="Arial"/>
          <w:szCs w:val="20"/>
        </w:rPr>
        <w:t>odl</w:t>
      </w:r>
      <w:proofErr w:type="spellEnd"/>
      <w:r w:rsidRPr="00815544">
        <w:rPr>
          <w:rFonts w:cs="Arial"/>
          <w:szCs w:val="20"/>
        </w:rPr>
        <w:t xml:space="preserve">. US, 32/16, 15/17 – </w:t>
      </w:r>
      <w:proofErr w:type="spellStart"/>
      <w:r w:rsidRPr="00815544">
        <w:rPr>
          <w:rFonts w:cs="Arial"/>
          <w:szCs w:val="20"/>
        </w:rPr>
        <w:t>odl</w:t>
      </w:r>
      <w:proofErr w:type="spellEnd"/>
      <w:r w:rsidRPr="00815544">
        <w:rPr>
          <w:rFonts w:cs="Arial"/>
          <w:szCs w:val="20"/>
        </w:rPr>
        <w:t xml:space="preserve">. US, 73/19 – </w:t>
      </w:r>
      <w:proofErr w:type="spellStart"/>
      <w:r w:rsidRPr="00815544">
        <w:rPr>
          <w:rFonts w:cs="Arial"/>
          <w:szCs w:val="20"/>
        </w:rPr>
        <w:t>odl</w:t>
      </w:r>
      <w:proofErr w:type="spellEnd"/>
      <w:r w:rsidRPr="00815544">
        <w:rPr>
          <w:rFonts w:cs="Arial"/>
          <w:szCs w:val="20"/>
        </w:rPr>
        <w:t xml:space="preserve">. US, 175/20 – ZIUOPDVE in 5/21 – </w:t>
      </w:r>
      <w:proofErr w:type="spellStart"/>
      <w:r w:rsidRPr="00815544">
        <w:rPr>
          <w:rFonts w:cs="Arial"/>
          <w:szCs w:val="20"/>
        </w:rPr>
        <w:t>odl</w:t>
      </w:r>
      <w:proofErr w:type="spellEnd"/>
      <w:r w:rsidRPr="00815544">
        <w:rPr>
          <w:rFonts w:cs="Arial"/>
          <w:szCs w:val="20"/>
        </w:rPr>
        <w:t xml:space="preserve">. US; v nadaljnjem besedilu: ZP-1) dopolni pooblastilo, ki bo </w:t>
      </w:r>
      <w:proofErr w:type="spellStart"/>
      <w:r w:rsidRPr="00815544">
        <w:rPr>
          <w:rFonts w:cs="Arial"/>
          <w:szCs w:val="20"/>
        </w:rPr>
        <w:t>prekrškovnemu</w:t>
      </w:r>
      <w:proofErr w:type="spellEnd"/>
      <w:r w:rsidRPr="00815544">
        <w:rPr>
          <w:rFonts w:cs="Arial"/>
          <w:szCs w:val="20"/>
        </w:rPr>
        <w:t xml:space="preserve"> organu omogočil, da bo v hitrem </w:t>
      </w:r>
      <w:proofErr w:type="spellStart"/>
      <w:r w:rsidRPr="00815544">
        <w:rPr>
          <w:rFonts w:cs="Arial"/>
          <w:szCs w:val="20"/>
        </w:rPr>
        <w:t>prekrškovnem</w:t>
      </w:r>
      <w:proofErr w:type="spellEnd"/>
      <w:r w:rsidRPr="00815544">
        <w:rPr>
          <w:rFonts w:cs="Arial"/>
          <w:szCs w:val="20"/>
        </w:rPr>
        <w:t xml:space="preserve"> postopku (ob uporabi splošnih pravil za odmero sankcije – 26. člen ZP-1) lahko izrekel globo, ki je višja od najnižje predpisane.</w:t>
      </w:r>
    </w:p>
    <w:p w:rsidR="0014362F" w:rsidRPr="00815544" w:rsidRDefault="0014362F" w:rsidP="0014362F">
      <w:pPr>
        <w:jc w:val="both"/>
        <w:rPr>
          <w:rFonts w:cs="Arial"/>
          <w:szCs w:val="20"/>
        </w:rPr>
      </w:pPr>
    </w:p>
    <w:p w:rsidR="0014362F" w:rsidRPr="00815544" w:rsidRDefault="0014362F" w:rsidP="0014362F">
      <w:pPr>
        <w:jc w:val="both"/>
        <w:rPr>
          <w:rFonts w:cs="Arial"/>
          <w:szCs w:val="20"/>
        </w:rPr>
      </w:pPr>
      <w:r w:rsidRPr="00815544">
        <w:rPr>
          <w:rFonts w:cs="Arial"/>
          <w:b/>
          <w:bCs/>
          <w:szCs w:val="20"/>
        </w:rPr>
        <w:t>K 1</w:t>
      </w:r>
      <w:r>
        <w:rPr>
          <w:rFonts w:cs="Arial"/>
          <w:b/>
          <w:bCs/>
          <w:szCs w:val="20"/>
        </w:rPr>
        <w:t>4</w:t>
      </w:r>
      <w:r w:rsidRPr="00815544">
        <w:rPr>
          <w:rFonts w:cs="Arial"/>
          <w:b/>
          <w:bCs/>
          <w:szCs w:val="20"/>
        </w:rPr>
        <w:t>. členu</w:t>
      </w:r>
    </w:p>
    <w:p w:rsidR="0014362F" w:rsidRPr="00815544" w:rsidRDefault="0014362F" w:rsidP="0014362F">
      <w:pPr>
        <w:jc w:val="both"/>
        <w:rPr>
          <w:rFonts w:cs="Arial"/>
          <w:szCs w:val="20"/>
        </w:rPr>
      </w:pPr>
      <w:r w:rsidRPr="00815544">
        <w:rPr>
          <w:rFonts w:cs="Arial"/>
          <w:szCs w:val="20"/>
        </w:rPr>
        <w:t>Višine in razponi glob, ki so določeni v 1</w:t>
      </w:r>
      <w:r>
        <w:rPr>
          <w:rFonts w:cs="Arial"/>
          <w:szCs w:val="20"/>
        </w:rPr>
        <w:t>1</w:t>
      </w:r>
      <w:r w:rsidRPr="00815544">
        <w:rPr>
          <w:rFonts w:cs="Arial"/>
          <w:szCs w:val="20"/>
        </w:rPr>
        <w:t>., 1</w:t>
      </w:r>
      <w:r>
        <w:rPr>
          <w:rFonts w:cs="Arial"/>
          <w:szCs w:val="20"/>
        </w:rPr>
        <w:t>2</w:t>
      </w:r>
      <w:r w:rsidRPr="00815544">
        <w:rPr>
          <w:rFonts w:cs="Arial"/>
          <w:szCs w:val="20"/>
        </w:rPr>
        <w:t>. in 1</w:t>
      </w:r>
      <w:r>
        <w:rPr>
          <w:rFonts w:cs="Arial"/>
          <w:szCs w:val="20"/>
        </w:rPr>
        <w:t>3</w:t>
      </w:r>
      <w:r w:rsidRPr="00815544">
        <w:rPr>
          <w:rFonts w:cs="Arial"/>
          <w:szCs w:val="20"/>
        </w:rPr>
        <w:t>. členu tega zakona, se uporabljajo ne glede na določbe zakona, ki ureja prekrške.</w:t>
      </w:r>
    </w:p>
    <w:p w:rsidR="0014362F" w:rsidRPr="00815544" w:rsidRDefault="0014362F" w:rsidP="0014362F">
      <w:pPr>
        <w:jc w:val="both"/>
        <w:rPr>
          <w:rFonts w:cs="Arial"/>
          <w:szCs w:val="20"/>
        </w:rPr>
      </w:pPr>
    </w:p>
    <w:p w:rsidR="0014362F" w:rsidRPr="00815544" w:rsidRDefault="0014362F" w:rsidP="0014362F">
      <w:pPr>
        <w:jc w:val="both"/>
        <w:rPr>
          <w:rFonts w:cs="Arial"/>
          <w:szCs w:val="20"/>
        </w:rPr>
      </w:pPr>
      <w:r w:rsidRPr="00815544">
        <w:rPr>
          <w:rFonts w:cs="Arial"/>
          <w:b/>
          <w:bCs/>
          <w:szCs w:val="20"/>
        </w:rPr>
        <w:t>K 1</w:t>
      </w:r>
      <w:r>
        <w:rPr>
          <w:rFonts w:cs="Arial"/>
          <w:b/>
          <w:bCs/>
          <w:szCs w:val="20"/>
        </w:rPr>
        <w:t>5</w:t>
      </w:r>
      <w:r w:rsidRPr="00815544">
        <w:rPr>
          <w:rFonts w:cs="Arial"/>
          <w:b/>
          <w:bCs/>
          <w:szCs w:val="20"/>
        </w:rPr>
        <w:t>. členu</w:t>
      </w:r>
    </w:p>
    <w:p w:rsidR="0014362F" w:rsidRPr="00815544" w:rsidRDefault="0014362F" w:rsidP="0014362F">
      <w:pPr>
        <w:jc w:val="both"/>
        <w:rPr>
          <w:rFonts w:cs="Arial"/>
          <w:szCs w:val="20"/>
        </w:rPr>
      </w:pPr>
      <w:r w:rsidRPr="00815544">
        <w:rPr>
          <w:rFonts w:cs="Arial"/>
          <w:szCs w:val="20"/>
        </w:rPr>
        <w:t>Člen določa začetek veljavnosti zakona.</w:t>
      </w:r>
    </w:p>
    <w:p w:rsidR="0014362F" w:rsidRPr="00815544" w:rsidRDefault="0014362F" w:rsidP="0014362F">
      <w:pPr>
        <w:jc w:val="both"/>
        <w:rPr>
          <w:rFonts w:cs="Arial"/>
          <w:szCs w:val="20"/>
        </w:rPr>
      </w:pPr>
    </w:p>
    <w:p w:rsidR="00573BBF" w:rsidRPr="002760DC" w:rsidRDefault="00573BBF" w:rsidP="0014362F"/>
    <w:p w:rsidR="00573BBF" w:rsidRPr="002760DC" w:rsidRDefault="00573BBF" w:rsidP="0014362F"/>
    <w:p w:rsidR="00573BBF" w:rsidRPr="00202A77" w:rsidRDefault="00573BBF" w:rsidP="0014362F">
      <w:pPr>
        <w:pStyle w:val="podpisi"/>
        <w:rPr>
          <w:lang w:val="sl-SI"/>
        </w:rPr>
      </w:pPr>
    </w:p>
    <w:p w:rsidR="00782FD4" w:rsidRPr="00FE1680" w:rsidRDefault="00782FD4" w:rsidP="0014362F"/>
    <w:sectPr w:rsidR="00782FD4" w:rsidRPr="00FE1680" w:rsidSect="007579DD">
      <w:headerReference w:type="even" r:id="rId8"/>
      <w:headerReference w:type="default" r:id="rId9"/>
      <w:footerReference w:type="even" r:id="rId10"/>
      <w:footerReference w:type="default" r:id="rId11"/>
      <w:headerReference w:type="first" r:id="rId12"/>
      <w:footerReference w:type="first" r:id="rId13"/>
      <w:pgSz w:w="11906" w:h="16838"/>
      <w:pgMar w:top="1701" w:right="1701" w:bottom="1134" w:left="1701" w:header="964"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6133" w:rsidRDefault="00286133" w:rsidP="00767987">
      <w:pPr>
        <w:spacing w:line="240" w:lineRule="auto"/>
      </w:pPr>
      <w:r>
        <w:separator/>
      </w:r>
    </w:p>
  </w:endnote>
  <w:endnote w:type="continuationSeparator" w:id="0">
    <w:p w:rsidR="00286133" w:rsidRDefault="00286133" w:rsidP="007679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654A" w:rsidRDefault="003E654A">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654A" w:rsidRDefault="003E654A">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654A" w:rsidRDefault="003E654A">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6133" w:rsidRDefault="00286133" w:rsidP="00767987">
      <w:pPr>
        <w:spacing w:line="240" w:lineRule="auto"/>
      </w:pPr>
      <w:r>
        <w:separator/>
      </w:r>
    </w:p>
  </w:footnote>
  <w:footnote w:type="continuationSeparator" w:id="0">
    <w:p w:rsidR="00286133" w:rsidRDefault="00286133" w:rsidP="00767987">
      <w:pPr>
        <w:spacing w:line="240" w:lineRule="auto"/>
      </w:pPr>
      <w:r>
        <w:continuationSeparator/>
      </w:r>
    </w:p>
  </w:footnote>
  <w:footnote w:id="1">
    <w:p w:rsidR="0014362F" w:rsidRDefault="0014362F" w:rsidP="0014362F">
      <w:pPr>
        <w:pStyle w:val="Sprotnaopomba-besedilo"/>
      </w:pPr>
      <w:r>
        <w:rPr>
          <w:rStyle w:val="Sprotnaopomba-sklic"/>
        </w:rPr>
        <w:footnoteRef/>
      </w:r>
      <w:r>
        <w:t xml:space="preserve"> </w:t>
      </w:r>
      <w:r w:rsidRPr="005C594C">
        <w:rPr>
          <w:rFonts w:ascii="Arial" w:hAnsi="Arial" w:cs="Arial"/>
          <w:color w:val="444444"/>
          <w:sz w:val="16"/>
          <w:szCs w:val="16"/>
          <w:shd w:val="clear" w:color="auto" w:fill="FFFFFF"/>
        </w:rPr>
        <w:t xml:space="preserve">Sporočilo Komisije Evropskemu </w:t>
      </w:r>
      <w:r>
        <w:rPr>
          <w:rFonts w:ascii="Arial" w:hAnsi="Arial" w:cs="Arial"/>
          <w:color w:val="444444"/>
          <w:sz w:val="16"/>
          <w:szCs w:val="16"/>
          <w:shd w:val="clear" w:color="auto" w:fill="FFFFFF"/>
        </w:rPr>
        <w:t>p</w:t>
      </w:r>
      <w:r w:rsidRPr="005C594C">
        <w:rPr>
          <w:rFonts w:ascii="Arial" w:hAnsi="Arial" w:cs="Arial"/>
          <w:color w:val="444444"/>
          <w:sz w:val="16"/>
          <w:szCs w:val="16"/>
          <w:shd w:val="clear" w:color="auto" w:fill="FFFFFF"/>
        </w:rPr>
        <w:t xml:space="preserve">arlamentu, Svetu, </w:t>
      </w:r>
      <w:r w:rsidRPr="00502938">
        <w:rPr>
          <w:rFonts w:ascii="Arial" w:hAnsi="Arial" w:cs="Arial"/>
          <w:color w:val="444444"/>
          <w:sz w:val="16"/>
          <w:szCs w:val="16"/>
          <w:shd w:val="clear" w:color="auto" w:fill="FFFFFF"/>
        </w:rPr>
        <w:t>Evropskemu Ekonomsko-socialnemu odboru In Odboru regij - Akcijski načrt o oblikovanju unije kapitalskih trgov</w:t>
      </w:r>
    </w:p>
  </w:footnote>
  <w:footnote w:id="2">
    <w:p w:rsidR="0014362F" w:rsidRPr="00BF1837" w:rsidRDefault="0014362F" w:rsidP="0014362F">
      <w:pPr>
        <w:pStyle w:val="Sprotnaopomba-besedilo"/>
      </w:pPr>
      <w:r>
        <w:rPr>
          <w:rStyle w:val="Sprotnaopomba-sklic"/>
        </w:rPr>
        <w:footnoteRef/>
      </w:r>
      <w:r>
        <w:t xml:space="preserve"> </w:t>
      </w:r>
      <w:hyperlink r:id="rId1" w:history="1">
        <w:r w:rsidRPr="004D73BB">
          <w:rPr>
            <w:rStyle w:val="Hiperpovezava"/>
            <w:rFonts w:ascii="Arial" w:hAnsi="Arial" w:cs="Arial"/>
            <w:sz w:val="18"/>
            <w:szCs w:val="18"/>
          </w:rPr>
          <w:t>https://legilux.public.lu/eli/etat/leg/loi/2022/02/25/a82/jo</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654A" w:rsidRDefault="003E654A">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654A" w:rsidRDefault="003E654A">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79DD" w:rsidRPr="00A9231D" w:rsidRDefault="007579DD" w:rsidP="007579DD">
    <w:pPr>
      <w:pStyle w:val="Glava"/>
      <w:tabs>
        <w:tab w:val="clear" w:pos="4536"/>
        <w:tab w:val="clear" w:pos="9072"/>
        <w:tab w:val="left" w:pos="5112"/>
        <w:tab w:val="left" w:pos="8641"/>
      </w:tabs>
      <w:spacing w:before="340" w:line="240" w:lineRule="exact"/>
      <w:ind w:left="-765"/>
      <w:rPr>
        <w:rFonts w:cs="Arial"/>
        <w:sz w:val="16"/>
      </w:rPr>
    </w:pPr>
    <w:r w:rsidRPr="00CE234E">
      <w:rPr>
        <w:noProof/>
        <w:lang w:eastAsia="sl-SI"/>
      </w:rPr>
      <w:drawing>
        <wp:inline distT="0" distB="0" distL="0" distR="0">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rsidR="007579DD" w:rsidRPr="00A9231D" w:rsidRDefault="007579DD" w:rsidP="007579DD">
    <w:pPr>
      <w:pStyle w:val="Glava"/>
      <w:tabs>
        <w:tab w:val="clear" w:pos="4536"/>
        <w:tab w:val="clear" w:pos="9072"/>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t>T: +386 1 478 1000</w:t>
    </w:r>
  </w:p>
  <w:p w:rsidR="007579DD" w:rsidRPr="00A9231D" w:rsidRDefault="007579DD" w:rsidP="007579DD">
    <w:pPr>
      <w:pStyle w:val="Glava"/>
      <w:tabs>
        <w:tab w:val="clear" w:pos="4536"/>
        <w:tab w:val="clear" w:pos="9072"/>
        <w:tab w:val="left" w:pos="5114"/>
        <w:tab w:val="left" w:pos="8641"/>
      </w:tabs>
      <w:spacing w:line="240" w:lineRule="exact"/>
      <w:rPr>
        <w:rFonts w:cs="Arial"/>
        <w:sz w:val="16"/>
      </w:rPr>
    </w:pPr>
    <w:r w:rsidRPr="00A9231D">
      <w:rPr>
        <w:rFonts w:cs="Arial"/>
        <w:sz w:val="16"/>
      </w:rPr>
      <w:tab/>
      <w:t>F: +386 1 478 1607</w:t>
    </w:r>
  </w:p>
  <w:p w:rsidR="007579DD" w:rsidRPr="00A9231D" w:rsidRDefault="007579DD" w:rsidP="007579DD">
    <w:pPr>
      <w:pStyle w:val="Glava"/>
      <w:tabs>
        <w:tab w:val="clear" w:pos="4536"/>
        <w:tab w:val="clear" w:pos="9072"/>
        <w:tab w:val="left" w:pos="5114"/>
        <w:tab w:val="left" w:pos="8641"/>
      </w:tabs>
      <w:spacing w:line="240" w:lineRule="exact"/>
      <w:rPr>
        <w:rFonts w:cs="Arial"/>
        <w:sz w:val="16"/>
      </w:rPr>
    </w:pPr>
    <w:r w:rsidRPr="00A9231D">
      <w:rPr>
        <w:rFonts w:cs="Arial"/>
        <w:sz w:val="16"/>
      </w:rPr>
      <w:tab/>
      <w:t>E: gp.gs@gov.si</w:t>
    </w:r>
  </w:p>
  <w:p w:rsidR="007579DD" w:rsidRPr="00A9231D" w:rsidRDefault="007579DD" w:rsidP="007579DD">
    <w:pPr>
      <w:pStyle w:val="Glava"/>
      <w:tabs>
        <w:tab w:val="clear" w:pos="4536"/>
        <w:tab w:val="clear" w:pos="9072"/>
        <w:tab w:val="left" w:pos="5114"/>
        <w:tab w:val="left" w:pos="8641"/>
      </w:tabs>
      <w:spacing w:line="240" w:lineRule="exact"/>
      <w:rPr>
        <w:rFonts w:cs="Arial"/>
        <w:sz w:val="16"/>
      </w:rPr>
    </w:pPr>
    <w:r w:rsidRPr="00A9231D">
      <w:rPr>
        <w:rFonts w:cs="Arial"/>
        <w:sz w:val="16"/>
      </w:rPr>
      <w:tab/>
      <w:t>http://www.vlada.si/</w:t>
    </w:r>
  </w:p>
  <w:p w:rsidR="006C69EC" w:rsidRDefault="006C69EC">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C04173"/>
    <w:multiLevelType w:val="hybridMultilevel"/>
    <w:tmpl w:val="20B4EB14"/>
    <w:lvl w:ilvl="0" w:tplc="0060AB98">
      <w:start w:val="1"/>
      <w:numFmt w:val="bullet"/>
      <w:lvlText w:val="‒"/>
      <w:lvlJc w:val="left"/>
      <w:pPr>
        <w:ind w:left="720" w:hanging="360"/>
      </w:pPr>
      <w:rPr>
        <w:rFonts w:ascii="Arial" w:eastAsiaTheme="minorHAnsi" w:hAnsi="Arial" w:hint="default"/>
        <w:b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9201AC2"/>
    <w:multiLevelType w:val="hybridMultilevel"/>
    <w:tmpl w:val="57F25C9A"/>
    <w:lvl w:ilvl="0" w:tplc="0060AB98">
      <w:start w:val="1"/>
      <w:numFmt w:val="bullet"/>
      <w:lvlText w:val="‒"/>
      <w:lvlJc w:val="left"/>
      <w:pPr>
        <w:ind w:left="720" w:hanging="360"/>
      </w:pPr>
      <w:rPr>
        <w:rFonts w:ascii="Arial" w:eastAsiaTheme="minorHAnsi" w:hAnsi="Arial" w:hint="default"/>
        <w:b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4260106F"/>
    <w:multiLevelType w:val="hybridMultilevel"/>
    <w:tmpl w:val="3886E006"/>
    <w:lvl w:ilvl="0" w:tplc="0060AB98">
      <w:start w:val="1"/>
      <w:numFmt w:val="bullet"/>
      <w:lvlText w:val="‒"/>
      <w:lvlJc w:val="left"/>
      <w:pPr>
        <w:ind w:left="720" w:hanging="360"/>
      </w:pPr>
      <w:rPr>
        <w:rFonts w:ascii="Arial" w:eastAsiaTheme="minorHAnsi" w:hAnsi="Arial" w:hint="default"/>
        <w:b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42AA3A63"/>
    <w:multiLevelType w:val="multilevel"/>
    <w:tmpl w:val="368CE47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4C080309"/>
    <w:multiLevelType w:val="hybridMultilevel"/>
    <w:tmpl w:val="596E5182"/>
    <w:lvl w:ilvl="0" w:tplc="795AEBD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4EAE2167"/>
    <w:multiLevelType w:val="multilevel"/>
    <w:tmpl w:val="15141C1C"/>
    <w:lvl w:ilvl="0">
      <w:start w:val="1"/>
      <w:numFmt w:val="decimal"/>
      <w:pStyle w:val="tevilnatoka"/>
      <w:lvlText w:val="%1."/>
      <w:lvlJc w:val="left"/>
      <w:pPr>
        <w:tabs>
          <w:tab w:val="num" w:pos="425"/>
        </w:tabs>
        <w:ind w:left="425" w:hanging="425"/>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5583524C"/>
    <w:multiLevelType w:val="hybridMultilevel"/>
    <w:tmpl w:val="D07CA032"/>
    <w:lvl w:ilvl="0" w:tplc="5684846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CBB3A33"/>
    <w:multiLevelType w:val="hybridMultilevel"/>
    <w:tmpl w:val="17461CA6"/>
    <w:lvl w:ilvl="0" w:tplc="3C04B97A">
      <w:start w:val="1"/>
      <w:numFmt w:val="upperRoman"/>
      <w:lvlText w:val="%1."/>
      <w:lvlJc w:val="left"/>
      <w:pPr>
        <w:ind w:left="1080" w:hanging="720"/>
      </w:pPr>
      <w:rPr>
        <w:rFonts w:hint="default"/>
      </w:rPr>
    </w:lvl>
    <w:lvl w:ilvl="1" w:tplc="79C046B8">
      <w:start w:val="1"/>
      <w:numFmt w:val="decimal"/>
      <w:lvlText w:val="%2."/>
      <w:lvlJc w:val="left"/>
      <w:pPr>
        <w:ind w:left="1785" w:hanging="705"/>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E451286"/>
    <w:multiLevelType w:val="hybridMultilevel"/>
    <w:tmpl w:val="88B88C78"/>
    <w:lvl w:ilvl="0" w:tplc="5684846C">
      <w:start w:val="1"/>
      <w:numFmt w:val="bullet"/>
      <w:lvlText w:val="–"/>
      <w:lvlJc w:val="left"/>
      <w:pPr>
        <w:ind w:left="697" w:hanging="360"/>
      </w:pPr>
      <w:rPr>
        <w:rFonts w:ascii="Arial" w:hAnsi="Arial" w:hint="default"/>
      </w:rPr>
    </w:lvl>
    <w:lvl w:ilvl="1" w:tplc="4A728A6C">
      <w:numFmt w:val="bullet"/>
      <w:lvlText w:val="-"/>
      <w:lvlJc w:val="left"/>
      <w:pPr>
        <w:ind w:left="1417" w:hanging="360"/>
      </w:pPr>
      <w:rPr>
        <w:rFonts w:ascii="Arial" w:eastAsia="Calibri" w:hAnsi="Arial" w:cs="Arial"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num w:numId="1">
    <w:abstractNumId w:val="9"/>
  </w:num>
  <w:num w:numId="2">
    <w:abstractNumId w:val="4"/>
  </w:num>
  <w:num w:numId="3">
    <w:abstractNumId w:val="6"/>
  </w:num>
  <w:num w:numId="4">
    <w:abstractNumId w:val="3"/>
  </w:num>
  <w:num w:numId="5">
    <w:abstractNumId w:val="7"/>
  </w:num>
  <w:num w:numId="6">
    <w:abstractNumId w:val="8"/>
  </w:num>
  <w:num w:numId="7">
    <w:abstractNumId w:val="5"/>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BCE"/>
    <w:rsid w:val="000B3FE6"/>
    <w:rsid w:val="000E21B2"/>
    <w:rsid w:val="0014362F"/>
    <w:rsid w:val="0016730D"/>
    <w:rsid w:val="00204177"/>
    <w:rsid w:val="00286133"/>
    <w:rsid w:val="00366636"/>
    <w:rsid w:val="00367DE6"/>
    <w:rsid w:val="003B3E19"/>
    <w:rsid w:val="003E654A"/>
    <w:rsid w:val="004076C6"/>
    <w:rsid w:val="00455311"/>
    <w:rsid w:val="004B7F76"/>
    <w:rsid w:val="004E1BCE"/>
    <w:rsid w:val="00504A8D"/>
    <w:rsid w:val="00573BBF"/>
    <w:rsid w:val="00592079"/>
    <w:rsid w:val="005A156D"/>
    <w:rsid w:val="00682FFE"/>
    <w:rsid w:val="006C69EC"/>
    <w:rsid w:val="007039D0"/>
    <w:rsid w:val="00710C90"/>
    <w:rsid w:val="007346CD"/>
    <w:rsid w:val="007579DD"/>
    <w:rsid w:val="00767987"/>
    <w:rsid w:val="00782FD4"/>
    <w:rsid w:val="00811140"/>
    <w:rsid w:val="008A3F94"/>
    <w:rsid w:val="00904A48"/>
    <w:rsid w:val="009171BD"/>
    <w:rsid w:val="00980294"/>
    <w:rsid w:val="00993E3E"/>
    <w:rsid w:val="009B5DDB"/>
    <w:rsid w:val="009C5392"/>
    <w:rsid w:val="00A50E4B"/>
    <w:rsid w:val="00A9231D"/>
    <w:rsid w:val="00AC5605"/>
    <w:rsid w:val="00B40287"/>
    <w:rsid w:val="00B479BF"/>
    <w:rsid w:val="00B87F53"/>
    <w:rsid w:val="00C0216A"/>
    <w:rsid w:val="00CB43D0"/>
    <w:rsid w:val="00CD6077"/>
    <w:rsid w:val="00CE234E"/>
    <w:rsid w:val="00D02973"/>
    <w:rsid w:val="00DA09BE"/>
    <w:rsid w:val="00E30579"/>
    <w:rsid w:val="00FB00DD"/>
    <w:rsid w:val="00FE168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551B874-D647-4E6B-850E-60B96BFC3C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8A3F94"/>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atumtevilka">
    <w:name w:val="datum številka"/>
    <w:basedOn w:val="Navaden"/>
    <w:qFormat/>
    <w:rsid w:val="00767987"/>
    <w:pPr>
      <w:tabs>
        <w:tab w:val="left" w:pos="1701"/>
      </w:tabs>
    </w:pPr>
    <w:rPr>
      <w:szCs w:val="20"/>
      <w:lang w:eastAsia="sl-SI"/>
    </w:rPr>
  </w:style>
  <w:style w:type="paragraph" w:styleId="Glava">
    <w:name w:val="header"/>
    <w:basedOn w:val="Navaden"/>
    <w:link w:val="GlavaZnak"/>
    <w:unhideWhenUsed/>
    <w:rsid w:val="00767987"/>
    <w:pPr>
      <w:tabs>
        <w:tab w:val="center" w:pos="4536"/>
        <w:tab w:val="right" w:pos="9072"/>
      </w:tabs>
      <w:spacing w:line="240" w:lineRule="auto"/>
    </w:pPr>
  </w:style>
  <w:style w:type="character" w:customStyle="1" w:styleId="GlavaZnak">
    <w:name w:val="Glava Znak"/>
    <w:basedOn w:val="Privzetapisavaodstavka"/>
    <w:link w:val="Glava"/>
    <w:rsid w:val="00767987"/>
  </w:style>
  <w:style w:type="paragraph" w:styleId="Noga">
    <w:name w:val="footer"/>
    <w:basedOn w:val="Navaden"/>
    <w:link w:val="NogaZnak"/>
    <w:uiPriority w:val="99"/>
    <w:unhideWhenUsed/>
    <w:rsid w:val="00767987"/>
    <w:pPr>
      <w:tabs>
        <w:tab w:val="center" w:pos="4536"/>
        <w:tab w:val="right" w:pos="9072"/>
      </w:tabs>
      <w:spacing w:line="240" w:lineRule="auto"/>
    </w:pPr>
  </w:style>
  <w:style w:type="character" w:customStyle="1" w:styleId="NogaZnak">
    <w:name w:val="Noga Znak"/>
    <w:basedOn w:val="Privzetapisavaodstavka"/>
    <w:link w:val="Noga"/>
    <w:uiPriority w:val="99"/>
    <w:rsid w:val="00767987"/>
  </w:style>
  <w:style w:type="paragraph" w:styleId="Odstavekseznama">
    <w:name w:val="List Paragraph"/>
    <w:basedOn w:val="Navaden"/>
    <w:link w:val="OdstavekseznamaZnak"/>
    <w:uiPriority w:val="34"/>
    <w:qFormat/>
    <w:rsid w:val="00E30579"/>
    <w:pPr>
      <w:ind w:left="720"/>
      <w:contextualSpacing/>
    </w:pPr>
  </w:style>
  <w:style w:type="paragraph" w:customStyle="1" w:styleId="ZADEVA">
    <w:name w:val="ZADEVA"/>
    <w:basedOn w:val="Navaden"/>
    <w:qFormat/>
    <w:rsid w:val="008A3F94"/>
    <w:pPr>
      <w:tabs>
        <w:tab w:val="left" w:pos="1701"/>
      </w:tabs>
      <w:ind w:left="1701" w:hanging="1701"/>
    </w:pPr>
    <w:rPr>
      <w:b/>
      <w:lang w:val="it-IT"/>
    </w:rPr>
  </w:style>
  <w:style w:type="paragraph" w:customStyle="1" w:styleId="podpisi">
    <w:name w:val="podpisi"/>
    <w:basedOn w:val="Navaden"/>
    <w:qFormat/>
    <w:rsid w:val="008A3F94"/>
    <w:pPr>
      <w:tabs>
        <w:tab w:val="left" w:pos="3402"/>
      </w:tabs>
    </w:pPr>
    <w:rPr>
      <w:lang w:val="it-IT"/>
    </w:rPr>
  </w:style>
  <w:style w:type="character" w:styleId="Hiperpovezava">
    <w:name w:val="Hyperlink"/>
    <w:uiPriority w:val="99"/>
    <w:rsid w:val="0014362F"/>
    <w:rPr>
      <w:color w:val="0000FF"/>
      <w:u w:val="single"/>
    </w:rPr>
  </w:style>
  <w:style w:type="paragraph" w:customStyle="1" w:styleId="Naslovpredpisa">
    <w:name w:val="Naslov_predpisa"/>
    <w:basedOn w:val="Navaden"/>
    <w:link w:val="NaslovpredpisaZnak"/>
    <w:qFormat/>
    <w:rsid w:val="0014362F"/>
    <w:pPr>
      <w:suppressAutoHyphens/>
      <w:overflowPunct w:val="0"/>
      <w:autoSpaceDE w:val="0"/>
      <w:autoSpaceDN w:val="0"/>
      <w:adjustRightInd w:val="0"/>
      <w:spacing w:before="120" w:after="160" w:line="200" w:lineRule="exact"/>
      <w:jc w:val="center"/>
      <w:textAlignment w:val="baseline"/>
    </w:pPr>
    <w:rPr>
      <w:b/>
      <w:sz w:val="22"/>
      <w:szCs w:val="20"/>
    </w:rPr>
  </w:style>
  <w:style w:type="character" w:customStyle="1" w:styleId="NaslovpredpisaZnak">
    <w:name w:val="Naslov_predpisa Znak"/>
    <w:link w:val="Naslovpredpisa"/>
    <w:locked/>
    <w:rsid w:val="0014362F"/>
    <w:rPr>
      <w:rFonts w:ascii="Arial" w:eastAsia="Times New Roman" w:hAnsi="Arial" w:cs="Times New Roman"/>
      <w:b/>
      <w:szCs w:val="20"/>
    </w:rPr>
  </w:style>
  <w:style w:type="paragraph" w:styleId="Brezrazmikov">
    <w:name w:val="No Spacing"/>
    <w:link w:val="BrezrazmikovZnak"/>
    <w:uiPriority w:val="1"/>
    <w:qFormat/>
    <w:rsid w:val="0014362F"/>
    <w:pPr>
      <w:spacing w:after="0" w:line="240" w:lineRule="auto"/>
    </w:pPr>
    <w:rPr>
      <w:rFonts w:ascii="Arial" w:eastAsia="Times New Roman" w:hAnsi="Arial" w:cs="Times New Roman"/>
      <w:sz w:val="20"/>
      <w:szCs w:val="24"/>
      <w:lang w:val="en-US"/>
    </w:rPr>
  </w:style>
  <w:style w:type="paragraph" w:styleId="Pripombabesedilo">
    <w:name w:val="annotation text"/>
    <w:basedOn w:val="Navaden"/>
    <w:link w:val="PripombabesediloZnak"/>
    <w:unhideWhenUsed/>
    <w:rsid w:val="0014362F"/>
    <w:pPr>
      <w:spacing w:line="260" w:lineRule="atLeast"/>
    </w:pPr>
    <w:rPr>
      <w:szCs w:val="20"/>
      <w:lang w:val="en-US"/>
    </w:rPr>
  </w:style>
  <w:style w:type="character" w:customStyle="1" w:styleId="PripombabesediloZnak">
    <w:name w:val="Pripomba – besedilo Znak"/>
    <w:basedOn w:val="Privzetapisavaodstavka"/>
    <w:link w:val="Pripombabesedilo"/>
    <w:rsid w:val="0014362F"/>
    <w:rPr>
      <w:rFonts w:ascii="Arial" w:eastAsia="Times New Roman" w:hAnsi="Arial" w:cs="Times New Roman"/>
      <w:sz w:val="20"/>
      <w:szCs w:val="20"/>
      <w:lang w:val="en-US"/>
    </w:rPr>
  </w:style>
  <w:style w:type="paragraph" w:styleId="Sprotnaopomba-besedilo">
    <w:name w:val="footnote text"/>
    <w:aliases w:val="Footnote,Fußnote,C26 Footnote body,FSR footnote,lábléc,Footnote Text Char Char,text,Footnote Char,Fußnote Char,Voetnoottekst Char,Voetnoottekst Char1 Char,Voetnoottekst Char Char Char,Footnote Char Char Char,fn,Fußnotentext Ch"/>
    <w:basedOn w:val="Navaden"/>
    <w:link w:val="Sprotnaopomba-besediloZnak"/>
    <w:uiPriority w:val="99"/>
    <w:unhideWhenUsed/>
    <w:rsid w:val="0014362F"/>
    <w:pPr>
      <w:spacing w:line="240" w:lineRule="auto"/>
      <w:jc w:val="both"/>
    </w:pPr>
    <w:rPr>
      <w:rFonts w:ascii="Times New Roman" w:hAnsi="Times New Roman"/>
      <w:szCs w:val="20"/>
      <w:lang w:eastAsia="zh-CN"/>
    </w:rPr>
  </w:style>
  <w:style w:type="character" w:customStyle="1" w:styleId="Sprotnaopomba-besediloZnak">
    <w:name w:val="Sprotna opomba - besedilo Znak"/>
    <w:aliases w:val="Footnote Znak,Fußnote Znak,C26 Footnote body Znak,FSR footnote Znak,lábléc Znak,Footnote Text Char Char Znak,text Znak,Footnote Char Znak,Fußnote Char Znak,Voetnoottekst Char Znak,Voetnoottekst Char1 Char Znak,fn Znak"/>
    <w:basedOn w:val="Privzetapisavaodstavka"/>
    <w:link w:val="Sprotnaopomba-besedilo"/>
    <w:uiPriority w:val="99"/>
    <w:rsid w:val="0014362F"/>
    <w:rPr>
      <w:rFonts w:ascii="Times New Roman" w:eastAsia="Times New Roman" w:hAnsi="Times New Roman" w:cs="Times New Roman"/>
      <w:sz w:val="20"/>
      <w:szCs w:val="20"/>
      <w:lang w:eastAsia="zh-CN"/>
    </w:rPr>
  </w:style>
  <w:style w:type="character" w:styleId="Sprotnaopomba-sklic">
    <w:name w:val="footnote reference"/>
    <w:aliases w:val="Footnote Reference Number,Footnote Reference_LVL6,Footnote Reference_LVL61,Footnote Reference_LVL62,Footnote Reference_LVL63,Footnote Reference_LVL64,C26 Footnote Number,Footnote Reference_LVL65,Footnote symbol,Re"/>
    <w:uiPriority w:val="99"/>
    <w:unhideWhenUsed/>
    <w:qFormat/>
    <w:rsid w:val="0014362F"/>
    <w:rPr>
      <w:vertAlign w:val="superscript"/>
    </w:rPr>
  </w:style>
  <w:style w:type="paragraph" w:customStyle="1" w:styleId="Odstavek">
    <w:name w:val="Odstavek"/>
    <w:basedOn w:val="Navaden"/>
    <w:link w:val="OdstavekZnak"/>
    <w:qFormat/>
    <w:rsid w:val="0014362F"/>
    <w:pPr>
      <w:overflowPunct w:val="0"/>
      <w:autoSpaceDE w:val="0"/>
      <w:autoSpaceDN w:val="0"/>
      <w:adjustRightInd w:val="0"/>
      <w:spacing w:before="240" w:line="240" w:lineRule="auto"/>
      <w:ind w:firstLine="1021"/>
      <w:jc w:val="both"/>
      <w:textAlignment w:val="baseline"/>
    </w:pPr>
    <w:rPr>
      <w:sz w:val="22"/>
      <w:szCs w:val="22"/>
    </w:rPr>
  </w:style>
  <w:style w:type="character" w:customStyle="1" w:styleId="OdstavekZnak">
    <w:name w:val="Odstavek Znak"/>
    <w:link w:val="Odstavek"/>
    <w:rsid w:val="0014362F"/>
    <w:rPr>
      <w:rFonts w:ascii="Arial" w:eastAsia="Times New Roman" w:hAnsi="Arial" w:cs="Times New Roman"/>
    </w:rPr>
  </w:style>
  <w:style w:type="character" w:customStyle="1" w:styleId="OdstavekseznamaZnak">
    <w:name w:val="Odstavek seznama Znak"/>
    <w:link w:val="Odstavekseznama"/>
    <w:uiPriority w:val="34"/>
    <w:locked/>
    <w:rsid w:val="0014362F"/>
    <w:rPr>
      <w:rFonts w:ascii="Arial" w:eastAsia="Times New Roman" w:hAnsi="Arial" w:cs="Times New Roman"/>
      <w:sz w:val="20"/>
      <w:szCs w:val="24"/>
    </w:rPr>
  </w:style>
  <w:style w:type="character" w:customStyle="1" w:styleId="BrezrazmikovZnak">
    <w:name w:val="Brez razmikov Znak"/>
    <w:link w:val="Brezrazmikov"/>
    <w:uiPriority w:val="1"/>
    <w:rsid w:val="0014362F"/>
    <w:rPr>
      <w:rFonts w:ascii="Arial" w:eastAsia="Times New Roman" w:hAnsi="Arial" w:cs="Times New Roman"/>
      <w:sz w:val="20"/>
      <w:szCs w:val="24"/>
      <w:lang w:val="en-US"/>
    </w:rPr>
  </w:style>
  <w:style w:type="paragraph" w:customStyle="1" w:styleId="Vrstapredpisa">
    <w:name w:val="Vrsta predpisa"/>
    <w:basedOn w:val="Navaden"/>
    <w:link w:val="VrstapredpisaZnak"/>
    <w:qFormat/>
    <w:rsid w:val="0014362F"/>
    <w:pPr>
      <w:suppressAutoHyphens/>
      <w:overflowPunct w:val="0"/>
      <w:autoSpaceDE w:val="0"/>
      <w:autoSpaceDN w:val="0"/>
      <w:adjustRightInd w:val="0"/>
      <w:spacing w:before="480" w:line="240" w:lineRule="auto"/>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14362F"/>
    <w:rPr>
      <w:rFonts w:ascii="Arial" w:eastAsia="Times New Roman" w:hAnsi="Arial" w:cs="Arial"/>
      <w:b/>
      <w:bCs/>
      <w:color w:val="000000"/>
      <w:spacing w:val="40"/>
      <w:lang w:eastAsia="sl-SI"/>
    </w:rPr>
  </w:style>
  <w:style w:type="paragraph" w:customStyle="1" w:styleId="len">
    <w:name w:val="Člen"/>
    <w:basedOn w:val="Navaden"/>
    <w:link w:val="lenZnak"/>
    <w:qFormat/>
    <w:rsid w:val="0014362F"/>
    <w:pPr>
      <w:suppressAutoHyphens/>
      <w:overflowPunct w:val="0"/>
      <w:autoSpaceDE w:val="0"/>
      <w:autoSpaceDN w:val="0"/>
      <w:adjustRightInd w:val="0"/>
      <w:spacing w:before="480" w:line="240" w:lineRule="auto"/>
      <w:jc w:val="center"/>
      <w:textAlignment w:val="baseline"/>
    </w:pPr>
    <w:rPr>
      <w:b/>
      <w:sz w:val="22"/>
      <w:szCs w:val="22"/>
    </w:rPr>
  </w:style>
  <w:style w:type="character" w:customStyle="1" w:styleId="lenZnak">
    <w:name w:val="Člen Znak"/>
    <w:link w:val="len"/>
    <w:rsid w:val="0014362F"/>
    <w:rPr>
      <w:rFonts w:ascii="Arial" w:eastAsia="Times New Roman" w:hAnsi="Arial" w:cs="Times New Roman"/>
      <w:b/>
    </w:rPr>
  </w:style>
  <w:style w:type="paragraph" w:customStyle="1" w:styleId="lennaslov">
    <w:name w:val="Člen_naslov"/>
    <w:basedOn w:val="len"/>
    <w:qFormat/>
    <w:rsid w:val="0014362F"/>
    <w:pPr>
      <w:spacing w:before="0"/>
    </w:pPr>
  </w:style>
  <w:style w:type="paragraph" w:customStyle="1" w:styleId="tevilnatoka111">
    <w:name w:val="Številčna točka 1.1.1"/>
    <w:basedOn w:val="Navaden"/>
    <w:qFormat/>
    <w:rsid w:val="0014362F"/>
    <w:pPr>
      <w:widowControl w:val="0"/>
      <w:numPr>
        <w:ilvl w:val="2"/>
        <w:numId w:val="7"/>
      </w:numPr>
      <w:overflowPunct w:val="0"/>
      <w:autoSpaceDE w:val="0"/>
      <w:autoSpaceDN w:val="0"/>
      <w:adjustRightInd w:val="0"/>
      <w:spacing w:line="240" w:lineRule="auto"/>
      <w:jc w:val="both"/>
      <w:textAlignment w:val="baseline"/>
    </w:pPr>
    <w:rPr>
      <w:sz w:val="22"/>
      <w:szCs w:val="16"/>
      <w:lang w:eastAsia="sl-SI"/>
    </w:rPr>
  </w:style>
  <w:style w:type="paragraph" w:customStyle="1" w:styleId="tevilnatoka">
    <w:name w:val="Številčna točka"/>
    <w:basedOn w:val="Navaden"/>
    <w:link w:val="tevilnatokaZnak"/>
    <w:qFormat/>
    <w:rsid w:val="0014362F"/>
    <w:pPr>
      <w:numPr>
        <w:numId w:val="7"/>
      </w:numPr>
      <w:spacing w:line="240" w:lineRule="auto"/>
      <w:jc w:val="both"/>
    </w:pPr>
    <w:rPr>
      <w:sz w:val="22"/>
      <w:szCs w:val="22"/>
    </w:rPr>
  </w:style>
  <w:style w:type="character" w:customStyle="1" w:styleId="tevilnatokaZnak">
    <w:name w:val="Številčna točka Znak"/>
    <w:link w:val="tevilnatoka"/>
    <w:rsid w:val="0014362F"/>
    <w:rPr>
      <w:rFonts w:ascii="Arial" w:eastAsia="Times New Roman" w:hAnsi="Arial" w:cs="Times New Roman"/>
    </w:rPr>
  </w:style>
  <w:style w:type="paragraph" w:customStyle="1" w:styleId="tevilnatoka11Nova">
    <w:name w:val="Številčna točka 1.1 Nova"/>
    <w:basedOn w:val="tevilnatoka"/>
    <w:qFormat/>
    <w:rsid w:val="0014362F"/>
    <w:pPr>
      <w:numPr>
        <w:ilvl w:val="1"/>
      </w:numPr>
      <w:tabs>
        <w:tab w:val="clear" w:pos="425"/>
        <w:tab w:val="num" w:pos="360"/>
      </w:tabs>
      <w:ind w:left="1080" w:hanging="360"/>
    </w:pPr>
  </w:style>
  <w:style w:type="paragraph" w:customStyle="1" w:styleId="Alineazaodstavkom">
    <w:name w:val="Alinea za odstavkom"/>
    <w:basedOn w:val="Navaden"/>
    <w:link w:val="AlineazaodstavkomZnak"/>
    <w:qFormat/>
    <w:rsid w:val="0014362F"/>
    <w:pPr>
      <w:numPr>
        <w:numId w:val="6"/>
      </w:numPr>
      <w:spacing w:line="240" w:lineRule="auto"/>
      <w:jc w:val="both"/>
    </w:pPr>
    <w:rPr>
      <w:rFonts w:cs="Arial"/>
      <w:sz w:val="22"/>
      <w:szCs w:val="22"/>
      <w:lang w:eastAsia="sl-SI"/>
    </w:rPr>
  </w:style>
  <w:style w:type="character" w:customStyle="1" w:styleId="AlineazaodstavkomZnak">
    <w:name w:val="Alinea za odstavkom Znak"/>
    <w:basedOn w:val="Privzetapisavaodstavka"/>
    <w:link w:val="Alineazaodstavkom"/>
    <w:rsid w:val="0014362F"/>
    <w:rPr>
      <w:rFonts w:ascii="Arial" w:eastAsia="Times New Roman" w:hAnsi="Arial" w:cs="Arial"/>
      <w:lang w:eastAsia="sl-SI"/>
    </w:rPr>
  </w:style>
  <w:style w:type="paragraph" w:customStyle="1" w:styleId="odstavek0">
    <w:name w:val="odstavek"/>
    <w:basedOn w:val="Navaden"/>
    <w:rsid w:val="0014362F"/>
    <w:pPr>
      <w:spacing w:before="100" w:beforeAutospacing="1" w:after="100" w:afterAutospacing="1" w:line="240" w:lineRule="auto"/>
    </w:pPr>
    <w:rPr>
      <w:rFonts w:ascii="Times New Roman" w:hAnsi="Times New Roman"/>
      <w:sz w:val="24"/>
      <w:lang w:eastAsia="sl-SI"/>
    </w:rPr>
  </w:style>
  <w:style w:type="paragraph" w:styleId="Besedilooblaka">
    <w:name w:val="Balloon Text"/>
    <w:basedOn w:val="Navaden"/>
    <w:link w:val="BesedilooblakaZnak"/>
    <w:uiPriority w:val="99"/>
    <w:semiHidden/>
    <w:unhideWhenUsed/>
    <w:rsid w:val="00504A8D"/>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504A8D"/>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e-uprava.gov.si/drzava-in-druzba/e-demokracija/predlogi-predpisov/predlog-predpisa.html?id=13500"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legilux.public.lu/eli/etat/leg/loi/2022/02/25/a82/jo"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7226</Words>
  <Characters>41190</Characters>
  <Application>Microsoft Office Word</Application>
  <DocSecurity>0</DocSecurity>
  <Lines>343</Lines>
  <Paragraphs>96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48320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Katja Pucihar</dc:creator>
  <cp:keywords/>
  <dc:description/>
  <cp:lastModifiedBy>Katja Pucihar</cp:lastModifiedBy>
  <cp:revision>3</cp:revision>
  <dcterms:created xsi:type="dcterms:W3CDTF">2022-11-25T06:34:00Z</dcterms:created>
  <dcterms:modified xsi:type="dcterms:W3CDTF">2022-11-25T06:47:00Z</dcterms:modified>
</cp:coreProperties>
</file>