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14362F"/>
    <w:p w:rsidR="00573BBF" w:rsidRDefault="00573BBF" w:rsidP="0014362F">
      <w:pPr>
        <w:autoSpaceDE w:val="0"/>
        <w:autoSpaceDN w:val="0"/>
        <w:adjustRightInd w:val="0"/>
        <w:rPr>
          <w:rFonts w:cs="Arial"/>
          <w:color w:val="000000"/>
          <w:szCs w:val="20"/>
        </w:rPr>
      </w:pPr>
    </w:p>
    <w:p w:rsidR="0014362F" w:rsidRDefault="0014362F" w:rsidP="0014362F">
      <w:pPr>
        <w:jc w:val="right"/>
        <w:rPr>
          <w:rFonts w:cs="Arial"/>
          <w:b/>
          <w:szCs w:val="20"/>
        </w:rPr>
      </w:pPr>
      <w:r w:rsidRPr="004C5FE4">
        <w:rPr>
          <w:rFonts w:cs="Arial"/>
          <w:b/>
          <w:szCs w:val="20"/>
        </w:rPr>
        <w:t>PREDLOG</w:t>
      </w:r>
    </w:p>
    <w:p w:rsidR="005A156D" w:rsidRDefault="005A156D" w:rsidP="0014362F">
      <w:pPr>
        <w:jc w:val="right"/>
        <w:rPr>
          <w:rFonts w:cs="Arial"/>
          <w:b/>
          <w:szCs w:val="20"/>
        </w:rPr>
      </w:pPr>
      <w:r>
        <w:rPr>
          <w:rFonts w:cs="Arial"/>
          <w:b/>
          <w:szCs w:val="20"/>
        </w:rPr>
        <w:t>PRVA OBRAVNAVA</w:t>
      </w:r>
      <w:bookmarkStart w:id="0" w:name="_GoBack"/>
      <w:bookmarkEnd w:id="0"/>
    </w:p>
    <w:p w:rsidR="0014362F" w:rsidRPr="004C5FE4" w:rsidRDefault="0014362F" w:rsidP="0014362F">
      <w:pPr>
        <w:jc w:val="right"/>
        <w:rPr>
          <w:rFonts w:cs="Arial"/>
          <w:b/>
          <w:szCs w:val="20"/>
        </w:rPr>
      </w:pPr>
      <w:r>
        <w:rPr>
          <w:rFonts w:cs="Arial"/>
          <w:b/>
          <w:szCs w:val="20"/>
        </w:rPr>
        <w:t xml:space="preserve">EVA </w:t>
      </w:r>
      <w:r w:rsidRPr="004C5FE4">
        <w:rPr>
          <w:rFonts w:cs="Arial"/>
          <w:b/>
          <w:szCs w:val="20"/>
        </w:rPr>
        <w:t>2021-1611-0093</w:t>
      </w:r>
    </w:p>
    <w:p w:rsidR="0014362F" w:rsidRDefault="0014362F" w:rsidP="0014362F">
      <w:pPr>
        <w:jc w:val="right"/>
        <w:rPr>
          <w:rFonts w:cs="Arial"/>
          <w:bCs/>
          <w:szCs w:val="20"/>
        </w:rPr>
      </w:pPr>
    </w:p>
    <w:p w:rsidR="0014362F" w:rsidRPr="004C5FE4" w:rsidRDefault="0014362F" w:rsidP="0014362F">
      <w:pPr>
        <w:jc w:val="right"/>
        <w:rPr>
          <w:rFonts w:cs="Arial"/>
          <w:bCs/>
          <w:szCs w:val="20"/>
        </w:rPr>
      </w:pPr>
    </w:p>
    <w:p w:rsidR="0014362F" w:rsidRPr="004C5FE4" w:rsidRDefault="0014362F" w:rsidP="0014362F">
      <w:pPr>
        <w:pStyle w:val="Vrstapredpisa"/>
        <w:spacing w:before="0" w:line="260" w:lineRule="exact"/>
        <w:rPr>
          <w:sz w:val="20"/>
          <w:szCs w:val="20"/>
        </w:rPr>
      </w:pPr>
      <w:bookmarkStart w:id="1" w:name="_Hlk66266060"/>
      <w:r w:rsidRPr="004C5FE4">
        <w:rPr>
          <w:sz w:val="20"/>
          <w:szCs w:val="20"/>
        </w:rPr>
        <w:t>ZAKON</w:t>
      </w:r>
    </w:p>
    <w:p w:rsidR="0014362F" w:rsidRPr="004C5FE4" w:rsidRDefault="0014362F" w:rsidP="0014362F">
      <w:pPr>
        <w:pStyle w:val="Naslovpredpisa"/>
        <w:spacing w:before="0" w:after="0" w:line="260" w:lineRule="exact"/>
        <w:rPr>
          <w:sz w:val="20"/>
        </w:rPr>
      </w:pPr>
      <w:r w:rsidRPr="004C5FE4">
        <w:rPr>
          <w:sz w:val="20"/>
        </w:rPr>
        <w:t xml:space="preserve">O IZVAJANJU UREDBE (EU) O VSEEVROPSKEM OSEBNEM POKOJNINSKEM PRODUKTU </w:t>
      </w:r>
    </w:p>
    <w:bookmarkEnd w:id="1"/>
    <w:p w:rsidR="0014362F" w:rsidRPr="004C5FE4" w:rsidRDefault="0014362F" w:rsidP="0014362F">
      <w:pPr>
        <w:ind w:left="1080" w:hanging="720"/>
        <w:rPr>
          <w:rFonts w:cs="Arial"/>
          <w:szCs w:val="20"/>
        </w:rPr>
      </w:pPr>
    </w:p>
    <w:p w:rsidR="0014362F" w:rsidRPr="004C5FE4" w:rsidRDefault="0014362F" w:rsidP="0014362F">
      <w:pPr>
        <w:numPr>
          <w:ilvl w:val="0"/>
          <w:numId w:val="5"/>
        </w:numPr>
        <w:rPr>
          <w:rFonts w:cs="Arial"/>
          <w:b/>
          <w:szCs w:val="20"/>
        </w:rPr>
      </w:pPr>
      <w:r w:rsidRPr="004C5FE4">
        <w:rPr>
          <w:rFonts w:cs="Arial"/>
          <w:b/>
          <w:szCs w:val="20"/>
        </w:rPr>
        <w:t>UVOD</w:t>
      </w:r>
    </w:p>
    <w:p w:rsidR="0014362F" w:rsidRPr="004C5FE4" w:rsidRDefault="0014362F" w:rsidP="0014362F">
      <w:pPr>
        <w:jc w:val="both"/>
        <w:rPr>
          <w:rFonts w:cs="Arial"/>
          <w:szCs w:val="20"/>
        </w:rPr>
      </w:pPr>
    </w:p>
    <w:p w:rsidR="0014362F" w:rsidRPr="004C5FE4" w:rsidRDefault="0014362F" w:rsidP="0014362F">
      <w:pPr>
        <w:numPr>
          <w:ilvl w:val="0"/>
          <w:numId w:val="4"/>
        </w:numPr>
        <w:rPr>
          <w:rFonts w:cs="Arial"/>
          <w:b/>
          <w:szCs w:val="20"/>
        </w:rPr>
      </w:pPr>
      <w:bookmarkStart w:id="2" w:name="_Hlk55770662"/>
      <w:r w:rsidRPr="004C5FE4">
        <w:rPr>
          <w:rFonts w:cs="Arial"/>
          <w:b/>
          <w:szCs w:val="20"/>
        </w:rPr>
        <w:t>OCENA STANJA IN RAZLOGI ZA SPREJEM PREDLOGA ZAKONA</w:t>
      </w:r>
    </w:p>
    <w:p w:rsidR="0014362F" w:rsidRPr="004C5FE4" w:rsidRDefault="0014362F" w:rsidP="0014362F">
      <w:pPr>
        <w:jc w:val="both"/>
        <w:rPr>
          <w:rFonts w:cs="Arial"/>
          <w:szCs w:val="20"/>
        </w:rPr>
      </w:pPr>
      <w:bookmarkStart w:id="3" w:name="_Hlk55770710"/>
      <w:bookmarkEnd w:id="2"/>
    </w:p>
    <w:bookmarkEnd w:id="3"/>
    <w:p w:rsidR="0014362F" w:rsidRPr="00815544" w:rsidRDefault="0014362F" w:rsidP="0014362F">
      <w:pPr>
        <w:jc w:val="both"/>
        <w:rPr>
          <w:rFonts w:cs="Arial"/>
          <w:szCs w:val="20"/>
        </w:rPr>
      </w:pPr>
      <w:r w:rsidRPr="00815544">
        <w:rPr>
          <w:rFonts w:cs="Arial"/>
          <w:szCs w:val="20"/>
        </w:rPr>
        <w:t xml:space="preserve">S predlogom Zakona o izvajanju Uredbe (EU) o vseevropskem osebnem pokojninskem produktu (v nadaljnjem besedilu: predlog zakona) se ureja izvajanje Uredbe (EU) 2019/1238 Evropskega parlamenta in Sveta z dne 20. junija 2019 o vseevropskem osebnem pokojninskem produktu (UL L št. 198 z dne 25. 7. 2019, str. 1), zadnjič spremenjene z Delegirano uredbo Komisije (EU) 2021/896 z dne 24. februarja 2021 o dopolnitvi Uredbe (EU) 2019/1238 Evropskega parlamenta in Sveta v zvezi z dodatnimi informacijami za namene zbliževanja nadzornega poročanja (UL L št. 197 z dne 4. 6. 2021, str. 5), (v nadaljnjem besedilu: Uredba </w:t>
      </w:r>
      <w:bookmarkStart w:id="4" w:name="_Hlk97553255"/>
      <w:r w:rsidRPr="00815544">
        <w:rPr>
          <w:rFonts w:cs="Arial"/>
          <w:szCs w:val="20"/>
        </w:rPr>
        <w:t>2019/1238</w:t>
      </w:r>
      <w:bookmarkEnd w:id="4"/>
      <w:r w:rsidRPr="00815544">
        <w:rPr>
          <w:rFonts w:cs="Arial"/>
          <w:szCs w:val="20"/>
        </w:rPr>
        <w:t xml:space="preserve">/EU).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Uredba 2019/1238/EU vzpostavlja pravni temelj za vseevropski osebni pokojninski produkt (v nadaljnjem besedilu: PEPP) z zagotavljanjem standardizacije temeljnih značilnosti produkta, kot so: zahteve glede preglednosti, naložbena pravila, pravica do zamenjave in vrsta naložbenih možnosti.</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Določa tudi pravila o registraciji, proizvodnji, distribuciji in nadzoru osebnih pokojninskih produktov, ki se distribuirajo v Evropski uniji (v nadaljnjem besedilu: EU) pod oznako PEPP. PEPP je prostovoljni osebni pokojninski načrt, ki bo dopolnil javne pokojninske sisteme in pokojninske sisteme poklicnega zavarovanja ter nacionalne zasebne pokojninske načrte.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Namen Uredbe 2019/1238/EU je varčevalcem zagotoviti večjo izbiro in jim pri varčevanju za upokojitev dati na voljo konkurenčnejše osebne pokojninske produkte ter zagotoviti boljše varstvo potrošnikov. PEPP lahko ponujajo številne finančne institucije vključno z zavarovalnicami, </w:t>
      </w:r>
      <w:r>
        <w:rPr>
          <w:rFonts w:cs="Arial"/>
          <w:szCs w:val="20"/>
        </w:rPr>
        <w:t>investicijskimi podjetji</w:t>
      </w:r>
      <w:r w:rsidRPr="00815544">
        <w:rPr>
          <w:rFonts w:cs="Arial"/>
          <w:szCs w:val="20"/>
        </w:rPr>
        <w:t>, bankami, nekaterimi</w:t>
      </w:r>
      <w:r>
        <w:rPr>
          <w:rFonts w:cs="Arial"/>
          <w:szCs w:val="20"/>
        </w:rPr>
        <w:t xml:space="preserve"> družbami za upravljanje</w:t>
      </w:r>
      <w:r w:rsidRPr="00815544">
        <w:rPr>
          <w:rFonts w:cs="Arial"/>
          <w:szCs w:val="20"/>
        </w:rPr>
        <w:t xml:space="preserve"> in pokojninskimi skladi poklicnega zavarovanja. Uredba 2019/1238/EU določa minimalne zahteve glede vsebine pogodbe, o kateri se dogovorijo ponudniki PEPP in varčevalci v PEPP. Ponudniki, ki želijo ponuditi PEPP, morajo upoštevati postopek registracije. Evropski organ za zavarovanja in poklicne pokojnine (v nadaljnjem besedilu: EIOPA) nove PEPP registrira v centralnem registru na podlagi odločitve, ki jo sprejmejo nacionalni pristojni organi. Produkt PEPP se lahko po registraciji zagotavlja in distribuira po vsej EU. Uredba 2019/1238/EU podrobno opisuje postopke registracije PEPP, okoliščine za preklic registracije PEPP in pooblastila pristojnih organov matičnih držav v EU in držav gostiteljic v EU. Ponudniki in distributerji PEPP imajo koristi od dovoljenja EU za čezmejno prodajo, ki jim omogoča prodajo PEPP v različnih državah EU. Dovoljenje za čezmejno prodajo jim omogoča dostop do celotnega trga EU z eno samo registracijo produkta, ki se odobri na podlagi enotnih pravil.</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lastRenderedPageBreak/>
        <w:t>Kadar ponudnik ali distributer PEPP ponudi PEPP, mora prihodnjim varčevalcem v PEPP zagotoviti informacije o storitvi prenosljivosti in kateri podračuni so že na voljo. Če varčevalci v PEPP spremenijo prebivališče zaradi selitve v drugo državo EU, lahko še naprej vplačujejo prispevke v isti PEPP tako, da odprejo podračun za PEPP pri istem ponudniku PEPP v svoji novi državi prebivališča (če ima njihov ponudnik PEPP na voljo to možnost) ali naprej vplačujejo prispevke na svoj obstoječi podračun za PEPP. Če njihov ponudnik PEPP ne zagotavlja te možnosti v njihovi novi državi prebivališča, imajo varčevalci v PEPP pravico takoj in brezplačno zamenjati ponudnika PEPP. Ponudniki PEPP morajo po prehodnem obdobju treh let odpreti vsaj dva podračuna.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Ponudniki in distributerji PEPP morajo pred podpisom pogodbe o PEPP prihodnjim varčevalcem v PEPP zagotoviti izčrpno svetovanje, da jim omogočijo ozaveščeno odločitev in izbiro produkta, ki je najustreznejši glede na njihove potrebe.</w:t>
      </w:r>
    </w:p>
    <w:p w:rsidR="0014362F"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Uredba 2019/1238/EU določa: i) obveznost za vse ponudnike in distributerje PEPP, da pred podpisom pogodbe opredelijo zahteve in potrebe varčevalcev v PEPP v zvezi z upokojitvijo, vključno s preverjanjem morebitne potrebe po nakupu PEPP, ki nudi rento (da se zagotovi njihova ustrezna zaščita v primeru tveganja daljše življenjske dobe), in ii) celovito obvezno svetovanje: poduk o možnosti odpovedi za varčevalce in obvezen je preskus primernosti za vse varčevalce v PEPP. Svetovanje mora vključevati tudi izbiro naložbene možnosti in individualizirane projekcije pokojninskih prejemkov.</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Poleg tega morajo ponudniki PEPP za osnovni PEPP varčevalcem na začetku faze izplačevanja zagotoviti obvezno individualizirano svetovanje o pokojninskem načrtovanju z individualnim priporočilom o optimalni obliki izplačil. Da se zagotovi velika preglednost, Uredba 2019/1238/EU določa, da morajo varčevalci v PEPP pred sklenitvijo pogodbe prejeti ključne informacije o produktu s standardiziranim dokumentom (to je dokument s ključnimi informacijami o PEPP) in vsako leto obvestilo o pravicah v okviru PEPP s ključnimi informacijami o stanju njihovih prihrankov. Zlasti stroški in provizije morajo biti popolnoma pregledni. Evropska komisija bo z regulativnimi tehničnimi standardi dodatno opredelila podrobnosti prikaza informacij, ki se zagotovijo v dokumentu s ključnimi informacijami o PEPP in obvestilu o pravicah v okviru PEPP.</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Skladno z Uredbo 2019/1238/EU morajo nacionalni pristojni organi nadzorovati ponudnike in distributerje PEPP. EIOPA ima pooblastila za ukrepanje v vsej EU v primeru znatnih pomislekov glede zaščite varčevalca v PEPP ali tveganj za pravilno delovanje in celovitost finančnih trgov ter za stabilnost celotnega oziroma dela finančnega sistema EU, v primeru, da teh tveganj nacionalni pristojni organi ne obravnavajo ustrezno.</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Produkt PEPP je pomembna novost v EU, saj so starostne pokojnine bistveni del prihodka upokojencev, ustrezna zagotovitev višine pokojnine pa pomeni ločnico med dostojnim življenjem in revščino starostnika. Za znaten del starostnih pokojnin poskrbijo javni sistemi. Ne glede na izključno nacionalno pristojnost za organizacijo pokojninskih sistemov pa so ustrezni prihodki in finančna vzdržnost nacionalnih pokojninskih sistemov ključnega pomena za stabilnost posamezne države članice kakor tudi celotne EU. Posamezniki, ki želijo dopolniti svoje pokojnine v EU, različno varčujejo, na primer z vlaganjem v nepremičnine, življenjskim zavarovanjem, klasičnim varčevanjem v banki ali drugimi produkti dolgoročnega varčevanja.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Ena od možnosti dolgoročnega varčevanja za starost so tudi osebni pokojninski produkti. Trgi osebnih pokojninskih produktov so v EU neenakomerno razviti in razdrobljeni, zato je njihova prenosljivost omejena. Notranji trg za te produkte zato ne more delovati brez ovir in  je izvajanje temeljih svoboščin za posameznike omejeno, saj jim preprečuje, da bi sprejeli delovno mesto ali se upokojili v drugi državi članici EU. Tudi ponudnikom obstoječih osebnih pokojninskih produktov pomanjkanje standardizacije omejuje svobodo ustanavljanja in opravljanja storitev, pokojninskim </w:t>
      </w:r>
      <w:r w:rsidRPr="00815544">
        <w:rPr>
          <w:rFonts w:cs="Arial"/>
          <w:szCs w:val="20"/>
        </w:rPr>
        <w:lastRenderedPageBreak/>
        <w:t>varčevalcem pa povečuje stroške. Razdrobljenost trga vpliva na pomanjkanje likvidnosti in globine kapitalskih trgov, kar državam EU predstavlja izziv pri zagotavljanju dolgoročne vzdržnosti pokojninskega sistema z ustreznim razmerjem prihodkov iz obveznih, poklicnih in dodatnih osebnih pokojnin.</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Osebno pokojninsko zavarovanje je opredeljeno kot pokojninski finančni produkt, ki se v obliki pogodbe prostovoljno sklene med varčevalcem in ponudnikom tega produkta. Namenjeno je zagotavljanju dodatnih prihodkov po upokojitvi, pri čemer prihranki v obliki obveznega pokojninskega varčevanja tvorijo akumulacijo kapitala do upokojitve in služijo kot redni prihodek po upokojitvi, prihodki iz osebnih prostovoljnih pokojninskih zavarovanj dopolnjujejo obvezne in poklicne pokojnine.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Evropska komisija je že v akcijskem načrtu o oblikovanju unije kapitalskih trgov</w:t>
      </w:r>
      <w:r w:rsidRPr="00815544">
        <w:rPr>
          <w:rStyle w:val="Sprotnaopomba-sklic"/>
          <w:rFonts w:cs="Arial"/>
          <w:szCs w:val="20"/>
        </w:rPr>
        <w:footnoteReference w:id="1"/>
      </w:r>
      <w:r w:rsidRPr="00815544">
        <w:rPr>
          <w:rFonts w:cs="Arial"/>
          <w:szCs w:val="20"/>
        </w:rPr>
        <w:t xml:space="preserve"> iz leta 2015 zapisala, da učinkovit enotni trg za osebna pokojninska zavarovanja tretjega stebra ne obstaja. Popoln razvoj velikega in konkurenčnega trga za osebna pokojninska zavarovanja ovirajo predpisi na ravni EU in posameznih držav članic EU. Zato tržna razdrobljenost ponudnikom osebnih pokojninskih zavarovanj preprečuje realizacijo ekonomije obsega in razpršitev tveganj, kakor tudi omejuje naložbene priložnosti za upravljavce dolgoročnih sredstev, ki so namenjeni dodatnim pokojninskim prihodkom. Zelo omejeni sta tudi čezmejna prodaja in prenosljivost obstoječih osebnih pokojninskih zavarovanj.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Cilj EU je oblikovanje enotnega trga za osebna pokojninska zavarovanja in tudi tako pripomoči k dokončanju unije kapitalskih trgov. EU se zavzema za: </w:t>
      </w:r>
    </w:p>
    <w:p w:rsidR="0014362F" w:rsidRPr="00815544" w:rsidRDefault="0014362F" w:rsidP="0014362F">
      <w:pPr>
        <w:jc w:val="both"/>
        <w:rPr>
          <w:rFonts w:cs="Arial"/>
          <w:szCs w:val="20"/>
        </w:rPr>
      </w:pPr>
      <w:r w:rsidRPr="00815544">
        <w:rPr>
          <w:rFonts w:cs="Arial"/>
          <w:szCs w:val="20"/>
        </w:rPr>
        <w:t xml:space="preserve">1) povečanje naložb v EU in dokončanje unije kapitalskih trgov – dolgoročno oblikovanje večjih skupin pokojninskih prihrankov, namenjenih naložbam na kapitalskih trgih;  </w:t>
      </w:r>
    </w:p>
    <w:p w:rsidR="0014362F" w:rsidRPr="00815544" w:rsidRDefault="0014362F" w:rsidP="0014362F">
      <w:pPr>
        <w:jc w:val="both"/>
        <w:rPr>
          <w:rFonts w:cs="Arial"/>
          <w:szCs w:val="20"/>
        </w:rPr>
      </w:pPr>
      <w:r w:rsidRPr="00815544">
        <w:rPr>
          <w:rFonts w:cs="Arial"/>
          <w:szCs w:val="20"/>
        </w:rPr>
        <w:t>2) izboljšanje značilnosti osebnih pokojninskih produktov – omogočiti oblikovanje preprostih in preglednih osebnih pokojninskih produktov;</w:t>
      </w:r>
    </w:p>
    <w:p w:rsidR="0014362F" w:rsidRPr="00815544" w:rsidRDefault="0014362F" w:rsidP="0014362F">
      <w:pPr>
        <w:jc w:val="both"/>
        <w:rPr>
          <w:rFonts w:cs="Arial"/>
          <w:szCs w:val="20"/>
        </w:rPr>
      </w:pPr>
      <w:r w:rsidRPr="00815544">
        <w:rPr>
          <w:rFonts w:cs="Arial"/>
          <w:szCs w:val="20"/>
        </w:rPr>
        <w:t xml:space="preserve">3) povečanje čezmejnega zagotavljanja in prenosljivosti osebnih pokojninskih produktov – omogočiti ponudnikom, da izkoristijo ekonomijo obsega, kakor tudi omogočiti malim vlagateljem – imetnikom osebnih pokojninskih produktov, da jih lahko vzamejo s seboj, ko se preselijo v drugo državo članico EU.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Evropska komisija je 8. junija 2017 v sporočilu z naslovom »Vmesni pregled akcijskega načrta o uniji kapitalskih trgov« napovedala zakonodajni predlog o vseevropskem osebnem pokojninskem produktu (v nadaljnjem besedilu: PEPP), ki bo ustvaril temelje za varnejši, stroškovno učinkovitejši in pregleden trg cenovno dostopnih in prostovoljnih osebnih pokojninskih prihrankov, ki se bodo lahko upravljali na vseevropski ravni. To bo zadovoljilo potrebe ljudi, ki želijo povečati svoje pokojninske prihranke, pripomoglo k reševanju demografskih izzivov, dopolnjevalo sedanje pokojninske produkte in načrte ter podprlo stroškovno učinkovitost osebnih pokojnin z zagotavljanjem dobrih priložnosti za dolgoročno vlaganje pokojninskih prihrankov.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Uredba 2019/1238/EU </w:t>
      </w:r>
      <w:r>
        <w:rPr>
          <w:rFonts w:cs="Arial"/>
          <w:szCs w:val="20"/>
        </w:rPr>
        <w:t>opredeljuje</w:t>
      </w:r>
      <w:r w:rsidRPr="00815544">
        <w:rPr>
          <w:rFonts w:cs="Arial"/>
          <w:szCs w:val="20"/>
        </w:rPr>
        <w:t xml:space="preserve"> sklop temeljnih značilnosti PEPP, kot so distribucija, minimalna vsebina pogodb, naložbena politika, zamenjava ponudnikov ali čezmejno zagotavljanje in prenosljivost. Implementacija Uredbe 2019/1238/EU bo izboljšala enake konkurenčne pogoje za ponudnike osebnih pokojnin in pripomogla k pospešitvi dokončanja unije kapitalskih trgov ter povezovanju notranjega trga za osebne pokojnine. Privedla bo do oblikovanja pretežno standardiziranega vseevropskega produkta, ki bo na voljo v vseh državah članicah, kar bo potrošnikom omogočilo, da v celoti izkoristijo notranji trg, saj bodo lahko svoje pokojninske pravice prenesli v tujino, in jim ponudilo večjo izbiro med različnimi vrstami ponudnikov, vključno s ponudniki v </w:t>
      </w:r>
      <w:r>
        <w:rPr>
          <w:rFonts w:cs="Arial"/>
          <w:szCs w:val="20"/>
        </w:rPr>
        <w:t>drugih državah članicah EU</w:t>
      </w:r>
      <w:r w:rsidRPr="00815544">
        <w:rPr>
          <w:rFonts w:cs="Arial"/>
          <w:szCs w:val="20"/>
        </w:rPr>
        <w:t xml:space="preserve">. Zaradi manjšega števila ovir za čezmejno zagotavljanje </w:t>
      </w:r>
      <w:r w:rsidRPr="00815544">
        <w:rPr>
          <w:rFonts w:cs="Arial"/>
          <w:szCs w:val="20"/>
        </w:rPr>
        <w:lastRenderedPageBreak/>
        <w:t xml:space="preserve">storitev pokojninskega zavarovanja bo PEPP povečal konkurenco med ponudniki na vseevropski ravni in ustvaril ekonomijo obsega, kar bi moralo koristiti varčevalcem.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S predlogom zakona se bo v pravnem redu Republike Slovenije uredilo izvajanje Uredbe 2019/1238/EU, in sicer</w:t>
      </w:r>
      <w:bookmarkStart w:id="5" w:name="_Hlk64973733"/>
      <w:r w:rsidRPr="00815544">
        <w:rPr>
          <w:rFonts w:cs="Arial"/>
          <w:szCs w:val="20"/>
        </w:rPr>
        <w:t xml:space="preserve"> se bo ali bodo:</w:t>
      </w:r>
    </w:p>
    <w:p w:rsidR="0014362F" w:rsidRPr="00815544" w:rsidRDefault="0014362F" w:rsidP="0014362F">
      <w:pPr>
        <w:pStyle w:val="Odstavekseznama"/>
        <w:numPr>
          <w:ilvl w:val="0"/>
          <w:numId w:val="11"/>
        </w:numPr>
        <w:jc w:val="both"/>
        <w:rPr>
          <w:rFonts w:cs="Arial"/>
          <w:szCs w:val="20"/>
        </w:rPr>
      </w:pPr>
      <w:r w:rsidRPr="00815544">
        <w:rPr>
          <w:rFonts w:cs="Arial"/>
          <w:szCs w:val="20"/>
        </w:rPr>
        <w:t>določil nacionalni nadzorni organ, in sicer bo to Agencija za zavarovalni nadzor (v nadaljnjem besedilu: agencija);</w:t>
      </w:r>
    </w:p>
    <w:p w:rsidR="0014362F" w:rsidRPr="00815544" w:rsidRDefault="0014362F" w:rsidP="0014362F">
      <w:pPr>
        <w:pStyle w:val="Odstavekseznama"/>
        <w:numPr>
          <w:ilvl w:val="0"/>
          <w:numId w:val="11"/>
        </w:numPr>
        <w:jc w:val="both"/>
        <w:rPr>
          <w:rFonts w:cs="Arial"/>
          <w:szCs w:val="20"/>
        </w:rPr>
      </w:pPr>
      <w:r w:rsidRPr="00815544">
        <w:rPr>
          <w:rFonts w:cs="Arial"/>
          <w:szCs w:val="20"/>
        </w:rPr>
        <w:t>določila merila za ocenjevanje znanja in sposobnosti oseb, ki distribuirajo PEPP;</w:t>
      </w:r>
    </w:p>
    <w:p w:rsidR="0014362F" w:rsidRPr="00815544" w:rsidRDefault="0014362F" w:rsidP="0014362F">
      <w:pPr>
        <w:pStyle w:val="Odstavekseznama"/>
        <w:numPr>
          <w:ilvl w:val="0"/>
          <w:numId w:val="11"/>
        </w:numPr>
        <w:jc w:val="both"/>
        <w:rPr>
          <w:rFonts w:cs="Arial"/>
          <w:szCs w:val="20"/>
        </w:rPr>
      </w:pPr>
      <w:r w:rsidRPr="00815544">
        <w:rPr>
          <w:rFonts w:cs="Arial"/>
          <w:szCs w:val="20"/>
        </w:rPr>
        <w:t>določili pogoji glede faze varčevanja in faze izplačevanja PEPP;</w:t>
      </w:r>
    </w:p>
    <w:p w:rsidR="0014362F" w:rsidRPr="00815544" w:rsidRDefault="0014362F" w:rsidP="0014362F">
      <w:pPr>
        <w:pStyle w:val="Odstavekseznama"/>
        <w:numPr>
          <w:ilvl w:val="0"/>
          <w:numId w:val="11"/>
        </w:numPr>
        <w:jc w:val="both"/>
        <w:rPr>
          <w:rFonts w:cs="Arial"/>
          <w:szCs w:val="20"/>
        </w:rPr>
      </w:pPr>
      <w:r w:rsidRPr="00815544">
        <w:rPr>
          <w:rFonts w:cs="Arial"/>
          <w:szCs w:val="20"/>
        </w:rPr>
        <w:t xml:space="preserve">uredil postopek izrekanja nadzornih ukrepov in določile višine glob, ki jih bo lahko izrekla agencija v primeru kršitev določb </w:t>
      </w:r>
      <w:bookmarkEnd w:id="5"/>
      <w:r w:rsidRPr="00815544">
        <w:rPr>
          <w:rFonts w:cs="Arial"/>
          <w:szCs w:val="20"/>
        </w:rPr>
        <w:t>Uredbe 2019/1238/EU in predloga zakona;</w:t>
      </w:r>
    </w:p>
    <w:p w:rsidR="0014362F" w:rsidRPr="00815544" w:rsidRDefault="0014362F" w:rsidP="0014362F">
      <w:pPr>
        <w:pStyle w:val="Odstavekseznama"/>
        <w:numPr>
          <w:ilvl w:val="0"/>
          <w:numId w:val="11"/>
        </w:numPr>
        <w:jc w:val="both"/>
        <w:rPr>
          <w:rFonts w:cs="Arial"/>
          <w:szCs w:val="20"/>
        </w:rPr>
      </w:pPr>
      <w:r w:rsidRPr="00815544">
        <w:rPr>
          <w:rFonts w:cs="Arial"/>
          <w:szCs w:val="20"/>
        </w:rPr>
        <w:t xml:space="preserve">določila podlaga za spremembo tarife nadzornega organa; </w:t>
      </w:r>
    </w:p>
    <w:p w:rsidR="0014362F" w:rsidRPr="00815544" w:rsidRDefault="0014362F" w:rsidP="0014362F">
      <w:pPr>
        <w:pStyle w:val="Odstavekseznama"/>
        <w:numPr>
          <w:ilvl w:val="0"/>
          <w:numId w:val="11"/>
        </w:numPr>
        <w:jc w:val="both"/>
        <w:rPr>
          <w:rFonts w:cs="Arial"/>
          <w:szCs w:val="20"/>
        </w:rPr>
      </w:pPr>
      <w:r w:rsidRPr="00815544">
        <w:rPr>
          <w:rFonts w:cs="Arial"/>
          <w:szCs w:val="20"/>
        </w:rPr>
        <w:t>določila agencija kot pristojni organ za poročanje obveznosti Evropskemu organu za zavarovanja in poklicne pokojnine (v nadaljnjem besedilu: EIOPA);</w:t>
      </w:r>
    </w:p>
    <w:p w:rsidR="0014362F" w:rsidRPr="00815544" w:rsidRDefault="0014362F" w:rsidP="0014362F">
      <w:pPr>
        <w:pStyle w:val="Odstavekseznama"/>
        <w:numPr>
          <w:ilvl w:val="0"/>
          <w:numId w:val="11"/>
        </w:numPr>
        <w:jc w:val="both"/>
        <w:rPr>
          <w:rFonts w:cs="Arial"/>
          <w:szCs w:val="20"/>
        </w:rPr>
      </w:pPr>
      <w:r w:rsidRPr="00815544">
        <w:rPr>
          <w:rFonts w:cs="Arial"/>
          <w:szCs w:val="20"/>
        </w:rPr>
        <w:t xml:space="preserve">določile </w:t>
      </w:r>
      <w:r w:rsidRPr="004E42B2">
        <w:t xml:space="preserve">obveznosti objave izrečenih </w:t>
      </w:r>
      <w:r w:rsidRPr="00815544">
        <w:rPr>
          <w:rFonts w:cs="Arial"/>
          <w:szCs w:val="20"/>
        </w:rPr>
        <w:t>nadzornih ukrepov, ki so pravnomočni, na spletni strani</w:t>
      </w:r>
      <w:r w:rsidRPr="004E42B2">
        <w:t xml:space="preserve"> </w:t>
      </w:r>
      <w:r w:rsidRPr="00815544">
        <w:rPr>
          <w:rFonts w:cs="Arial"/>
          <w:szCs w:val="20"/>
        </w:rPr>
        <w:t>a</w:t>
      </w:r>
      <w:r w:rsidRPr="004E42B2">
        <w:t>gencije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szCs w:val="20"/>
        </w:rPr>
        <w:t>CILJI, NAČELA IN POGLAVITNE REŠITVE PREDLOGA ZAKONA</w:t>
      </w:r>
    </w:p>
    <w:p w:rsidR="0014362F" w:rsidRPr="00815544" w:rsidRDefault="0014362F" w:rsidP="0014362F">
      <w:pPr>
        <w:jc w:val="both"/>
        <w:rPr>
          <w:rFonts w:cs="Arial"/>
          <w:szCs w:val="20"/>
        </w:rPr>
      </w:pPr>
    </w:p>
    <w:p w:rsidR="0014362F" w:rsidRPr="00815544" w:rsidRDefault="0014362F" w:rsidP="0014362F">
      <w:pPr>
        <w:jc w:val="both"/>
        <w:rPr>
          <w:rFonts w:cs="Arial"/>
          <w:b/>
          <w:szCs w:val="20"/>
        </w:rPr>
      </w:pPr>
      <w:r w:rsidRPr="00815544">
        <w:rPr>
          <w:rFonts w:cs="Arial"/>
          <w:b/>
          <w:szCs w:val="20"/>
        </w:rPr>
        <w:t>2.1. Cilji</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Cilj predloga zakona je ureditev izvajanja Uredbe 2019/1238/EU.</w:t>
      </w:r>
    </w:p>
    <w:p w:rsidR="0014362F" w:rsidRPr="00815544" w:rsidRDefault="0014362F" w:rsidP="0014362F">
      <w:pPr>
        <w:jc w:val="both"/>
        <w:rPr>
          <w:rFonts w:cs="Arial"/>
          <w:szCs w:val="20"/>
        </w:rPr>
      </w:pPr>
    </w:p>
    <w:p w:rsidR="0014362F" w:rsidRPr="00815544" w:rsidRDefault="0014362F" w:rsidP="0014362F">
      <w:pPr>
        <w:jc w:val="both"/>
        <w:rPr>
          <w:rFonts w:cs="Arial"/>
          <w:b/>
          <w:szCs w:val="20"/>
        </w:rPr>
      </w:pPr>
      <w:r w:rsidRPr="00815544">
        <w:rPr>
          <w:rFonts w:cs="Arial"/>
          <w:b/>
          <w:szCs w:val="20"/>
        </w:rPr>
        <w:t>2.2. Načela</w:t>
      </w:r>
    </w:p>
    <w:p w:rsidR="0014362F" w:rsidRPr="00815544" w:rsidRDefault="0014362F" w:rsidP="0014362F">
      <w:pPr>
        <w:autoSpaceDE w:val="0"/>
        <w:autoSpaceDN w:val="0"/>
        <w:adjustRightInd w:val="0"/>
        <w:jc w:val="both"/>
        <w:rPr>
          <w:rFonts w:cs="Arial"/>
          <w:szCs w:val="20"/>
        </w:rPr>
      </w:pPr>
    </w:p>
    <w:p w:rsidR="0014362F" w:rsidRPr="00815544" w:rsidRDefault="0014362F" w:rsidP="0014362F">
      <w:pPr>
        <w:autoSpaceDE w:val="0"/>
        <w:autoSpaceDN w:val="0"/>
        <w:adjustRightInd w:val="0"/>
        <w:jc w:val="both"/>
        <w:rPr>
          <w:rFonts w:cs="Arial"/>
          <w:szCs w:val="20"/>
        </w:rPr>
      </w:pPr>
      <w:r w:rsidRPr="00815544">
        <w:rPr>
          <w:rFonts w:cs="Arial"/>
          <w:szCs w:val="20"/>
        </w:rPr>
        <w:t>Načela predloga zakona so: načelo enakopravne obravnave, preglednosti, skrbnega in učinkovitega nadzora, sorazmernih in odvračilnih sankcij in pravne jasnosti.</w:t>
      </w:r>
    </w:p>
    <w:p w:rsidR="0014362F" w:rsidRPr="00815544" w:rsidRDefault="0014362F" w:rsidP="0014362F">
      <w:pPr>
        <w:jc w:val="both"/>
        <w:rPr>
          <w:rFonts w:cs="Arial"/>
          <w:szCs w:val="20"/>
        </w:rPr>
      </w:pPr>
    </w:p>
    <w:p w:rsidR="0014362F" w:rsidRPr="00815544" w:rsidRDefault="0014362F" w:rsidP="0014362F">
      <w:pPr>
        <w:jc w:val="both"/>
        <w:rPr>
          <w:rFonts w:cs="Arial"/>
          <w:b/>
          <w:szCs w:val="20"/>
        </w:rPr>
      </w:pPr>
      <w:bookmarkStart w:id="6" w:name="_Hlk55899654"/>
      <w:bookmarkStart w:id="7" w:name="_Hlk36040354"/>
      <w:r w:rsidRPr="00815544">
        <w:rPr>
          <w:rFonts w:cs="Arial"/>
          <w:b/>
          <w:szCs w:val="20"/>
        </w:rPr>
        <w:t>2.3. Poglavitne rešitve</w:t>
      </w:r>
    </w:p>
    <w:bookmarkEnd w:id="6"/>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V skladu s cilji, ki so navedeni v točki 2.1. tega gradiva, bodo v slovenski pravni red vpeljane rešitve glede oblikovanja in distribucije vseevropskega osebnega pokojninskega produkta k sedanjemu portfelju pokojninskih produktov, ki jih v Republiki Sloveniji ponujajo zavarovalnice, pokojninski skladi, investicijska podjetja, </w:t>
      </w:r>
      <w:r>
        <w:rPr>
          <w:rFonts w:cs="Arial"/>
          <w:szCs w:val="20"/>
        </w:rPr>
        <w:t>družbe za upravljanje</w:t>
      </w:r>
      <w:r w:rsidRPr="00815544">
        <w:rPr>
          <w:rFonts w:cs="Arial"/>
          <w:szCs w:val="20"/>
        </w:rPr>
        <w:t xml:space="preserve"> in banke, ki delujejo pod nadzorom nacionalnih pristojnih organov v okviru sedanjih regulativnih okvirov. </w:t>
      </w:r>
    </w:p>
    <w:p w:rsidR="0014362F" w:rsidRPr="00815544" w:rsidRDefault="0014362F" w:rsidP="0014362F">
      <w:pPr>
        <w:jc w:val="both"/>
        <w:rPr>
          <w:rFonts w:cs="Arial"/>
          <w:szCs w:val="20"/>
        </w:rPr>
      </w:pPr>
    </w:p>
    <w:p w:rsidR="0014362F" w:rsidRPr="00815544" w:rsidRDefault="0014362F" w:rsidP="0014362F">
      <w:pPr>
        <w:jc w:val="both"/>
        <w:rPr>
          <w:rFonts w:cs="Arial"/>
          <w:color w:val="000000"/>
          <w:szCs w:val="20"/>
        </w:rPr>
      </w:pPr>
      <w:r w:rsidRPr="00815544">
        <w:rPr>
          <w:rFonts w:cs="Arial"/>
          <w:color w:val="000000"/>
          <w:szCs w:val="20"/>
        </w:rPr>
        <w:t>Namen U</w:t>
      </w:r>
      <w:r w:rsidRPr="00815544">
        <w:rPr>
          <w:rFonts w:cs="Arial"/>
          <w:szCs w:val="20"/>
        </w:rPr>
        <w:t>redbe 2019/1238/EU in predlaganega zakona</w:t>
      </w:r>
      <w:r w:rsidRPr="00815544">
        <w:rPr>
          <w:rFonts w:cs="Arial"/>
          <w:color w:val="000000"/>
          <w:szCs w:val="20"/>
        </w:rPr>
        <w:t xml:space="preserve"> je spodbujanje varčevanja za starost v okviru dodatnega pokojninskega zavarovanja z namenom, da si posameznik zagotovi dodaten prihodek za starost. Zlasti bi to lahko imelo večji pomen za delavce v nestandardnih delovnih razmerjih, samozaposlene in mobilne delavce, ki nimajo zadostnega dostopa do obveznega pokojninskega sistema in/ali do sistema poklicnih pokojnin ali tega sploh nimajo. </w:t>
      </w:r>
    </w:p>
    <w:p w:rsidR="0014362F" w:rsidRPr="00815544" w:rsidRDefault="0014362F" w:rsidP="0014362F">
      <w:pPr>
        <w:jc w:val="both"/>
        <w:rPr>
          <w:rFonts w:cs="Arial"/>
          <w:color w:val="000000"/>
          <w:szCs w:val="20"/>
        </w:rPr>
      </w:pPr>
    </w:p>
    <w:p w:rsidR="0014362F" w:rsidRPr="00815544" w:rsidRDefault="0014362F" w:rsidP="0014362F">
      <w:pPr>
        <w:jc w:val="both"/>
        <w:rPr>
          <w:rFonts w:cs="Arial"/>
          <w:color w:val="000000"/>
          <w:szCs w:val="20"/>
        </w:rPr>
      </w:pPr>
      <w:r w:rsidRPr="00815544">
        <w:rPr>
          <w:rFonts w:cs="Arial"/>
          <w:color w:val="000000"/>
          <w:szCs w:val="20"/>
        </w:rPr>
        <w:t xml:space="preserve">Zaradi prenosljivosti produkta po vsej EU bodo potrošniki dobili tudi možnost preglednosti stroškov vseevropskih osebnih pokojninskih produktov in možnost zamenjave ponudnikov ob selitvi. </w:t>
      </w:r>
    </w:p>
    <w:p w:rsidR="0014362F" w:rsidRPr="00815544" w:rsidRDefault="0014362F" w:rsidP="0014362F">
      <w:pPr>
        <w:jc w:val="both"/>
        <w:rPr>
          <w:rFonts w:cs="Arial"/>
          <w:color w:val="000000"/>
          <w:szCs w:val="20"/>
        </w:rPr>
      </w:pPr>
    </w:p>
    <w:p w:rsidR="0014362F" w:rsidRPr="00815544" w:rsidRDefault="0014362F" w:rsidP="0014362F">
      <w:pPr>
        <w:jc w:val="both"/>
        <w:rPr>
          <w:rFonts w:cs="Arial"/>
          <w:color w:val="000000"/>
          <w:szCs w:val="20"/>
        </w:rPr>
      </w:pPr>
      <w:r w:rsidRPr="00815544">
        <w:rPr>
          <w:rFonts w:cs="Arial"/>
          <w:color w:val="000000"/>
          <w:szCs w:val="20"/>
        </w:rPr>
        <w:t xml:space="preserve">Na podlagi navedenega se </w:t>
      </w:r>
      <w:r w:rsidRPr="00815544">
        <w:rPr>
          <w:rFonts w:cs="Arial"/>
          <w:szCs w:val="20"/>
        </w:rPr>
        <w:t xml:space="preserve">vseevropski osebni pokojninski produkt umešča v dodatni del sistema osebnega pokojninskega varčevanja III. stebra in ne za dodatno pokojninsko zavarovanje v skladu z določili </w:t>
      </w:r>
      <w:r w:rsidRPr="00815544">
        <w:rPr>
          <w:rFonts w:cs="Arial"/>
          <w:color w:val="000000"/>
          <w:szCs w:val="20"/>
        </w:rPr>
        <w:t>Zakona o pokojninskem in invalidskem zavarovanju (</w:t>
      </w:r>
      <w:r w:rsidRPr="00E648BE">
        <w:rPr>
          <w:rFonts w:cs="Arial"/>
          <w:color w:val="000000"/>
          <w:szCs w:val="20"/>
        </w:rPr>
        <w:t>Uradni list RS, št. 48/22 – uradno prečiščeno besedilo</w:t>
      </w:r>
      <w:r w:rsidRPr="00815544">
        <w:rPr>
          <w:rFonts w:cs="Arial"/>
          <w:color w:val="000000"/>
          <w:szCs w:val="20"/>
        </w:rPr>
        <w:t>).</w:t>
      </w:r>
    </w:p>
    <w:p w:rsidR="0014362F" w:rsidRPr="00815544" w:rsidRDefault="0014362F" w:rsidP="0014362F">
      <w:pPr>
        <w:jc w:val="both"/>
        <w:rPr>
          <w:rFonts w:cs="Arial"/>
          <w:color w:val="000000"/>
          <w:szCs w:val="20"/>
        </w:rPr>
      </w:pPr>
    </w:p>
    <w:bookmarkEnd w:id="7"/>
    <w:p w:rsidR="0014362F" w:rsidRPr="00815544" w:rsidRDefault="0014362F" w:rsidP="0014362F">
      <w:pPr>
        <w:contextualSpacing/>
        <w:jc w:val="both"/>
        <w:rPr>
          <w:rFonts w:cs="Arial"/>
          <w:szCs w:val="20"/>
        </w:rPr>
      </w:pPr>
    </w:p>
    <w:p w:rsidR="0014362F" w:rsidRPr="00815544" w:rsidRDefault="0014362F" w:rsidP="0014362F">
      <w:pPr>
        <w:numPr>
          <w:ilvl w:val="0"/>
          <w:numId w:val="4"/>
        </w:numPr>
        <w:rPr>
          <w:rFonts w:cs="Arial"/>
          <w:b/>
          <w:szCs w:val="20"/>
        </w:rPr>
      </w:pPr>
      <w:r w:rsidRPr="00815544">
        <w:rPr>
          <w:rFonts w:cs="Arial"/>
          <w:b/>
          <w:szCs w:val="20"/>
        </w:rPr>
        <w:lastRenderedPageBreak/>
        <w:t>OCENA FINANČNIH POSLEDIC PREDLOGA ZAKONA ZA DRŽAVNI PRORAČUN IN DRUGA JAVNA FINANČNA SREDSTVA</w:t>
      </w:r>
    </w:p>
    <w:p w:rsidR="0014362F" w:rsidRPr="00815544" w:rsidRDefault="0014362F" w:rsidP="0014362F">
      <w:pPr>
        <w:rPr>
          <w:rFonts w:cs="Arial"/>
          <w:b/>
          <w:szCs w:val="20"/>
        </w:rPr>
      </w:pPr>
    </w:p>
    <w:p w:rsidR="0014362F" w:rsidRPr="00815544" w:rsidRDefault="0014362F" w:rsidP="0014362F">
      <w:pPr>
        <w:rPr>
          <w:rFonts w:cs="Arial"/>
          <w:szCs w:val="20"/>
        </w:rPr>
      </w:pPr>
      <w:r w:rsidRPr="00815544">
        <w:rPr>
          <w:rFonts w:cs="Arial"/>
          <w:szCs w:val="20"/>
        </w:rPr>
        <w:t>Predlog zakona nima finančnih posledic za državni proračun in druga javna finančna sredstva.</w:t>
      </w:r>
    </w:p>
    <w:p w:rsidR="0014362F" w:rsidRPr="00815544" w:rsidRDefault="0014362F" w:rsidP="0014362F">
      <w:pPr>
        <w:rPr>
          <w:rFonts w:cs="Arial"/>
          <w:szCs w:val="20"/>
        </w:rPr>
      </w:pPr>
    </w:p>
    <w:p w:rsidR="0014362F" w:rsidRPr="00815544" w:rsidRDefault="0014362F" w:rsidP="0014362F">
      <w:pPr>
        <w:rPr>
          <w:rFonts w:cs="Arial"/>
          <w:szCs w:val="20"/>
        </w:rPr>
      </w:pPr>
    </w:p>
    <w:p w:rsidR="0014362F" w:rsidRPr="00815544" w:rsidRDefault="0014362F" w:rsidP="0014362F">
      <w:pPr>
        <w:numPr>
          <w:ilvl w:val="0"/>
          <w:numId w:val="4"/>
        </w:numPr>
        <w:jc w:val="both"/>
        <w:rPr>
          <w:rFonts w:cs="Arial"/>
          <w:b/>
          <w:szCs w:val="20"/>
        </w:rPr>
      </w:pPr>
      <w:r w:rsidRPr="00815544">
        <w:rPr>
          <w:rFonts w:cs="Arial"/>
          <w:b/>
          <w:szCs w:val="20"/>
        </w:rPr>
        <w:t>NAVEDBA, DA SO SREDSTVA ZA IZVAJANJE ZAKONA V DRŽAVNEM PRORAČUNU ZAGOTOVLJENA, ČE PREDLOG ZAKONA PREDVIDEVA PORABO PRORAČUNSKIH SREDSTEV V OBDOBJU, ZA KATERO JE BIL DRŽAVNI PRORAČUN ŽE SPREJET</w:t>
      </w:r>
    </w:p>
    <w:p w:rsidR="0014362F" w:rsidRPr="00815544" w:rsidRDefault="0014362F" w:rsidP="0014362F">
      <w:pPr>
        <w:rPr>
          <w:rFonts w:cs="Arial"/>
          <w:szCs w:val="20"/>
        </w:rPr>
      </w:pPr>
    </w:p>
    <w:p w:rsidR="0014362F" w:rsidRPr="00815544" w:rsidRDefault="0014362F" w:rsidP="0014362F">
      <w:pPr>
        <w:rPr>
          <w:rFonts w:cs="Arial"/>
          <w:szCs w:val="20"/>
        </w:rPr>
      </w:pPr>
      <w:r w:rsidRPr="00815544">
        <w:rPr>
          <w:rFonts w:cs="Arial"/>
          <w:szCs w:val="20"/>
        </w:rPr>
        <w:t>Predlog zakona ne predlaga porabe proračunskih sredstev.</w:t>
      </w:r>
    </w:p>
    <w:p w:rsidR="0014362F" w:rsidRPr="00815544" w:rsidRDefault="0014362F" w:rsidP="0014362F">
      <w:pPr>
        <w:jc w:val="both"/>
        <w:rPr>
          <w:rFonts w:cs="Arial"/>
          <w:szCs w:val="20"/>
        </w:rPr>
      </w:pPr>
    </w:p>
    <w:p w:rsidR="0014362F" w:rsidRPr="00815544" w:rsidRDefault="0014362F" w:rsidP="0014362F">
      <w:pPr>
        <w:numPr>
          <w:ilvl w:val="0"/>
          <w:numId w:val="4"/>
        </w:numPr>
        <w:jc w:val="both"/>
        <w:rPr>
          <w:rFonts w:cs="Arial"/>
          <w:b/>
          <w:szCs w:val="20"/>
        </w:rPr>
      </w:pPr>
      <w:bookmarkStart w:id="8" w:name="_Hlk55537161"/>
      <w:r w:rsidRPr="00815544">
        <w:rPr>
          <w:rFonts w:cs="Arial"/>
          <w:b/>
          <w:szCs w:val="20"/>
        </w:rPr>
        <w:t xml:space="preserve">PRIKAZ UREDITVE V DRUGIH PRAVNIH SISTEMIH </w:t>
      </w:r>
      <w:bookmarkEnd w:id="8"/>
      <w:r w:rsidRPr="00815544">
        <w:rPr>
          <w:rFonts w:cs="Arial"/>
          <w:b/>
          <w:szCs w:val="20"/>
        </w:rPr>
        <w:t>IN PRILAGOJENOSTI PREDLAGANE UREDITVE PRAVU EVROPSKE UNIJE</w:t>
      </w:r>
    </w:p>
    <w:p w:rsidR="0014362F" w:rsidRPr="00815544" w:rsidRDefault="0014362F" w:rsidP="0014362F">
      <w:pPr>
        <w:contextualSpacing/>
        <w:jc w:val="both"/>
        <w:rPr>
          <w:rFonts w:cs="Arial"/>
          <w:szCs w:val="20"/>
          <w:lang w:eastAsia="sl-SI"/>
        </w:rPr>
      </w:pPr>
    </w:p>
    <w:p w:rsidR="0014362F" w:rsidRPr="00815544" w:rsidRDefault="0014362F" w:rsidP="0014362F">
      <w:pPr>
        <w:autoSpaceDE w:val="0"/>
        <w:autoSpaceDN w:val="0"/>
        <w:adjustRightInd w:val="0"/>
        <w:jc w:val="both"/>
        <w:rPr>
          <w:rFonts w:cs="Arial"/>
          <w:b/>
          <w:bCs/>
          <w:szCs w:val="20"/>
        </w:rPr>
      </w:pPr>
      <w:r w:rsidRPr="00815544">
        <w:rPr>
          <w:rFonts w:cs="Arial"/>
          <w:b/>
          <w:bCs/>
          <w:szCs w:val="20"/>
        </w:rPr>
        <w:t>Prilagojenost predlagane ureditve pravu Evropske unije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Predlog zakona je prilagojen pravu EU, saj ta predpis povzema določbe Uredbe 2019/1238/EU.</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Predlog zakona je usklajen s pravnim redom EU, pri čemer gre za harmonizacijo zakonodaje v EU in ureditev izvajanja Uredbe 2019/1238/EU v notranji zakonodaji. </w:t>
      </w:r>
    </w:p>
    <w:p w:rsidR="0014362F" w:rsidRPr="00815544" w:rsidRDefault="0014362F" w:rsidP="0014362F">
      <w:pPr>
        <w:autoSpaceDE w:val="0"/>
        <w:autoSpaceDN w:val="0"/>
        <w:adjustRightInd w:val="0"/>
        <w:jc w:val="both"/>
        <w:rPr>
          <w:rFonts w:cs="Arial"/>
          <w:b/>
          <w:bCs/>
          <w:szCs w:val="20"/>
        </w:rPr>
      </w:pPr>
    </w:p>
    <w:p w:rsidR="0014362F" w:rsidRPr="00815544" w:rsidRDefault="0014362F" w:rsidP="0014362F">
      <w:pPr>
        <w:jc w:val="both"/>
        <w:rPr>
          <w:rFonts w:cs="Arial"/>
          <w:szCs w:val="20"/>
        </w:rPr>
      </w:pPr>
      <w:r w:rsidRPr="00815544">
        <w:rPr>
          <w:rFonts w:cs="Arial"/>
          <w:szCs w:val="20"/>
        </w:rPr>
        <w:t>V nadaljevanju sledi prikaz ureditve v pravnih sistemih.</w:t>
      </w:r>
    </w:p>
    <w:p w:rsidR="0014362F" w:rsidRPr="00815544" w:rsidRDefault="0014362F" w:rsidP="0014362F">
      <w:pPr>
        <w:jc w:val="both"/>
        <w:rPr>
          <w:rFonts w:cs="Arial"/>
          <w:szCs w:val="20"/>
        </w:rPr>
      </w:pPr>
    </w:p>
    <w:p w:rsidR="0014362F" w:rsidRPr="00815544" w:rsidRDefault="0014362F" w:rsidP="0014362F">
      <w:pPr>
        <w:jc w:val="both"/>
        <w:rPr>
          <w:rFonts w:cs="Arial"/>
          <w:b/>
          <w:bCs/>
          <w:szCs w:val="20"/>
        </w:rPr>
      </w:pPr>
      <w:r w:rsidRPr="00815544">
        <w:rPr>
          <w:rFonts w:cs="Arial"/>
          <w:b/>
          <w:bCs/>
          <w:szCs w:val="20"/>
        </w:rPr>
        <w:t xml:space="preserve">Luksemburg </w:t>
      </w:r>
    </w:p>
    <w:p w:rsidR="0014362F" w:rsidRPr="00815544" w:rsidRDefault="0014362F" w:rsidP="0014362F">
      <w:pPr>
        <w:jc w:val="both"/>
        <w:rPr>
          <w:rFonts w:cs="Arial"/>
          <w:szCs w:val="20"/>
        </w:rPr>
      </w:pPr>
      <w:r w:rsidRPr="00815544">
        <w:rPr>
          <w:rFonts w:cs="Arial"/>
          <w:szCs w:val="20"/>
        </w:rPr>
        <w:t>4. marca 2022 je bil sprejet zakon</w:t>
      </w:r>
      <w:r w:rsidRPr="00815544">
        <w:rPr>
          <w:rStyle w:val="Sprotnaopomba-sklic"/>
          <w:rFonts w:cs="Arial"/>
          <w:szCs w:val="20"/>
        </w:rPr>
        <w:footnoteReference w:id="2"/>
      </w:r>
      <w:r w:rsidRPr="00815544">
        <w:rPr>
          <w:rFonts w:cs="Arial"/>
          <w:szCs w:val="20"/>
        </w:rPr>
        <w:t xml:space="preserve"> z dne 25. februarja 2022, ki med drugim določa pravila o Uredbi 2019/1238/EU. Zakon določa imenovanje Komisariata za nadzor financ (</w:t>
      </w:r>
      <w:proofErr w:type="spellStart"/>
      <w:r w:rsidRPr="00815544">
        <w:rPr>
          <w:rFonts w:cs="Arial"/>
          <w:szCs w:val="20"/>
        </w:rPr>
        <w:t>Commission</w:t>
      </w:r>
      <w:proofErr w:type="spellEnd"/>
      <w:r w:rsidRPr="00815544">
        <w:rPr>
          <w:rFonts w:cs="Arial"/>
          <w:szCs w:val="20"/>
        </w:rPr>
        <w:t xml:space="preserve"> de </w:t>
      </w:r>
      <w:proofErr w:type="spellStart"/>
      <w:r w:rsidRPr="00815544">
        <w:rPr>
          <w:rFonts w:cs="Arial"/>
          <w:szCs w:val="20"/>
        </w:rPr>
        <w:t>surveillance</w:t>
      </w:r>
      <w:proofErr w:type="spellEnd"/>
      <w:r w:rsidRPr="00815544">
        <w:rPr>
          <w:rFonts w:cs="Arial"/>
          <w:szCs w:val="20"/>
        </w:rPr>
        <w:t xml:space="preserve"> </w:t>
      </w:r>
      <w:proofErr w:type="spellStart"/>
      <w:r w:rsidRPr="00815544">
        <w:rPr>
          <w:rFonts w:cs="Arial"/>
          <w:szCs w:val="20"/>
        </w:rPr>
        <w:t>du</w:t>
      </w:r>
      <w:proofErr w:type="spellEnd"/>
      <w:r w:rsidRPr="00815544">
        <w:rPr>
          <w:rFonts w:cs="Arial"/>
          <w:szCs w:val="20"/>
        </w:rPr>
        <w:t xml:space="preserve"> </w:t>
      </w:r>
      <w:proofErr w:type="spellStart"/>
      <w:r w:rsidRPr="00815544">
        <w:rPr>
          <w:rFonts w:cs="Arial"/>
          <w:szCs w:val="20"/>
        </w:rPr>
        <w:t>secteur</w:t>
      </w:r>
      <w:proofErr w:type="spellEnd"/>
      <w:r w:rsidRPr="00815544">
        <w:rPr>
          <w:rFonts w:cs="Arial"/>
          <w:szCs w:val="20"/>
        </w:rPr>
        <w:t xml:space="preserve"> financier, v nadaljnjem besedilu: CSSF) in Komisariata za zavarovalništvo (</w:t>
      </w:r>
      <w:proofErr w:type="spellStart"/>
      <w:r w:rsidRPr="00815544">
        <w:rPr>
          <w:rFonts w:cs="Arial"/>
          <w:szCs w:val="20"/>
        </w:rPr>
        <w:t>Commissariat</w:t>
      </w:r>
      <w:proofErr w:type="spellEnd"/>
      <w:r w:rsidRPr="00815544">
        <w:rPr>
          <w:rFonts w:cs="Arial"/>
          <w:szCs w:val="20"/>
        </w:rPr>
        <w:t xml:space="preserve"> </w:t>
      </w:r>
      <w:proofErr w:type="spellStart"/>
      <w:r w:rsidRPr="00815544">
        <w:rPr>
          <w:rFonts w:cs="Arial"/>
          <w:szCs w:val="20"/>
        </w:rPr>
        <w:t>aux</w:t>
      </w:r>
      <w:proofErr w:type="spellEnd"/>
      <w:r w:rsidRPr="00815544">
        <w:rPr>
          <w:rFonts w:cs="Arial"/>
          <w:szCs w:val="20"/>
        </w:rPr>
        <w:t xml:space="preserve"> </w:t>
      </w:r>
      <w:proofErr w:type="spellStart"/>
      <w:r w:rsidRPr="00815544">
        <w:rPr>
          <w:rFonts w:cs="Arial"/>
          <w:szCs w:val="20"/>
        </w:rPr>
        <w:t>Assurances</w:t>
      </w:r>
      <w:proofErr w:type="spellEnd"/>
      <w:r w:rsidRPr="00815544">
        <w:rPr>
          <w:rFonts w:cs="Arial"/>
          <w:szCs w:val="20"/>
        </w:rPr>
        <w:t>, v nadaljnjem besedilu: CAA) kot pristojna organa za nadzor skladnosti z okvirom PEPP in opisuje pooblastila, dodeljena CSSF in CAA, vključno z veljavnimi pooblastili za sankcioniranje.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Uredba 2019/1238/EU vzpostavlja nov osebni pokojninski produkt z vseevropskimi značilnostmi. Prispeva k enotnemu evropskemu trgu zasebnih pokojnin in želi varčevalcem omogočiti več izbire ter jim zagotoviti konkurenčnejše osebne pokojninske produkte pri varčevanju za upokojitev, hkrati pa jim nudi ustrezno zaščito. Ponudniki PEPP bodo lahko imeli koristi od enotnega trga EU za osebne pokojnine, vključno z enotnim  potnim listom EU. Objavljeni zakon je priložnost za Luksemburg, da izkoristi ta novi pokojninski produkt in postane glavna lokacija za ustvarjanje in distribucijo takšnih čezmejnih produktov.</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Hrvaška</w:t>
      </w:r>
    </w:p>
    <w:p w:rsidR="0014362F" w:rsidRPr="00815544" w:rsidRDefault="0014362F" w:rsidP="0014362F">
      <w:pPr>
        <w:jc w:val="both"/>
        <w:rPr>
          <w:rFonts w:cs="Arial"/>
          <w:szCs w:val="20"/>
        </w:rPr>
      </w:pPr>
      <w:r w:rsidRPr="00815544">
        <w:rPr>
          <w:rFonts w:cs="Arial"/>
          <w:szCs w:val="20"/>
        </w:rPr>
        <w:t xml:space="preserve">Hrvaška je 8. junija 2022 objavila predlog zakona o vseevropskem pokojninskem sistemu za namen posvetovanja z javnostjo.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PEPP bo uvrščen v hrvaški tretji steber pokojninskega sistema, nadzor bo izvajala hrvaška agencija za nadzor finančnih storitev (HANFA) v sodelovanju z EIOPA. Varčevanje za starost v PEPP bo prostovoljno, velika prednost vseevropskega tretjega stebra pred drugimi, ki varčujejo za starost je, da se bo prosto prenašala iz ene države članice v drugo. Mladi, ki pogosto menjajo kraj dela in prebivališča znotraj EU, bodo lahko svobodno vzeli svoje prihranke s seboj in še naprej vlagali na svoj pokojninski račun ne glede na to, ali živijo na Hrvaškem, v Franciji, na Irskem ali Švedskem in ne glede na to, kje so ga odprli. Nomadski življenjski slog in delo sta </w:t>
      </w:r>
      <w:r w:rsidRPr="00815544">
        <w:rPr>
          <w:rFonts w:cs="Arial"/>
          <w:szCs w:val="20"/>
        </w:rPr>
        <w:lastRenderedPageBreak/>
        <w:t>dobila tudi nomadski pokojninski produkt, ki naj bi po 20, 30 ali 40 letih skupnega varčevanja prinesel podobno ali enako višino pokojnine tistim, ki so vlagali v vseevropski tretji steber.</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Hrvaška ima tri pokojninske stebre, kljub temu je druga najslabša država članica EU za Irsko po višini pokojnin glede na plače, ki znaša 40 odstotkov.</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Avstrija</w:t>
      </w:r>
    </w:p>
    <w:p w:rsidR="0014362F" w:rsidRPr="00815544" w:rsidRDefault="0014362F" w:rsidP="0014362F">
      <w:pPr>
        <w:jc w:val="both"/>
        <w:rPr>
          <w:rFonts w:cs="Arial"/>
          <w:szCs w:val="20"/>
        </w:rPr>
      </w:pPr>
      <w:r w:rsidRPr="00815544">
        <w:rPr>
          <w:rFonts w:cs="Arial"/>
          <w:szCs w:val="20"/>
        </w:rPr>
        <w:t>10. junija 2022 je bil v Zveznem uradnem listu Avstrije objavljen Izvedbeni akt o vseevropskem zasebnem pokojninskem produktu (PEPP-</w:t>
      </w:r>
      <w:proofErr w:type="spellStart"/>
      <w:r w:rsidRPr="00815544">
        <w:rPr>
          <w:rFonts w:cs="Arial"/>
          <w:szCs w:val="20"/>
        </w:rPr>
        <w:t>Vollzugsgesetz</w:t>
      </w:r>
      <w:proofErr w:type="spellEnd"/>
      <w:r w:rsidRPr="00815544">
        <w:rPr>
          <w:rFonts w:cs="Arial"/>
          <w:szCs w:val="20"/>
        </w:rPr>
        <w:t xml:space="preserve">), ki služi za uveljavitev Uredbe 2019/1238/EU.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Z izvedbenim aktom je avstrijski Organ za finančni trg (</w:t>
      </w:r>
      <w:proofErr w:type="spellStart"/>
      <w:r w:rsidRPr="00815544">
        <w:rPr>
          <w:rFonts w:cs="Arial"/>
          <w:szCs w:val="20"/>
        </w:rPr>
        <w:t>Finanzmarktaufsichtsbehörde</w:t>
      </w:r>
      <w:proofErr w:type="spellEnd"/>
      <w:r w:rsidRPr="00815544">
        <w:rPr>
          <w:rFonts w:cs="Arial"/>
          <w:szCs w:val="20"/>
        </w:rPr>
        <w:t xml:space="preserve"> oziroma FMA) imenovan za nacionalni organ, odgovoren za odobritev in nadzor ponudnikov in distributerjev PEPP, ter ima potrebna nadzorna pooblastila. Poleg tega bo FMA objavil odlok o merilih, po katerih se bo vrednotilo potrebno znanje in veščine fizičnih oseb, ki jim je zaupana ponudba in distribucija PEPP.</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Ponudniki PEPP morajo v vsakem primeru pripraviti nadzorniško poročilo PEPP vsaka tri leta, pa tudi po kakršni koli pomembni spremembi v poslovanju PEPP ali po kakršni koli spremembi PEPP, s čimer se zagotavlja izvajanje Delegirane uredbe Komisije (EU) 2021/896 z dne 24. februarja 2021 o dopolnitvi Uredbe (EU) 2019/1238 Evropskega parlamenta in Sveta v zvezi z dodatnimi informacijami za namene zbliževanja nadzornega poročanja in Izvedbene uredbe (EU) 2021/897 z dne 4. marca 2021 o izvedbenih tehničnih standardih za uporabo Uredbe (EU) 2019/1238 Evropskega parlamenta in Sveta v zvezi z obliko nadzornega poročanja pristojnim organom ter sodelovanjem in izmenjavo informacij med pristojnimi organi in z Evropskim organom za zavarovanja in poklicne pokojnine.</w:t>
      </w:r>
    </w:p>
    <w:p w:rsidR="0014362F" w:rsidRPr="00815544" w:rsidRDefault="0014362F" w:rsidP="0014362F">
      <w:pPr>
        <w:jc w:val="both"/>
        <w:rPr>
          <w:rFonts w:cs="Arial"/>
          <w:szCs w:val="20"/>
        </w:rPr>
      </w:pPr>
    </w:p>
    <w:p w:rsidR="0014362F" w:rsidRPr="00815544" w:rsidRDefault="0014362F" w:rsidP="0014362F">
      <w:pPr>
        <w:numPr>
          <w:ilvl w:val="0"/>
          <w:numId w:val="4"/>
        </w:numPr>
        <w:rPr>
          <w:rFonts w:cs="Arial"/>
          <w:b/>
          <w:szCs w:val="20"/>
        </w:rPr>
      </w:pPr>
      <w:r w:rsidRPr="00815544">
        <w:rPr>
          <w:rFonts w:cs="Arial"/>
          <w:b/>
          <w:szCs w:val="20"/>
        </w:rPr>
        <w:t>PRESOJA POSLEDIC, KI JIH BO IMEL SPREJEM ZAKONA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szCs w:val="20"/>
        </w:rPr>
        <w:t>5.1 Presoja administrativnih posledic</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a) v postopkih oziroma poslovanju javne uprave ali pravosodnih organov:</w:t>
      </w:r>
    </w:p>
    <w:p w:rsidR="0014362F" w:rsidRPr="00815544" w:rsidRDefault="0014362F" w:rsidP="0014362F">
      <w:pPr>
        <w:jc w:val="both"/>
        <w:rPr>
          <w:rFonts w:cs="Arial"/>
          <w:szCs w:val="20"/>
        </w:rPr>
      </w:pPr>
      <w:r w:rsidRPr="00815544">
        <w:rPr>
          <w:rFonts w:cs="Arial"/>
          <w:szCs w:val="20"/>
        </w:rPr>
        <w:t>Ni posledic.</w:t>
      </w:r>
    </w:p>
    <w:p w:rsidR="0014362F" w:rsidRPr="00815544" w:rsidRDefault="0014362F" w:rsidP="0014362F">
      <w:pPr>
        <w:jc w:val="both"/>
        <w:rPr>
          <w:rFonts w:cs="Arial"/>
          <w:b/>
          <w:szCs w:val="20"/>
        </w:rPr>
      </w:pPr>
    </w:p>
    <w:p w:rsidR="0014362F" w:rsidRPr="00815544" w:rsidRDefault="0014362F" w:rsidP="0014362F">
      <w:pPr>
        <w:jc w:val="both"/>
        <w:rPr>
          <w:rFonts w:cs="Arial"/>
          <w:szCs w:val="20"/>
        </w:rPr>
      </w:pPr>
      <w:r w:rsidRPr="00815544">
        <w:rPr>
          <w:rFonts w:cs="Arial"/>
          <w:b/>
          <w:szCs w:val="20"/>
        </w:rPr>
        <w:t>b) pri obveznostih strank do javne uprave ali pravosodnih organov:</w:t>
      </w:r>
    </w:p>
    <w:p w:rsidR="0014362F" w:rsidRPr="00815544" w:rsidRDefault="0014362F" w:rsidP="0014362F">
      <w:pPr>
        <w:jc w:val="both"/>
        <w:rPr>
          <w:rFonts w:cs="Arial"/>
          <w:szCs w:val="20"/>
        </w:rPr>
      </w:pPr>
      <w:r w:rsidRPr="00815544">
        <w:rPr>
          <w:rFonts w:cs="Arial"/>
          <w:szCs w:val="20"/>
        </w:rPr>
        <w:t>Ni posledic.</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5.2. Presoja posledic za okolje, vključno s prostorskimi in varstvenimi vidiki</w:t>
      </w:r>
    </w:p>
    <w:p w:rsidR="0014362F" w:rsidRPr="00815544" w:rsidRDefault="0014362F" w:rsidP="0014362F">
      <w:pPr>
        <w:jc w:val="both"/>
        <w:rPr>
          <w:rFonts w:cs="Arial"/>
          <w:szCs w:val="20"/>
        </w:rPr>
      </w:pPr>
      <w:r w:rsidRPr="00815544">
        <w:rPr>
          <w:rFonts w:cs="Arial"/>
          <w:szCs w:val="20"/>
        </w:rPr>
        <w:t>Predlog zakona nima posledic za okolje.</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5.3. Presoja posledic za gospodarstvo</w:t>
      </w:r>
    </w:p>
    <w:p w:rsidR="0014362F" w:rsidRPr="00815544" w:rsidRDefault="0014362F" w:rsidP="0014362F">
      <w:pPr>
        <w:jc w:val="both"/>
        <w:rPr>
          <w:rFonts w:cs="Arial"/>
          <w:szCs w:val="20"/>
        </w:rPr>
      </w:pPr>
      <w:r w:rsidRPr="00815544">
        <w:rPr>
          <w:rFonts w:cs="Arial"/>
          <w:szCs w:val="20"/>
        </w:rPr>
        <w:t>Osebna pokojninska zavarovanja imajo zaradi dolgoročnih sredstev pomembno vlogo pri spodbujanju kapitalskih naložb in gospodarstva. Enotni evropski trg za osebna pokojninska zavarovanja bo institucionalnim investitorjem omogočal večji obseg poslovanja in hkrati večji obseg dolgoročnih sredstev za naložbe v realno gospodarstvo.</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5.4. Presoja posledic za socialno področje</w:t>
      </w:r>
    </w:p>
    <w:p w:rsidR="0014362F" w:rsidRPr="00815544" w:rsidRDefault="0014362F" w:rsidP="0014362F">
      <w:pPr>
        <w:jc w:val="both"/>
        <w:rPr>
          <w:rFonts w:cs="Arial"/>
          <w:szCs w:val="20"/>
        </w:rPr>
      </w:pPr>
      <w:r w:rsidRPr="00815544">
        <w:rPr>
          <w:rFonts w:cs="Arial"/>
          <w:szCs w:val="20"/>
        </w:rPr>
        <w:t xml:space="preserve">Pobuda EU o osebnih pokojninskih zavarovanjih bi lahko dopolnila trenutna različna pravila na ravni Evropske unije in držav, saj bi dodala vseevropski okvir pokojnin za posameznike, ki želijo izkoristiti to dodatno možnost varčevanja. Ta okvir ne bo nadomestil ali uskladil sedanjih nacionalnih pokojninskih sistemov in predvsem ne obstoječih dodatnih pokojninskih zavarovanj, temveč jih bo dopolnil. </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lastRenderedPageBreak/>
        <w:t>5.5. Presoja posledic za dokumente razvojnega načrtovanja</w:t>
      </w:r>
    </w:p>
    <w:p w:rsidR="0014362F" w:rsidRPr="00815544" w:rsidRDefault="0014362F" w:rsidP="0014362F">
      <w:pPr>
        <w:jc w:val="both"/>
        <w:rPr>
          <w:rFonts w:cs="Arial"/>
          <w:szCs w:val="20"/>
        </w:rPr>
      </w:pPr>
      <w:r w:rsidRPr="00815544">
        <w:rPr>
          <w:rFonts w:cs="Arial"/>
          <w:szCs w:val="20"/>
        </w:rPr>
        <w:t>Predlog zakona nima posledic za dokumente razvojnega načrtovanja.</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5.6. Presoja posledic za druga področja</w:t>
      </w:r>
    </w:p>
    <w:p w:rsidR="0014362F" w:rsidRPr="00815544" w:rsidRDefault="0014362F" w:rsidP="0014362F">
      <w:pPr>
        <w:jc w:val="both"/>
        <w:rPr>
          <w:rFonts w:cs="Arial"/>
          <w:szCs w:val="20"/>
        </w:rPr>
      </w:pPr>
      <w:r w:rsidRPr="00815544">
        <w:rPr>
          <w:rFonts w:cs="Arial"/>
          <w:szCs w:val="20"/>
        </w:rPr>
        <w:t>Predlog zakona nima posledic za druga področja.</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5.7. Izvajanje sprejetega predpisa</w:t>
      </w:r>
    </w:p>
    <w:p w:rsidR="0014362F" w:rsidRPr="00815544" w:rsidRDefault="0014362F" w:rsidP="0014362F">
      <w:pPr>
        <w:jc w:val="both"/>
        <w:rPr>
          <w:rFonts w:cs="Arial"/>
          <w:szCs w:val="20"/>
        </w:rPr>
      </w:pPr>
      <w:r w:rsidRPr="00815544">
        <w:rPr>
          <w:rFonts w:cs="Arial"/>
          <w:szCs w:val="20"/>
        </w:rPr>
        <w:t>Izvajanje predpisa se bo spremljalo v sodelovanju z agencijo.</w:t>
      </w:r>
    </w:p>
    <w:p w:rsidR="0014362F" w:rsidRPr="00815544" w:rsidRDefault="0014362F" w:rsidP="0014362F">
      <w:pPr>
        <w:jc w:val="both"/>
        <w:rPr>
          <w:rFonts w:cs="Arial"/>
          <w:b/>
          <w:szCs w:val="20"/>
        </w:rPr>
      </w:pPr>
    </w:p>
    <w:p w:rsidR="0014362F" w:rsidRPr="00815544" w:rsidRDefault="0014362F" w:rsidP="0014362F">
      <w:pPr>
        <w:jc w:val="both"/>
        <w:rPr>
          <w:rFonts w:cs="Arial"/>
          <w:b/>
          <w:szCs w:val="20"/>
        </w:rPr>
      </w:pPr>
      <w:r w:rsidRPr="00815544">
        <w:rPr>
          <w:rFonts w:cs="Arial"/>
          <w:b/>
          <w:szCs w:val="20"/>
        </w:rPr>
        <w:t>5.8. Druge pomembne okoliščine v zvezi z vprašanji, ki jih ureja predlog zakona</w:t>
      </w:r>
    </w:p>
    <w:p w:rsidR="0014362F" w:rsidRPr="00815544" w:rsidRDefault="0014362F" w:rsidP="0014362F">
      <w:pPr>
        <w:rPr>
          <w:rFonts w:cs="Arial"/>
          <w:szCs w:val="20"/>
        </w:rPr>
      </w:pPr>
      <w:r w:rsidRPr="00815544">
        <w:rPr>
          <w:rFonts w:cs="Arial"/>
          <w:szCs w:val="20"/>
        </w:rPr>
        <w:t>V zvezi s predlogom zakona ni drugih pomembnih okoliščin.</w:t>
      </w:r>
    </w:p>
    <w:p w:rsidR="0014362F" w:rsidRPr="00815544" w:rsidRDefault="0014362F" w:rsidP="0014362F">
      <w:pPr>
        <w:rPr>
          <w:rFonts w:cs="Arial"/>
          <w:szCs w:val="20"/>
        </w:rPr>
      </w:pPr>
    </w:p>
    <w:p w:rsidR="0014362F" w:rsidRPr="00815544" w:rsidRDefault="0014362F" w:rsidP="0014362F">
      <w:pPr>
        <w:numPr>
          <w:ilvl w:val="0"/>
          <w:numId w:val="4"/>
        </w:numPr>
        <w:rPr>
          <w:rFonts w:cs="Arial"/>
          <w:b/>
          <w:szCs w:val="20"/>
        </w:rPr>
      </w:pPr>
      <w:r w:rsidRPr="00815544">
        <w:rPr>
          <w:rFonts w:cs="Arial"/>
          <w:b/>
          <w:szCs w:val="20"/>
        </w:rPr>
        <w:t>PRIKAZ SODELOVANJA JAVNOSTI PRI PRIPRAVI PREDLOGA ZAKONA</w:t>
      </w:r>
    </w:p>
    <w:p w:rsidR="0014362F" w:rsidRPr="00815544" w:rsidRDefault="0014362F" w:rsidP="0014362F">
      <w:pPr>
        <w:rPr>
          <w:rFonts w:cs="Arial"/>
          <w:b/>
          <w:szCs w:val="20"/>
        </w:rPr>
      </w:pPr>
    </w:p>
    <w:p w:rsidR="0014362F" w:rsidRPr="00815544" w:rsidRDefault="0014362F" w:rsidP="0014362F">
      <w:pPr>
        <w:jc w:val="both"/>
        <w:rPr>
          <w:rFonts w:cs="Arial"/>
          <w:szCs w:val="20"/>
        </w:rPr>
      </w:pPr>
      <w:r w:rsidRPr="00815544">
        <w:rPr>
          <w:rFonts w:cs="Arial"/>
          <w:szCs w:val="20"/>
        </w:rPr>
        <w:t>Javna obravnava predloga zakona je potekala od 20. januarja do 3. februarja 2022.</w:t>
      </w:r>
    </w:p>
    <w:p w:rsidR="0014362F" w:rsidRPr="00815544" w:rsidRDefault="0014362F" w:rsidP="0014362F">
      <w:pPr>
        <w:jc w:val="both"/>
        <w:rPr>
          <w:rFonts w:cs="Arial"/>
          <w:szCs w:val="20"/>
        </w:rPr>
      </w:pPr>
    </w:p>
    <w:p w:rsidR="0014362F" w:rsidRPr="00815544" w:rsidRDefault="0014362F" w:rsidP="0014362F">
      <w:pPr>
        <w:pStyle w:val="Brezrazmikov"/>
        <w:spacing w:line="260" w:lineRule="exact"/>
        <w:jc w:val="both"/>
        <w:rPr>
          <w:rFonts w:cs="Arial"/>
          <w:iCs/>
          <w:szCs w:val="20"/>
          <w:lang w:val="sl-SI"/>
        </w:rPr>
      </w:pPr>
      <w:r w:rsidRPr="00815544">
        <w:rPr>
          <w:rFonts w:cs="Arial"/>
          <w:iCs/>
          <w:szCs w:val="20"/>
          <w:lang w:val="sl-SI"/>
        </w:rPr>
        <w:t xml:space="preserve">Spletni naslov objave na strani e-demokracija: </w:t>
      </w:r>
      <w:hyperlink r:id="rId7" w:history="1">
        <w:r w:rsidRPr="00815544">
          <w:rPr>
            <w:rStyle w:val="Hiperpovezava"/>
            <w:lang w:val="it-IT"/>
          </w:rPr>
          <w:t>https://e-uprava.gov.si/drzava-in-druzba/e-demokracija/predlogi-predpisov/predlog-predpisa.html?id=13500</w:t>
        </w:r>
      </w:hyperlink>
      <w:r w:rsidRPr="00815544">
        <w:rPr>
          <w:rFonts w:cs="Arial"/>
          <w:iCs/>
          <w:szCs w:val="20"/>
          <w:lang w:val="sl-SI"/>
        </w:rPr>
        <w:t>.</w:t>
      </w:r>
    </w:p>
    <w:p w:rsidR="0014362F" w:rsidRPr="00815544" w:rsidRDefault="0014362F" w:rsidP="0014362F">
      <w:pPr>
        <w:pStyle w:val="Brezrazmikov"/>
        <w:spacing w:line="260" w:lineRule="exact"/>
        <w:jc w:val="both"/>
        <w:rPr>
          <w:rFonts w:cs="Arial"/>
          <w:iCs/>
          <w:szCs w:val="20"/>
          <w:lang w:val="sl-SI"/>
        </w:rPr>
      </w:pPr>
    </w:p>
    <w:p w:rsidR="0014362F" w:rsidRPr="00815544" w:rsidRDefault="0014362F" w:rsidP="0014362F">
      <w:pPr>
        <w:pStyle w:val="Brezrazmikov"/>
        <w:spacing w:line="260" w:lineRule="exact"/>
        <w:jc w:val="both"/>
        <w:rPr>
          <w:rFonts w:cs="Arial"/>
          <w:iCs/>
          <w:szCs w:val="20"/>
          <w:lang w:val="sl-SI"/>
        </w:rPr>
      </w:pPr>
      <w:r w:rsidRPr="00815544">
        <w:rPr>
          <w:rFonts w:cs="Arial"/>
          <w:iCs/>
          <w:szCs w:val="20"/>
          <w:lang w:val="sl-SI"/>
        </w:rPr>
        <w:t xml:space="preserve">V času javne obravnave niso bile podane pripombe na predlog zakona. 14. februarja 2022 so na ministrstvo za finance prispele pisne pripombe Slovenskega zavarovalnega združenja (v nadaljnjem besedilu: SZZ). Na vprašanje SZZ glede izvajalcev pojasnjujemo, da so ponudniki PEPP določeni v 6. členu </w:t>
      </w:r>
      <w:r w:rsidRPr="00815544">
        <w:rPr>
          <w:rFonts w:cs="Arial"/>
          <w:bCs/>
          <w:szCs w:val="20"/>
          <w:lang w:val="sl-SI"/>
        </w:rPr>
        <w:t>Uredbe 2019/1238/EU</w:t>
      </w:r>
      <w:r w:rsidRPr="00815544">
        <w:rPr>
          <w:rFonts w:cs="Arial"/>
          <w:iCs/>
          <w:szCs w:val="20"/>
          <w:lang w:val="sl-SI"/>
        </w:rPr>
        <w:t xml:space="preserve"> (kreditne institucije, zavarovalnice, pokojninske družbe, institucije za poklicno pokojninsko zavarovanje, investicijska podjetja, investicijske družbe ali družbe za upravljanje, </w:t>
      </w:r>
      <w:r>
        <w:rPr>
          <w:rFonts w:cs="Arial"/>
          <w:iCs/>
          <w:szCs w:val="20"/>
          <w:lang w:val="sl-SI"/>
        </w:rPr>
        <w:t xml:space="preserve">upravljavci </w:t>
      </w:r>
      <w:r w:rsidRPr="00815544">
        <w:rPr>
          <w:rFonts w:cs="Arial"/>
          <w:iCs/>
          <w:szCs w:val="20"/>
          <w:lang w:val="sl-SI"/>
        </w:rPr>
        <w:t>alternativnih investicijskih skladov EU). Uredba 2019/1238/EU velja neposredno, zato v nacionalni zakonodaji ni treba posebej določati, da lahko ponujajo tudi PEPP.</w:t>
      </w:r>
    </w:p>
    <w:p w:rsidR="0014362F" w:rsidRPr="00815544" w:rsidRDefault="0014362F" w:rsidP="0014362F">
      <w:pPr>
        <w:pStyle w:val="Brezrazmikov"/>
        <w:spacing w:line="260" w:lineRule="exact"/>
        <w:jc w:val="both"/>
        <w:rPr>
          <w:rFonts w:cs="Arial"/>
          <w:iCs/>
          <w:szCs w:val="20"/>
          <w:lang w:val="sl-SI"/>
        </w:rPr>
      </w:pPr>
    </w:p>
    <w:p w:rsidR="0014362F" w:rsidRPr="00815544" w:rsidRDefault="0014362F" w:rsidP="0014362F">
      <w:pPr>
        <w:pStyle w:val="Brezrazmikov"/>
        <w:spacing w:line="260" w:lineRule="exact"/>
        <w:jc w:val="both"/>
        <w:rPr>
          <w:rFonts w:cs="Arial"/>
          <w:iCs/>
          <w:szCs w:val="20"/>
          <w:lang w:val="sl-SI"/>
        </w:rPr>
      </w:pPr>
      <w:r w:rsidRPr="00815544">
        <w:rPr>
          <w:rFonts w:cs="Arial"/>
          <w:iCs/>
          <w:szCs w:val="20"/>
          <w:lang w:val="sl-SI"/>
        </w:rPr>
        <w:t>Glede možnosti izplačila enkratnega zneska pred dopolnitvijo 65 let starosti ali upokojitvijo v okviru obveznega pokojninskega in invalidskega zavarovanja, če so za to podani utemeljeni razlogi v zvezi s socialnim položajem ali zdravstvenim stanjem varčevalca PEPP, se ne strinjamo z mnenjem SZZ, da gre pri predlogu te ureditve za ugodnejši položaj v primerjavi z individualnim dodatnim pokojninskim zavarovanjem. Zavarovanci individualnega dodatnega pokojninskega zavarovanja lahko namreč kadar koli izstopijo in zahtevajo izplačilo odkupne vrednosti sredstev v enkratnem znesku.</w:t>
      </w:r>
    </w:p>
    <w:p w:rsidR="0014362F" w:rsidRPr="00815544" w:rsidRDefault="0014362F" w:rsidP="0014362F">
      <w:pPr>
        <w:pStyle w:val="Brezrazmikov"/>
        <w:spacing w:line="260" w:lineRule="exact"/>
        <w:jc w:val="both"/>
        <w:rPr>
          <w:rFonts w:cs="Arial"/>
          <w:iCs/>
          <w:szCs w:val="20"/>
          <w:lang w:val="sl-SI"/>
        </w:rPr>
      </w:pPr>
    </w:p>
    <w:p w:rsidR="0014362F" w:rsidRPr="007346CD" w:rsidRDefault="0014362F" w:rsidP="0014362F">
      <w:pPr>
        <w:pStyle w:val="Brezrazmikov"/>
        <w:spacing w:line="260" w:lineRule="exact"/>
        <w:jc w:val="both"/>
        <w:rPr>
          <w:lang w:val="sl-SI"/>
        </w:rPr>
      </w:pPr>
      <w:r w:rsidRPr="007346CD">
        <w:rPr>
          <w:lang w:val="sl-SI"/>
        </w:rPr>
        <w:t>Glede umestitve PEPP v pokojninski sistem se strinjamo z mnenjem SZZ, da se ga umesti v III. pokojninski steber, kamor v Sloveniji uvrščamo vse druge oblike varčevanja za starost. Tega dejstva ni treba posebej definirati v členih predloga zakona, saj je to jasno in v zakonodaji niti ne obstaja uradna opredelitev pokojninskih stebrov. Takšna informacija je zato vključena v uvod tega predloga zakona.</w:t>
      </w:r>
    </w:p>
    <w:p w:rsidR="0014362F" w:rsidRPr="007346CD" w:rsidRDefault="0014362F" w:rsidP="0014362F">
      <w:pPr>
        <w:pStyle w:val="Brezrazmikov"/>
        <w:spacing w:line="260" w:lineRule="exact"/>
        <w:jc w:val="both"/>
        <w:rPr>
          <w:lang w:val="sl-SI"/>
        </w:rPr>
      </w:pPr>
    </w:p>
    <w:p w:rsidR="0014362F" w:rsidRPr="007346CD" w:rsidRDefault="0014362F" w:rsidP="0014362F">
      <w:pPr>
        <w:pStyle w:val="Brezrazmikov"/>
        <w:spacing w:line="260" w:lineRule="exact"/>
        <w:jc w:val="both"/>
        <w:rPr>
          <w:rFonts w:cs="Arial"/>
          <w:iCs/>
          <w:szCs w:val="20"/>
          <w:lang w:val="it-IT"/>
        </w:rPr>
      </w:pPr>
      <w:r w:rsidRPr="007346CD">
        <w:rPr>
          <w:rFonts w:cs="Arial"/>
          <w:iCs/>
          <w:szCs w:val="20"/>
          <w:lang w:val="it-IT"/>
        </w:rPr>
        <w:t>V zvezi s pripombo glede določnosti pogojev varčevanja in izplačevanja (8. in 9. člen predloga zakona) menimo, da so ti določeni dovolj natančno. Določeni so krog možnih varčevalcev PEPP (osebe, ki so dopolnile starost 15 let) ter pogoji za začetek faze izplačevanja privarčevanih sredstev v okviru PEPP (65 let starosti, upokojitev v obveznem pokojninskem in invalidskem zavarovanju, izjema v zvezi s socialnim položajem ali zdravstvenim stanjem varčevalca PEPP). Ministrstvo za delo, družino, socialne zadeve in enake možnosti bo v skladu z Uredbo 2019/1238/EU objavilo pogoje, določene s predlogom zakona.</w:t>
      </w:r>
    </w:p>
    <w:p w:rsidR="0014362F" w:rsidRPr="00DD53D2" w:rsidRDefault="0014362F" w:rsidP="0014362F">
      <w:pPr>
        <w:jc w:val="both"/>
      </w:pPr>
    </w:p>
    <w:p w:rsidR="0014362F" w:rsidRPr="00815544" w:rsidRDefault="0014362F" w:rsidP="0014362F">
      <w:pPr>
        <w:numPr>
          <w:ilvl w:val="0"/>
          <w:numId w:val="4"/>
        </w:numPr>
        <w:jc w:val="both"/>
        <w:rPr>
          <w:rFonts w:cs="Arial"/>
          <w:b/>
          <w:szCs w:val="20"/>
        </w:rPr>
      </w:pPr>
      <w:r w:rsidRPr="00815544">
        <w:rPr>
          <w:rFonts w:cs="Arial"/>
          <w:b/>
          <w:szCs w:val="20"/>
        </w:rPr>
        <w:t>PODATEK O ZUNANJEM STROKOVNJAKU OZIROMA PRAVNI OSEBI, KI JE SODELOVALA PRI PRIPRAVI PREDLOGA ZAKONA</w:t>
      </w:r>
    </w:p>
    <w:p w:rsidR="0014362F" w:rsidRPr="00815544" w:rsidRDefault="0014362F" w:rsidP="0014362F">
      <w:pPr>
        <w:rPr>
          <w:rFonts w:cs="Arial"/>
          <w:szCs w:val="20"/>
        </w:rPr>
      </w:pPr>
    </w:p>
    <w:p w:rsidR="0014362F" w:rsidRPr="00815544" w:rsidRDefault="0014362F" w:rsidP="0014362F">
      <w:pPr>
        <w:rPr>
          <w:rFonts w:cs="Arial"/>
          <w:szCs w:val="20"/>
        </w:rPr>
      </w:pPr>
      <w:r w:rsidRPr="00815544">
        <w:rPr>
          <w:rFonts w:cs="Arial"/>
          <w:szCs w:val="20"/>
        </w:rPr>
        <w:lastRenderedPageBreak/>
        <w:t>Pri pripravi predloga zakona niso sodelovali zunanji strokovnjaki oziroma pravne osebe.</w:t>
      </w:r>
    </w:p>
    <w:p w:rsidR="0014362F" w:rsidRPr="00815544" w:rsidRDefault="0014362F" w:rsidP="0014362F">
      <w:pPr>
        <w:rPr>
          <w:rFonts w:cs="Arial"/>
          <w:szCs w:val="20"/>
        </w:rPr>
      </w:pPr>
    </w:p>
    <w:p w:rsidR="0014362F" w:rsidRPr="00815544" w:rsidRDefault="0014362F" w:rsidP="0014362F">
      <w:pPr>
        <w:numPr>
          <w:ilvl w:val="0"/>
          <w:numId w:val="4"/>
        </w:numPr>
        <w:rPr>
          <w:rFonts w:cs="Arial"/>
          <w:b/>
          <w:szCs w:val="20"/>
        </w:rPr>
      </w:pPr>
      <w:r w:rsidRPr="00815544">
        <w:rPr>
          <w:rFonts w:cs="Arial"/>
          <w:b/>
          <w:szCs w:val="20"/>
        </w:rPr>
        <w:t>ZNESEK PLAČILA ZUNANJIH STROKOVNJAKOV</w:t>
      </w:r>
    </w:p>
    <w:p w:rsidR="0014362F" w:rsidRPr="00815544" w:rsidRDefault="0014362F" w:rsidP="0014362F">
      <w:pPr>
        <w:rPr>
          <w:rFonts w:cs="Arial"/>
          <w:szCs w:val="20"/>
          <w:lang w:eastAsia="ar-SA"/>
        </w:rPr>
      </w:pPr>
    </w:p>
    <w:p w:rsidR="0014362F" w:rsidRPr="00815544" w:rsidRDefault="0014362F" w:rsidP="0014362F">
      <w:pPr>
        <w:rPr>
          <w:rFonts w:cs="Arial"/>
          <w:bCs/>
          <w:szCs w:val="20"/>
        </w:rPr>
      </w:pPr>
      <w:r w:rsidRPr="00815544">
        <w:rPr>
          <w:rFonts w:cs="Arial"/>
          <w:szCs w:val="20"/>
          <w:lang w:eastAsia="ar-SA"/>
        </w:rPr>
        <w:t>Za pripravo predloga zakona ni bilo izvedenih plačil zunanjih strokovnjakov.</w:t>
      </w:r>
    </w:p>
    <w:p w:rsidR="0014362F" w:rsidRPr="00815544" w:rsidRDefault="0014362F" w:rsidP="0014362F">
      <w:pPr>
        <w:rPr>
          <w:rFonts w:cs="Arial"/>
          <w:b/>
          <w:szCs w:val="20"/>
        </w:rPr>
      </w:pPr>
    </w:p>
    <w:p w:rsidR="0014362F" w:rsidRPr="00815544" w:rsidRDefault="0014362F" w:rsidP="0014362F">
      <w:pPr>
        <w:numPr>
          <w:ilvl w:val="0"/>
          <w:numId w:val="4"/>
        </w:numPr>
        <w:rPr>
          <w:rFonts w:cs="Arial"/>
          <w:b/>
          <w:szCs w:val="20"/>
        </w:rPr>
      </w:pPr>
      <w:bookmarkStart w:id="9" w:name="_Hlk55899731"/>
      <w:r w:rsidRPr="00815544">
        <w:rPr>
          <w:rFonts w:cs="Arial"/>
          <w:b/>
          <w:szCs w:val="20"/>
        </w:rPr>
        <w:t>NAVEDBA, KATERI PREDSTAVNIKI PREDLAGATELJA BODO SODELOVALI PRI DELU DRŽAVNEGA ZBORA IN DELOVNIH TELES</w:t>
      </w:r>
    </w:p>
    <w:p w:rsidR="0014362F" w:rsidRPr="00815544" w:rsidRDefault="0014362F" w:rsidP="0014362F">
      <w:pPr>
        <w:rPr>
          <w:rFonts w:cs="Arial"/>
          <w:b/>
          <w:szCs w:val="20"/>
        </w:rPr>
      </w:pPr>
    </w:p>
    <w:bookmarkEnd w:id="9"/>
    <w:p w:rsidR="0014362F" w:rsidRPr="00815544" w:rsidRDefault="0014362F" w:rsidP="0014362F">
      <w:pPr>
        <w:rPr>
          <w:rFonts w:cs="Arial"/>
          <w:szCs w:val="20"/>
        </w:rPr>
      </w:pPr>
      <w:r w:rsidRPr="00815544">
        <w:rPr>
          <w:rFonts w:cs="Arial"/>
          <w:szCs w:val="20"/>
        </w:rPr>
        <w:t>– Klemen Boštjančič, minister,</w:t>
      </w:r>
    </w:p>
    <w:p w:rsidR="0014362F" w:rsidRPr="00815544" w:rsidRDefault="0014362F" w:rsidP="0014362F">
      <w:pPr>
        <w:rPr>
          <w:rFonts w:cs="Arial"/>
          <w:szCs w:val="20"/>
        </w:rPr>
      </w:pPr>
      <w:r w:rsidRPr="00815544">
        <w:rPr>
          <w:rFonts w:cs="Arial"/>
          <w:szCs w:val="20"/>
        </w:rPr>
        <w:t>– mag. Saša Jazbec, državna sekretarka,</w:t>
      </w:r>
    </w:p>
    <w:p w:rsidR="0014362F" w:rsidRDefault="0014362F" w:rsidP="0014362F">
      <w:pPr>
        <w:rPr>
          <w:rFonts w:cs="Arial"/>
          <w:szCs w:val="20"/>
        </w:rPr>
      </w:pPr>
      <w:r w:rsidRPr="00815544">
        <w:rPr>
          <w:rFonts w:cs="Arial"/>
          <w:szCs w:val="20"/>
        </w:rPr>
        <w:t>– Tilen Božič, državni sekretar,</w:t>
      </w:r>
    </w:p>
    <w:p w:rsidR="0014362F" w:rsidRPr="00815544" w:rsidRDefault="0014362F" w:rsidP="0014362F">
      <w:pPr>
        <w:rPr>
          <w:rFonts w:cs="Arial"/>
          <w:szCs w:val="20"/>
        </w:rPr>
      </w:pPr>
      <w:r w:rsidRPr="00815544">
        <w:rPr>
          <w:rFonts w:cs="Arial"/>
          <w:szCs w:val="20"/>
        </w:rPr>
        <w:t xml:space="preserve">– </w:t>
      </w:r>
      <w:proofErr w:type="spellStart"/>
      <w:r>
        <w:rPr>
          <w:rFonts w:cs="Arial"/>
          <w:szCs w:val="20"/>
        </w:rPr>
        <w:t>Nikolina</w:t>
      </w:r>
      <w:proofErr w:type="spellEnd"/>
      <w:r>
        <w:rPr>
          <w:rFonts w:cs="Arial"/>
          <w:szCs w:val="20"/>
        </w:rPr>
        <w:t xml:space="preserve"> Prah, državna sekretarka,</w:t>
      </w:r>
    </w:p>
    <w:p w:rsidR="0014362F" w:rsidRPr="00815544" w:rsidRDefault="0014362F" w:rsidP="0014362F">
      <w:pPr>
        <w:rPr>
          <w:rFonts w:cs="Arial"/>
          <w:szCs w:val="20"/>
        </w:rPr>
      </w:pPr>
      <w:r w:rsidRPr="00815544">
        <w:rPr>
          <w:rFonts w:cs="Arial"/>
          <w:szCs w:val="20"/>
        </w:rPr>
        <w:t>– Urška Cvelbar, generalna direktorica Direktorata za finančni sistem,</w:t>
      </w:r>
    </w:p>
    <w:p w:rsidR="0014362F" w:rsidRPr="00815544" w:rsidRDefault="0014362F" w:rsidP="0014362F">
      <w:pPr>
        <w:rPr>
          <w:rFonts w:cs="Arial"/>
          <w:szCs w:val="20"/>
        </w:rPr>
      </w:pPr>
      <w:r w:rsidRPr="00815544">
        <w:rPr>
          <w:rFonts w:cs="Arial"/>
          <w:szCs w:val="20"/>
        </w:rPr>
        <w:t xml:space="preserve">– mag. Nejka </w:t>
      </w:r>
      <w:proofErr w:type="spellStart"/>
      <w:r w:rsidRPr="00815544">
        <w:rPr>
          <w:rFonts w:cs="Arial"/>
          <w:szCs w:val="20"/>
        </w:rPr>
        <w:t>Štibernik</w:t>
      </w:r>
      <w:proofErr w:type="spellEnd"/>
      <w:r w:rsidRPr="00815544">
        <w:rPr>
          <w:rFonts w:cs="Arial"/>
          <w:szCs w:val="20"/>
        </w:rPr>
        <w:t>, podsekretarka, Sektor za zavarovalništvo in trg kapitala.</w:t>
      </w:r>
    </w:p>
    <w:p w:rsidR="0014362F" w:rsidRPr="00815544" w:rsidRDefault="0014362F" w:rsidP="0014362F">
      <w:pPr>
        <w:rPr>
          <w:rFonts w:cs="Arial"/>
          <w:szCs w:val="20"/>
        </w:rPr>
      </w:pPr>
      <w:r w:rsidRPr="00815544">
        <w:rPr>
          <w:rFonts w:cs="Arial"/>
          <w:szCs w:val="20"/>
        </w:rPr>
        <w:t>– mag. Nada Bizjak, analitik, Sektor za zavarovalništvo in trg kapitala.</w:t>
      </w:r>
    </w:p>
    <w:p w:rsidR="0014362F" w:rsidRPr="00815544" w:rsidRDefault="0014362F" w:rsidP="0014362F">
      <w:pPr>
        <w:rPr>
          <w:rFonts w:cs="Arial"/>
          <w:b/>
          <w:bCs/>
          <w:szCs w:val="20"/>
        </w:rPr>
      </w:pPr>
      <w:r w:rsidRPr="00815544">
        <w:rPr>
          <w:rFonts w:cs="Arial"/>
          <w:szCs w:val="20"/>
        </w:rPr>
        <w:br w:type="page"/>
      </w:r>
      <w:r w:rsidRPr="00815544">
        <w:rPr>
          <w:rFonts w:cs="Arial"/>
          <w:b/>
          <w:bCs/>
          <w:szCs w:val="20"/>
        </w:rPr>
        <w:lastRenderedPageBreak/>
        <w:t>II. BESEDILO ČLENOV</w:t>
      </w:r>
    </w:p>
    <w:p w:rsidR="0014362F" w:rsidRPr="00815544" w:rsidRDefault="0014362F" w:rsidP="0014362F">
      <w:pPr>
        <w:jc w:val="both"/>
        <w:rPr>
          <w:rFonts w:eastAsia="Calibri" w:cs="Arial"/>
          <w:szCs w:val="20"/>
          <w:lang w:eastAsia="sl-SI"/>
        </w:rPr>
      </w:pPr>
    </w:p>
    <w:p w:rsidR="0014362F" w:rsidRPr="00815544" w:rsidRDefault="0014362F" w:rsidP="0014362F">
      <w:pPr>
        <w:jc w:val="both"/>
        <w:rPr>
          <w:rFonts w:eastAsia="Calibri" w:cs="Arial"/>
          <w:szCs w:val="20"/>
          <w:lang w:eastAsia="sl-SI"/>
        </w:rPr>
      </w:pPr>
    </w:p>
    <w:p w:rsidR="0014362F" w:rsidRPr="00815544" w:rsidRDefault="0014362F" w:rsidP="0014362F">
      <w:pPr>
        <w:pStyle w:val="len"/>
        <w:spacing w:before="0" w:line="260" w:lineRule="exact"/>
        <w:ind w:left="1080"/>
        <w:jc w:val="left"/>
        <w:rPr>
          <w:rFonts w:cs="Arial"/>
          <w:sz w:val="20"/>
          <w:szCs w:val="20"/>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 člen</w:t>
      </w:r>
    </w:p>
    <w:p w:rsidR="0014362F" w:rsidRPr="00815544" w:rsidRDefault="0014362F" w:rsidP="0014362F">
      <w:pPr>
        <w:pStyle w:val="lennaslov"/>
        <w:spacing w:line="260" w:lineRule="exact"/>
        <w:rPr>
          <w:rFonts w:cs="Arial"/>
          <w:sz w:val="20"/>
          <w:szCs w:val="20"/>
        </w:rPr>
      </w:pPr>
      <w:r w:rsidRPr="00815544">
        <w:rPr>
          <w:rFonts w:cs="Arial"/>
          <w:sz w:val="20"/>
          <w:szCs w:val="20"/>
        </w:rPr>
        <w:t>(vsebina zakona)</w:t>
      </w:r>
    </w:p>
    <w:p w:rsidR="0014362F" w:rsidRPr="00815544" w:rsidRDefault="0014362F" w:rsidP="0014362F">
      <w:pPr>
        <w:pStyle w:val="lennaslov"/>
        <w:spacing w:line="260" w:lineRule="exact"/>
        <w:rPr>
          <w:rFonts w:cs="Arial"/>
          <w:sz w:val="20"/>
          <w:szCs w:val="20"/>
        </w:rPr>
      </w:pPr>
    </w:p>
    <w:p w:rsidR="0014362F" w:rsidRPr="00815544" w:rsidRDefault="0014362F" w:rsidP="0014362F">
      <w:pPr>
        <w:jc w:val="both"/>
        <w:rPr>
          <w:rFonts w:cs="Arial"/>
          <w:szCs w:val="20"/>
        </w:rPr>
      </w:pPr>
      <w:bookmarkStart w:id="10" w:name="_Hlk66349862"/>
      <w:bookmarkStart w:id="11" w:name="_Hlk98250811"/>
      <w:r w:rsidRPr="00815544">
        <w:rPr>
          <w:rFonts w:cs="Arial"/>
          <w:szCs w:val="20"/>
        </w:rPr>
        <w:t xml:space="preserve">Ta zakon določa: </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 xml:space="preserve">1. pristojni organ za izvajanje Uredbe (EU) 2019/1238 Evropskega parlamenta in Sveta z dne 20. junija 2021 o vseevropskem osebnem pokojninskem produktu (UL L št. 198 z dne 25. 7. 2019, str. 1), zadnjič spremenjene z Delegirano uredbo Komisije (EU) 2021/896 z dne 24. februarja 2021 o dopolnitvi Uredbe (EU) 2019/1238 Evropskega parlamenta in Sveta v zvezi z dodatnimi informacijami za namene zbliževanja nadzornega poročanja (UL L št. 197 z dne 4. 6. 2021, str. 5), (v nadaljnjem besedilu: Uredba 2019/1238/EU) in tega zakona; </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 xml:space="preserve">2. pooblastila pristojnega organa in njegovo dolžnost sodelovanja in opravljanje nadzora v skladu z Uredbo 2019/1238/EU in tem zakonom; </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 xml:space="preserve">3. merila, ki se uporabljajo za ocenjevanje znanja in sposobnosti oseb, ki opravljajo distribucijo vseevropskega osebnega pokojninskega produkta (v nadaljnjem besedilu: PEPP); </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4. pogoje varčevanja v PEPP in pogoje izplačevanja iz PEPP;</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 xml:space="preserve">5. obveznosti poročanja Evropskemu organu za zavarovanja in poklicne pokojnine (v nadaljnjem besedilu: EIOPA); </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6. objavo anonimnih podatkov o izrečenih nadzornih ukrepih na spletni strani pristojnega nacionalnega nadzornega organa in</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7. nadzorne ukrepe in prekrške ter globe v zvezi z izvajanjem Uredbe 2019/1238/EU.</w:t>
      </w:r>
      <w:bookmarkEnd w:id="10"/>
    </w:p>
    <w:bookmarkEnd w:id="11"/>
    <w:p w:rsidR="0014362F" w:rsidRDefault="0014362F" w:rsidP="0014362F">
      <w:pPr>
        <w:pStyle w:val="Odstavekseznama"/>
        <w:jc w:val="both"/>
        <w:rPr>
          <w:rFonts w:cs="Arial"/>
          <w:szCs w:val="20"/>
        </w:rPr>
      </w:pPr>
    </w:p>
    <w:p w:rsidR="0014362F" w:rsidRPr="00815544" w:rsidRDefault="0014362F" w:rsidP="0014362F">
      <w:pPr>
        <w:pStyle w:val="Odstavekseznama"/>
        <w:jc w:val="both"/>
        <w:rPr>
          <w:rFonts w:cs="Arial"/>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2. člen</w:t>
      </w:r>
    </w:p>
    <w:p w:rsidR="0014362F" w:rsidRPr="00815544" w:rsidRDefault="0014362F" w:rsidP="0014362F">
      <w:pPr>
        <w:pStyle w:val="lennaslov"/>
        <w:spacing w:line="260" w:lineRule="exact"/>
        <w:rPr>
          <w:rFonts w:cs="Arial"/>
          <w:sz w:val="20"/>
          <w:szCs w:val="20"/>
        </w:rPr>
      </w:pPr>
      <w:r w:rsidRPr="00815544">
        <w:rPr>
          <w:rFonts w:cs="Arial"/>
          <w:sz w:val="20"/>
          <w:szCs w:val="20"/>
        </w:rPr>
        <w:t>(pristojni organ)</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Agencija za zavarovalni nadzor (v nadaljnjem besedilu: agencija)</w:t>
      </w:r>
      <w:r w:rsidRPr="00815544">
        <w:rPr>
          <w:rFonts w:cs="Arial"/>
          <w:sz w:val="20"/>
          <w:szCs w:val="20"/>
        </w:rPr>
        <w:t xml:space="preserve"> </w:t>
      </w:r>
      <w:r w:rsidRPr="00815544">
        <w:rPr>
          <w:rFonts w:cs="Arial"/>
          <w:b w:val="0"/>
          <w:bCs/>
          <w:sz w:val="20"/>
          <w:szCs w:val="20"/>
        </w:rPr>
        <w:t xml:space="preserve">je pristojna za izvajanje Uredbe 2019/1238/EU in tega zakona v zvezi s ponudniki PEPP in distributerji PEPP. </w:t>
      </w:r>
    </w:p>
    <w:p w:rsidR="0014362F" w:rsidRDefault="0014362F" w:rsidP="0014362F">
      <w:pPr>
        <w:pStyle w:val="len"/>
        <w:spacing w:before="0" w:line="260" w:lineRule="exact"/>
        <w:jc w:val="both"/>
        <w:rPr>
          <w:rFonts w:cs="Arial"/>
          <w:b w:val="0"/>
          <w:bCs/>
          <w:sz w:val="20"/>
          <w:szCs w:val="20"/>
        </w:rPr>
      </w:pPr>
    </w:p>
    <w:p w:rsidR="0014362F" w:rsidRPr="00815544" w:rsidRDefault="0014362F" w:rsidP="0014362F">
      <w:pPr>
        <w:pStyle w:val="len"/>
        <w:spacing w:before="0" w:line="260" w:lineRule="exact"/>
        <w:jc w:val="both"/>
        <w:rPr>
          <w:rFonts w:cs="Arial"/>
          <w:b w:val="0"/>
          <w:bCs/>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3. člen</w:t>
      </w:r>
    </w:p>
    <w:p w:rsidR="0014362F" w:rsidRPr="00815544" w:rsidRDefault="0014362F" w:rsidP="0014362F">
      <w:pPr>
        <w:pStyle w:val="lennaslov"/>
        <w:spacing w:line="260" w:lineRule="exact"/>
        <w:rPr>
          <w:rFonts w:cs="Arial"/>
          <w:sz w:val="20"/>
          <w:szCs w:val="20"/>
        </w:rPr>
      </w:pPr>
      <w:r w:rsidRPr="00815544">
        <w:rPr>
          <w:rFonts w:cs="Arial"/>
          <w:sz w:val="20"/>
          <w:szCs w:val="20"/>
        </w:rPr>
        <w:t>(pristojnost agencije)</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 xml:space="preserve">(1) Agencija ima vse nadzorne pristojnosti, potrebne za izvajanje nalog iz Uredbe 2019/1238/EU in tega zakona. </w:t>
      </w:r>
    </w:p>
    <w:p w:rsidR="0014362F" w:rsidRPr="00815544" w:rsidRDefault="0014362F" w:rsidP="0014362F">
      <w:pPr>
        <w:pStyle w:val="len"/>
        <w:spacing w:before="0" w:line="260" w:lineRule="exact"/>
        <w:jc w:val="both"/>
        <w:rPr>
          <w:rFonts w:cs="Arial"/>
          <w:b w:val="0"/>
          <w:bCs/>
          <w:sz w:val="20"/>
          <w:szCs w:val="20"/>
        </w:rPr>
      </w:pP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(2) Za opravljanje nadzora in odločanje agencije v posamičnih zadevah se, če Uredba 2019/1238/EU ne določa drugače, smiselno uporabljajo določbe zakona, ki ureja zavarovalništvo. </w:t>
      </w:r>
    </w:p>
    <w:p w:rsidR="0014362F" w:rsidRDefault="0014362F" w:rsidP="0014362F">
      <w:pPr>
        <w:jc w:val="both"/>
        <w:rPr>
          <w:rFonts w:cs="Arial"/>
          <w:bCs/>
          <w:szCs w:val="20"/>
        </w:rPr>
      </w:pPr>
    </w:p>
    <w:p w:rsidR="0014362F" w:rsidRPr="00815544" w:rsidRDefault="0014362F" w:rsidP="0014362F">
      <w:pPr>
        <w:jc w:val="both"/>
        <w:rPr>
          <w:rFonts w:cs="Arial"/>
          <w:bCs/>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4. člen</w:t>
      </w:r>
    </w:p>
    <w:p w:rsidR="0014362F" w:rsidRPr="00815544" w:rsidRDefault="0014362F" w:rsidP="0014362F">
      <w:pPr>
        <w:pStyle w:val="len"/>
        <w:spacing w:before="0" w:line="260" w:lineRule="exact"/>
        <w:rPr>
          <w:rFonts w:cs="Arial"/>
          <w:sz w:val="20"/>
          <w:szCs w:val="20"/>
        </w:rPr>
      </w:pPr>
      <w:r w:rsidRPr="00815544">
        <w:rPr>
          <w:rFonts w:cs="Arial"/>
          <w:sz w:val="20"/>
          <w:szCs w:val="20"/>
        </w:rPr>
        <w:t>(sodelovanje agencije z drugimi pristojnimi organi in EIOPA)</w:t>
      </w:r>
    </w:p>
    <w:p w:rsidR="0014362F" w:rsidRPr="00815544" w:rsidRDefault="0014362F" w:rsidP="0014362F">
      <w:pPr>
        <w:pStyle w:val="len"/>
        <w:spacing w:before="0" w:line="260" w:lineRule="exact"/>
        <w:jc w:val="left"/>
        <w:rPr>
          <w:rFonts w:cs="Arial"/>
          <w:b w:val="0"/>
          <w:bCs/>
          <w:sz w:val="20"/>
          <w:szCs w:val="20"/>
        </w:rPr>
      </w:pPr>
    </w:p>
    <w:p w:rsidR="0014362F" w:rsidRPr="00815544" w:rsidRDefault="0014362F" w:rsidP="0014362F">
      <w:pPr>
        <w:jc w:val="both"/>
        <w:rPr>
          <w:rFonts w:cs="Arial"/>
          <w:szCs w:val="20"/>
        </w:rPr>
      </w:pPr>
      <w:r w:rsidRPr="00815544">
        <w:rPr>
          <w:rFonts w:cs="Arial"/>
          <w:szCs w:val="20"/>
        </w:rPr>
        <w:t>(1) Za izpolnjevanje svojih pristojnosti iz Uredbe 2019/1238/EU in tega zakona agencija sodeluje s pristojnim organom ponudnika ali distributerja PEPP, če to ni agencija, in EIOPA ter si z njima izmenjuje vse dokumente in informacije, potrebne za opravljanje svojih dolžnosti, zlasti za prepoznavanje in odpravo kršitev iz Uredbe 2019/1238/EU.</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lastRenderedPageBreak/>
        <w:t>(2) Agencija obvesti EIOPA o vseh nadzornih ukrepih in drugih ukrepih, ki so bili javno objavljeni, ter o vseh nadzornih ukrepih, ki so bili izrečeni, vendar niso bili objavljeni v skladu z 10. členom tega zakona, vključno z morebitnimi pritožbami v zvezi z njimi in njihovim izidom.</w:t>
      </w:r>
    </w:p>
    <w:p w:rsidR="0014362F" w:rsidRDefault="0014362F" w:rsidP="0014362F">
      <w:pPr>
        <w:jc w:val="both"/>
        <w:rPr>
          <w:rFonts w:cs="Arial"/>
          <w:szCs w:val="20"/>
        </w:rPr>
      </w:pPr>
    </w:p>
    <w:p w:rsidR="0014362F" w:rsidRDefault="0014362F" w:rsidP="0014362F">
      <w:pPr>
        <w:jc w:val="both"/>
        <w:rPr>
          <w:rFonts w:cs="Arial"/>
          <w:szCs w:val="20"/>
        </w:rPr>
      </w:pPr>
    </w:p>
    <w:p w:rsidR="0014362F" w:rsidRDefault="0014362F" w:rsidP="0014362F">
      <w:pPr>
        <w:jc w:val="both"/>
        <w:rPr>
          <w:rFonts w:cs="Arial"/>
          <w:szCs w:val="20"/>
        </w:rPr>
      </w:pPr>
    </w:p>
    <w:p w:rsidR="0014362F" w:rsidRPr="00815544" w:rsidRDefault="0014362F" w:rsidP="0014362F">
      <w:pPr>
        <w:jc w:val="both"/>
        <w:rPr>
          <w:rFonts w:cs="Arial"/>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 xml:space="preserve">5. člen </w:t>
      </w:r>
    </w:p>
    <w:p w:rsidR="0014362F" w:rsidRPr="00815544" w:rsidRDefault="0014362F" w:rsidP="0014362F">
      <w:pPr>
        <w:pStyle w:val="len"/>
        <w:spacing w:before="0" w:line="260" w:lineRule="exact"/>
        <w:rPr>
          <w:rFonts w:cs="Arial"/>
          <w:sz w:val="20"/>
          <w:szCs w:val="20"/>
        </w:rPr>
      </w:pPr>
      <w:r w:rsidRPr="00815544">
        <w:rPr>
          <w:rFonts w:cs="Arial"/>
          <w:sz w:val="20"/>
          <w:szCs w:val="20"/>
        </w:rPr>
        <w:t>(način opravljanja nadzora)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(1) Agencija v okviru pristojnosti nadzora nad ponudniki PEPP in distributerji PEPP:</w:t>
      </w:r>
    </w:p>
    <w:p w:rsidR="0014362F" w:rsidRPr="00815544" w:rsidRDefault="0014362F" w:rsidP="0014362F">
      <w:pPr>
        <w:pStyle w:val="Odstavekseznama"/>
        <w:numPr>
          <w:ilvl w:val="0"/>
          <w:numId w:val="9"/>
        </w:numPr>
        <w:jc w:val="both"/>
        <w:rPr>
          <w:rFonts w:cs="Arial"/>
          <w:szCs w:val="20"/>
        </w:rPr>
      </w:pPr>
      <w:r w:rsidRPr="00815544">
        <w:rPr>
          <w:rFonts w:cs="Arial"/>
          <w:szCs w:val="20"/>
        </w:rPr>
        <w:t>spremlja, zbira in preverja poročila in obvestila ponudnikov in distributerjev PEPP, ki so v skladu z</w:t>
      </w:r>
      <w:r w:rsidRPr="00815544">
        <w:t xml:space="preserve"> </w:t>
      </w:r>
      <w:r w:rsidRPr="00815544">
        <w:rPr>
          <w:rFonts w:cs="Arial"/>
          <w:szCs w:val="20"/>
        </w:rPr>
        <w:t>Uredbo 2019/1238/EU in tem zakonom dolžni poročati Agenciji in jo obveščati o posameznih dejstvih in okoliščinah;</w:t>
      </w:r>
    </w:p>
    <w:p w:rsidR="0014362F" w:rsidRPr="00815544" w:rsidRDefault="0014362F" w:rsidP="0014362F">
      <w:pPr>
        <w:pStyle w:val="Odstavekseznama"/>
        <w:numPr>
          <w:ilvl w:val="0"/>
          <w:numId w:val="9"/>
        </w:numPr>
        <w:jc w:val="both"/>
        <w:rPr>
          <w:rFonts w:cs="Arial"/>
          <w:szCs w:val="20"/>
        </w:rPr>
      </w:pPr>
      <w:r w:rsidRPr="00815544">
        <w:rPr>
          <w:rFonts w:cs="Arial"/>
          <w:szCs w:val="20"/>
        </w:rPr>
        <w:t>opravlja preglede poslovanja ponudnikov in distributerjev PEPP;</w:t>
      </w:r>
    </w:p>
    <w:p w:rsidR="0014362F" w:rsidRPr="00815544" w:rsidRDefault="0014362F" w:rsidP="0014362F">
      <w:pPr>
        <w:pStyle w:val="Odstavekseznama"/>
        <w:numPr>
          <w:ilvl w:val="0"/>
          <w:numId w:val="9"/>
        </w:numPr>
        <w:jc w:val="both"/>
        <w:rPr>
          <w:rFonts w:cs="Arial"/>
          <w:szCs w:val="20"/>
        </w:rPr>
      </w:pPr>
      <w:r w:rsidRPr="00815544">
        <w:rPr>
          <w:rFonts w:cs="Arial"/>
          <w:szCs w:val="20"/>
        </w:rPr>
        <w:t>izreka ukrepe nadzora v skladu z  zakonom, ki ureja zavarovalništvo.</w:t>
      </w:r>
    </w:p>
    <w:p w:rsidR="0014362F" w:rsidRPr="00815544" w:rsidRDefault="0014362F" w:rsidP="0014362F">
      <w:pPr>
        <w:jc w:val="both"/>
        <w:rPr>
          <w:rFonts w:cs="Arial"/>
          <w:szCs w:val="20"/>
        </w:rPr>
      </w:pP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(2) Agencija izvaja naloge in pristojnosti iz prvega odstavka 3. člena tega zakona tudi tako, da:</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1. zahteva dostop do vseh dokumentov v vsakršni obliki in prejem njihovega izvoda od vsake osebe, za katero obstaja sum, da ponuja ali distribuira PEPP;</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2. zahteva, da ponudnik ali distributer PEPP zagotovi zahtevane informacije v roku, določenem z zahtevo;</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3. zahteva informacije od katere koli osebe, povezane z dejavnostjo ponujanja ali distribuiranja PEPP;</w:t>
      </w:r>
    </w:p>
    <w:p w:rsidR="0014362F" w:rsidRPr="00815544" w:rsidRDefault="0014362F" w:rsidP="0014362F">
      <w:pPr>
        <w:pStyle w:val="len"/>
        <w:spacing w:before="0" w:line="260" w:lineRule="exact"/>
        <w:jc w:val="both"/>
        <w:rPr>
          <w:rFonts w:cs="Arial"/>
          <w:b w:val="0"/>
          <w:bCs/>
          <w:sz w:val="20"/>
          <w:szCs w:val="20"/>
        </w:rPr>
      </w:pPr>
      <w:r w:rsidRPr="00815544">
        <w:rPr>
          <w:rFonts w:cs="Arial"/>
          <w:b w:val="0"/>
          <w:bCs/>
          <w:sz w:val="20"/>
          <w:szCs w:val="20"/>
        </w:rPr>
        <w:t>4. izvaja preglede na kraju samem s predhodno najavo ali brez nje v skladu z zakonom, ki ureja zavarovalništvo;</w:t>
      </w:r>
    </w:p>
    <w:p w:rsidR="0014362F" w:rsidRPr="00815544" w:rsidRDefault="0014362F" w:rsidP="0014362F">
      <w:pPr>
        <w:pStyle w:val="len"/>
        <w:spacing w:before="0" w:line="260" w:lineRule="exact"/>
        <w:jc w:val="both"/>
        <w:rPr>
          <w:rFonts w:cs="Arial"/>
          <w:szCs w:val="20"/>
        </w:rPr>
      </w:pPr>
      <w:r w:rsidRPr="00815544">
        <w:rPr>
          <w:rFonts w:cs="Arial"/>
          <w:b w:val="0"/>
          <w:bCs/>
          <w:sz w:val="20"/>
          <w:szCs w:val="20"/>
        </w:rPr>
        <w:t>5. sprejema ustrezne nadzorne ukrepe, s katerimi se zagotovi, da oseba, ki ponuja ali distribuira PEPP, oziroma ponudnik PEPP ali distributer PEPP, ravna v skladu z Uredbo 2019/1238/EU in tem zakonom.</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(3) Agencija pri opravljanju nadzora svoja pooblastila uporablja pravočasno in sorazmerno glede na velikost, vrsto, obseg in zahtevnost tveganj, povezanih z dejavnostjo ponujanja in distribucije PEPP. Obseg zbranih sredstev in zahtevnost tveganj PEPP se upošteva tudi pri določitvi pogostosti in obsega izvajanja nadzora.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(4) Agencija nadzoruje izvajanje nad ponudniki PEPP in distributerji PEPP v skladu z Uredbo 2019/1238/EU in tem zakonom.</w:t>
      </w:r>
    </w:p>
    <w:p w:rsidR="0014362F" w:rsidRPr="00DD53D2" w:rsidRDefault="0014362F" w:rsidP="0014362F">
      <w:pPr>
        <w:pStyle w:val="len"/>
        <w:spacing w:before="0" w:line="260" w:lineRule="exact"/>
        <w:jc w:val="left"/>
        <w:rPr>
          <w:sz w:val="20"/>
        </w:rPr>
      </w:pPr>
    </w:p>
    <w:p w:rsidR="0014362F" w:rsidRPr="00815544" w:rsidRDefault="0014362F" w:rsidP="0014362F">
      <w:pPr>
        <w:pStyle w:val="len"/>
        <w:spacing w:before="0" w:line="260" w:lineRule="exact"/>
        <w:jc w:val="lef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6. člen</w:t>
      </w:r>
    </w:p>
    <w:p w:rsidR="0014362F" w:rsidRPr="00815544" w:rsidRDefault="0014362F" w:rsidP="0014362F">
      <w:pPr>
        <w:pStyle w:val="lennaslov"/>
        <w:spacing w:line="260" w:lineRule="exact"/>
        <w:rPr>
          <w:rFonts w:cs="Arial"/>
          <w:sz w:val="20"/>
          <w:szCs w:val="20"/>
        </w:rPr>
      </w:pPr>
      <w:r w:rsidRPr="00815544">
        <w:rPr>
          <w:rFonts w:cs="Arial"/>
          <w:sz w:val="20"/>
          <w:szCs w:val="20"/>
        </w:rPr>
        <w:t>(izvajanje pristojnosti agencije in uporaba določb o postopku)</w:t>
      </w:r>
    </w:p>
    <w:p w:rsidR="0014362F" w:rsidRPr="00815544" w:rsidRDefault="0014362F" w:rsidP="0014362F">
      <w:pPr>
        <w:pStyle w:val="odstavek0"/>
        <w:shd w:val="clear" w:color="auto" w:fill="FFFFFF"/>
        <w:spacing w:before="0" w:beforeAutospacing="0" w:after="0" w:afterAutospacing="0" w:line="260" w:lineRule="exact"/>
        <w:jc w:val="both"/>
        <w:rPr>
          <w:rFonts w:ascii="Arial" w:hAnsi="Arial" w:cs="Arial"/>
          <w:sz w:val="20"/>
          <w:szCs w:val="20"/>
        </w:rPr>
      </w:pPr>
    </w:p>
    <w:p w:rsidR="0014362F" w:rsidRPr="00815544" w:rsidRDefault="0014362F" w:rsidP="0014362F">
      <w:pPr>
        <w:jc w:val="both"/>
        <w:rPr>
          <w:rFonts w:cs="Arial"/>
          <w:szCs w:val="20"/>
        </w:rPr>
      </w:pPr>
      <w:r w:rsidRPr="00815544">
        <w:rPr>
          <w:rFonts w:cs="Arial"/>
          <w:szCs w:val="20"/>
        </w:rPr>
        <w:t xml:space="preserve">(1) Agencija izvaja nadzor in izreka nadzorne ukrepe v skladu z Uredbo 2019/1238/EU, pri čemer se smiselno uporabljajo določbe zakona, ki ureja zavarovalništvo.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(2) V postopkih iz prejšnjega odstavka Agencija upošteva tudi obvestila in informacije iz prvega odstavka 4. člena tega zakona.</w:t>
      </w:r>
      <w:r w:rsidRPr="00815544" w:rsidDel="007B3512">
        <w:rPr>
          <w:rFonts w:cs="Arial"/>
          <w:szCs w:val="20"/>
        </w:rPr>
        <w:t xml:space="preserve">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(3) Za postopke odločanja o posamičnih zadevah, za katere je pristojna Agencija v skladu s tem zakonom ali Uredbo 2019/1238/EU in postopkov za sodno varstvo, se smiselno uporabljajo določbe zakona, ki ureja zavarovalništvo.</w:t>
      </w:r>
      <w:r w:rsidRPr="00815544" w:rsidDel="007B3512">
        <w:rPr>
          <w:rFonts w:cs="Arial"/>
          <w:szCs w:val="20"/>
        </w:rPr>
        <w:t xml:space="preserve"> </w:t>
      </w: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lastRenderedPageBreak/>
        <w:t>7. člen</w:t>
      </w:r>
    </w:p>
    <w:p w:rsidR="0014362F" w:rsidRPr="00815544" w:rsidRDefault="0014362F" w:rsidP="0014362F">
      <w:pPr>
        <w:pStyle w:val="lennaslov"/>
        <w:spacing w:line="260" w:lineRule="exact"/>
        <w:rPr>
          <w:rFonts w:cs="Arial"/>
          <w:sz w:val="20"/>
          <w:szCs w:val="20"/>
        </w:rPr>
      </w:pPr>
      <w:r w:rsidRPr="00815544">
        <w:rPr>
          <w:rFonts w:cs="Arial"/>
          <w:sz w:val="20"/>
          <w:szCs w:val="20"/>
        </w:rPr>
        <w:t>(pogoji varčevanja v PEPP)</w:t>
      </w:r>
    </w:p>
    <w:p w:rsidR="0014362F" w:rsidRPr="00815544" w:rsidRDefault="0014362F" w:rsidP="0014362F">
      <w:pPr>
        <w:pStyle w:val="lennaslov"/>
        <w:spacing w:line="260" w:lineRule="exact"/>
        <w:jc w:val="left"/>
        <w:rPr>
          <w:rFonts w:cs="Arial"/>
          <w:sz w:val="20"/>
          <w:szCs w:val="20"/>
        </w:rPr>
      </w:pPr>
    </w:p>
    <w:p w:rsidR="0014362F" w:rsidRPr="00815544" w:rsidRDefault="0014362F" w:rsidP="0014362F">
      <w:pPr>
        <w:pStyle w:val="lennaslov"/>
        <w:spacing w:line="260" w:lineRule="exact"/>
        <w:jc w:val="both"/>
        <w:rPr>
          <w:rFonts w:cs="Arial"/>
          <w:b w:val="0"/>
          <w:bCs/>
          <w:sz w:val="20"/>
          <w:szCs w:val="20"/>
        </w:rPr>
      </w:pPr>
      <w:r w:rsidRPr="00815544">
        <w:rPr>
          <w:rFonts w:cs="Arial"/>
          <w:b w:val="0"/>
          <w:bCs/>
          <w:sz w:val="20"/>
          <w:szCs w:val="20"/>
        </w:rPr>
        <w:t>(1) Varčevanje v PEPP smejo skleniti osebe, ki so dopolnile starost 15 let.</w:t>
      </w:r>
    </w:p>
    <w:p w:rsidR="0014362F" w:rsidRPr="00815544" w:rsidRDefault="0014362F" w:rsidP="0014362F">
      <w:pPr>
        <w:pStyle w:val="lennaslov"/>
        <w:spacing w:line="260" w:lineRule="exact"/>
        <w:jc w:val="both"/>
        <w:rPr>
          <w:rFonts w:cs="Arial"/>
          <w:b w:val="0"/>
          <w:bCs/>
          <w:sz w:val="20"/>
          <w:szCs w:val="20"/>
        </w:rPr>
      </w:pPr>
    </w:p>
    <w:p w:rsidR="0014362F" w:rsidRPr="00815544" w:rsidRDefault="0014362F" w:rsidP="0014362F">
      <w:pPr>
        <w:pStyle w:val="lennaslov"/>
        <w:spacing w:line="260" w:lineRule="exact"/>
        <w:jc w:val="both"/>
        <w:rPr>
          <w:rFonts w:cs="Arial"/>
          <w:b w:val="0"/>
          <w:bCs/>
          <w:sz w:val="20"/>
          <w:szCs w:val="20"/>
        </w:rPr>
      </w:pPr>
      <w:r w:rsidRPr="00815544">
        <w:rPr>
          <w:rFonts w:cs="Arial"/>
          <w:b w:val="0"/>
          <w:bCs/>
          <w:sz w:val="20"/>
          <w:szCs w:val="20"/>
        </w:rPr>
        <w:t>(2) V skladu z Uredbo 2019/1238/EU pogoje, povezane s fazo varčevanja, objavi in posodablja ministrstvo, pristojno za delo, družino, socialne zadeve in enake možnosti.</w:t>
      </w:r>
    </w:p>
    <w:p w:rsidR="0014362F"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8. člen</w:t>
      </w:r>
    </w:p>
    <w:p w:rsidR="0014362F" w:rsidRPr="00815544" w:rsidRDefault="0014362F" w:rsidP="0014362F">
      <w:pPr>
        <w:pStyle w:val="lennaslov"/>
        <w:spacing w:line="260" w:lineRule="exact"/>
        <w:rPr>
          <w:rFonts w:cs="Arial"/>
          <w:sz w:val="20"/>
          <w:szCs w:val="20"/>
        </w:rPr>
      </w:pPr>
      <w:r w:rsidRPr="00815544">
        <w:rPr>
          <w:rFonts w:cs="Arial"/>
          <w:sz w:val="20"/>
          <w:szCs w:val="20"/>
        </w:rPr>
        <w:t>(pogoji izplačevanja v PEPP)</w:t>
      </w:r>
    </w:p>
    <w:p w:rsidR="0014362F" w:rsidRPr="00815544" w:rsidRDefault="0014362F" w:rsidP="0014362F">
      <w:pPr>
        <w:pStyle w:val="lennaslov"/>
        <w:spacing w:line="260" w:lineRule="exact"/>
        <w:jc w:val="both"/>
        <w:rPr>
          <w:rFonts w:cs="Arial"/>
          <w:b w:val="0"/>
          <w:bCs/>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(1) Varčevalec v PEPP pridobi pravico do izplačevanja izplačil v okviru PEPP, ko dopolni starost 65 let ali ko uveljavi pravico do predčasne pokojnine, starostne pokojnine, invalidske pokojnine, vdovske pokojnine ali poklicne pokojnine v skladu s predpisi, ki urejajo obvezno pokojninsko in invalidsko zavarovanje.</w:t>
      </w:r>
    </w:p>
    <w:p w:rsidR="0014362F" w:rsidRPr="00815544" w:rsidRDefault="0014362F" w:rsidP="0014362F">
      <w:pPr>
        <w:pStyle w:val="Odstavek"/>
        <w:spacing w:before="0" w:line="260" w:lineRule="exact"/>
        <w:ind w:firstLine="0"/>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 xml:space="preserve">(2) Ne glede na prejšnji odstavek ponudnik PEPP omogoči izplačilo enkratnega zneska pred izpolnitvijo pogojev iz prejšnjega odstavka, če so za to podani utemeljeni razlogi v zvezi s socialnim položajem ali zdravstvenim stanjem varčevalca v PEPP. </w:t>
      </w:r>
    </w:p>
    <w:p w:rsidR="0014362F" w:rsidRPr="00815544" w:rsidRDefault="0014362F" w:rsidP="0014362F">
      <w:pPr>
        <w:pStyle w:val="Odstavek"/>
        <w:spacing w:before="0" w:line="260" w:lineRule="exact"/>
        <w:ind w:firstLine="0"/>
        <w:jc w:val="left"/>
        <w:rPr>
          <w:rFonts w:cs="Arial"/>
          <w:sz w:val="20"/>
          <w:szCs w:val="20"/>
        </w:rPr>
      </w:pPr>
    </w:p>
    <w:p w:rsidR="0014362F" w:rsidRPr="00815544" w:rsidRDefault="0014362F" w:rsidP="0014362F">
      <w:pPr>
        <w:pStyle w:val="lennaslov"/>
        <w:spacing w:line="260" w:lineRule="exact"/>
        <w:jc w:val="both"/>
        <w:rPr>
          <w:rFonts w:cs="Arial"/>
          <w:b w:val="0"/>
          <w:bCs/>
          <w:sz w:val="20"/>
          <w:szCs w:val="20"/>
        </w:rPr>
      </w:pPr>
      <w:r w:rsidRPr="00815544">
        <w:rPr>
          <w:rFonts w:cs="Arial"/>
          <w:b w:val="0"/>
          <w:bCs/>
          <w:sz w:val="20"/>
          <w:szCs w:val="20"/>
        </w:rPr>
        <w:t>(3) V skladu z Uredbo 2019/1238/EU pogoje, povezane s fazo izplačevanja, objavi in posodablja ministrstvo, pristojno za delo, družino, socialne zadeve in enake možnosti.</w:t>
      </w:r>
    </w:p>
    <w:p w:rsidR="0014362F" w:rsidRPr="00815544" w:rsidRDefault="0014362F" w:rsidP="0014362F">
      <w:pPr>
        <w:pStyle w:val="Brezrazmikov"/>
        <w:spacing w:line="260" w:lineRule="exact"/>
        <w:rPr>
          <w:rFonts w:cs="Arial"/>
          <w:szCs w:val="20"/>
          <w:lang w:val="sl-SI"/>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9. člen</w:t>
      </w:r>
    </w:p>
    <w:p w:rsidR="0014362F" w:rsidRPr="00815544" w:rsidRDefault="0014362F" w:rsidP="0014362F">
      <w:pPr>
        <w:pStyle w:val="len"/>
        <w:spacing w:before="0" w:line="260" w:lineRule="exact"/>
        <w:rPr>
          <w:rFonts w:cs="Arial"/>
          <w:sz w:val="20"/>
          <w:szCs w:val="20"/>
        </w:rPr>
      </w:pPr>
      <w:r w:rsidRPr="00815544">
        <w:rPr>
          <w:rFonts w:cs="Arial"/>
          <w:sz w:val="20"/>
          <w:szCs w:val="20"/>
        </w:rPr>
        <w:t xml:space="preserve">(pogoji za izvajanje poslov distribucije PEPP) </w:t>
      </w:r>
    </w:p>
    <w:p w:rsidR="0014362F" w:rsidRPr="00815544" w:rsidRDefault="0014362F" w:rsidP="0014362F">
      <w:pPr>
        <w:pStyle w:val="Brezrazmikov"/>
        <w:spacing w:line="260" w:lineRule="exact"/>
        <w:rPr>
          <w:rFonts w:cs="Arial"/>
          <w:szCs w:val="20"/>
          <w:lang w:val="sl-SI"/>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Distribucijo PEPP lahko izvaja le fizična oseba, ki je pridobila dovoljenje agencije za opravljanje poslov zavarovalnega zastopanja oziroma posredovanja, pri čemer distribucija zajema storitve, kot so opredeljene za distribucijo zavarovalnih produktov z zakonom, ki ureja zavarovalništvo.</w:t>
      </w:r>
    </w:p>
    <w:p w:rsidR="0014362F" w:rsidRPr="00815544" w:rsidRDefault="0014362F" w:rsidP="0014362F">
      <w:pPr>
        <w:pStyle w:val="Odstavek"/>
        <w:spacing w:before="0" w:line="260" w:lineRule="exact"/>
        <w:ind w:left="1080" w:firstLine="0"/>
        <w:rPr>
          <w:rFonts w:cs="Arial"/>
          <w:b/>
          <w:bCs/>
          <w:sz w:val="20"/>
          <w:szCs w:val="20"/>
        </w:rPr>
      </w:pP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lennaslov"/>
        <w:spacing w:line="260" w:lineRule="exact"/>
        <w:rPr>
          <w:rFonts w:cs="Arial"/>
          <w:sz w:val="20"/>
          <w:szCs w:val="20"/>
        </w:rPr>
      </w:pPr>
      <w:r w:rsidRPr="00815544">
        <w:rPr>
          <w:rFonts w:cs="Arial"/>
          <w:sz w:val="20"/>
          <w:szCs w:val="20"/>
        </w:rPr>
        <w:t>10. člen</w:t>
      </w:r>
    </w:p>
    <w:p w:rsidR="0014362F" w:rsidRPr="00815544" w:rsidRDefault="0014362F" w:rsidP="0014362F">
      <w:pPr>
        <w:pStyle w:val="lennaslov"/>
        <w:spacing w:line="260" w:lineRule="exact"/>
        <w:rPr>
          <w:rFonts w:cs="Arial"/>
          <w:sz w:val="20"/>
          <w:szCs w:val="20"/>
        </w:rPr>
      </w:pPr>
      <w:r w:rsidRPr="00815544">
        <w:rPr>
          <w:rFonts w:cs="Arial"/>
          <w:sz w:val="20"/>
          <w:szCs w:val="20"/>
        </w:rPr>
        <w:t>(razkritje informacij o izrečenih ukrepih in identiteti kršitelja)</w:t>
      </w:r>
    </w:p>
    <w:p w:rsidR="0014362F" w:rsidRPr="00815544" w:rsidRDefault="0014362F" w:rsidP="0014362F">
      <w:pPr>
        <w:pStyle w:val="Brezrazmikov"/>
        <w:spacing w:line="260" w:lineRule="exact"/>
        <w:jc w:val="both"/>
        <w:rPr>
          <w:rFonts w:cs="Arial"/>
          <w:szCs w:val="20"/>
          <w:lang w:val="sl-SI"/>
        </w:rPr>
      </w:pPr>
    </w:p>
    <w:p w:rsidR="0014362F" w:rsidRPr="00815544" w:rsidRDefault="0014362F" w:rsidP="0014362F">
      <w:pPr>
        <w:pStyle w:val="Brezrazmikov"/>
        <w:spacing w:line="260" w:lineRule="exact"/>
        <w:jc w:val="both"/>
        <w:rPr>
          <w:rFonts w:cs="Arial"/>
          <w:szCs w:val="20"/>
          <w:lang w:val="sl-SI"/>
        </w:rPr>
      </w:pPr>
      <w:r w:rsidRPr="001152CB">
        <w:rPr>
          <w:rFonts w:cs="Arial"/>
          <w:szCs w:val="20"/>
          <w:lang w:val="sl-SI"/>
        </w:rPr>
        <w:t xml:space="preserve">(1) Agencija </w:t>
      </w:r>
      <w:r w:rsidRPr="00815544">
        <w:rPr>
          <w:rFonts w:cs="Arial"/>
          <w:szCs w:val="20"/>
          <w:lang w:val="sl-SI"/>
        </w:rPr>
        <w:t>po pravnomočno končanem postopku na svoji spletni strani javno objavi vrsto in naravo kršitve, izrečene nadzorne ukrepe in sankcije zaradi prekrška, ki jih je izrekla fizični ali pravni osebi zaradi kršitve Uredbe 2019/1238/EU in tega zakona, vključno s podatki o identiteti kršitelja, v skladu z določbami zakona, ki ureja zavarovalništvo, če ta člen ne določa drugače. Agencija o javni objavi odloča v vsakem konkretnem primeru, v skladu z določbami drugega in tretjega odstavka tega člena.</w:t>
      </w:r>
    </w:p>
    <w:p w:rsidR="0014362F" w:rsidRPr="00815544" w:rsidRDefault="0014362F" w:rsidP="0014362F">
      <w:pPr>
        <w:pStyle w:val="Brezrazmikov"/>
        <w:spacing w:line="260" w:lineRule="exact"/>
        <w:jc w:val="both"/>
        <w:rPr>
          <w:rFonts w:cs="Arial"/>
          <w:szCs w:val="20"/>
          <w:lang w:val="sl-SI"/>
        </w:rPr>
      </w:pPr>
    </w:p>
    <w:p w:rsidR="0014362F" w:rsidRPr="00815544" w:rsidRDefault="0014362F" w:rsidP="0014362F">
      <w:pPr>
        <w:pStyle w:val="Brezrazmikov"/>
        <w:spacing w:line="260" w:lineRule="exact"/>
        <w:jc w:val="both"/>
        <w:rPr>
          <w:rFonts w:cs="Arial"/>
          <w:szCs w:val="20"/>
          <w:lang w:val="sl-SI"/>
        </w:rPr>
      </w:pPr>
      <w:r w:rsidRPr="00815544">
        <w:rPr>
          <w:rFonts w:cs="Arial"/>
          <w:szCs w:val="20"/>
          <w:lang w:val="sl-SI"/>
        </w:rPr>
        <w:t>(2) Ne glede na prejšnji odstavek agencija v odločbi, s katero izreče ukrepe nadzora</w:t>
      </w:r>
      <w:r>
        <w:rPr>
          <w:rFonts w:cs="Arial"/>
          <w:szCs w:val="20"/>
          <w:lang w:val="sl-SI"/>
        </w:rPr>
        <w:t xml:space="preserve"> ali izda odločbo o prekršku</w:t>
      </w:r>
      <w:r w:rsidRPr="00815544">
        <w:rPr>
          <w:rFonts w:cs="Arial"/>
          <w:szCs w:val="20"/>
          <w:lang w:val="sl-SI"/>
        </w:rPr>
        <w:t>, odloči, da se podatki o identiteti kršitelja ne objavijo, če:</w:t>
      </w:r>
    </w:p>
    <w:p w:rsidR="0014362F" w:rsidRPr="00815544" w:rsidRDefault="0014362F" w:rsidP="0014362F">
      <w:pPr>
        <w:pStyle w:val="Odstavekseznama"/>
        <w:numPr>
          <w:ilvl w:val="0"/>
          <w:numId w:val="10"/>
        </w:numPr>
        <w:jc w:val="both"/>
        <w:rPr>
          <w:rFonts w:cs="Arial"/>
          <w:szCs w:val="20"/>
        </w:rPr>
      </w:pPr>
      <w:r w:rsidRPr="00815544">
        <w:rPr>
          <w:rFonts w:cs="Arial"/>
          <w:szCs w:val="20"/>
        </w:rPr>
        <w:t>se nadzorni ukrep</w:t>
      </w:r>
      <w:r>
        <w:rPr>
          <w:rFonts w:cs="Arial"/>
          <w:szCs w:val="20"/>
        </w:rPr>
        <w:t xml:space="preserve"> ali odločba o prekršku</w:t>
      </w:r>
      <w:r w:rsidRPr="00815544">
        <w:rPr>
          <w:rFonts w:cs="Arial"/>
          <w:szCs w:val="20"/>
        </w:rPr>
        <w:t xml:space="preserve"> izreče fizični osebi in objava osebnih podatkov o kršitelju ni sorazmerna s težo kršitve, ali</w:t>
      </w:r>
    </w:p>
    <w:p w:rsidR="0014362F" w:rsidRPr="00815544" w:rsidRDefault="0014362F" w:rsidP="0014362F">
      <w:pPr>
        <w:pStyle w:val="Odstavekseznama"/>
        <w:numPr>
          <w:ilvl w:val="0"/>
          <w:numId w:val="10"/>
        </w:numPr>
        <w:jc w:val="both"/>
        <w:rPr>
          <w:rFonts w:cs="Arial"/>
          <w:szCs w:val="20"/>
        </w:rPr>
      </w:pPr>
      <w:r w:rsidRPr="00815544">
        <w:rPr>
          <w:rFonts w:cs="Arial"/>
          <w:szCs w:val="20"/>
        </w:rPr>
        <w:t xml:space="preserve">bi objava informacij </w:t>
      </w:r>
      <w:r w:rsidRPr="004C5E5B">
        <w:rPr>
          <w:rFonts w:cs="Arial"/>
          <w:szCs w:val="20"/>
        </w:rPr>
        <w:t xml:space="preserve">o identiteti kršitelja ogrozila stabilnost finančnih trgov, o čemer presojajo Banka Slovenije, Agencija za trg vrednostnih papirjev in </w:t>
      </w:r>
      <w:r>
        <w:rPr>
          <w:rFonts w:cs="Arial"/>
          <w:szCs w:val="20"/>
        </w:rPr>
        <w:t>a</w:t>
      </w:r>
      <w:r w:rsidRPr="004C5E5B">
        <w:rPr>
          <w:rFonts w:cs="Arial"/>
          <w:szCs w:val="20"/>
        </w:rPr>
        <w:t>gencija, vsaka z vidika svojih pristojnosti</w:t>
      </w:r>
      <w:r w:rsidRPr="00815544">
        <w:rPr>
          <w:rFonts w:cs="Arial"/>
          <w:szCs w:val="20"/>
        </w:rPr>
        <w:t>,</w:t>
      </w:r>
    </w:p>
    <w:p w:rsidR="0014362F" w:rsidRPr="00815544" w:rsidRDefault="0014362F" w:rsidP="0014362F">
      <w:pPr>
        <w:pStyle w:val="Odstavekseznama"/>
        <w:numPr>
          <w:ilvl w:val="0"/>
          <w:numId w:val="10"/>
        </w:numPr>
        <w:jc w:val="both"/>
        <w:rPr>
          <w:rFonts w:cs="Arial"/>
          <w:szCs w:val="20"/>
        </w:rPr>
      </w:pPr>
      <w:r w:rsidRPr="00815544">
        <w:rPr>
          <w:rFonts w:cs="Arial"/>
          <w:szCs w:val="20"/>
        </w:rPr>
        <w:t>bi objava informacij o identiteti kršitelja ogrozila izvedbo predkazenskega ali kazenskega postopka, pri čemer je agencija dolžna pridobiti in upoštevati mnenje državnega tožilca, ali</w:t>
      </w:r>
    </w:p>
    <w:p w:rsidR="0014362F" w:rsidRPr="00815544" w:rsidRDefault="0014362F" w:rsidP="0014362F">
      <w:pPr>
        <w:pStyle w:val="Odstavekseznama"/>
        <w:numPr>
          <w:ilvl w:val="0"/>
          <w:numId w:val="10"/>
        </w:numPr>
        <w:jc w:val="both"/>
        <w:rPr>
          <w:rFonts w:cs="Arial"/>
          <w:szCs w:val="20"/>
        </w:rPr>
      </w:pPr>
      <w:r w:rsidRPr="00815544">
        <w:rPr>
          <w:rFonts w:cs="Arial"/>
          <w:szCs w:val="20"/>
        </w:rPr>
        <w:lastRenderedPageBreak/>
        <w:t>bi z objavo vpletenim osebam verjetno nastala nesorazmerna škoda.</w:t>
      </w:r>
    </w:p>
    <w:p w:rsidR="0014362F" w:rsidRPr="00815544" w:rsidRDefault="0014362F" w:rsidP="0014362F">
      <w:pPr>
        <w:pStyle w:val="Brezrazmikov"/>
        <w:spacing w:line="260" w:lineRule="exact"/>
        <w:jc w:val="both"/>
        <w:rPr>
          <w:rFonts w:cs="Arial"/>
          <w:szCs w:val="20"/>
          <w:lang w:val="sl-SI"/>
        </w:rPr>
      </w:pPr>
    </w:p>
    <w:p w:rsidR="0014362F" w:rsidRPr="00815544" w:rsidRDefault="0014362F" w:rsidP="0014362F">
      <w:pPr>
        <w:pStyle w:val="Brezrazmikov"/>
        <w:spacing w:line="260" w:lineRule="exact"/>
        <w:jc w:val="both"/>
        <w:rPr>
          <w:rFonts w:cs="Arial"/>
          <w:szCs w:val="20"/>
          <w:lang w:val="sl-SI"/>
        </w:rPr>
      </w:pPr>
      <w:r w:rsidRPr="00815544">
        <w:rPr>
          <w:rFonts w:cs="Arial"/>
          <w:szCs w:val="20"/>
          <w:lang w:val="sl-SI"/>
        </w:rPr>
        <w:t>(3) Če agencija ob izdaji odločbe, s katero izreče ukrepe nadzora, ne ugotovi razlogov iz prejšnjega odstavka, v odločbi kršitelja opozori, da bodo vrsta in narava kršitve ter identiteta kršitelja (naziv in sedež pravne osebe ali osebno ime fizične osebe ter funkcija odgovorne osebe) javno objavljene kot javno opozorilo na spletni strani agencije, in ga pouči, da v primeru obstoja razlogov iz prejšnjega odstavka te razloge navede v ugovoru, ki se vloži v roku, ki je določen za vložitev pravnega sredstva zoper odločbo o nadzornem ukrepu po določbah zakona, ki ureja zavarovalništvo. Agencija v odločbi določi rok trajanja objave, ki ne sme biti krajši od petih let od objave, in svojo odločitev utemelji.</w:t>
      </w:r>
    </w:p>
    <w:p w:rsidR="0014362F" w:rsidRPr="00815544" w:rsidRDefault="0014362F" w:rsidP="0014362F">
      <w:pPr>
        <w:pStyle w:val="Brezrazmikov"/>
        <w:spacing w:line="260" w:lineRule="exact"/>
        <w:jc w:val="both"/>
        <w:rPr>
          <w:rFonts w:cs="Arial"/>
          <w:szCs w:val="20"/>
          <w:lang w:val="sl-SI"/>
        </w:rPr>
      </w:pPr>
    </w:p>
    <w:p w:rsidR="0014362F" w:rsidRPr="00815544" w:rsidRDefault="0014362F" w:rsidP="0014362F">
      <w:pPr>
        <w:pStyle w:val="Brezrazmikov"/>
        <w:spacing w:line="260" w:lineRule="exact"/>
        <w:jc w:val="both"/>
        <w:rPr>
          <w:rFonts w:cs="Arial"/>
          <w:szCs w:val="20"/>
          <w:lang w:val="sl-SI"/>
        </w:rPr>
      </w:pPr>
      <w:r w:rsidRPr="00815544">
        <w:rPr>
          <w:rFonts w:cs="Arial"/>
          <w:szCs w:val="20"/>
          <w:lang w:val="sl-SI"/>
        </w:rPr>
        <w:t>(4) Če agencija na podlagi ugovora kršitelja ugotovi, da so podani razlogi iz drugega odstavka tega člena, v odločbi, s katero ugodi ugovoru, odloči, da se identiteta kršitelja ne objavi</w:t>
      </w:r>
      <w:r>
        <w:rPr>
          <w:rFonts w:cs="Arial"/>
          <w:szCs w:val="20"/>
          <w:lang w:val="sl-SI"/>
        </w:rPr>
        <w:t>, razen v primeru odločbe o prekršku, ko o ugovoru odloči sodišče</w:t>
      </w:r>
      <w:r w:rsidRPr="00815544">
        <w:rPr>
          <w:rFonts w:cs="Arial"/>
          <w:szCs w:val="20"/>
          <w:lang w:val="sl-SI"/>
        </w:rPr>
        <w:t>.</w:t>
      </w:r>
    </w:p>
    <w:p w:rsidR="0014362F" w:rsidRPr="00815544" w:rsidRDefault="0014362F" w:rsidP="0014362F">
      <w:pPr>
        <w:pStyle w:val="Brezrazmikov"/>
        <w:spacing w:line="260" w:lineRule="exact"/>
        <w:jc w:val="both"/>
        <w:rPr>
          <w:rFonts w:cs="Arial"/>
          <w:szCs w:val="20"/>
          <w:lang w:val="sl-SI"/>
        </w:rPr>
      </w:pPr>
    </w:p>
    <w:p w:rsidR="0014362F" w:rsidRDefault="0014362F" w:rsidP="0014362F">
      <w:pPr>
        <w:pStyle w:val="Brezrazmikov"/>
        <w:spacing w:line="260" w:lineRule="exact"/>
        <w:jc w:val="both"/>
        <w:rPr>
          <w:rFonts w:cs="Arial"/>
          <w:szCs w:val="20"/>
          <w:lang w:val="sl-SI"/>
        </w:rPr>
      </w:pPr>
      <w:r w:rsidRPr="00815544">
        <w:rPr>
          <w:rFonts w:cs="Arial"/>
          <w:szCs w:val="20"/>
          <w:lang w:val="sl-SI"/>
        </w:rPr>
        <w:t xml:space="preserve">(5) Zoper odločbo, s katero agencija zavrne ugovor iz tretjega odstavka tega člena, ima kršitelj pravico do sodnega varstva. Za postopke sodnega varstva se uporabljajo določbe zakona, ki ureja upravni spor. </w:t>
      </w:r>
    </w:p>
    <w:p w:rsidR="0014362F" w:rsidRPr="004E42B2" w:rsidRDefault="0014362F" w:rsidP="0014362F">
      <w:pPr>
        <w:pStyle w:val="Brezrazmikov"/>
        <w:spacing w:line="260" w:lineRule="exact"/>
        <w:jc w:val="both"/>
        <w:rPr>
          <w:lang w:val="sl-SI"/>
        </w:rPr>
      </w:pPr>
    </w:p>
    <w:p w:rsidR="0014362F" w:rsidRPr="00DD53D2" w:rsidRDefault="0014362F" w:rsidP="0014362F">
      <w:pPr>
        <w:pStyle w:val="Brezrazmikov"/>
        <w:spacing w:line="260" w:lineRule="exact"/>
        <w:jc w:val="both"/>
        <w:rPr>
          <w:lang w:val="sl-SI"/>
        </w:rPr>
      </w:pPr>
    </w:p>
    <w:p w:rsidR="0014362F" w:rsidRPr="00815544" w:rsidRDefault="0014362F" w:rsidP="0014362F">
      <w:pPr>
        <w:ind w:firstLine="1021"/>
        <w:jc w:val="both"/>
        <w:rPr>
          <w:rFonts w:cs="Arial"/>
          <w:b/>
          <w:bCs/>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w:t>
      </w:r>
      <w:r>
        <w:rPr>
          <w:rFonts w:cs="Arial"/>
          <w:sz w:val="20"/>
          <w:szCs w:val="20"/>
        </w:rPr>
        <w:t>1</w:t>
      </w:r>
      <w:r w:rsidRPr="00815544">
        <w:rPr>
          <w:rFonts w:cs="Arial"/>
          <w:sz w:val="20"/>
          <w:szCs w:val="20"/>
        </w:rPr>
        <w:t>. člen</w:t>
      </w:r>
    </w:p>
    <w:p w:rsidR="0014362F" w:rsidRPr="00815544" w:rsidRDefault="0014362F" w:rsidP="0014362F">
      <w:pPr>
        <w:pStyle w:val="lennaslov"/>
        <w:spacing w:line="260" w:lineRule="exact"/>
        <w:rPr>
          <w:rFonts w:cs="Arial"/>
          <w:sz w:val="20"/>
          <w:szCs w:val="20"/>
        </w:rPr>
      </w:pPr>
      <w:r w:rsidRPr="00815544">
        <w:rPr>
          <w:rFonts w:cs="Arial"/>
          <w:sz w:val="20"/>
          <w:szCs w:val="20"/>
        </w:rPr>
        <w:t>(prekrški)</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(1) Z globo od 25.000 do 250.000 eurov se za prekršek kaznuje pravna oseba, z globo od 25.000 do 500.000 eurov pa pravna oseba, ki se po zakonu, ki ureja gospodarske družbe, šteje za srednjo ali veliko gospodarsko družbo, če:</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1. pogodba o PEPP ne vsebuje obveznih elementov iz drugega odstavka 4. člena Uredbe 2019/1238/EU;</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 xml:space="preserve">2. v vlogi za registracijo PEPP navaja lažne podatke ali zavajajoče izjave (drugi odstavek 6. člena Uredbe 2019/1238/EU); </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3. ponuja ali distribuira PEPP pred datumom registracije PEPP v javnem centralnem registru (tretji odstavek 7. člena Uredbe 2019/1238/EU) ali brez registracije;</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4. uporablja oznako PEPP ali vseevropski osebni pokojninski produkt v nasprotju z 9. členom Uredbe 2019/1238/EU;</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5. distribuira PEPP v nasprotju z 10. členom Uredbe 2019/1238/EU;</w:t>
      </w:r>
    </w:p>
    <w:p w:rsidR="0014362F" w:rsidRPr="00815544" w:rsidRDefault="0014362F" w:rsidP="0014362F">
      <w:pPr>
        <w:pStyle w:val="tevilnatoka"/>
        <w:numPr>
          <w:ilvl w:val="0"/>
          <w:numId w:val="0"/>
        </w:numPr>
        <w:spacing w:line="260" w:lineRule="exact"/>
        <w:ind w:left="425" w:hanging="425"/>
        <w:rPr>
          <w:rFonts w:cs="Arial"/>
          <w:sz w:val="20"/>
          <w:szCs w:val="20"/>
        </w:rPr>
      </w:pPr>
      <w:r w:rsidRPr="00815544">
        <w:rPr>
          <w:rFonts w:cs="Arial"/>
          <w:sz w:val="20"/>
          <w:szCs w:val="20"/>
        </w:rPr>
        <w:t>6. kot ponudnik PEPP ne zagotavlja storitev prenosljivosti iz 17. člena Uredbe 2019/1238/EU (prvi odstavek  18. člena Uredbe 2019/1238/EU);</w:t>
      </w:r>
    </w:p>
    <w:p w:rsidR="0014362F" w:rsidRPr="00815544" w:rsidRDefault="0014362F" w:rsidP="0014362F">
      <w:pPr>
        <w:pStyle w:val="tevilnatoka"/>
        <w:numPr>
          <w:ilvl w:val="0"/>
          <w:numId w:val="0"/>
        </w:numPr>
        <w:spacing w:line="260" w:lineRule="exact"/>
        <w:ind w:left="425" w:hanging="425"/>
        <w:rPr>
          <w:rFonts w:cs="Arial"/>
          <w:sz w:val="20"/>
          <w:szCs w:val="20"/>
        </w:rPr>
      </w:pPr>
      <w:r w:rsidRPr="00815544">
        <w:rPr>
          <w:rFonts w:cs="Arial"/>
          <w:sz w:val="20"/>
          <w:szCs w:val="20"/>
        </w:rPr>
        <w:t>7. kot ponudnik PEPP ne zagotavlja podračunov PEPP v skladu z 19. členom Uredbe 2019/1238/EU;</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8. v nasprotju s prvim odstavkom 20. člena Uredbe 2019/1238/EU ne zagotovi dokumenta s ključnimi informacijami o posebnih zahtevah iz (g) točke tretjega odstavka 28. člena Uredbe 2019/1238/EU;</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9. kot ponudnik PEPP ne obvesti pristojnih organov matične države v skladu s prvim odstavkom  21. člena Uredbe 2019/1238/EU ali obvestilu ne priloži informacij ali dokumentov iz drugega odstavka 21. člena Uredbe 2019/1238/EU;</w:t>
      </w:r>
      <w:r w:rsidRPr="00815544">
        <w:rPr>
          <w:rFonts w:cs="Arial"/>
          <w:sz w:val="20"/>
          <w:szCs w:val="20"/>
        </w:rPr>
        <w:tab/>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 xml:space="preserve">10. za hrambo sredstev v zvezi z zagotavljanjem PEPP in nalogami glede nadzora ne imenuje enega ali več depozitarjev v skladu s prvim odstavkom 48. člena Uredbe 2019/1238/EU; </w:t>
      </w:r>
    </w:p>
    <w:p w:rsidR="0014362F" w:rsidRPr="00815544" w:rsidRDefault="0014362F" w:rsidP="0014362F">
      <w:pPr>
        <w:pStyle w:val="tevilnatoka"/>
        <w:numPr>
          <w:ilvl w:val="0"/>
          <w:numId w:val="0"/>
        </w:numPr>
        <w:spacing w:line="260" w:lineRule="exact"/>
        <w:rPr>
          <w:rFonts w:cs="Arial"/>
          <w:sz w:val="20"/>
          <w:szCs w:val="20"/>
        </w:rPr>
      </w:pPr>
      <w:r w:rsidRPr="00815544">
        <w:rPr>
          <w:rFonts w:cs="Arial"/>
          <w:sz w:val="20"/>
          <w:szCs w:val="20"/>
        </w:rPr>
        <w:t>11. ne vzpostavi ali uporablja ustreznih in učinkovitih postopkov za reševanje pritožb, ki jih vložijo stranke PEPP v zvezi s svojimi pravicami in obveznostmi na podlagi  Uredbe 2019/1238/EU (prvi odstavek 50. člena Uredbe 2019/1238/EU).</w:t>
      </w:r>
    </w:p>
    <w:p w:rsidR="0014362F" w:rsidRPr="00815544" w:rsidRDefault="0014362F" w:rsidP="0014362F">
      <w:pPr>
        <w:pStyle w:val="Odstavek"/>
        <w:spacing w:before="0" w:line="260" w:lineRule="exact"/>
        <w:rPr>
          <w:rFonts w:cs="Arial"/>
          <w:sz w:val="20"/>
          <w:szCs w:val="20"/>
        </w:rPr>
      </w:pPr>
    </w:p>
    <w:p w:rsidR="0014362F" w:rsidRDefault="0014362F" w:rsidP="0014362F">
      <w:pPr>
        <w:pStyle w:val="Odstavek"/>
        <w:spacing w:before="0" w:line="260" w:lineRule="exact"/>
        <w:ind w:firstLine="0"/>
        <w:rPr>
          <w:rFonts w:cs="Arial"/>
          <w:sz w:val="20"/>
          <w:szCs w:val="20"/>
        </w:rPr>
      </w:pPr>
      <w:r w:rsidRPr="00815544">
        <w:rPr>
          <w:rFonts w:cs="Arial"/>
          <w:sz w:val="20"/>
          <w:szCs w:val="20"/>
        </w:rPr>
        <w:lastRenderedPageBreak/>
        <w:t>(2) Z globo od 2.400 do 10.000 eurov se za prekrške iz prejšnjega odstavka kaznuje odgovorna oseba pravne osebe.</w:t>
      </w:r>
    </w:p>
    <w:p w:rsidR="0014362F" w:rsidRPr="00815544" w:rsidRDefault="0014362F" w:rsidP="0014362F">
      <w:pPr>
        <w:pStyle w:val="Odstavek"/>
        <w:spacing w:before="0" w:line="260" w:lineRule="exact"/>
        <w:ind w:firstLine="0"/>
        <w:rPr>
          <w:rFonts w:cs="Arial"/>
          <w:sz w:val="20"/>
          <w:szCs w:val="20"/>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w:t>
      </w:r>
      <w:r>
        <w:rPr>
          <w:rFonts w:cs="Arial"/>
          <w:sz w:val="20"/>
          <w:szCs w:val="20"/>
        </w:rPr>
        <w:t>2</w:t>
      </w:r>
      <w:r w:rsidRPr="00815544">
        <w:rPr>
          <w:rFonts w:cs="Arial"/>
          <w:sz w:val="20"/>
          <w:szCs w:val="20"/>
        </w:rPr>
        <w:t>. člen</w:t>
      </w:r>
    </w:p>
    <w:p w:rsidR="0014362F" w:rsidRPr="00815544" w:rsidRDefault="0014362F" w:rsidP="0014362F">
      <w:pPr>
        <w:pStyle w:val="lennaslov"/>
        <w:spacing w:line="260" w:lineRule="exact"/>
        <w:rPr>
          <w:rFonts w:cs="Arial"/>
          <w:sz w:val="20"/>
          <w:szCs w:val="20"/>
        </w:rPr>
      </w:pPr>
      <w:r w:rsidRPr="00815544">
        <w:rPr>
          <w:rFonts w:cs="Arial"/>
          <w:sz w:val="20"/>
          <w:szCs w:val="20"/>
        </w:rPr>
        <w:t>(hujši prekrški)</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(1) V primerih, ko je narava prekrška iz prvega odstavka prejšnjega člena posebno huda zaradi višine povzročene škode oziroma višine pridobljene protipravne premoženjske koristi ali zaradi storilčevega naklepa oziroma njegovega namena koristoljubnosti, se pravna oseba kaznuje z globo v višini:</w:t>
      </w:r>
    </w:p>
    <w:p w:rsidR="0014362F" w:rsidRPr="00815544" w:rsidRDefault="0014362F" w:rsidP="0014362F">
      <w:pPr>
        <w:pStyle w:val="tevilnatoka"/>
        <w:numPr>
          <w:ilvl w:val="0"/>
          <w:numId w:val="8"/>
        </w:numPr>
        <w:spacing w:line="260" w:lineRule="exact"/>
        <w:rPr>
          <w:rFonts w:cs="Arial"/>
          <w:sz w:val="20"/>
          <w:szCs w:val="20"/>
        </w:rPr>
      </w:pPr>
      <w:r w:rsidRPr="00815544">
        <w:rPr>
          <w:rFonts w:cs="Arial"/>
          <w:sz w:val="20"/>
          <w:szCs w:val="20"/>
        </w:rPr>
        <w:t>5.000.000 eurov ali do 10 % skupnega letnega prometa glede na zadnje razpoložljive računovodske izkaze, ki jih je odobril pristojni organ družbe, oziroma skupnega letnega prometa ali ustrezne vrste prihodka, ki izhaja iz zadnjih razpoložljivih konsolidiranih letnih računovodskih izkazov, ki jih je odobril pristojni organ matične družbe, če pravna oseba pripravi konsolidirane računovodske izkaze na podlagi zakona, ki ureja gospodarske družbe, pri čemer se upošteva višji znesek, ali</w:t>
      </w:r>
    </w:p>
    <w:p w:rsidR="0014362F" w:rsidRPr="00815544" w:rsidRDefault="0014362F" w:rsidP="0014362F">
      <w:pPr>
        <w:pStyle w:val="tevilnatoka"/>
        <w:numPr>
          <w:ilvl w:val="0"/>
          <w:numId w:val="8"/>
        </w:numPr>
        <w:spacing w:line="260" w:lineRule="exact"/>
        <w:rPr>
          <w:rFonts w:cs="Arial"/>
          <w:sz w:val="20"/>
          <w:szCs w:val="20"/>
        </w:rPr>
      </w:pPr>
      <w:r w:rsidRPr="00815544">
        <w:rPr>
          <w:rFonts w:cs="Arial"/>
          <w:sz w:val="20"/>
          <w:szCs w:val="20"/>
        </w:rPr>
        <w:t>dvakratnega zneska koristi, če jo je mogoče opredeliti, če ta znesek presega najvišji znesek iz prejšnje točke.</w:t>
      </w:r>
    </w:p>
    <w:p w:rsidR="0014362F" w:rsidRPr="00815544" w:rsidRDefault="0014362F" w:rsidP="0014362F">
      <w:pPr>
        <w:pStyle w:val="tevilnatoka"/>
        <w:numPr>
          <w:ilvl w:val="0"/>
          <w:numId w:val="0"/>
        </w:numPr>
        <w:spacing w:line="260" w:lineRule="exact"/>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(2) Z globo v višini od 700.000 do 1.000.000 eurov se za prekrške iz prejšnjega odstavka kaznuje odgovorna oseba pravne osebe.</w:t>
      </w:r>
    </w:p>
    <w:p w:rsidR="0014362F" w:rsidRPr="00815544" w:rsidRDefault="0014362F" w:rsidP="0014362F">
      <w:pPr>
        <w:pStyle w:val="Odstavek"/>
        <w:spacing w:before="0" w:line="260" w:lineRule="exact"/>
        <w:ind w:firstLine="0"/>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 xml:space="preserve">(3) Za potrebe tega člena se šteje, da je narava prekrška posebno huda zaradi višine pridobljene protipravne premoženjske koristi, če pravna oseba s prekrškom iz prvega odstavka prejšnjega člena povzroči škodo oz. </w:t>
      </w:r>
      <w:r>
        <w:rPr>
          <w:rFonts w:cs="Arial"/>
          <w:sz w:val="20"/>
          <w:szCs w:val="20"/>
        </w:rPr>
        <w:t xml:space="preserve">pridobi </w:t>
      </w:r>
      <w:r w:rsidRPr="00815544">
        <w:rPr>
          <w:rFonts w:cs="Arial"/>
          <w:sz w:val="20"/>
          <w:szCs w:val="20"/>
        </w:rPr>
        <w:t>protipravno premoženjsko korist, ki presega 15.000 eurov.</w:t>
      </w:r>
    </w:p>
    <w:p w:rsidR="0014362F" w:rsidRDefault="0014362F" w:rsidP="0014362F">
      <w:pPr>
        <w:pStyle w:val="Odstavek"/>
        <w:spacing w:before="0" w:line="260" w:lineRule="exact"/>
        <w:ind w:firstLine="0"/>
        <w:rPr>
          <w:rFonts w:cs="Arial"/>
          <w:sz w:val="20"/>
          <w:szCs w:val="20"/>
        </w:rPr>
      </w:pPr>
    </w:p>
    <w:p w:rsidR="0014362F" w:rsidRDefault="0014362F" w:rsidP="0014362F">
      <w:pPr>
        <w:pStyle w:val="Odstavek"/>
        <w:spacing w:before="0" w:line="260" w:lineRule="exact"/>
        <w:ind w:firstLine="0"/>
        <w:rPr>
          <w:rFonts w:cs="Arial"/>
          <w:sz w:val="20"/>
          <w:szCs w:val="20"/>
        </w:rPr>
      </w:pPr>
    </w:p>
    <w:p w:rsidR="0014362F" w:rsidRPr="00815544" w:rsidRDefault="0014362F" w:rsidP="0014362F">
      <w:pPr>
        <w:pStyle w:val="Odstavek"/>
        <w:spacing w:before="0" w:line="260" w:lineRule="exact"/>
        <w:ind w:firstLine="0"/>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w:t>
      </w:r>
      <w:r>
        <w:rPr>
          <w:rFonts w:cs="Arial"/>
          <w:sz w:val="20"/>
          <w:szCs w:val="20"/>
        </w:rPr>
        <w:t>3</w:t>
      </w:r>
      <w:r w:rsidRPr="00815544">
        <w:rPr>
          <w:rFonts w:cs="Arial"/>
          <w:sz w:val="20"/>
          <w:szCs w:val="20"/>
        </w:rPr>
        <w:t>. člen</w:t>
      </w:r>
    </w:p>
    <w:p w:rsidR="0014362F" w:rsidRPr="00815544" w:rsidRDefault="0014362F" w:rsidP="0014362F">
      <w:pPr>
        <w:pStyle w:val="lennaslov"/>
        <w:spacing w:line="260" w:lineRule="exact"/>
        <w:rPr>
          <w:rFonts w:cs="Arial"/>
          <w:sz w:val="20"/>
          <w:szCs w:val="20"/>
        </w:rPr>
      </w:pPr>
      <w:r w:rsidRPr="00815544">
        <w:rPr>
          <w:rFonts w:cs="Arial"/>
          <w:sz w:val="20"/>
          <w:szCs w:val="20"/>
        </w:rPr>
        <w:t xml:space="preserve">(višina globe v hitrem </w:t>
      </w:r>
      <w:proofErr w:type="spellStart"/>
      <w:r w:rsidRPr="00815544">
        <w:rPr>
          <w:rFonts w:cs="Arial"/>
          <w:sz w:val="20"/>
          <w:szCs w:val="20"/>
        </w:rPr>
        <w:t>prekrškovnem</w:t>
      </w:r>
      <w:proofErr w:type="spellEnd"/>
      <w:r w:rsidRPr="00815544">
        <w:rPr>
          <w:rFonts w:cs="Arial"/>
          <w:sz w:val="20"/>
          <w:szCs w:val="20"/>
        </w:rPr>
        <w:t xml:space="preserve"> postopku)</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 xml:space="preserve">Za prekrške iz tega zakona se sme v hitrem postopku izreči globa tudi v znesku, ki je višja od najnižje predpisane globe, določene s tem zakonom. </w:t>
      </w:r>
    </w:p>
    <w:p w:rsidR="0014362F" w:rsidRPr="00815544" w:rsidRDefault="0014362F" w:rsidP="0014362F">
      <w:pPr>
        <w:pStyle w:val="Odstavek"/>
        <w:spacing w:before="0" w:line="260" w:lineRule="exact"/>
        <w:ind w:firstLine="0"/>
        <w:rPr>
          <w:rFonts w:cs="Arial"/>
          <w:sz w:val="20"/>
          <w:szCs w:val="20"/>
        </w:rPr>
      </w:pPr>
    </w:p>
    <w:p w:rsidR="0014362F" w:rsidRPr="00815544" w:rsidRDefault="0014362F" w:rsidP="0014362F">
      <w:pPr>
        <w:pStyle w:val="Odstavek"/>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w:t>
      </w:r>
      <w:r>
        <w:rPr>
          <w:rFonts w:cs="Arial"/>
          <w:sz w:val="20"/>
          <w:szCs w:val="20"/>
        </w:rPr>
        <w:t>4</w:t>
      </w:r>
      <w:r w:rsidRPr="00815544">
        <w:rPr>
          <w:rFonts w:cs="Arial"/>
          <w:sz w:val="20"/>
          <w:szCs w:val="20"/>
        </w:rPr>
        <w:t>. člen</w:t>
      </w:r>
    </w:p>
    <w:p w:rsidR="0014362F" w:rsidRPr="00815544" w:rsidRDefault="0014362F" w:rsidP="0014362F">
      <w:pPr>
        <w:pStyle w:val="lennaslov"/>
        <w:spacing w:line="260" w:lineRule="exact"/>
        <w:rPr>
          <w:rFonts w:cs="Arial"/>
          <w:sz w:val="20"/>
          <w:szCs w:val="20"/>
        </w:rPr>
      </w:pPr>
      <w:r w:rsidRPr="00815544">
        <w:rPr>
          <w:rFonts w:cs="Arial"/>
          <w:sz w:val="20"/>
          <w:szCs w:val="20"/>
        </w:rPr>
        <w:t>(uporaba določb o prekrških)</w:t>
      </w:r>
    </w:p>
    <w:p w:rsidR="0014362F" w:rsidRPr="00815544" w:rsidRDefault="0014362F" w:rsidP="0014362F">
      <w:pPr>
        <w:pStyle w:val="lennaslov"/>
        <w:spacing w:line="260" w:lineRule="exact"/>
        <w:rPr>
          <w:rFonts w:cs="Arial"/>
          <w:sz w:val="20"/>
          <w:szCs w:val="20"/>
        </w:rPr>
      </w:pPr>
    </w:p>
    <w:p w:rsidR="0014362F" w:rsidRPr="00815544" w:rsidRDefault="0014362F" w:rsidP="0014362F">
      <w:pPr>
        <w:pStyle w:val="Odstavek"/>
        <w:spacing w:before="0" w:line="260" w:lineRule="exact"/>
        <w:ind w:firstLine="0"/>
        <w:rPr>
          <w:rFonts w:cs="Arial"/>
          <w:sz w:val="20"/>
          <w:szCs w:val="20"/>
        </w:rPr>
      </w:pPr>
      <w:r w:rsidRPr="00815544">
        <w:rPr>
          <w:rFonts w:cs="Arial"/>
          <w:sz w:val="20"/>
          <w:szCs w:val="20"/>
        </w:rPr>
        <w:t xml:space="preserve">Višine in razponi glob, določeni v tem zakonu, veljajo in se uporabljajo ne glede na določbe zakona, ki ureja prekrške. </w:t>
      </w:r>
    </w:p>
    <w:p w:rsidR="0014362F" w:rsidRPr="00815544" w:rsidRDefault="0014362F" w:rsidP="0014362F">
      <w:pPr>
        <w:pStyle w:val="Odstavek"/>
        <w:spacing w:before="0" w:line="260" w:lineRule="exact"/>
        <w:ind w:firstLine="0"/>
        <w:rPr>
          <w:rFonts w:cs="Arial"/>
          <w:sz w:val="20"/>
          <w:szCs w:val="20"/>
        </w:rPr>
      </w:pPr>
    </w:p>
    <w:p w:rsidR="0014362F" w:rsidRPr="00DD53D2" w:rsidRDefault="0014362F" w:rsidP="0014362F">
      <w:pPr>
        <w:pStyle w:val="Odstavek"/>
        <w:spacing w:before="0" w:line="260" w:lineRule="exact"/>
        <w:ind w:firstLine="0"/>
        <w:jc w:val="center"/>
        <w:rPr>
          <w:b/>
          <w:sz w:val="20"/>
        </w:rPr>
      </w:pPr>
      <w:r w:rsidRPr="00DD53D2">
        <w:rPr>
          <w:b/>
          <w:sz w:val="20"/>
        </w:rPr>
        <w:t>KONČNA DOLOČBA</w:t>
      </w:r>
    </w:p>
    <w:p w:rsidR="0014362F" w:rsidRPr="00815544" w:rsidRDefault="0014362F" w:rsidP="0014362F">
      <w:pPr>
        <w:pStyle w:val="Odstavek"/>
        <w:spacing w:before="0" w:line="260" w:lineRule="exact"/>
        <w:ind w:firstLine="0"/>
        <w:jc w:val="center"/>
        <w:rPr>
          <w:rFonts w:cs="Arial"/>
          <w:sz w:val="20"/>
          <w:szCs w:val="20"/>
        </w:rPr>
      </w:pPr>
    </w:p>
    <w:p w:rsidR="0014362F" w:rsidRPr="00815544" w:rsidRDefault="0014362F" w:rsidP="0014362F">
      <w:pPr>
        <w:pStyle w:val="len"/>
        <w:spacing w:before="0" w:line="260" w:lineRule="exact"/>
        <w:rPr>
          <w:rFonts w:cs="Arial"/>
          <w:sz w:val="20"/>
          <w:szCs w:val="20"/>
        </w:rPr>
      </w:pPr>
      <w:r w:rsidRPr="00815544">
        <w:rPr>
          <w:rFonts w:cs="Arial"/>
          <w:sz w:val="20"/>
          <w:szCs w:val="20"/>
        </w:rPr>
        <w:t>1</w:t>
      </w:r>
      <w:r>
        <w:rPr>
          <w:rFonts w:cs="Arial"/>
          <w:sz w:val="20"/>
          <w:szCs w:val="20"/>
        </w:rPr>
        <w:t>5</w:t>
      </w:r>
      <w:r w:rsidRPr="00815544">
        <w:rPr>
          <w:rFonts w:cs="Arial"/>
          <w:sz w:val="20"/>
          <w:szCs w:val="20"/>
        </w:rPr>
        <w:t>. člen</w:t>
      </w:r>
    </w:p>
    <w:p w:rsidR="0014362F" w:rsidRPr="00815544" w:rsidRDefault="0014362F" w:rsidP="0014362F">
      <w:pPr>
        <w:pStyle w:val="lennaslov"/>
        <w:spacing w:line="260" w:lineRule="exact"/>
        <w:rPr>
          <w:rFonts w:cs="Arial"/>
          <w:sz w:val="20"/>
          <w:szCs w:val="20"/>
        </w:rPr>
      </w:pPr>
      <w:r w:rsidRPr="00815544">
        <w:rPr>
          <w:rFonts w:cs="Arial"/>
          <w:sz w:val="20"/>
          <w:szCs w:val="20"/>
        </w:rPr>
        <w:t>(začetek veljavnosti)</w:t>
      </w:r>
    </w:p>
    <w:p w:rsidR="0014362F" w:rsidRPr="00815544" w:rsidRDefault="0014362F" w:rsidP="0014362F">
      <w:pPr>
        <w:pStyle w:val="Alineazaodstavkom"/>
        <w:numPr>
          <w:ilvl w:val="0"/>
          <w:numId w:val="0"/>
        </w:numPr>
        <w:spacing w:line="260" w:lineRule="exact"/>
        <w:ind w:firstLine="1021"/>
        <w:rPr>
          <w:sz w:val="20"/>
          <w:szCs w:val="20"/>
        </w:rPr>
      </w:pPr>
    </w:p>
    <w:p w:rsidR="0014362F" w:rsidRPr="00815544" w:rsidRDefault="0014362F" w:rsidP="0014362F">
      <w:pPr>
        <w:jc w:val="both"/>
        <w:rPr>
          <w:rFonts w:eastAsia="Calibri" w:cs="Arial"/>
          <w:b/>
          <w:szCs w:val="20"/>
        </w:rPr>
      </w:pPr>
      <w:r w:rsidRPr="00815544">
        <w:rPr>
          <w:rFonts w:cs="Arial"/>
          <w:szCs w:val="20"/>
        </w:rPr>
        <w:t>Ta zakon začne veljati petnajsti dan po objavi v Uradnem listu Republike Slovenije</w:t>
      </w:r>
      <w:r w:rsidRPr="00815544">
        <w:rPr>
          <w:rFonts w:eastAsia="Calibri" w:cs="Arial"/>
          <w:szCs w:val="20"/>
        </w:rPr>
        <w:t>.</w:t>
      </w:r>
    </w:p>
    <w:p w:rsidR="0014362F" w:rsidRPr="00815544" w:rsidRDefault="0014362F" w:rsidP="0014362F">
      <w:pPr>
        <w:rPr>
          <w:rFonts w:cs="Arial"/>
          <w:b/>
          <w:szCs w:val="20"/>
        </w:rPr>
      </w:pPr>
      <w:r w:rsidRPr="00815544">
        <w:rPr>
          <w:rFonts w:cs="Arial"/>
          <w:b/>
          <w:szCs w:val="20"/>
        </w:rPr>
        <w:br w:type="page"/>
      </w:r>
      <w:r w:rsidRPr="00815544">
        <w:rPr>
          <w:rFonts w:cs="Arial"/>
          <w:b/>
          <w:szCs w:val="20"/>
        </w:rPr>
        <w:lastRenderedPageBreak/>
        <w:t>III. OBRAZLOŽITVE</w:t>
      </w:r>
    </w:p>
    <w:p w:rsidR="0014362F" w:rsidRPr="00815544" w:rsidRDefault="0014362F" w:rsidP="0014362F">
      <w:pPr>
        <w:rPr>
          <w:rFonts w:cs="Arial"/>
          <w:bCs/>
          <w:szCs w:val="20"/>
        </w:rPr>
      </w:pPr>
    </w:p>
    <w:p w:rsidR="0014362F" w:rsidRPr="00815544" w:rsidRDefault="0014362F" w:rsidP="0014362F">
      <w:pPr>
        <w:jc w:val="both"/>
        <w:rPr>
          <w:rFonts w:cs="Arial"/>
          <w:b/>
          <w:bCs/>
          <w:szCs w:val="20"/>
        </w:rPr>
      </w:pPr>
      <w:r w:rsidRPr="00815544">
        <w:rPr>
          <w:rFonts w:cs="Arial"/>
          <w:b/>
          <w:bCs/>
          <w:szCs w:val="20"/>
        </w:rPr>
        <w:t>K 1. členu</w:t>
      </w:r>
    </w:p>
    <w:p w:rsidR="0014362F" w:rsidRPr="00815544" w:rsidRDefault="0014362F" w:rsidP="0014362F">
      <w:pPr>
        <w:jc w:val="both"/>
        <w:rPr>
          <w:rFonts w:cs="Arial"/>
          <w:szCs w:val="20"/>
        </w:rPr>
      </w:pPr>
      <w:r w:rsidRPr="00815544">
        <w:rPr>
          <w:rFonts w:cs="Arial"/>
          <w:szCs w:val="20"/>
        </w:rPr>
        <w:t>S predlogom tega zakona se ureja izvajanje Uredbe (EU) 2019/1238 Evropskega parlamenta in Sveta z dne 20. junija 2019 o vseevropskem osebnem pokojninskem produktu (UL L, št. 198 z dne 25. julija 2019, str. 1) zadnjič spremenjene z Delegirano uredbo Komisije (EU) 2021/896 z dne 24. februarja 2021 o dopolnitvi Uredbe (EU) 2019/1238 Evropskega parlamenta in Sveta v zvezi z dodatnimi informacijami za namene zbliževanja nadzornega poročanja (UL L št. 197 z dne 4. 6. 2021, str. 5) (v nadaljnjem besedilu: Uredba 2019/1238/EU) ter se predvsem določajo pristojni organ, njegova dolžnost sodelovanja, nadzor in opravljanje nadzora nad spoštovanjem Uredbe 2019/1238/EU in tega zakona. Prav tako določa nadzorne ukrepe in prekrške ter globe v zvezi z izvajanjem Uredbe 2019/1238/EU.</w:t>
      </w:r>
    </w:p>
    <w:p w:rsidR="0014362F" w:rsidRPr="00815544" w:rsidRDefault="0014362F" w:rsidP="0014362F">
      <w:pPr>
        <w:jc w:val="both"/>
        <w:rPr>
          <w:rFonts w:cs="Arial"/>
          <w:szCs w:val="20"/>
        </w:rPr>
      </w:pPr>
    </w:p>
    <w:p w:rsidR="0014362F" w:rsidRPr="00815544" w:rsidRDefault="0014362F" w:rsidP="0014362F">
      <w:pPr>
        <w:jc w:val="both"/>
        <w:rPr>
          <w:rFonts w:cs="Arial"/>
          <w:b/>
          <w:bCs/>
          <w:szCs w:val="20"/>
        </w:rPr>
      </w:pPr>
      <w:r w:rsidRPr="00815544">
        <w:rPr>
          <w:rFonts w:cs="Arial"/>
          <w:b/>
          <w:bCs/>
          <w:szCs w:val="20"/>
        </w:rPr>
        <w:t>K 2. členu</w:t>
      </w:r>
    </w:p>
    <w:p w:rsidR="0014362F" w:rsidRPr="00815544" w:rsidRDefault="0014362F" w:rsidP="0014362F">
      <w:pPr>
        <w:jc w:val="both"/>
        <w:rPr>
          <w:rFonts w:cs="Arial"/>
          <w:szCs w:val="20"/>
        </w:rPr>
      </w:pPr>
      <w:r w:rsidRPr="00815544">
        <w:rPr>
          <w:rFonts w:cs="Arial"/>
          <w:szCs w:val="20"/>
        </w:rPr>
        <w:t>Predlog zakona v 2. členu določa</w:t>
      </w:r>
      <w:r>
        <w:rPr>
          <w:rFonts w:cs="Arial"/>
          <w:szCs w:val="20"/>
        </w:rPr>
        <w:t xml:space="preserve"> </w:t>
      </w:r>
      <w:r w:rsidRPr="00815544">
        <w:rPr>
          <w:rFonts w:cs="Arial"/>
          <w:szCs w:val="20"/>
        </w:rPr>
        <w:t xml:space="preserve">pristojni organ, in sicer Agencijo za zavarovalni nadzor (v nadaljnjem besedilu: agencija), za namen opravljanja nadzora nad izvajanjem Uredbe 2019/1238/EU. Uredba 2019/1238/EU namreč v 18. odstavku 2. člena predpisuje, da države članice imenujejo nacionalni nadzorni organ, ki je pristojen za nadzor ponudnikov in distributerjev vseevropskega osebnega pokojninskega produkta (v nadaljnjem besedilu: PEPP).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3. členu</w:t>
      </w:r>
    </w:p>
    <w:p w:rsidR="0014362F" w:rsidRPr="00815544" w:rsidRDefault="0014362F" w:rsidP="0014362F">
      <w:pPr>
        <w:jc w:val="both"/>
        <w:rPr>
          <w:rFonts w:cs="Arial"/>
          <w:szCs w:val="20"/>
        </w:rPr>
      </w:pPr>
      <w:r w:rsidRPr="00815544">
        <w:rPr>
          <w:rFonts w:cs="Arial"/>
          <w:szCs w:val="20"/>
        </w:rPr>
        <w:t xml:space="preserve">Pristojnosti agencije nad nadzorovanimi subjekti v zvezi s ponudbo in distribucijo PEPP že neposredno določa Uredba 2019/1238/EU. V predlogu zakona so opredeljene zgolj pristojnosti, ki jih Uredba 2019/1238/EU prepušča državam članicam.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Člen določa, da se za opravljanje nadzora in odločanje agencije v posamičnih zadevah uporabljajo določbe Uredbe 2019/1238/EU, tega zakona in smiselno zakona, ki ureja zavarovalništvo. Pri smiselni uporabi zakona, ki ureja zavarovalništvo, se smiselno uporabljajo vsa poglavja zakona, ki ureja zavarovalništvo, še posebno pa določbe 10. poglavja zakona, ki ureja zavarovalništvo, ki predpisujejo postopek odločanja agencije v posamičnih zadevah.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4. členu</w:t>
      </w:r>
    </w:p>
    <w:p w:rsidR="0014362F" w:rsidRPr="00815544" w:rsidRDefault="0014362F" w:rsidP="0014362F">
      <w:pPr>
        <w:jc w:val="both"/>
        <w:rPr>
          <w:rFonts w:cs="Arial"/>
          <w:szCs w:val="20"/>
        </w:rPr>
      </w:pPr>
      <w:r w:rsidRPr="00815544">
        <w:rPr>
          <w:rFonts w:cs="Arial"/>
          <w:szCs w:val="20"/>
        </w:rPr>
        <w:t>Na podlagi 66. in 70. člena Uredbe 2019/1238/EU se standardizirano urejata medsebojno sodelovanje in izmenjava vseh informacij agencije z drugimi nadzornimi organi na državni ravni (npr. Banko Slovenije, Agencijo za trg vrednostnih papirjev), pristojnimi organi držav članic ter EIOPA, kar omogoča primerjavo. Prav tako se ureja pristojnost agencije na podlagi tretjega odstavka 70. člena Uredbe 2019/1238/EU, ki določa obveznost predložitve informacij Evropskemu organu za zavarovanja in poklicne pokojnine (v nadaljnjem besedilu: EIOPA) v zvezi z upravnimi kaznimi in drugimi ukrepi.</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5. členu</w:t>
      </w:r>
    </w:p>
    <w:p w:rsidR="0014362F" w:rsidRPr="00815544" w:rsidRDefault="0014362F" w:rsidP="0014362F">
      <w:pPr>
        <w:jc w:val="both"/>
        <w:rPr>
          <w:rFonts w:cs="Arial"/>
          <w:szCs w:val="20"/>
        </w:rPr>
      </w:pPr>
      <w:r w:rsidRPr="00815544">
        <w:rPr>
          <w:rFonts w:cs="Arial"/>
          <w:szCs w:val="20"/>
        </w:rPr>
        <w:t>Člen določa, da agencija kot pristojni organ za izvajanje Uredbe 2019/1238/EU redno pregleduje in izvaja nadzor nad ponudniki in distributerji PEPP.</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Za nadzor nad ponudbo in distribucijo PEPP se smiselno uporabljajo vse določbe Zakona o zavarovalništvu (Uradni list RS, št. 93/15, 9/19 in 102/20</w:t>
      </w:r>
      <w:r>
        <w:rPr>
          <w:rFonts w:cs="Arial"/>
          <w:szCs w:val="20"/>
        </w:rPr>
        <w:t>; v nadaljnjem besedilu: ZZavar-1</w:t>
      </w:r>
      <w:r w:rsidRPr="00815544">
        <w:rPr>
          <w:rFonts w:cs="Arial"/>
          <w:szCs w:val="20"/>
        </w:rPr>
        <w:t xml:space="preserve">), še posebno pa določbe 7. poglavja </w:t>
      </w:r>
      <w:r>
        <w:rPr>
          <w:rFonts w:cs="Arial"/>
          <w:szCs w:val="20"/>
        </w:rPr>
        <w:t>ZZavar-1</w:t>
      </w:r>
      <w:r w:rsidRPr="00815544">
        <w:rPr>
          <w:rFonts w:cs="Arial"/>
          <w:szCs w:val="20"/>
        </w:rPr>
        <w:t xml:space="preserve">, ki ureja nadzor nad zavarovalnicami.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Za distribucijo PEPP, ki jo opravljajo osebe iz 9. člena, se smiselno uporabljajo določbe </w:t>
      </w:r>
      <w:r>
        <w:rPr>
          <w:rFonts w:cs="Arial"/>
          <w:szCs w:val="20"/>
        </w:rPr>
        <w:t>ZZavar-1</w:t>
      </w:r>
      <w:r w:rsidRPr="00815544">
        <w:rPr>
          <w:rFonts w:cs="Arial"/>
          <w:szCs w:val="20"/>
        </w:rPr>
        <w:t xml:space="preserve">, še posebno pa: </w:t>
      </w:r>
    </w:p>
    <w:p w:rsidR="0014362F" w:rsidRPr="00815544" w:rsidRDefault="0014362F" w:rsidP="0014362F">
      <w:pPr>
        <w:jc w:val="both"/>
        <w:rPr>
          <w:rFonts w:cs="Arial"/>
          <w:szCs w:val="20"/>
        </w:rPr>
      </w:pPr>
      <w:r w:rsidRPr="00815544">
        <w:rPr>
          <w:rFonts w:cs="Arial"/>
          <w:szCs w:val="20"/>
        </w:rPr>
        <w:t>– 1. do 12. točka prvega odstavka 522. člena,</w:t>
      </w:r>
    </w:p>
    <w:p w:rsidR="0014362F" w:rsidRPr="00815544" w:rsidRDefault="0014362F" w:rsidP="0014362F">
      <w:pPr>
        <w:jc w:val="both"/>
        <w:rPr>
          <w:rFonts w:cs="Arial"/>
          <w:szCs w:val="20"/>
        </w:rPr>
      </w:pPr>
      <w:r w:rsidRPr="00815544">
        <w:rPr>
          <w:rFonts w:cs="Arial"/>
          <w:szCs w:val="20"/>
        </w:rPr>
        <w:t>– drugi do sedmi odstavek 522. člena,</w:t>
      </w:r>
    </w:p>
    <w:p w:rsidR="0014362F" w:rsidRPr="00815544" w:rsidRDefault="0014362F" w:rsidP="0014362F">
      <w:pPr>
        <w:jc w:val="both"/>
        <w:rPr>
          <w:rFonts w:cs="Arial"/>
          <w:szCs w:val="20"/>
        </w:rPr>
      </w:pPr>
      <w:r w:rsidRPr="00815544">
        <w:rPr>
          <w:rFonts w:cs="Arial"/>
          <w:szCs w:val="20"/>
        </w:rPr>
        <w:t xml:space="preserve">– 524., 526. in 527.a člen, </w:t>
      </w:r>
    </w:p>
    <w:p w:rsidR="0014362F" w:rsidRPr="00815544" w:rsidRDefault="0014362F" w:rsidP="0014362F">
      <w:pPr>
        <w:jc w:val="both"/>
        <w:rPr>
          <w:rFonts w:cs="Arial"/>
          <w:szCs w:val="20"/>
        </w:rPr>
      </w:pPr>
      <w:r w:rsidRPr="00815544">
        <w:rPr>
          <w:rFonts w:cs="Arial"/>
          <w:szCs w:val="20"/>
        </w:rPr>
        <w:lastRenderedPageBreak/>
        <w:t xml:space="preserve">– prvi odstavek 528.a člena, </w:t>
      </w:r>
    </w:p>
    <w:p w:rsidR="0014362F" w:rsidRPr="00815544" w:rsidRDefault="0014362F" w:rsidP="0014362F">
      <w:pPr>
        <w:jc w:val="both"/>
        <w:rPr>
          <w:rFonts w:cs="Arial"/>
          <w:szCs w:val="20"/>
        </w:rPr>
      </w:pPr>
      <w:r w:rsidRPr="00815544">
        <w:rPr>
          <w:rFonts w:cs="Arial"/>
          <w:szCs w:val="20"/>
        </w:rPr>
        <w:t xml:space="preserve">– 528.b, 528.c in 528.č člen, </w:t>
      </w:r>
    </w:p>
    <w:p w:rsidR="0014362F" w:rsidRPr="00815544" w:rsidRDefault="0014362F" w:rsidP="0014362F">
      <w:pPr>
        <w:jc w:val="both"/>
        <w:rPr>
          <w:rFonts w:cs="Arial"/>
          <w:szCs w:val="20"/>
        </w:rPr>
      </w:pPr>
      <w:r w:rsidRPr="00815544">
        <w:rPr>
          <w:rFonts w:cs="Arial"/>
          <w:szCs w:val="20"/>
        </w:rPr>
        <w:t>– prvi do peti odstavek 528.d člena</w:t>
      </w:r>
    </w:p>
    <w:p w:rsidR="0014362F" w:rsidRPr="00815544" w:rsidRDefault="0014362F" w:rsidP="0014362F">
      <w:pPr>
        <w:jc w:val="both"/>
        <w:rPr>
          <w:rFonts w:cs="Arial"/>
          <w:szCs w:val="20"/>
        </w:rPr>
      </w:pPr>
      <w:r w:rsidRPr="00815544">
        <w:rPr>
          <w:rFonts w:cs="Arial"/>
          <w:szCs w:val="20"/>
        </w:rPr>
        <w:t xml:space="preserve">– sedmi do dvanajsti odstavek 528.d člena, </w:t>
      </w:r>
    </w:p>
    <w:p w:rsidR="0014362F" w:rsidRPr="00815544" w:rsidRDefault="0014362F" w:rsidP="0014362F">
      <w:pPr>
        <w:jc w:val="both"/>
        <w:rPr>
          <w:rFonts w:cs="Arial"/>
          <w:szCs w:val="20"/>
        </w:rPr>
      </w:pPr>
      <w:r w:rsidRPr="00815544">
        <w:rPr>
          <w:rFonts w:cs="Arial"/>
          <w:szCs w:val="20"/>
        </w:rPr>
        <w:t>– 545. člen (razen določbe 3. točke drugega odstavka, 1. točke tretjega odstavka ter določb četrtega do sedmega odstavka in desetega do dvajsetega odstavka).</w:t>
      </w:r>
    </w:p>
    <w:p w:rsidR="0014362F" w:rsidRPr="00815544" w:rsidRDefault="0014362F" w:rsidP="0014362F">
      <w:pPr>
        <w:jc w:val="both"/>
        <w:rPr>
          <w:rFonts w:cs="Arial"/>
          <w:szCs w:val="20"/>
        </w:rPr>
      </w:pPr>
    </w:p>
    <w:p w:rsidR="0014362F" w:rsidRPr="00815544" w:rsidRDefault="0014362F" w:rsidP="0014362F">
      <w:pPr>
        <w:jc w:val="both"/>
        <w:rPr>
          <w:rFonts w:cs="Arial"/>
          <w:b/>
          <w:bCs/>
          <w:szCs w:val="20"/>
        </w:rPr>
      </w:pPr>
      <w:r w:rsidRPr="00815544">
        <w:rPr>
          <w:rFonts w:cs="Arial"/>
          <w:b/>
          <w:bCs/>
          <w:szCs w:val="20"/>
        </w:rPr>
        <w:t>K 6. členu</w:t>
      </w:r>
    </w:p>
    <w:p w:rsidR="0014362F" w:rsidRPr="00815544" w:rsidRDefault="0014362F" w:rsidP="0014362F">
      <w:pPr>
        <w:jc w:val="both"/>
        <w:rPr>
          <w:rFonts w:cs="Arial"/>
          <w:szCs w:val="20"/>
        </w:rPr>
      </w:pPr>
      <w:r w:rsidRPr="00815544">
        <w:rPr>
          <w:rFonts w:cs="Arial"/>
          <w:szCs w:val="20"/>
        </w:rPr>
        <w:t>Na podlagi 67. člena Uredbe 2019/1238/EU se urejata izrekanje nadzornih ukrepov agencije v skladu z Uredbo 2019/1238/EU in smiselno uporabo zakona, ki ureja zavarovalništvo. Pri smiselni uporabi zakona, ki ureja zavarovalništvo, se smiselno uporabljajo vsa poglavja zakona, ki ureja zavarovalništvo, še posebno pa določbe 10. poglavja zakona, ki ureja zavarovalništvo, ki predpisujejo postopek odločanja agencije v posamičnih zadevah. Predpisano je orodje agencije, da lahko izvede nadzorne ukrepe, ko in če bo to potrebno.</w:t>
      </w:r>
      <w:r w:rsidRPr="00815544">
        <w:t xml:space="preserve"> </w:t>
      </w:r>
      <w:r w:rsidRPr="00815544">
        <w:rPr>
          <w:rFonts w:cs="Arial"/>
          <w:szCs w:val="20"/>
        </w:rPr>
        <w:t>Glede na vseevropsko naravo PEPP je treba zagotoviti dosledno visoko raven zaščite varčevalcev v PEPP po celotnem notranjem trgu. Za to so potrebna ustrezna orodja za učinkovit boj proti kršitvam in preprečevanje škode za potrošnike.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7. členu</w:t>
      </w:r>
    </w:p>
    <w:p w:rsidR="0014362F" w:rsidRPr="00815544" w:rsidRDefault="0014362F" w:rsidP="0014362F">
      <w:pPr>
        <w:pStyle w:val="Pripombabesedilo"/>
        <w:spacing w:line="260" w:lineRule="exact"/>
        <w:jc w:val="both"/>
        <w:rPr>
          <w:rFonts w:cs="Arial"/>
          <w:lang w:val="sl-SI"/>
        </w:rPr>
      </w:pPr>
      <w:r w:rsidRPr="00815544">
        <w:rPr>
          <w:rFonts w:cs="Arial"/>
          <w:lang w:val="sl-SI"/>
        </w:rPr>
        <w:t>Uredba 2019/1238/EU v 47. členu predpisuje, da pogoje v zvezi s fazo varčevanja za nacionalne podračune določijo države članice. Taki pogoji poleg starostne omejitve za začetek faze varčevanja lahko vključujejo tudi minimalno trajanje faze varčevanja, najvišji in najnižji znesek prispevkov ter njihovo pogostost.</w:t>
      </w:r>
    </w:p>
    <w:p w:rsidR="0014362F" w:rsidRPr="00815544" w:rsidRDefault="0014362F" w:rsidP="0014362F">
      <w:pPr>
        <w:jc w:val="both"/>
        <w:rPr>
          <w:rFonts w:cs="Arial"/>
          <w:szCs w:val="20"/>
        </w:rPr>
      </w:pPr>
      <w:r w:rsidRPr="00815544">
        <w:rPr>
          <w:rFonts w:cs="Arial"/>
          <w:szCs w:val="20"/>
        </w:rPr>
        <w:t>Predlagana je starostna omejitev, ko lahko fizična oseba sklene varčevanje v PEPP. Fizična oseba z dopolnitvijo starosti 15 let pridobi delno poslovno sposobnost in lahko tako sama sklepa pravne posle, če zakon ne določa drugače. Ob tej starosti pa lahko osebe tudi sklenejo pogodbo o zaposlitvi in razpolagajo s svojim prihodkom. Glede na namen varčevanja v PEPP se tako lahko v to varčevanje vključijo vsi z izjemo otrok, ki niso dopolnili 15 let starosti.</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V skladu z 12. členom Uredbe 2019/1238/EU se določa Ministrstvo,  za delo, družino, socialne zadeve in enake možnosti Republike Slovenije za organ, ki na svoji spletni strani sproti objavi vse informacije, ki urejajo pogoje, povezane s fazo varčevanja.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8. členu</w:t>
      </w:r>
    </w:p>
    <w:p w:rsidR="0014362F" w:rsidRPr="00F03379" w:rsidRDefault="0014362F" w:rsidP="0014362F">
      <w:pPr>
        <w:jc w:val="both"/>
        <w:rPr>
          <w:rFonts w:cs="Arial"/>
          <w:szCs w:val="20"/>
        </w:rPr>
      </w:pPr>
      <w:r w:rsidRPr="00F03379">
        <w:rPr>
          <w:rFonts w:cs="Arial"/>
          <w:szCs w:val="20"/>
        </w:rPr>
        <w:t>57. člen Uredbe 2019/1238/EU predpisuje, da pogoje v zvezi s fazo izplačevanja in izplačili nacionalnih podračunov določijo države članice. Taki pogoji lahko poleg najnižje starosti za začetek faze izplačevanja vključujejo tudi najdaljše obdobje za vključitev v PEPP pred dopolnitvijo upokojitvene starosti, pa tudi pogoje za odkup pred najnižjo starostjo za začetek faze izplačevanja, zlasti v primeru posebnih težav.</w:t>
      </w:r>
    </w:p>
    <w:p w:rsidR="0014362F"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Namen varčevanja v PEPP je varčevanje za starost. V skladu s tem namenom so določeni pogoji, ko je predviden začetek faze izplačevanja privarčevanih sredstev v okviru PEPP. V skladu s predlaganim členom se za začetek faze izplačevanja določa starostni pogoj 65 let, ob tem pa je mogoč začetek faze izplačevanja tudi v primeru, ko se varčevalec upokoji v okviru obveznega pokojninskega in invalidskega zavarovanja ali poklicnega zavarovanja (uveljavi pravico do predčasne pokojnine, invalidske pokojnine, vdovske pokojnine ali poklicne pokojnine v skladu s predpisi, ki urejajo obvezno pokojninsko in invalidsko zavarovanje). Starost 65 let je temeljni upokojitveni pogoj za osebe z manj kot 40 leti pokojninske dobe ter tako pomeni mejo, ko večina aktivnega prebivalstva zapusti trg dela.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 xml:space="preserve">Z drugim odstavkom tega člena je določena izjema od splošnih pogojev za začetek faze izplačevanja. V skladu z Uredbo 2019/1238/EU (57. člen, drugi odstavek) lahko ponudniki PEPP omogočijo tudi izplačilo enkratnega zneska. V zvezi s to obliko izplačila je varčevalcem PEPP </w:t>
      </w:r>
      <w:r w:rsidRPr="00815544">
        <w:rPr>
          <w:rFonts w:cs="Arial"/>
          <w:szCs w:val="20"/>
        </w:rPr>
        <w:lastRenderedPageBreak/>
        <w:t xml:space="preserve">dana možnost, da </w:t>
      </w:r>
      <w:r>
        <w:rPr>
          <w:rFonts w:cs="Arial"/>
          <w:szCs w:val="20"/>
        </w:rPr>
        <w:t xml:space="preserve">imajo </w:t>
      </w:r>
      <w:r w:rsidRPr="00815544">
        <w:rPr>
          <w:rFonts w:cs="Arial"/>
          <w:szCs w:val="20"/>
        </w:rPr>
        <w:t xml:space="preserve">v primeru poslabšanja socialnega položaja (na primer izguba zaposlitve, ločitev in podobno) ali poslabšanja zdravstvenega stanja (na primer nastanek invalidnosti in podobno) </w:t>
      </w:r>
      <w:r>
        <w:rPr>
          <w:rFonts w:cs="Arial"/>
          <w:szCs w:val="20"/>
        </w:rPr>
        <w:t>možnost</w:t>
      </w:r>
      <w:r w:rsidRPr="00815544">
        <w:rPr>
          <w:rFonts w:cs="Arial"/>
          <w:szCs w:val="20"/>
        </w:rPr>
        <w:t xml:space="preserve"> zahteva</w:t>
      </w:r>
      <w:r>
        <w:rPr>
          <w:rFonts w:cs="Arial"/>
          <w:szCs w:val="20"/>
        </w:rPr>
        <w:t>ti</w:t>
      </w:r>
      <w:r w:rsidRPr="00815544">
        <w:rPr>
          <w:rFonts w:cs="Arial"/>
          <w:szCs w:val="20"/>
        </w:rPr>
        <w:t xml:space="preserve"> izplačilo enkratnega zneska.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V skladu z 12. členom Uredbe 2019/1238/EU se določa Ministrstvo za delo, družino, socialne zadeve in enake možnosti Republike Slovenije za organ, ki na svoji spletni strani objavi vse informacije o pogojih, povezanih s fazo izplačevanja.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9. členu</w:t>
      </w:r>
    </w:p>
    <w:p w:rsidR="0014362F" w:rsidRPr="00815544" w:rsidRDefault="0014362F" w:rsidP="0014362F">
      <w:pPr>
        <w:jc w:val="both"/>
        <w:rPr>
          <w:rFonts w:cs="Arial"/>
          <w:szCs w:val="20"/>
        </w:rPr>
      </w:pPr>
      <w:r w:rsidRPr="00815544">
        <w:rPr>
          <w:rFonts w:cs="Arial"/>
          <w:szCs w:val="20"/>
        </w:rPr>
        <w:t>Uredba 2019/1238/EU v šestem odstavku 34. člena določa, da države članice objavijo merila, ki se uporabljajo za ocenjevanje potrebnega znanja in sposobnosti fizičnih oseb, ki svetujejo o PEPP. Prihodnjim varčevalcem v PEPP bodo svetovale fizične osebe, ki jih bo ponudnik in/ali distributer PEPP ustrezno izobrazil. V skladu s 33. členom Uredbe 2019/1238/EU mora vse informacije za vključitev varčevalcev v PEPP zagotoviti ponudnik in/ali distributer PEPP, vključno z dokumenti s ključnimi informacijami o PEPP, še preden se s pogodbo zavežejo o takšni obliki varčevanja za starost. Pri tem je pomembno, da jim svetuje kompetentna oseba. Na podlagi navedenega sodi distribucija PEPP v okvir 7.a in posledično 7.f člena zakona</w:t>
      </w:r>
      <w:r>
        <w:rPr>
          <w:rFonts w:cs="Arial"/>
          <w:szCs w:val="20"/>
        </w:rPr>
        <w:t xml:space="preserve"> ZZavar-1</w:t>
      </w:r>
      <w:r w:rsidRPr="00815544">
        <w:rPr>
          <w:rFonts w:cs="Arial"/>
          <w:szCs w:val="20"/>
        </w:rPr>
        <w:t xml:space="preserve"> in je torej predlagano, da mora oseba, ki bo ponujala varčevalcem PEPP, izpolnjevati pogoje iz zakona, ki ureja zavarovalništvo, in sicer pridobiti dovoljenje za opravljanje poslov zavarovalnega zastopanja oziroma posredovanja. Agencija</w:t>
      </w:r>
      <w:r w:rsidRPr="00815544" w:rsidDel="0092712D">
        <w:rPr>
          <w:rFonts w:cs="Arial"/>
          <w:szCs w:val="20"/>
        </w:rPr>
        <w:t xml:space="preserve"> </w:t>
      </w:r>
      <w:r w:rsidRPr="00815544">
        <w:rPr>
          <w:rFonts w:cs="Arial"/>
          <w:szCs w:val="20"/>
        </w:rPr>
        <w:t xml:space="preserve">bo v skladu s tem zakonom in zakonom, ki ureja zavarovalništvo zavračala zahteve za izdajo takšnega dovoljenja, izdajala in odvzemala dovoljenja. </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10. členu</w:t>
      </w:r>
    </w:p>
    <w:p w:rsidR="0014362F" w:rsidRPr="00815544" w:rsidRDefault="0014362F" w:rsidP="0014362F">
      <w:pPr>
        <w:jc w:val="both"/>
        <w:rPr>
          <w:rFonts w:cs="Arial"/>
          <w:szCs w:val="20"/>
        </w:rPr>
      </w:pPr>
      <w:r w:rsidRPr="00815544">
        <w:rPr>
          <w:rFonts w:cs="Arial"/>
          <w:szCs w:val="20"/>
        </w:rPr>
        <w:t>Uredba 2019/1238/EU v 69. členu od držav članic zahteva, da zagotovijo, da pristojni organ na svojem uradnem spletnem mestu takoj po seznanitvi kršitelja objavi vse odločitve o izreku upravne kazni ali drugih ukrepov</w:t>
      </w:r>
      <w:r>
        <w:rPr>
          <w:rFonts w:cs="Arial"/>
          <w:szCs w:val="20"/>
        </w:rPr>
        <w:t xml:space="preserve"> (ukrep nadzora ali odločbo o prekršku)</w:t>
      </w:r>
      <w:r w:rsidRPr="00815544">
        <w:rPr>
          <w:rFonts w:cs="Arial"/>
          <w:szCs w:val="20"/>
        </w:rPr>
        <w:t xml:space="preserve"> zaradi kršitve Uredbe 2019/1238/EU. Objava ni avtomatična, saj mora agencija o objavi odločati v vsakem konkretnem primeru, skladno z določbami drugega in tretjega odstavka tega člena.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Na podlagi navedenega je v predlogu zakona določeno, da agencija na svoji spletni strani javno objavi izrečene nadzorne ukrepe in sankcije zaradi kršitve Uredbe 2019/1238/EU. Opredeljen je tudi najkrajši čas hrambe objave kršitev na uradnem spletnem mestu pristojnih organov, to je najmanj pet let po objavi, s čimer se sledi ureditvi iz petega odstavka 69. člena Uredbe 2019/1238/EU.</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1816D7">
        <w:rPr>
          <w:rFonts w:cs="Arial"/>
          <w:szCs w:val="20"/>
        </w:rPr>
        <w:t>Podatki</w:t>
      </w:r>
      <w:r w:rsidRPr="00815544">
        <w:rPr>
          <w:rFonts w:cs="Arial"/>
          <w:szCs w:val="20"/>
        </w:rPr>
        <w:t xml:space="preserve"> o identiteti se ne objavijo, v kolikor (i) se nadzorni ukrep</w:t>
      </w:r>
      <w:r>
        <w:rPr>
          <w:rFonts w:cs="Arial"/>
          <w:szCs w:val="20"/>
        </w:rPr>
        <w:t xml:space="preserve"> ali odločba o prekršku</w:t>
      </w:r>
      <w:r w:rsidRPr="00815544">
        <w:rPr>
          <w:rFonts w:cs="Arial"/>
          <w:szCs w:val="20"/>
        </w:rPr>
        <w:t xml:space="preserve"> izreče fizični osebi in je ugotovljena nesorazmernost nad objavo osebnih podatkov kršitelja ter težo kršitve, (ii) agencija pridobi mnenje Agencije za trg vrednostnih papirjev</w:t>
      </w:r>
      <w:r>
        <w:rPr>
          <w:rFonts w:cs="Arial"/>
          <w:szCs w:val="20"/>
        </w:rPr>
        <w:t xml:space="preserve"> ali Banke Slovenije oziroma sledi mnenju strokovnih služb agencije</w:t>
      </w:r>
      <w:r w:rsidRPr="00815544">
        <w:rPr>
          <w:rFonts w:cs="Arial"/>
          <w:szCs w:val="20"/>
        </w:rPr>
        <w:t>, da bi objava identitete kršitelja ogrozila stabilnost finančnega trga, (iii) agencija pridobi mnenje državnega tožilca v kolikor bi objava identitete kršitelja ogrozila izvedbo predkazenskega ali kazenskega postopka, oziroma (iv) bi z objavo vpletenim osebam povzročili nesorazmerno škodo.</w:t>
      </w:r>
    </w:p>
    <w:p w:rsidR="0014362F" w:rsidRDefault="0014362F" w:rsidP="0014362F">
      <w:pPr>
        <w:jc w:val="both"/>
        <w:rPr>
          <w:rFonts w:cs="Arial"/>
          <w:szCs w:val="20"/>
        </w:rPr>
      </w:pPr>
    </w:p>
    <w:p w:rsidR="0014362F" w:rsidRDefault="0014362F" w:rsidP="0014362F">
      <w:pPr>
        <w:jc w:val="both"/>
        <w:rPr>
          <w:rFonts w:cs="Arial"/>
          <w:szCs w:val="20"/>
        </w:rPr>
      </w:pPr>
      <w:r>
        <w:rPr>
          <w:rFonts w:cs="Arial"/>
          <w:szCs w:val="20"/>
        </w:rPr>
        <w:t>Zoper odločbo o prekršku se lahko vloži zahteva za sodno varstvo po določbah zakona, ki ureja prekrške. V tem primeru glede objave odloča sodišče in ne agencija.</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1</w:t>
      </w:r>
      <w:r>
        <w:rPr>
          <w:rFonts w:cs="Arial"/>
          <w:b/>
          <w:bCs/>
          <w:szCs w:val="20"/>
        </w:rPr>
        <w:t>1</w:t>
      </w:r>
      <w:r w:rsidRPr="00815544">
        <w:rPr>
          <w:rFonts w:cs="Arial"/>
          <w:b/>
          <w:bCs/>
          <w:szCs w:val="20"/>
        </w:rPr>
        <w:t>. in 1</w:t>
      </w:r>
      <w:r>
        <w:rPr>
          <w:rFonts w:cs="Arial"/>
          <w:b/>
          <w:bCs/>
          <w:szCs w:val="20"/>
        </w:rPr>
        <w:t>2</w:t>
      </w:r>
      <w:r w:rsidRPr="00815544">
        <w:rPr>
          <w:rFonts w:cs="Arial"/>
          <w:b/>
          <w:bCs/>
          <w:szCs w:val="20"/>
        </w:rPr>
        <w:t>. členu</w:t>
      </w:r>
    </w:p>
    <w:p w:rsidR="0014362F" w:rsidRPr="00815544" w:rsidRDefault="0014362F" w:rsidP="0014362F">
      <w:pPr>
        <w:jc w:val="both"/>
        <w:rPr>
          <w:rFonts w:cs="Arial"/>
          <w:szCs w:val="20"/>
        </w:rPr>
      </w:pPr>
      <w:r w:rsidRPr="00815544">
        <w:rPr>
          <w:rFonts w:cs="Arial"/>
          <w:szCs w:val="20"/>
        </w:rPr>
        <w:t>67. člen Uredbe 2019/1238/EU določa višine glob za dejanja, ki morajo biti sankcionirana kot prekršek v točkah d, e, f in g tretjega odstavka. Zaradi načela določnosti in jasnosti ter pravne varnosti predlog zakona v prvem odstavku 1</w:t>
      </w:r>
      <w:r>
        <w:rPr>
          <w:rFonts w:cs="Arial"/>
          <w:szCs w:val="20"/>
        </w:rPr>
        <w:t>1</w:t>
      </w:r>
      <w:r w:rsidRPr="00815544">
        <w:rPr>
          <w:rFonts w:cs="Arial"/>
          <w:szCs w:val="20"/>
        </w:rPr>
        <w:t xml:space="preserve">. člena opredeljuje dejansko stanje prekrška in višino glob, ki se izrečejo, kadar je kršitelj pravna oseba ali pravna oseba, ki se po zakonu, ki ureja gospodarske družbe, šteje za srednjo ali veliko gospodarsko družbo, ter odgovorna oseba pravne osebe. Glede na opredelitev finančnih podjetij, ki lahko zaprosijo za registracijo PEPP </w:t>
      </w:r>
      <w:r w:rsidRPr="00815544">
        <w:rPr>
          <w:rFonts w:cs="Arial"/>
          <w:szCs w:val="20"/>
        </w:rPr>
        <w:lastRenderedPageBreak/>
        <w:t>(prvi in drugi odstavek 6. člena Uredbe 2019/1238/EU) sta lahko storilca prekrškov iz predloga zakona zgolj pravna oseba in odgovorna oseba pravne osebe, zato drugih kategorij v predlogu zakona ni urejenih. V kolikor bi zavarovalnica ponujala svoje produkte preko agentov (zavarovalnih zastopnikov), ki so samostojni podjetniki posamezniki, se te osebe skladno z zakonom, ki ureja prekrške (15.a člen ZP-1), šteje za odgovorne osebe pravne osebe, za prekrške pa akcesorno odgovarja tudi zavarovalnica kot pravna oseba, saj je bil prekršek storjen pri opravljanju njene dejavnosti (14. člen ZP-1).</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szCs w:val="20"/>
        </w:rPr>
        <w:t>1</w:t>
      </w:r>
      <w:r>
        <w:rPr>
          <w:rFonts w:cs="Arial"/>
          <w:szCs w:val="20"/>
        </w:rPr>
        <w:t>2</w:t>
      </w:r>
      <w:r w:rsidRPr="00815544">
        <w:rPr>
          <w:rFonts w:cs="Arial"/>
          <w:szCs w:val="20"/>
        </w:rPr>
        <w:t xml:space="preserve">. člen </w:t>
      </w:r>
      <w:r>
        <w:rPr>
          <w:rFonts w:cs="Arial"/>
          <w:szCs w:val="20"/>
        </w:rPr>
        <w:t xml:space="preserve">predloga </w:t>
      </w:r>
      <w:r w:rsidRPr="00815544">
        <w:rPr>
          <w:rFonts w:cs="Arial"/>
          <w:szCs w:val="20"/>
        </w:rPr>
        <w:t>zakona v nadaljevanju določa primere, ko je narava prekrška iz prvega odstavka 1</w:t>
      </w:r>
      <w:r>
        <w:rPr>
          <w:rFonts w:cs="Arial"/>
          <w:szCs w:val="20"/>
        </w:rPr>
        <w:t>1</w:t>
      </w:r>
      <w:r w:rsidRPr="00815544">
        <w:rPr>
          <w:rFonts w:cs="Arial"/>
          <w:szCs w:val="20"/>
        </w:rPr>
        <w:t>. člena zakona posebno huda zaradi višine povzročene škode ali višine pridobljene protipravne premoženjske koristi in zaradi storilčevega naklepa ali njegovega namena koristoljubnosti, ter določa višino glob posebej za pravno osebo in osebe iz drugega odstavka 1</w:t>
      </w:r>
      <w:r>
        <w:rPr>
          <w:rFonts w:cs="Arial"/>
          <w:szCs w:val="20"/>
        </w:rPr>
        <w:t>1</w:t>
      </w:r>
      <w:r w:rsidRPr="00815544">
        <w:rPr>
          <w:rFonts w:cs="Arial"/>
          <w:szCs w:val="20"/>
        </w:rPr>
        <w:t>. člena zakona. Glede določitve hujših prekrškov je vključen tretji odstavek 1</w:t>
      </w:r>
      <w:r>
        <w:rPr>
          <w:rFonts w:cs="Arial"/>
          <w:szCs w:val="20"/>
        </w:rPr>
        <w:t>2</w:t>
      </w:r>
      <w:r w:rsidRPr="00815544">
        <w:rPr>
          <w:rFonts w:cs="Arial"/>
          <w:szCs w:val="20"/>
        </w:rPr>
        <w:t xml:space="preserve">. člena, s katerim se spoštuje načelo </w:t>
      </w:r>
      <w:proofErr w:type="spellStart"/>
      <w:r w:rsidRPr="00815544">
        <w:rPr>
          <w:rFonts w:cs="Arial"/>
          <w:szCs w:val="20"/>
        </w:rPr>
        <w:t>lex</w:t>
      </w:r>
      <w:proofErr w:type="spellEnd"/>
      <w:r w:rsidRPr="00815544">
        <w:rPr>
          <w:rFonts w:cs="Arial"/>
          <w:szCs w:val="20"/>
        </w:rPr>
        <w:t xml:space="preserve"> </w:t>
      </w:r>
      <w:proofErr w:type="spellStart"/>
      <w:r w:rsidRPr="00815544">
        <w:rPr>
          <w:rFonts w:cs="Arial"/>
          <w:szCs w:val="20"/>
        </w:rPr>
        <w:t>certa</w:t>
      </w:r>
      <w:proofErr w:type="spellEnd"/>
      <w:r w:rsidRPr="00815544">
        <w:rPr>
          <w:rFonts w:cs="Arial"/>
          <w:szCs w:val="20"/>
        </w:rPr>
        <w:t xml:space="preserve"> (načelo jasnosti in dokončnosti predpisov kot del načela pravne države in spoštovanje 2. člena Ustave Republike Slovenije v povezavi z načelom zakonitosti v kaznovalnem pravu (28. člen Ustave Republike Slovenije).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1</w:t>
      </w:r>
      <w:r>
        <w:rPr>
          <w:rFonts w:cs="Arial"/>
          <w:b/>
          <w:bCs/>
          <w:szCs w:val="20"/>
        </w:rPr>
        <w:t>3</w:t>
      </w:r>
      <w:r w:rsidRPr="00815544">
        <w:rPr>
          <w:rFonts w:cs="Arial"/>
          <w:b/>
          <w:bCs/>
          <w:szCs w:val="20"/>
        </w:rPr>
        <w:t>. členu</w:t>
      </w:r>
    </w:p>
    <w:p w:rsidR="0014362F" w:rsidRPr="00815544" w:rsidRDefault="0014362F" w:rsidP="0014362F">
      <w:pPr>
        <w:jc w:val="both"/>
        <w:rPr>
          <w:rFonts w:cs="Arial"/>
          <w:szCs w:val="20"/>
        </w:rPr>
      </w:pPr>
      <w:r w:rsidRPr="00815544">
        <w:rPr>
          <w:rFonts w:cs="Arial"/>
          <w:szCs w:val="20"/>
        </w:rPr>
        <w:t xml:space="preserve">Ker predlog zakona določa globe v razponih, se s členom v skladu s tretjim odstavkom 52. člena Zakona o prekrških (Uradni list RS, št. 29/11 – uradno prečiščeno besedilo, 21/13, 111/13, 74/14 – </w:t>
      </w:r>
      <w:proofErr w:type="spellStart"/>
      <w:r w:rsidRPr="00815544">
        <w:rPr>
          <w:rFonts w:cs="Arial"/>
          <w:szCs w:val="20"/>
        </w:rPr>
        <w:t>odl</w:t>
      </w:r>
      <w:proofErr w:type="spellEnd"/>
      <w:r w:rsidRPr="00815544">
        <w:rPr>
          <w:rFonts w:cs="Arial"/>
          <w:szCs w:val="20"/>
        </w:rPr>
        <w:t xml:space="preserve">. US, 92/14 – </w:t>
      </w:r>
      <w:proofErr w:type="spellStart"/>
      <w:r w:rsidRPr="00815544">
        <w:rPr>
          <w:rFonts w:cs="Arial"/>
          <w:szCs w:val="20"/>
        </w:rPr>
        <w:t>odl</w:t>
      </w:r>
      <w:proofErr w:type="spellEnd"/>
      <w:r w:rsidRPr="00815544">
        <w:rPr>
          <w:rFonts w:cs="Arial"/>
          <w:szCs w:val="20"/>
        </w:rPr>
        <w:t xml:space="preserve">. US, 32/16, 15/17 – </w:t>
      </w:r>
      <w:proofErr w:type="spellStart"/>
      <w:r w:rsidRPr="00815544">
        <w:rPr>
          <w:rFonts w:cs="Arial"/>
          <w:szCs w:val="20"/>
        </w:rPr>
        <w:t>odl</w:t>
      </w:r>
      <w:proofErr w:type="spellEnd"/>
      <w:r w:rsidRPr="00815544">
        <w:rPr>
          <w:rFonts w:cs="Arial"/>
          <w:szCs w:val="20"/>
        </w:rPr>
        <w:t xml:space="preserve">. US, 73/19 – </w:t>
      </w:r>
      <w:proofErr w:type="spellStart"/>
      <w:r w:rsidRPr="00815544">
        <w:rPr>
          <w:rFonts w:cs="Arial"/>
          <w:szCs w:val="20"/>
        </w:rPr>
        <w:t>odl</w:t>
      </w:r>
      <w:proofErr w:type="spellEnd"/>
      <w:r w:rsidRPr="00815544">
        <w:rPr>
          <w:rFonts w:cs="Arial"/>
          <w:szCs w:val="20"/>
        </w:rPr>
        <w:t xml:space="preserve">. US, 175/20 – ZIUOPDVE in 5/21 – </w:t>
      </w:r>
      <w:proofErr w:type="spellStart"/>
      <w:r w:rsidRPr="00815544">
        <w:rPr>
          <w:rFonts w:cs="Arial"/>
          <w:szCs w:val="20"/>
        </w:rPr>
        <w:t>odl</w:t>
      </w:r>
      <w:proofErr w:type="spellEnd"/>
      <w:r w:rsidRPr="00815544">
        <w:rPr>
          <w:rFonts w:cs="Arial"/>
          <w:szCs w:val="20"/>
        </w:rPr>
        <w:t xml:space="preserve">. US; v nadaljnjem besedilu: ZP-1) dopolni pooblastilo, ki bo </w:t>
      </w:r>
      <w:proofErr w:type="spellStart"/>
      <w:r w:rsidRPr="00815544">
        <w:rPr>
          <w:rFonts w:cs="Arial"/>
          <w:szCs w:val="20"/>
        </w:rPr>
        <w:t>prekrškovnemu</w:t>
      </w:r>
      <w:proofErr w:type="spellEnd"/>
      <w:r w:rsidRPr="00815544">
        <w:rPr>
          <w:rFonts w:cs="Arial"/>
          <w:szCs w:val="20"/>
        </w:rPr>
        <w:t xml:space="preserve"> organu omogočil, da bo v hitrem </w:t>
      </w:r>
      <w:proofErr w:type="spellStart"/>
      <w:r w:rsidRPr="00815544">
        <w:rPr>
          <w:rFonts w:cs="Arial"/>
          <w:szCs w:val="20"/>
        </w:rPr>
        <w:t>prekrškovnem</w:t>
      </w:r>
      <w:proofErr w:type="spellEnd"/>
      <w:r w:rsidRPr="00815544">
        <w:rPr>
          <w:rFonts w:cs="Arial"/>
          <w:szCs w:val="20"/>
        </w:rPr>
        <w:t xml:space="preserve"> postopku (ob uporabi splošnih pravil za odmero sankcije – 26. člen ZP-1) lahko izrekel globo, ki je višja od najnižje predpisane.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1</w:t>
      </w:r>
      <w:r>
        <w:rPr>
          <w:rFonts w:cs="Arial"/>
          <w:b/>
          <w:bCs/>
          <w:szCs w:val="20"/>
        </w:rPr>
        <w:t>4</w:t>
      </w:r>
      <w:r w:rsidRPr="00815544">
        <w:rPr>
          <w:rFonts w:cs="Arial"/>
          <w:b/>
          <w:bCs/>
          <w:szCs w:val="20"/>
        </w:rPr>
        <w:t>. členu</w:t>
      </w:r>
    </w:p>
    <w:p w:rsidR="0014362F" w:rsidRPr="00815544" w:rsidRDefault="0014362F" w:rsidP="0014362F">
      <w:pPr>
        <w:jc w:val="both"/>
        <w:rPr>
          <w:rFonts w:cs="Arial"/>
          <w:szCs w:val="20"/>
        </w:rPr>
      </w:pPr>
      <w:r w:rsidRPr="00815544">
        <w:rPr>
          <w:rFonts w:cs="Arial"/>
          <w:szCs w:val="20"/>
        </w:rPr>
        <w:t>Višine in razponi glob, ki so določeni v 1</w:t>
      </w:r>
      <w:r>
        <w:rPr>
          <w:rFonts w:cs="Arial"/>
          <w:szCs w:val="20"/>
        </w:rPr>
        <w:t>1</w:t>
      </w:r>
      <w:r w:rsidRPr="00815544">
        <w:rPr>
          <w:rFonts w:cs="Arial"/>
          <w:szCs w:val="20"/>
        </w:rPr>
        <w:t>., 1</w:t>
      </w:r>
      <w:r>
        <w:rPr>
          <w:rFonts w:cs="Arial"/>
          <w:szCs w:val="20"/>
        </w:rPr>
        <w:t>2</w:t>
      </w:r>
      <w:r w:rsidRPr="00815544">
        <w:rPr>
          <w:rFonts w:cs="Arial"/>
          <w:szCs w:val="20"/>
        </w:rPr>
        <w:t>. in 1</w:t>
      </w:r>
      <w:r>
        <w:rPr>
          <w:rFonts w:cs="Arial"/>
          <w:szCs w:val="20"/>
        </w:rPr>
        <w:t>3</w:t>
      </w:r>
      <w:r w:rsidRPr="00815544">
        <w:rPr>
          <w:rFonts w:cs="Arial"/>
          <w:szCs w:val="20"/>
        </w:rPr>
        <w:t>. členu tega zakona, se uporabljajo ne glede na določbe zakona, ki ureja prekrške.</w:t>
      </w:r>
    </w:p>
    <w:p w:rsidR="0014362F" w:rsidRPr="00815544" w:rsidRDefault="0014362F" w:rsidP="0014362F">
      <w:pPr>
        <w:jc w:val="both"/>
        <w:rPr>
          <w:rFonts w:cs="Arial"/>
          <w:szCs w:val="20"/>
        </w:rPr>
      </w:pPr>
    </w:p>
    <w:p w:rsidR="0014362F" w:rsidRPr="00815544" w:rsidRDefault="0014362F" w:rsidP="0014362F">
      <w:pPr>
        <w:jc w:val="both"/>
        <w:rPr>
          <w:rFonts w:cs="Arial"/>
          <w:szCs w:val="20"/>
        </w:rPr>
      </w:pPr>
      <w:r w:rsidRPr="00815544">
        <w:rPr>
          <w:rFonts w:cs="Arial"/>
          <w:b/>
          <w:bCs/>
          <w:szCs w:val="20"/>
        </w:rPr>
        <w:t>K 1</w:t>
      </w:r>
      <w:r>
        <w:rPr>
          <w:rFonts w:cs="Arial"/>
          <w:b/>
          <w:bCs/>
          <w:szCs w:val="20"/>
        </w:rPr>
        <w:t>5</w:t>
      </w:r>
      <w:r w:rsidRPr="00815544">
        <w:rPr>
          <w:rFonts w:cs="Arial"/>
          <w:b/>
          <w:bCs/>
          <w:szCs w:val="20"/>
        </w:rPr>
        <w:t>. členu</w:t>
      </w:r>
    </w:p>
    <w:p w:rsidR="0014362F" w:rsidRPr="00815544" w:rsidRDefault="0014362F" w:rsidP="0014362F">
      <w:pPr>
        <w:jc w:val="both"/>
        <w:rPr>
          <w:rFonts w:cs="Arial"/>
          <w:szCs w:val="20"/>
        </w:rPr>
      </w:pPr>
      <w:r w:rsidRPr="00815544">
        <w:rPr>
          <w:rFonts w:cs="Arial"/>
          <w:szCs w:val="20"/>
        </w:rPr>
        <w:t>Člen določa začetek veljavnosti zakona.</w:t>
      </w:r>
    </w:p>
    <w:p w:rsidR="0014362F" w:rsidRPr="00815544" w:rsidRDefault="0014362F" w:rsidP="0014362F">
      <w:pPr>
        <w:jc w:val="both"/>
        <w:rPr>
          <w:rFonts w:cs="Arial"/>
          <w:szCs w:val="20"/>
        </w:rPr>
      </w:pPr>
    </w:p>
    <w:p w:rsidR="00573BBF" w:rsidRPr="002760DC" w:rsidRDefault="00573BBF" w:rsidP="0014362F"/>
    <w:p w:rsidR="00573BBF" w:rsidRPr="002760DC" w:rsidRDefault="00573BBF" w:rsidP="0014362F"/>
    <w:p w:rsidR="00573BBF" w:rsidRPr="00202A77" w:rsidRDefault="00573BBF" w:rsidP="0014362F">
      <w:pPr>
        <w:pStyle w:val="podpisi"/>
        <w:rPr>
          <w:lang w:val="sl-SI"/>
        </w:rPr>
      </w:pPr>
    </w:p>
    <w:p w:rsidR="00782FD4" w:rsidRPr="00FE1680" w:rsidRDefault="00782FD4" w:rsidP="0014362F"/>
    <w:sectPr w:rsidR="00782FD4" w:rsidRPr="00FE1680" w:rsidSect="007579DD">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6133" w:rsidRDefault="00286133" w:rsidP="00767987">
      <w:pPr>
        <w:spacing w:line="240" w:lineRule="auto"/>
      </w:pPr>
      <w:r>
        <w:separator/>
      </w:r>
    </w:p>
  </w:endnote>
  <w:endnote w:type="continuationSeparator" w:id="0">
    <w:p w:rsidR="00286133" w:rsidRDefault="0028613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54A" w:rsidRDefault="003E654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54A" w:rsidRDefault="003E654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54A" w:rsidRDefault="003E65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6133" w:rsidRDefault="00286133" w:rsidP="00767987">
      <w:pPr>
        <w:spacing w:line="240" w:lineRule="auto"/>
      </w:pPr>
      <w:r>
        <w:separator/>
      </w:r>
    </w:p>
  </w:footnote>
  <w:footnote w:type="continuationSeparator" w:id="0">
    <w:p w:rsidR="00286133" w:rsidRDefault="00286133" w:rsidP="00767987">
      <w:pPr>
        <w:spacing w:line="240" w:lineRule="auto"/>
      </w:pPr>
      <w:r>
        <w:continuationSeparator/>
      </w:r>
    </w:p>
  </w:footnote>
  <w:footnote w:id="1">
    <w:p w:rsidR="0014362F" w:rsidRDefault="0014362F" w:rsidP="0014362F">
      <w:pPr>
        <w:pStyle w:val="Sprotnaopomba-besedilo"/>
      </w:pPr>
      <w:r>
        <w:rPr>
          <w:rStyle w:val="Sprotnaopomba-sklic"/>
        </w:rPr>
        <w:footnoteRef/>
      </w:r>
      <w:r>
        <w:t xml:space="preserve"> </w:t>
      </w:r>
      <w:r w:rsidRPr="005C594C">
        <w:rPr>
          <w:rFonts w:ascii="Arial" w:hAnsi="Arial" w:cs="Arial"/>
          <w:color w:val="444444"/>
          <w:sz w:val="16"/>
          <w:szCs w:val="16"/>
          <w:shd w:val="clear" w:color="auto" w:fill="FFFFFF"/>
        </w:rPr>
        <w:t xml:space="preserve">Sporočilo Komisije Evropskemu </w:t>
      </w:r>
      <w:r>
        <w:rPr>
          <w:rFonts w:ascii="Arial" w:hAnsi="Arial" w:cs="Arial"/>
          <w:color w:val="444444"/>
          <w:sz w:val="16"/>
          <w:szCs w:val="16"/>
          <w:shd w:val="clear" w:color="auto" w:fill="FFFFFF"/>
        </w:rPr>
        <w:t>p</w:t>
      </w:r>
      <w:r w:rsidRPr="005C594C">
        <w:rPr>
          <w:rFonts w:ascii="Arial" w:hAnsi="Arial" w:cs="Arial"/>
          <w:color w:val="444444"/>
          <w:sz w:val="16"/>
          <w:szCs w:val="16"/>
          <w:shd w:val="clear" w:color="auto" w:fill="FFFFFF"/>
        </w:rPr>
        <w:t xml:space="preserve">arlamentu, Svetu, </w:t>
      </w:r>
      <w:r w:rsidRPr="00502938">
        <w:rPr>
          <w:rFonts w:ascii="Arial" w:hAnsi="Arial" w:cs="Arial"/>
          <w:color w:val="444444"/>
          <w:sz w:val="16"/>
          <w:szCs w:val="16"/>
          <w:shd w:val="clear" w:color="auto" w:fill="FFFFFF"/>
        </w:rPr>
        <w:t>Evropskemu Ekonomsko-socialnemu odboru In Odboru regij - Akcijski načrt o oblikovanju unije kapitalskih trgov</w:t>
      </w:r>
    </w:p>
  </w:footnote>
  <w:footnote w:id="2">
    <w:p w:rsidR="0014362F" w:rsidRPr="00BF1837" w:rsidRDefault="0014362F" w:rsidP="0014362F">
      <w:pPr>
        <w:pStyle w:val="Sprotnaopomba-besedilo"/>
      </w:pPr>
      <w:r>
        <w:rPr>
          <w:rStyle w:val="Sprotnaopomba-sklic"/>
        </w:rPr>
        <w:footnoteRef/>
      </w:r>
      <w:r>
        <w:t xml:space="preserve"> </w:t>
      </w:r>
      <w:hyperlink r:id="rId1" w:history="1">
        <w:r w:rsidRPr="004D73BB">
          <w:rPr>
            <w:rStyle w:val="Hiperpovezava"/>
            <w:rFonts w:ascii="Arial" w:hAnsi="Arial" w:cs="Arial"/>
            <w:sz w:val="18"/>
            <w:szCs w:val="18"/>
          </w:rPr>
          <w:t>https://legilux.public.lu/eli/etat/leg/loi/2022/02/25/a82/jo</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54A" w:rsidRDefault="003E654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654A" w:rsidRDefault="003E654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04173"/>
    <w:multiLevelType w:val="hybridMultilevel"/>
    <w:tmpl w:val="20B4EB14"/>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9201AC2"/>
    <w:multiLevelType w:val="hybridMultilevel"/>
    <w:tmpl w:val="57F25C9A"/>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4260106F"/>
    <w:multiLevelType w:val="hybridMultilevel"/>
    <w:tmpl w:val="3886E006"/>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2AA3A63"/>
    <w:multiLevelType w:val="multilevel"/>
    <w:tmpl w:val="368CE4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9"/>
  </w:num>
  <w:num w:numId="2">
    <w:abstractNumId w:val="4"/>
  </w:num>
  <w:num w:numId="3">
    <w:abstractNumId w:val="6"/>
  </w:num>
  <w:num w:numId="4">
    <w:abstractNumId w:val="3"/>
  </w:num>
  <w:num w:numId="5">
    <w:abstractNumId w:val="7"/>
  </w:num>
  <w:num w:numId="6">
    <w:abstractNumId w:val="8"/>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4362F"/>
    <w:rsid w:val="0016730D"/>
    <w:rsid w:val="00204177"/>
    <w:rsid w:val="00286133"/>
    <w:rsid w:val="00366636"/>
    <w:rsid w:val="00367DE6"/>
    <w:rsid w:val="003B3E19"/>
    <w:rsid w:val="003E654A"/>
    <w:rsid w:val="004076C6"/>
    <w:rsid w:val="00455311"/>
    <w:rsid w:val="004B7F76"/>
    <w:rsid w:val="004E1BCE"/>
    <w:rsid w:val="00504A8D"/>
    <w:rsid w:val="00573BBF"/>
    <w:rsid w:val="00592079"/>
    <w:rsid w:val="005A156D"/>
    <w:rsid w:val="00682FFE"/>
    <w:rsid w:val="006C69EC"/>
    <w:rsid w:val="007039D0"/>
    <w:rsid w:val="00710C90"/>
    <w:rsid w:val="007346CD"/>
    <w:rsid w:val="007579DD"/>
    <w:rsid w:val="00767987"/>
    <w:rsid w:val="00782FD4"/>
    <w:rsid w:val="00811140"/>
    <w:rsid w:val="008A3F94"/>
    <w:rsid w:val="00904A48"/>
    <w:rsid w:val="009171BD"/>
    <w:rsid w:val="00980294"/>
    <w:rsid w:val="00993E3E"/>
    <w:rsid w:val="009B5DDB"/>
    <w:rsid w:val="009C5392"/>
    <w:rsid w:val="00A50E4B"/>
    <w:rsid w:val="00A9231D"/>
    <w:rsid w:val="00AC5605"/>
    <w:rsid w:val="00B40287"/>
    <w:rsid w:val="00B479BF"/>
    <w:rsid w:val="00B87F53"/>
    <w:rsid w:val="00C0216A"/>
    <w:rsid w:val="00CB43D0"/>
    <w:rsid w:val="00CD6077"/>
    <w:rsid w:val="00CE234E"/>
    <w:rsid w:val="00D02973"/>
    <w:rsid w:val="00DA09BE"/>
    <w:rsid w:val="00E3057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51B874-D647-4E6B-850E-60B96BFC3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uiPriority w:val="99"/>
    <w:rsid w:val="0014362F"/>
    <w:rPr>
      <w:color w:val="0000FF"/>
      <w:u w:val="single"/>
    </w:rPr>
  </w:style>
  <w:style w:type="paragraph" w:customStyle="1" w:styleId="Naslovpredpisa">
    <w:name w:val="Naslov_predpisa"/>
    <w:basedOn w:val="Navaden"/>
    <w:link w:val="NaslovpredpisaZnak"/>
    <w:qFormat/>
    <w:rsid w:val="0014362F"/>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sid w:val="0014362F"/>
    <w:rPr>
      <w:rFonts w:ascii="Arial" w:eastAsia="Times New Roman" w:hAnsi="Arial" w:cs="Times New Roman"/>
      <w:b/>
      <w:szCs w:val="20"/>
    </w:rPr>
  </w:style>
  <w:style w:type="paragraph" w:styleId="Brezrazmikov">
    <w:name w:val="No Spacing"/>
    <w:link w:val="BrezrazmikovZnak"/>
    <w:uiPriority w:val="1"/>
    <w:qFormat/>
    <w:rsid w:val="0014362F"/>
    <w:pPr>
      <w:spacing w:after="0" w:line="240" w:lineRule="auto"/>
    </w:pPr>
    <w:rPr>
      <w:rFonts w:ascii="Arial" w:eastAsia="Times New Roman" w:hAnsi="Arial" w:cs="Times New Roman"/>
      <w:sz w:val="20"/>
      <w:szCs w:val="24"/>
      <w:lang w:val="en-US"/>
    </w:rPr>
  </w:style>
  <w:style w:type="paragraph" w:styleId="Pripombabesedilo">
    <w:name w:val="annotation text"/>
    <w:basedOn w:val="Navaden"/>
    <w:link w:val="PripombabesediloZnak"/>
    <w:unhideWhenUsed/>
    <w:rsid w:val="0014362F"/>
    <w:pPr>
      <w:spacing w:line="260" w:lineRule="atLeast"/>
    </w:pPr>
    <w:rPr>
      <w:szCs w:val="20"/>
      <w:lang w:val="en-US"/>
    </w:rPr>
  </w:style>
  <w:style w:type="character" w:customStyle="1" w:styleId="PripombabesediloZnak">
    <w:name w:val="Pripomba – besedilo Znak"/>
    <w:basedOn w:val="Privzetapisavaodstavka"/>
    <w:link w:val="Pripombabesedilo"/>
    <w:rsid w:val="0014362F"/>
    <w:rPr>
      <w:rFonts w:ascii="Arial" w:eastAsia="Times New Roman" w:hAnsi="Arial" w:cs="Times New Roman"/>
      <w:sz w:val="20"/>
      <w:szCs w:val="20"/>
      <w:lang w:val="en-US"/>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14362F"/>
    <w:pPr>
      <w:spacing w:line="240" w:lineRule="auto"/>
      <w:jc w:val="both"/>
    </w:pPr>
    <w:rPr>
      <w:rFonts w:ascii="Times New Roman" w:hAnsi="Times New Roman"/>
      <w:szCs w:val="20"/>
      <w:lang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rsid w:val="0014362F"/>
    <w:rPr>
      <w:rFonts w:ascii="Times New Roman" w:eastAsia="Times New Roman" w:hAnsi="Times New Roman" w:cs="Times New Roman"/>
      <w:sz w:val="20"/>
      <w:szCs w:val="20"/>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14362F"/>
    <w:rPr>
      <w:vertAlign w:val="superscript"/>
    </w:rPr>
  </w:style>
  <w:style w:type="paragraph" w:customStyle="1" w:styleId="Odstavek">
    <w:name w:val="Odstavek"/>
    <w:basedOn w:val="Navaden"/>
    <w:link w:val="OdstavekZnak"/>
    <w:qFormat/>
    <w:rsid w:val="0014362F"/>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14362F"/>
    <w:rPr>
      <w:rFonts w:ascii="Arial" w:eastAsia="Times New Roman" w:hAnsi="Arial" w:cs="Times New Roman"/>
    </w:rPr>
  </w:style>
  <w:style w:type="character" w:customStyle="1" w:styleId="OdstavekseznamaZnak">
    <w:name w:val="Odstavek seznama Znak"/>
    <w:link w:val="Odstavekseznama"/>
    <w:uiPriority w:val="34"/>
    <w:locked/>
    <w:rsid w:val="0014362F"/>
    <w:rPr>
      <w:rFonts w:ascii="Arial" w:eastAsia="Times New Roman" w:hAnsi="Arial" w:cs="Times New Roman"/>
      <w:sz w:val="20"/>
      <w:szCs w:val="24"/>
    </w:rPr>
  </w:style>
  <w:style w:type="character" w:customStyle="1" w:styleId="BrezrazmikovZnak">
    <w:name w:val="Brez razmikov Znak"/>
    <w:link w:val="Brezrazmikov"/>
    <w:uiPriority w:val="1"/>
    <w:rsid w:val="0014362F"/>
    <w:rPr>
      <w:rFonts w:ascii="Arial" w:eastAsia="Times New Roman" w:hAnsi="Arial" w:cs="Times New Roman"/>
      <w:sz w:val="20"/>
      <w:szCs w:val="24"/>
      <w:lang w:val="en-US"/>
    </w:rPr>
  </w:style>
  <w:style w:type="paragraph" w:customStyle="1" w:styleId="Vrstapredpisa">
    <w:name w:val="Vrsta predpisa"/>
    <w:basedOn w:val="Navaden"/>
    <w:link w:val="VrstapredpisaZnak"/>
    <w:qFormat/>
    <w:rsid w:val="0014362F"/>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4362F"/>
    <w:rPr>
      <w:rFonts w:ascii="Arial" w:eastAsia="Times New Roman" w:hAnsi="Arial" w:cs="Arial"/>
      <w:b/>
      <w:bCs/>
      <w:color w:val="000000"/>
      <w:spacing w:val="40"/>
      <w:lang w:eastAsia="sl-SI"/>
    </w:rPr>
  </w:style>
  <w:style w:type="paragraph" w:customStyle="1" w:styleId="len">
    <w:name w:val="Člen"/>
    <w:basedOn w:val="Navaden"/>
    <w:link w:val="lenZnak"/>
    <w:qFormat/>
    <w:rsid w:val="0014362F"/>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14362F"/>
    <w:rPr>
      <w:rFonts w:ascii="Arial" w:eastAsia="Times New Roman" w:hAnsi="Arial" w:cs="Times New Roman"/>
      <w:b/>
    </w:rPr>
  </w:style>
  <w:style w:type="paragraph" w:customStyle="1" w:styleId="lennaslov">
    <w:name w:val="Člen_naslov"/>
    <w:basedOn w:val="len"/>
    <w:qFormat/>
    <w:rsid w:val="0014362F"/>
    <w:pPr>
      <w:spacing w:before="0"/>
    </w:pPr>
  </w:style>
  <w:style w:type="paragraph" w:customStyle="1" w:styleId="tevilnatoka111">
    <w:name w:val="Številčna točka 1.1.1"/>
    <w:basedOn w:val="Navaden"/>
    <w:qFormat/>
    <w:rsid w:val="0014362F"/>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4362F"/>
    <w:pPr>
      <w:numPr>
        <w:numId w:val="7"/>
      </w:numPr>
      <w:spacing w:line="240" w:lineRule="auto"/>
      <w:jc w:val="both"/>
    </w:pPr>
    <w:rPr>
      <w:sz w:val="22"/>
      <w:szCs w:val="22"/>
    </w:rPr>
  </w:style>
  <w:style w:type="character" w:customStyle="1" w:styleId="tevilnatokaZnak">
    <w:name w:val="Številčna točka Znak"/>
    <w:link w:val="tevilnatoka"/>
    <w:rsid w:val="0014362F"/>
    <w:rPr>
      <w:rFonts w:ascii="Arial" w:eastAsia="Times New Roman" w:hAnsi="Arial" w:cs="Times New Roman"/>
    </w:rPr>
  </w:style>
  <w:style w:type="paragraph" w:customStyle="1" w:styleId="tevilnatoka11Nova">
    <w:name w:val="Številčna točka 1.1 Nova"/>
    <w:basedOn w:val="tevilnatoka"/>
    <w:qFormat/>
    <w:rsid w:val="0014362F"/>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14362F"/>
    <w:pPr>
      <w:numPr>
        <w:numId w:val="6"/>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14362F"/>
    <w:rPr>
      <w:rFonts w:ascii="Arial" w:eastAsia="Times New Roman" w:hAnsi="Arial" w:cs="Arial"/>
      <w:lang w:eastAsia="sl-SI"/>
    </w:rPr>
  </w:style>
  <w:style w:type="paragraph" w:customStyle="1" w:styleId="odstavek0">
    <w:name w:val="odstavek"/>
    <w:basedOn w:val="Navaden"/>
    <w:rsid w:val="0014362F"/>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504A8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04A8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e-uprava.gov.si/drzava-in-druzba/e-demokracija/predlogi-predpisov/predlog-predpisa.html?id=13500"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legilux.public.lu/eli/etat/leg/loi/2022/02/25/a82/jo"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7226</Words>
  <Characters>41190</Characters>
  <Application>Microsoft Office Word</Application>
  <DocSecurity>0</DocSecurity>
  <Lines>343</Lines>
  <Paragraphs>96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2022-11-25T06:34:00Z</dcterms:created>
  <dcterms:modified xsi:type="dcterms:W3CDTF">2022-11-25T06:47:00Z</dcterms:modified>
</cp:coreProperties>
</file>