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8F62E2" w:rsidRDefault="009C657E" w:rsidP="008F62E2">
      <w:pPr>
        <w:pStyle w:val="datumtevilka"/>
        <w:rPr>
          <w:rFonts w:cs="Arial"/>
        </w:rPr>
      </w:pPr>
      <w:bookmarkStart w:id="0" w:name="_Hlk61014710"/>
      <w:bookmarkEnd w:id="0"/>
      <w:r w:rsidRPr="008F62E2">
        <w:rPr>
          <w:rFonts w:cs="Arial"/>
          <w:color w:val="000000"/>
        </w:rPr>
        <w:t>EVA:</w:t>
      </w:r>
      <w:r w:rsidRPr="008F62E2">
        <w:rPr>
          <w:rFonts w:cs="Arial"/>
          <w:color w:val="000000"/>
        </w:rPr>
        <w:tab/>
      </w:r>
      <w:r w:rsidR="0031227B" w:rsidRPr="008F62E2">
        <w:rPr>
          <w:rFonts w:cs="Arial"/>
          <w:color w:val="000000"/>
        </w:rPr>
        <w:t>2022-1611-0098</w:t>
      </w:r>
    </w:p>
    <w:p w:rsidR="009C657E" w:rsidRPr="008F62E2" w:rsidRDefault="009C657E" w:rsidP="008F62E2">
      <w:pPr>
        <w:pStyle w:val="datumtevilka"/>
        <w:rPr>
          <w:rFonts w:cs="Arial"/>
        </w:rPr>
      </w:pPr>
      <w:r w:rsidRPr="008F62E2">
        <w:rPr>
          <w:rFonts w:cs="Arial"/>
        </w:rPr>
        <w:t xml:space="preserve">Številka: </w:t>
      </w:r>
      <w:r w:rsidRPr="008F62E2">
        <w:rPr>
          <w:rFonts w:cs="Arial"/>
        </w:rPr>
        <w:tab/>
      </w:r>
      <w:r w:rsidR="0031227B" w:rsidRPr="008F62E2">
        <w:rPr>
          <w:rFonts w:cs="Arial"/>
          <w:color w:val="000000"/>
        </w:rPr>
        <w:t>00704-334/2022/9</w:t>
      </w:r>
    </w:p>
    <w:p w:rsidR="009C657E" w:rsidRPr="008F62E2" w:rsidRDefault="009C657E" w:rsidP="008F62E2">
      <w:pPr>
        <w:pStyle w:val="datumtevilka"/>
        <w:rPr>
          <w:rFonts w:cs="Arial"/>
        </w:rPr>
      </w:pPr>
      <w:r w:rsidRPr="008F62E2">
        <w:rPr>
          <w:rFonts w:cs="Arial"/>
        </w:rPr>
        <w:t>Datum:</w:t>
      </w:r>
      <w:r w:rsidRPr="008F62E2">
        <w:rPr>
          <w:rFonts w:cs="Arial"/>
        </w:rPr>
        <w:tab/>
      </w:r>
      <w:r w:rsidR="0031227B" w:rsidRPr="008F62E2">
        <w:rPr>
          <w:rFonts w:cs="Arial"/>
          <w:color w:val="000000"/>
        </w:rPr>
        <w:t>19. 10. 2022</w:t>
      </w:r>
      <w:r w:rsidRPr="008F62E2">
        <w:rPr>
          <w:rFonts w:cs="Arial"/>
        </w:rPr>
        <w:t xml:space="preserve"> </w:t>
      </w:r>
    </w:p>
    <w:p w:rsidR="009C657E" w:rsidRPr="008F62E2" w:rsidRDefault="009C657E" w:rsidP="008F62E2">
      <w:pPr>
        <w:rPr>
          <w:rFonts w:cs="Arial"/>
          <w:szCs w:val="20"/>
        </w:rPr>
      </w:pPr>
    </w:p>
    <w:p w:rsidR="009C657E" w:rsidRPr="008F62E2" w:rsidRDefault="009C657E" w:rsidP="008F62E2">
      <w:pPr>
        <w:autoSpaceDE w:val="0"/>
        <w:autoSpaceDN w:val="0"/>
        <w:adjustRightInd w:val="0"/>
        <w:rPr>
          <w:rFonts w:cs="Arial"/>
          <w:color w:val="000000"/>
          <w:szCs w:val="20"/>
        </w:rPr>
      </w:pPr>
    </w:p>
    <w:p w:rsidR="009C657E" w:rsidRPr="008F62E2" w:rsidRDefault="0031227B" w:rsidP="008F62E2">
      <w:pPr>
        <w:autoSpaceDE w:val="0"/>
        <w:autoSpaceDN w:val="0"/>
        <w:adjustRightInd w:val="0"/>
        <w:jc w:val="center"/>
        <w:rPr>
          <w:rFonts w:cs="Arial"/>
          <w:b/>
          <w:color w:val="000000"/>
          <w:szCs w:val="20"/>
        </w:rPr>
      </w:pPr>
      <w:r w:rsidRPr="008F62E2">
        <w:rPr>
          <w:rFonts w:cs="Arial"/>
          <w:b/>
          <w:color w:val="000000"/>
          <w:szCs w:val="20"/>
        </w:rPr>
        <w:t>Predlog</w:t>
      </w:r>
      <w:r w:rsidR="008F62E2">
        <w:rPr>
          <w:rFonts w:cs="Arial"/>
          <w:b/>
          <w:color w:val="000000"/>
          <w:szCs w:val="20"/>
        </w:rPr>
        <w:t xml:space="preserve"> </w:t>
      </w:r>
      <w:r w:rsidRPr="008F62E2">
        <w:rPr>
          <w:rFonts w:cs="Arial"/>
          <w:b/>
          <w:color w:val="000000"/>
          <w:szCs w:val="20"/>
        </w:rPr>
        <w:t>amandmajev k Predlogu zakona o spremembah in dopolnitvah Zakona o trošarinah</w:t>
      </w:r>
    </w:p>
    <w:p w:rsidR="008F62E2" w:rsidRPr="008F62E2" w:rsidRDefault="008F62E2" w:rsidP="008F62E2">
      <w:pPr>
        <w:autoSpaceDE w:val="0"/>
        <w:autoSpaceDN w:val="0"/>
        <w:adjustRightInd w:val="0"/>
        <w:jc w:val="center"/>
        <w:rPr>
          <w:rFonts w:cs="Arial"/>
          <w:b/>
          <w:color w:val="000000"/>
          <w:szCs w:val="20"/>
        </w:rPr>
      </w:pPr>
    </w:p>
    <w:p w:rsidR="008F62E2" w:rsidRDefault="008F62E2" w:rsidP="008F62E2">
      <w:pPr>
        <w:jc w:val="both"/>
        <w:rPr>
          <w:rFonts w:eastAsia="Calibri" w:cs="Arial"/>
          <w:b/>
          <w:bCs/>
          <w:szCs w:val="20"/>
        </w:rPr>
      </w:pPr>
      <w:bookmarkStart w:id="1" w:name="_Hlk87607586"/>
    </w:p>
    <w:p w:rsidR="008F62E2" w:rsidRPr="008F62E2" w:rsidRDefault="008F62E2" w:rsidP="008F62E2">
      <w:pPr>
        <w:jc w:val="both"/>
        <w:rPr>
          <w:rFonts w:eastAsia="Calibri" w:cs="Arial"/>
          <w:b/>
          <w:bCs/>
          <w:szCs w:val="20"/>
        </w:rPr>
      </w:pPr>
      <w:bookmarkStart w:id="2" w:name="_GoBack"/>
      <w:bookmarkEnd w:id="2"/>
    </w:p>
    <w:bookmarkEnd w:id="1"/>
    <w:p w:rsidR="008F62E2" w:rsidRPr="008F62E2" w:rsidRDefault="008F62E2" w:rsidP="008F62E2">
      <w:pPr>
        <w:jc w:val="both"/>
        <w:rPr>
          <w:rFonts w:eastAsiaTheme="minorHAnsi" w:cs="Arial"/>
          <w:b/>
          <w:bCs/>
          <w:szCs w:val="20"/>
        </w:rPr>
      </w:pPr>
      <w:r w:rsidRPr="008F62E2">
        <w:rPr>
          <w:rFonts w:cs="Arial"/>
          <w:b/>
          <w:bCs/>
          <w:szCs w:val="20"/>
        </w:rPr>
        <w:t>K 1. členu</w:t>
      </w:r>
    </w:p>
    <w:p w:rsidR="008F62E2" w:rsidRPr="008F62E2" w:rsidRDefault="008F62E2" w:rsidP="008F62E2">
      <w:pPr>
        <w:jc w:val="both"/>
        <w:rPr>
          <w:rFonts w:cs="Arial"/>
          <w:b/>
          <w:bCs/>
          <w:szCs w:val="20"/>
        </w:rPr>
      </w:pPr>
    </w:p>
    <w:p w:rsidR="008F62E2" w:rsidRPr="008F62E2" w:rsidRDefault="008F62E2" w:rsidP="008F62E2">
      <w:pPr>
        <w:jc w:val="both"/>
        <w:rPr>
          <w:rFonts w:cs="Arial"/>
          <w:szCs w:val="20"/>
        </w:rPr>
      </w:pPr>
      <w:r w:rsidRPr="008F62E2">
        <w:rPr>
          <w:rFonts w:cs="Arial"/>
          <w:szCs w:val="20"/>
        </w:rPr>
        <w:t>V 1. členu se za prvim odstavkom doda nov drugi odstavek, ki se glasi »V drugem odstavku se črta beseda »lahko«.«.</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V dosedanjem drugem odstavku, ki postane tretji odstavek, se zadnji stavek spremeni, tako da se glasi: </w:t>
      </w:r>
    </w:p>
    <w:p w:rsidR="008F62E2" w:rsidRPr="008F62E2" w:rsidRDefault="008F62E2" w:rsidP="008F62E2">
      <w:pPr>
        <w:jc w:val="both"/>
        <w:rPr>
          <w:rFonts w:cs="Arial"/>
          <w:szCs w:val="20"/>
        </w:rPr>
      </w:pPr>
      <w:r w:rsidRPr="008F62E2">
        <w:rPr>
          <w:rFonts w:cs="Arial"/>
          <w:szCs w:val="20"/>
        </w:rPr>
        <w:t>»Obveznost za obračun in plačilo trošarine se upravičencu v skladu z 2. in 8. točko prvega odstavka tega člena odpusti na podlagi zapisnika davčnega organa oziroma v skladu s 5. do 7. točko prvega odstavka tega člena na podlagi podatkov evidenc imetnika trošarinskega skladišča oziroma oproščenega uporabnika.«.</w:t>
      </w:r>
    </w:p>
    <w:p w:rsidR="008F62E2" w:rsidRPr="008F62E2" w:rsidRDefault="008F62E2" w:rsidP="008F62E2">
      <w:pPr>
        <w:jc w:val="both"/>
        <w:rPr>
          <w:rFonts w:cs="Arial"/>
          <w:b/>
          <w:szCs w:val="20"/>
          <w:lang w:eastAsia="sl-SI"/>
        </w:rPr>
      </w:pPr>
    </w:p>
    <w:p w:rsidR="008F62E2" w:rsidRPr="008F62E2" w:rsidRDefault="008F62E2" w:rsidP="008F62E2">
      <w:pPr>
        <w:jc w:val="both"/>
        <w:rPr>
          <w:rFonts w:eastAsiaTheme="minorHAnsi" w:cs="Arial"/>
          <w:b/>
          <w:bCs/>
          <w:szCs w:val="20"/>
        </w:rPr>
      </w:pPr>
      <w:r w:rsidRPr="008F62E2">
        <w:rPr>
          <w:rFonts w:cs="Arial"/>
          <w:b/>
          <w:bCs/>
          <w:szCs w:val="20"/>
        </w:rPr>
        <w:t>Obrazložitev</w:t>
      </w:r>
    </w:p>
    <w:p w:rsidR="008F62E2" w:rsidRPr="008F62E2" w:rsidRDefault="008F62E2" w:rsidP="008F62E2">
      <w:pPr>
        <w:jc w:val="both"/>
        <w:rPr>
          <w:rFonts w:cs="Arial"/>
          <w:szCs w:val="20"/>
        </w:rPr>
      </w:pPr>
      <w:r w:rsidRPr="008F62E2">
        <w:rPr>
          <w:rFonts w:cs="Arial"/>
          <w:szCs w:val="20"/>
        </w:rPr>
        <w:t xml:space="preserve">Amandma sledi mnenju ZPS DZ. S popravkom drugega odstavka 18. člena ZTro-1 se v izogib različni obravnavi enakih položajev izenačuje uveljavljanje odpusta plačila trošarine za upravičence, ki so pooblaščeni uvozniki z upravičenci, ki so imetniki trošarinskega skladišča in oproščeni uporabniki trošarinskih izdelkov, v primeru uveljavljanja odpusta za trošarinske izdelke, za katere je bil ugotovljen primanjkljaj, ki je neposredno povezan s procesom prevoza trošarinskih izdelkov.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V spremenjenem tretjem odstavku 18. člena ZTro-1 se v zvezi s postopkom uveljavljanja odpusta plačila trošarine v režimu odloga plačila trošarine kot nastop razloga za odpust določa zapisnik davčnega organa ali evidenca imetnika trošarinskega skladišča oziroma oproščenega uporabnika. Iz zapisnika davčnega organa je razvidno, da so bili trošarinski izdelki uporabljeni za namene trošarinskega nadzora ali so bili trošarinski izdelki popolnoma uničeni pod nadzorom davčnega organa. Iz evidence imetnika trošarinskega skladišča oziroma oproščenega uporabnika je razvidno, da je bil alkohol popolnoma denaturiran v skladu z 72. členom ZTro-1, tobačni izdelki denaturirani in uporabljeni za industrijske oziroma hortikulturne namene ali so bili trošarinski izdelki uporabljeni kot surovina za proizvodnjo drugih trošarinskih izdelkov. Imetnik trošarinskega skladišča je zavezan k vodenju evidence zalog trošarinskih izdelkov in mesečnemu poročanju popisa zalog na podlagi 3. točke prvega odstavka 45. člena ZTro-1. Oproščeni uporabnik je zavezan k vodenju evidence o nabavi, gibanju, porabi in zalogah trošarinskih izdelkov in letnemu poročanju o nabavi in porabi trošarinskih izdelkov brez plačila trošarine na podlagi 5. in 6. točke prvega odstavka 49. člena ZTro-1. </w:t>
      </w:r>
    </w:p>
    <w:p w:rsidR="008F62E2" w:rsidRPr="008F62E2" w:rsidRDefault="008F62E2" w:rsidP="008F62E2">
      <w:pPr>
        <w:jc w:val="both"/>
        <w:rPr>
          <w:rFonts w:cs="Arial"/>
          <w:szCs w:val="20"/>
        </w:rPr>
      </w:pPr>
    </w:p>
    <w:p w:rsidR="008F62E2" w:rsidRPr="008F62E2" w:rsidRDefault="008F62E2" w:rsidP="008F62E2">
      <w:pPr>
        <w:jc w:val="both"/>
        <w:rPr>
          <w:rFonts w:cs="Arial"/>
          <w:b/>
          <w:bCs/>
          <w:szCs w:val="20"/>
        </w:rPr>
      </w:pPr>
      <w:r w:rsidRPr="008F62E2">
        <w:rPr>
          <w:rFonts w:cs="Arial"/>
          <w:b/>
          <w:bCs/>
          <w:szCs w:val="20"/>
        </w:rPr>
        <w:t>K 2. členu</w:t>
      </w:r>
    </w:p>
    <w:p w:rsidR="008F62E2" w:rsidRPr="008F62E2" w:rsidRDefault="008F62E2" w:rsidP="008F62E2">
      <w:pPr>
        <w:jc w:val="both"/>
        <w:rPr>
          <w:rFonts w:cs="Arial"/>
          <w:b/>
          <w:bCs/>
          <w:szCs w:val="20"/>
        </w:rPr>
      </w:pPr>
    </w:p>
    <w:p w:rsidR="008F62E2" w:rsidRPr="008F62E2" w:rsidRDefault="008F62E2" w:rsidP="008F62E2">
      <w:pPr>
        <w:jc w:val="both"/>
        <w:rPr>
          <w:rFonts w:cs="Arial"/>
          <w:szCs w:val="20"/>
        </w:rPr>
      </w:pPr>
      <w:r w:rsidRPr="008F62E2">
        <w:rPr>
          <w:rFonts w:cs="Arial"/>
          <w:szCs w:val="20"/>
        </w:rPr>
        <w:t xml:space="preserve">2. člen se spremeni, tako da se glasi: </w:t>
      </w:r>
    </w:p>
    <w:p w:rsidR="008F62E2" w:rsidRPr="008F62E2" w:rsidRDefault="008F62E2" w:rsidP="008F62E2">
      <w:pPr>
        <w:jc w:val="both"/>
        <w:rPr>
          <w:rFonts w:cs="Arial"/>
          <w:szCs w:val="20"/>
        </w:rPr>
      </w:pPr>
    </w:p>
    <w:p w:rsidR="008F62E2" w:rsidRPr="008F62E2" w:rsidRDefault="008F62E2" w:rsidP="008F62E2">
      <w:pPr>
        <w:pStyle w:val="len"/>
        <w:spacing w:before="0" w:line="260" w:lineRule="exact"/>
        <w:rPr>
          <w:rFonts w:cs="Arial"/>
          <w:sz w:val="20"/>
          <w:szCs w:val="20"/>
        </w:rPr>
      </w:pPr>
      <w:r w:rsidRPr="008F62E2">
        <w:rPr>
          <w:rFonts w:cs="Arial"/>
          <w:b w:val="0"/>
          <w:bCs/>
          <w:sz w:val="20"/>
          <w:szCs w:val="20"/>
        </w:rPr>
        <w:lastRenderedPageBreak/>
        <w:t>»</w:t>
      </w:r>
      <w:r w:rsidRPr="008F62E2">
        <w:rPr>
          <w:rFonts w:cs="Arial"/>
          <w:sz w:val="20"/>
          <w:szCs w:val="20"/>
        </w:rPr>
        <w:t>2. člen</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V 20. členu se v prvem odstavku na koncu 2. točke pika nadomesti s podpičjem in doda nova 3. točka, ki se glasi: </w:t>
      </w:r>
    </w:p>
    <w:p w:rsidR="008F62E2" w:rsidRPr="008F62E2" w:rsidRDefault="008F62E2" w:rsidP="008F62E2">
      <w:pPr>
        <w:pStyle w:val="Odstavek"/>
        <w:spacing w:before="0" w:line="260" w:lineRule="exact"/>
        <w:ind w:firstLine="0"/>
        <w:rPr>
          <w:rFonts w:cs="Arial"/>
          <w:sz w:val="20"/>
          <w:szCs w:val="20"/>
        </w:rPr>
      </w:pPr>
      <w:r w:rsidRPr="008F62E2">
        <w:rPr>
          <w:rFonts w:cs="Arial"/>
          <w:sz w:val="20"/>
          <w:szCs w:val="20"/>
        </w:rPr>
        <w:t xml:space="preserve">»3. oseba, ki opravlja dejavnost za trošarinske izdelke iz 85. člena tega zakona, odpremljene prejemniku, ki opravlja dejavnost, v drugo državo članico.«. </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V drugem odstavku se v drugem stavku besedilo »oziroma prodajalec na daljavo« nadomesti z besedilom »ali prodajalec na daljavo ali oseba iz 3. točke prejšnjega odstavka«.</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Za četrtim odstavkom se doda nov peti odstavek, ki se glasi:</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»(5) Oseba iz 3. točke prvega odstavka tega člena zahtevku za vračilo predloži dokazila, na podlagi katerih davčni organ lahko ugotovi, da so izdelki iz 85. člena tega zakona prispeli v namembni kraj in da so bili v namembni državi izpolnjeni vsi predpisani postopki ter je bila plačana trošarina, če je tako zahtevano.«.</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0"/>
        <w:rPr>
          <w:rFonts w:cs="Arial"/>
          <w:sz w:val="20"/>
          <w:szCs w:val="20"/>
        </w:rPr>
      </w:pPr>
      <w:r w:rsidRPr="008F62E2">
        <w:rPr>
          <w:rFonts w:cs="Arial"/>
          <w:sz w:val="20"/>
          <w:szCs w:val="20"/>
        </w:rPr>
        <w:t xml:space="preserve">Dosedanji peti odstavek postane šesti odstavek.«. </w:t>
      </w:r>
    </w:p>
    <w:p w:rsidR="008F62E2" w:rsidRPr="008F62E2" w:rsidRDefault="008F62E2" w:rsidP="008F62E2">
      <w:pPr>
        <w:jc w:val="both"/>
        <w:rPr>
          <w:rFonts w:cs="Arial"/>
          <w:szCs w:val="20"/>
        </w:rPr>
      </w:pPr>
    </w:p>
    <w:p w:rsidR="008F62E2" w:rsidRPr="008F62E2" w:rsidRDefault="008F62E2" w:rsidP="008F62E2">
      <w:pPr>
        <w:jc w:val="both"/>
        <w:rPr>
          <w:rFonts w:cs="Arial"/>
          <w:b/>
          <w:bCs/>
          <w:szCs w:val="20"/>
        </w:rPr>
      </w:pPr>
      <w:r w:rsidRPr="008F62E2">
        <w:rPr>
          <w:rFonts w:cs="Arial"/>
          <w:b/>
          <w:bCs/>
          <w:szCs w:val="20"/>
        </w:rPr>
        <w:t>Obrazložitev</w:t>
      </w:r>
    </w:p>
    <w:p w:rsidR="008F62E2" w:rsidRPr="008F62E2" w:rsidRDefault="008F62E2" w:rsidP="008F62E2">
      <w:pPr>
        <w:jc w:val="both"/>
        <w:rPr>
          <w:rFonts w:cs="Arial"/>
          <w:szCs w:val="20"/>
        </w:rPr>
      </w:pPr>
      <w:r w:rsidRPr="008F62E2">
        <w:rPr>
          <w:rFonts w:cs="Arial"/>
          <w:szCs w:val="20"/>
        </w:rPr>
        <w:t xml:space="preserve">Amandma sledi mnenju ZPS DZ. Sprememba je namenjena terminološkemu poenotenju besedila spremenjenega 20. člena ZTro-1. </w:t>
      </w:r>
    </w:p>
    <w:p w:rsidR="008F62E2" w:rsidRPr="008F62E2" w:rsidRDefault="008F62E2" w:rsidP="008F62E2">
      <w:pPr>
        <w:jc w:val="center"/>
        <w:rPr>
          <w:rFonts w:cs="Arial"/>
          <w:b/>
          <w:szCs w:val="20"/>
          <w:lang w:eastAsia="sl-SI"/>
        </w:rPr>
      </w:pPr>
    </w:p>
    <w:p w:rsidR="008F62E2" w:rsidRPr="008F62E2" w:rsidRDefault="008F62E2" w:rsidP="008F62E2">
      <w:pPr>
        <w:jc w:val="center"/>
        <w:rPr>
          <w:rFonts w:cs="Arial"/>
          <w:b/>
          <w:szCs w:val="20"/>
          <w:lang w:eastAsia="sl-SI"/>
        </w:rPr>
      </w:pPr>
    </w:p>
    <w:p w:rsidR="008F62E2" w:rsidRPr="008F62E2" w:rsidRDefault="008F62E2" w:rsidP="008F62E2">
      <w:pPr>
        <w:rPr>
          <w:rFonts w:eastAsiaTheme="minorHAnsi" w:cs="Arial"/>
          <w:b/>
          <w:bCs/>
          <w:szCs w:val="20"/>
        </w:rPr>
      </w:pPr>
      <w:r w:rsidRPr="008F62E2">
        <w:rPr>
          <w:rFonts w:cs="Arial"/>
          <w:b/>
          <w:bCs/>
          <w:szCs w:val="20"/>
        </w:rPr>
        <w:t>K 5. členu</w:t>
      </w:r>
    </w:p>
    <w:p w:rsidR="008F62E2" w:rsidRPr="008F62E2" w:rsidRDefault="008F62E2" w:rsidP="008F62E2">
      <w:pPr>
        <w:rPr>
          <w:rFonts w:cs="Arial"/>
          <w:b/>
          <w:bCs/>
          <w:szCs w:val="20"/>
        </w:rPr>
      </w:pPr>
    </w:p>
    <w:p w:rsidR="008F62E2" w:rsidRPr="008F62E2" w:rsidRDefault="008F62E2" w:rsidP="008F62E2">
      <w:pPr>
        <w:rPr>
          <w:rFonts w:cs="Arial"/>
          <w:szCs w:val="20"/>
        </w:rPr>
      </w:pPr>
      <w:r w:rsidRPr="008F62E2">
        <w:rPr>
          <w:rFonts w:cs="Arial"/>
          <w:szCs w:val="20"/>
        </w:rPr>
        <w:t xml:space="preserve">5. člen se spremeni, tako da se glasi: </w:t>
      </w:r>
    </w:p>
    <w:p w:rsidR="008F62E2" w:rsidRPr="008F62E2" w:rsidRDefault="008F62E2" w:rsidP="008F62E2">
      <w:pPr>
        <w:pStyle w:val="len"/>
        <w:spacing w:before="0" w:line="260" w:lineRule="exact"/>
        <w:rPr>
          <w:rFonts w:cs="Arial"/>
          <w:bCs/>
          <w:sz w:val="20"/>
          <w:szCs w:val="20"/>
        </w:rPr>
      </w:pPr>
      <w:r w:rsidRPr="008F62E2">
        <w:rPr>
          <w:rFonts w:cs="Arial"/>
          <w:b w:val="0"/>
          <w:sz w:val="20"/>
          <w:szCs w:val="20"/>
        </w:rPr>
        <w:t>»</w:t>
      </w:r>
      <w:r w:rsidRPr="008F62E2">
        <w:rPr>
          <w:rFonts w:cs="Arial"/>
          <w:bCs/>
          <w:sz w:val="20"/>
          <w:szCs w:val="20"/>
        </w:rPr>
        <w:t xml:space="preserve">5. člen </w:t>
      </w:r>
    </w:p>
    <w:p w:rsidR="008F62E2" w:rsidRPr="008F62E2" w:rsidRDefault="008F62E2" w:rsidP="008F62E2">
      <w:pPr>
        <w:pStyle w:val="Odstavek"/>
        <w:spacing w:before="0" w:line="260" w:lineRule="exact"/>
        <w:ind w:firstLine="709"/>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94. člen se spremeni tako, da se glasi: </w:t>
      </w:r>
    </w:p>
    <w:p w:rsidR="008F62E2" w:rsidRPr="008F62E2" w:rsidRDefault="008F62E2" w:rsidP="008F62E2">
      <w:pPr>
        <w:pStyle w:val="len"/>
        <w:spacing w:before="0" w:line="260" w:lineRule="exact"/>
        <w:jc w:val="both"/>
        <w:rPr>
          <w:rFonts w:cs="Arial"/>
          <w:sz w:val="20"/>
          <w:szCs w:val="20"/>
        </w:rPr>
      </w:pPr>
      <w:r w:rsidRPr="008F62E2">
        <w:rPr>
          <w:rFonts w:cs="Arial"/>
          <w:b w:val="0"/>
          <w:bCs/>
          <w:sz w:val="20"/>
          <w:szCs w:val="20"/>
        </w:rPr>
        <w:t>»</w:t>
      </w:r>
      <w:r w:rsidRPr="008F62E2">
        <w:rPr>
          <w:rFonts w:cs="Arial"/>
          <w:sz w:val="20"/>
          <w:szCs w:val="20"/>
        </w:rPr>
        <w:t>94. člen</w:t>
      </w:r>
    </w:p>
    <w:p w:rsidR="008F62E2" w:rsidRPr="008F62E2" w:rsidRDefault="008F62E2" w:rsidP="008F62E2">
      <w:pPr>
        <w:pStyle w:val="lennaslov"/>
        <w:spacing w:line="260" w:lineRule="exact"/>
        <w:jc w:val="both"/>
        <w:rPr>
          <w:rFonts w:cs="Arial"/>
          <w:sz w:val="20"/>
          <w:szCs w:val="20"/>
        </w:rPr>
      </w:pPr>
      <w:r w:rsidRPr="008F62E2">
        <w:rPr>
          <w:rFonts w:cs="Arial"/>
          <w:sz w:val="20"/>
          <w:szCs w:val="20"/>
        </w:rPr>
        <w:t xml:space="preserve">(gorivo </w:t>
      </w:r>
      <w:bookmarkStart w:id="3" w:name="_Hlk107923952"/>
      <w:r w:rsidRPr="008F62E2">
        <w:rPr>
          <w:rFonts w:cs="Arial"/>
          <w:sz w:val="20"/>
          <w:szCs w:val="20"/>
        </w:rPr>
        <w:t>za pogon kmetijske in gozdarske mehanizacije in vozil za prevoz čebeljih panjev</w:t>
      </w:r>
      <w:bookmarkEnd w:id="3"/>
      <w:r w:rsidRPr="008F62E2">
        <w:rPr>
          <w:rFonts w:cs="Arial"/>
          <w:sz w:val="20"/>
          <w:szCs w:val="20"/>
        </w:rPr>
        <w:t>)</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(1) Za gorivo, namenjeno za pogon kmetijske in gozdarske mehanizacije (vključno s traktorji) in vozil, prirejenih za prevoz čebeljih panjev (v nadaljnjem besedilu: gorivo za kmetijstvo), se šteje plinsko olje kot gorivo za ogrevanje iz tarifne oznake 2710 19 43. Trošarina za gorivo za kmetijstvo se plačuje v višini, določeni s 2.2 točko tretjega odstavka 92. člena tega zakona.</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(2) Gorivo za kmetijstvo lahko kupi oseba, ki je na dan 30. junija preteklega leta evidentirana kot:</w:t>
      </w:r>
    </w:p>
    <w:p w:rsidR="008F62E2" w:rsidRPr="008F62E2" w:rsidRDefault="008F62E2" w:rsidP="008F62E2">
      <w:pPr>
        <w:pStyle w:val="Odstavek"/>
        <w:spacing w:before="0" w:line="260" w:lineRule="exact"/>
        <w:ind w:firstLine="0"/>
        <w:rPr>
          <w:rFonts w:cs="Arial"/>
          <w:sz w:val="20"/>
          <w:szCs w:val="20"/>
        </w:rPr>
      </w:pPr>
      <w:r w:rsidRPr="008F62E2">
        <w:rPr>
          <w:rFonts w:cs="Arial"/>
          <w:sz w:val="20"/>
          <w:szCs w:val="20"/>
        </w:rPr>
        <w:t xml:space="preserve">1. nosilec kmetijskega gospodarstva v registru kmetijskih gospodarstev ali član agrarne skupnosti v registru agrarnih skupnosti v skladu z zakonom, ki ureja agrarne skupnosti ali zakonom, ki ureja ponovno vzpostavitev agrarnih skupnosti ter vrnitev njihovega premoženja in pravic, in uporabnik kmetijskih in gozdnih zemljišč, ali  </w:t>
      </w:r>
    </w:p>
    <w:p w:rsidR="008F62E2" w:rsidRPr="008F62E2" w:rsidRDefault="008F62E2" w:rsidP="008F62E2">
      <w:pPr>
        <w:pStyle w:val="Odstavek"/>
        <w:spacing w:before="0" w:line="260" w:lineRule="exact"/>
        <w:ind w:firstLine="0"/>
        <w:rPr>
          <w:rFonts w:cs="Arial"/>
          <w:sz w:val="20"/>
          <w:szCs w:val="20"/>
        </w:rPr>
      </w:pPr>
      <w:r w:rsidRPr="008F62E2">
        <w:rPr>
          <w:rFonts w:cs="Arial"/>
          <w:sz w:val="20"/>
          <w:szCs w:val="20"/>
        </w:rPr>
        <w:t xml:space="preserve">2. uporabnik gozdnih zemljišč,  </w:t>
      </w:r>
    </w:p>
    <w:p w:rsidR="008F62E2" w:rsidRPr="008F62E2" w:rsidRDefault="008F62E2" w:rsidP="008F62E2">
      <w:pPr>
        <w:pStyle w:val="Odstavek"/>
        <w:spacing w:before="0" w:line="260" w:lineRule="exact"/>
        <w:ind w:firstLine="0"/>
        <w:rPr>
          <w:rFonts w:cs="Arial"/>
          <w:sz w:val="20"/>
          <w:szCs w:val="20"/>
        </w:rPr>
      </w:pPr>
    </w:p>
    <w:p w:rsidR="008F62E2" w:rsidRPr="008F62E2" w:rsidRDefault="008F62E2" w:rsidP="008F62E2">
      <w:pPr>
        <w:pStyle w:val="Odstavek"/>
        <w:spacing w:before="0" w:line="260" w:lineRule="exact"/>
        <w:ind w:firstLine="0"/>
        <w:rPr>
          <w:rFonts w:cs="Arial"/>
          <w:sz w:val="20"/>
          <w:szCs w:val="20"/>
        </w:rPr>
      </w:pPr>
      <w:r w:rsidRPr="008F62E2">
        <w:rPr>
          <w:rFonts w:cs="Arial"/>
          <w:sz w:val="20"/>
          <w:szCs w:val="20"/>
        </w:rPr>
        <w:t>in ima na dan 30. junija preteklega leta v uporabi toliko kmetijskih in gozdnih zemljišč ali gozdnih zemljišč, da njegova letna normativna poraba goriva znaša vsaj 540 litrov za kmetijska in gozdna zemljišča oziroma vsaj 150 litrov za gozdna zemljišča.</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(3) Gorivo za kmetijstvo lahko kupi tudi oseba, ki je v registru čebelnjakov pri ministrstvu, pristojnem za kmetijstvo, evidentirana kot čebelar in kot imetnik vsaj 41 čebeljih panjev na dan </w:t>
      </w:r>
      <w:r w:rsidRPr="008F62E2">
        <w:rPr>
          <w:rFonts w:cs="Arial"/>
          <w:sz w:val="20"/>
          <w:szCs w:val="20"/>
        </w:rPr>
        <w:lastRenderedPageBreak/>
        <w:t xml:space="preserve">30. junija preteklega leta, ter ima v registru čebelnjakov za preteklo leto evidentirane premike vsaj 41 čebeljih panjev na oddaljeno stojišče v razdalji vsaj 10 km zračne linije.  </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(4) Normativno porabo goriva za osebo iz drugega odstavka tega člena določi davčni organ glede na površino in dejansko rabo kmetijskih in gozdnih zemljišč v Sloveniji v njegovi uporabi, kot ju izkazujejo grafične enote rabe zemljišč kmetijskega gospodarstva oziroma zemljiški kataster na dan 30. junija preteklega leta in glede na normativno porabo goriva, določeno s predpisom iz dvanajstega odstavka tega člena.</w:t>
      </w:r>
    </w:p>
    <w:p w:rsidR="008F62E2" w:rsidRPr="008F62E2" w:rsidRDefault="008F62E2" w:rsidP="008F62E2">
      <w:pPr>
        <w:pStyle w:val="Pripombabesedilo"/>
        <w:spacing w:line="260" w:lineRule="exact"/>
        <w:ind w:firstLine="1134"/>
        <w:rPr>
          <w:rFonts w:cs="Arial"/>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(5) Davčni organ po uradni dolžnosti dodeli osebam, ki izpolnjujejo pogoje za nakup goriva za kmetijstvo, enolično identifikacijsko oznako. Davčni organ enolično identifikacijsko oznako, poleg nosilcu kmetijskega gospodarstva, dodeli tudi namestniku in članom kmetijskega gospodarstva.</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(6) Oseba, ki izpolnjuje pogoj za nakup goriva za kmetijstvo pred nakupom goriva za kmetijstvo trgovcu predloži enolično identifikacijsko oznako in osebni dokument, s katerim izkaže svojo identiteto. </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(7) Trgovec lahko proda gorivo za kmetijstvo le osebi, ki predloži enolično identifikacijsko oznako ter osebni dokument.</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(8) Trgovec, ki prodaja gorivo za kmetijstvo, zagotovi dostop do informacijskega sistema davčnega organa za potrebe ugotavljanja upravičenosti do nakupa goriva za kmetijstvo. Davčnemu organu do 31. januarja tekočega leta predloži poročilo o količini prodanega goriva za kmetijstvo v preteklem koledarskem letu. </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(9) Davčni organ na svoji spletni strani objavi zahteve za dostop do informacijskega sistema iz prejšnjega odstavka.  </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(10) Za kmetijsko in gozdarsko mehanizacijo se štejejo vozila, kot so opredeljena s pravilnikom o seznamu kmetijske in gozdarske mehanizacije ter katalogom stroškov kmetijske in gozdarske mehanizacije. Za vozila, prirejena za prevoz čebeljih panjev, se štejejo vozila za prevoz čebel kot vrsta vozil za posebne namene, opredeljena v pravilniku, ki ureja ugotavljanje skladnosti vozil. </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(11) Za namen ugotavljanja izpolnjevanja pogojev za nakup goriva za kmetijstvo pridobi davčni organ podatke o nosilcih, namestnikih in članih kmetijskega gospodarstva, podatke o članih agrarnih skupnosti, podatke o površinah kmetijskih zemljišč in podatke o čebelarju in čebeljih panjih ter premikih čebeljih panjev od ministrstva, pristojnega za kmetijstvo, in podatke o površinah gozdnih zemljišč od Geodetske uprave Republike Slovenije.</w:t>
      </w:r>
    </w:p>
    <w:p w:rsidR="008F62E2" w:rsidRPr="008F62E2" w:rsidRDefault="008F62E2" w:rsidP="008F62E2">
      <w:pPr>
        <w:pStyle w:val="Odstavek"/>
        <w:spacing w:before="0" w:line="260" w:lineRule="exact"/>
        <w:rPr>
          <w:rFonts w:cs="Arial"/>
          <w:sz w:val="20"/>
          <w:szCs w:val="20"/>
        </w:rPr>
      </w:pPr>
    </w:p>
    <w:p w:rsidR="008F62E2" w:rsidRPr="008F62E2" w:rsidRDefault="008F62E2" w:rsidP="008F62E2">
      <w:pPr>
        <w:pStyle w:val="Odstavek"/>
        <w:spacing w:before="0" w:line="260" w:lineRule="exact"/>
        <w:ind w:firstLine="709"/>
        <w:rPr>
          <w:rFonts w:cs="Arial"/>
          <w:sz w:val="20"/>
          <w:szCs w:val="20"/>
        </w:rPr>
      </w:pPr>
      <w:r w:rsidRPr="008F62E2">
        <w:rPr>
          <w:rFonts w:cs="Arial"/>
          <w:sz w:val="20"/>
          <w:szCs w:val="20"/>
        </w:rPr>
        <w:t xml:space="preserve">(12) Kriterije za določitev normativne porabe goriva iz četrtega odstavka, način in postopek dodelitve ter obliko enolične identifikacijske oznake iz petega odstavka ter postopek vzpostavitve dostopa do informacijskega sistema davčnega organa iz osmega odstavka tega člena predpiše minister, pristojen za finance.«.«.  </w:t>
      </w:r>
    </w:p>
    <w:p w:rsidR="008F62E2" w:rsidRDefault="008F62E2" w:rsidP="008F62E2">
      <w:pPr>
        <w:jc w:val="both"/>
        <w:rPr>
          <w:rFonts w:cs="Arial"/>
          <w:b/>
          <w:szCs w:val="20"/>
        </w:rPr>
      </w:pPr>
    </w:p>
    <w:p w:rsidR="008F62E2" w:rsidRPr="008F62E2" w:rsidRDefault="008F62E2" w:rsidP="008F62E2">
      <w:pPr>
        <w:jc w:val="both"/>
        <w:rPr>
          <w:rFonts w:cs="Arial"/>
          <w:b/>
          <w:szCs w:val="20"/>
        </w:rPr>
      </w:pPr>
    </w:p>
    <w:p w:rsidR="008F62E2" w:rsidRPr="008F62E2" w:rsidRDefault="008F62E2" w:rsidP="008F62E2">
      <w:pPr>
        <w:jc w:val="both"/>
        <w:rPr>
          <w:rFonts w:cs="Arial"/>
          <w:b/>
          <w:bCs/>
          <w:szCs w:val="20"/>
        </w:rPr>
      </w:pPr>
      <w:r w:rsidRPr="008F62E2">
        <w:rPr>
          <w:rFonts w:cs="Arial"/>
          <w:b/>
          <w:bCs/>
          <w:szCs w:val="20"/>
        </w:rPr>
        <w:t>Obrazložitev</w:t>
      </w:r>
    </w:p>
    <w:p w:rsidR="008F62E2" w:rsidRPr="008F62E2" w:rsidRDefault="008F62E2" w:rsidP="008F62E2">
      <w:pPr>
        <w:jc w:val="both"/>
        <w:rPr>
          <w:rFonts w:cs="Arial"/>
          <w:szCs w:val="20"/>
        </w:rPr>
      </w:pPr>
      <w:r w:rsidRPr="008F62E2">
        <w:rPr>
          <w:rFonts w:cs="Arial"/>
          <w:szCs w:val="20"/>
        </w:rPr>
        <w:t xml:space="preserve">Amandma sledi mnenju ZPS DZ in dodatni dopolnitvi navedbe vira podatkov evidenc, ki jih vodi ministrstvo, pristojno za kmetijstvo, gozdarstvo in prehrano.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Prvi odstavek spremenjenega 94. člena ZTro-1 določa vrsto plinskega olja, kot gorivo za kmetijstvo, iz črtanega enajstega odstavka. Odstavki člena se ustrezno preštevilčijo.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V drugem odstavku se v zvezi s člani agrarnih skupnosti spreminja navedba evidence članov agrarne skupnosti. Te se ne vodijo v registru kmetijskih gospodarstev, pač pa v registru agrarnih skupnosti v skladu z zakonom, ki ureja agrarne skupnosti ali zakonom, ki ureja ponovno vzpostavitev agrarnih skupnosti ter vrnitev njihovega premoženja in pravic.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Tretji, četrti, šesti in sedmi odstavek se terminološko usklajujejo z drugim in tretjim odstavkom spremenjenega 94. člena ZTro-1, tako da se namesto upravičenca opredeli osebo, ki izpolnjuje pogoj za nakup goriva za kmetijstvo. V okviru osebe, ki izpolnjuje pogoj za nakup goriva za kmetijstvo, če je to kmetijsko gospodarstvo, uporabnik gozdnih zemljišč ali čebelar, bo lahko izdano več enoličnih identifikacijskih oznak, ki bodo omogočale nakup goriva za kmetijstvo.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V petem odstavku se namesto enolične identifikacijske oznake upravičenca opredeli enolična identifikacijska oznaka, ki ni vezana na upravičenca, pač pa na osebo, ki bo upravičena do nakupa goriva za kmetijstvo. Oblika enolične identifikacijske oznake bo določena s podzakonskim predpisom.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Dodelitev oznake namestniku in članom kmetijskega gospodarstva je iz šestega odstavka premeščena v peti odstavek. V enajstem, prej dvanajstem odstavku se v zvezi z evidencami kmetijskega gospodarstva in ugotavljanjem izpolnjevanja pogojev za nakup goriva za kmetijstvo poleg podatkov nosilca in članov kmetijskega gospodarstva dodajajo tudi podatki namestnika kmetijskega gospodarstva. </w:t>
      </w:r>
    </w:p>
    <w:p w:rsidR="008F62E2" w:rsidRPr="008F62E2" w:rsidRDefault="008F62E2" w:rsidP="008F62E2">
      <w:pPr>
        <w:jc w:val="both"/>
        <w:rPr>
          <w:rFonts w:cs="Arial"/>
          <w:szCs w:val="20"/>
        </w:rPr>
      </w:pPr>
    </w:p>
    <w:p w:rsidR="008F62E2" w:rsidRPr="008F62E2" w:rsidRDefault="008F62E2" w:rsidP="008F62E2">
      <w:pPr>
        <w:rPr>
          <w:rFonts w:cs="Arial"/>
          <w:b/>
          <w:bCs/>
          <w:szCs w:val="20"/>
        </w:rPr>
      </w:pPr>
    </w:p>
    <w:p w:rsidR="008F62E2" w:rsidRPr="008F62E2" w:rsidRDefault="008F62E2" w:rsidP="008F62E2">
      <w:pPr>
        <w:rPr>
          <w:rFonts w:cs="Arial"/>
          <w:b/>
          <w:bCs/>
          <w:szCs w:val="20"/>
        </w:rPr>
      </w:pPr>
      <w:r w:rsidRPr="008F62E2">
        <w:rPr>
          <w:rFonts w:cs="Arial"/>
          <w:b/>
          <w:bCs/>
          <w:szCs w:val="20"/>
        </w:rPr>
        <w:t>K 9. členu</w:t>
      </w:r>
    </w:p>
    <w:p w:rsidR="008F62E2" w:rsidRPr="008F62E2" w:rsidRDefault="008F62E2" w:rsidP="008F62E2">
      <w:pPr>
        <w:rPr>
          <w:rFonts w:cs="Arial"/>
          <w:szCs w:val="20"/>
        </w:rPr>
      </w:pPr>
    </w:p>
    <w:p w:rsidR="008F62E2" w:rsidRPr="008F62E2" w:rsidRDefault="008F62E2" w:rsidP="008F62E2">
      <w:pPr>
        <w:jc w:val="both"/>
        <w:rPr>
          <w:rFonts w:cs="Arial"/>
          <w:szCs w:val="20"/>
        </w:rPr>
      </w:pPr>
      <w:r w:rsidRPr="008F62E2">
        <w:rPr>
          <w:rFonts w:cs="Arial"/>
          <w:szCs w:val="20"/>
        </w:rPr>
        <w:t>V tretjem odstavku 9. člena se besedilo »upravičencu, ki ne predloži enolične identifikacijske oznake upravičenca in osebnega dokumenta, ali osebi, ki ni upravičenec« nadomesti z besedilom »osebi, ki ne predloži enolične identifikacijske oznake in osebnega dokumenta«.</w:t>
      </w:r>
    </w:p>
    <w:p w:rsidR="008F62E2" w:rsidRPr="008F62E2" w:rsidRDefault="008F62E2" w:rsidP="008F62E2">
      <w:pPr>
        <w:jc w:val="both"/>
        <w:rPr>
          <w:rFonts w:cs="Arial"/>
          <w:szCs w:val="20"/>
        </w:rPr>
      </w:pPr>
    </w:p>
    <w:p w:rsidR="008F62E2" w:rsidRPr="008F62E2" w:rsidRDefault="008F62E2" w:rsidP="008F62E2">
      <w:pPr>
        <w:jc w:val="both"/>
        <w:rPr>
          <w:rFonts w:cs="Arial"/>
          <w:b/>
          <w:bCs/>
          <w:szCs w:val="20"/>
        </w:rPr>
      </w:pPr>
      <w:r w:rsidRPr="008F62E2">
        <w:rPr>
          <w:rFonts w:cs="Arial"/>
          <w:b/>
          <w:bCs/>
          <w:szCs w:val="20"/>
        </w:rPr>
        <w:t>Obrazložitev</w:t>
      </w:r>
    </w:p>
    <w:p w:rsidR="008F62E2" w:rsidRPr="008F62E2" w:rsidRDefault="008F62E2" w:rsidP="008F62E2">
      <w:pPr>
        <w:jc w:val="both"/>
        <w:rPr>
          <w:rFonts w:cs="Arial"/>
          <w:szCs w:val="20"/>
        </w:rPr>
      </w:pPr>
      <w:r w:rsidRPr="008F62E2">
        <w:rPr>
          <w:rFonts w:cs="Arial"/>
          <w:szCs w:val="20"/>
        </w:rPr>
        <w:t>Amandma sledi mnenju ZPS DZ. Sprememba je namenjena terminološkemu poenotenju z besedilom spremenjenega 94. člena ZTro-1.</w:t>
      </w:r>
    </w:p>
    <w:p w:rsidR="008F62E2" w:rsidRPr="008F62E2" w:rsidRDefault="008F62E2" w:rsidP="008F62E2">
      <w:pPr>
        <w:rPr>
          <w:rFonts w:cs="Arial"/>
          <w:szCs w:val="20"/>
        </w:rPr>
      </w:pPr>
    </w:p>
    <w:p w:rsidR="008F62E2" w:rsidRPr="008F62E2" w:rsidRDefault="008F62E2" w:rsidP="008F62E2">
      <w:pPr>
        <w:rPr>
          <w:rFonts w:cs="Arial"/>
          <w:szCs w:val="20"/>
        </w:rPr>
      </w:pPr>
    </w:p>
    <w:p w:rsidR="008F62E2" w:rsidRPr="008F62E2" w:rsidRDefault="008F62E2" w:rsidP="008F62E2">
      <w:pPr>
        <w:rPr>
          <w:rFonts w:cs="Arial"/>
          <w:b/>
          <w:bCs/>
          <w:szCs w:val="20"/>
        </w:rPr>
      </w:pPr>
      <w:r w:rsidRPr="008F62E2">
        <w:rPr>
          <w:rFonts w:cs="Arial"/>
          <w:b/>
          <w:bCs/>
          <w:szCs w:val="20"/>
        </w:rPr>
        <w:t>Za 10. členom</w:t>
      </w:r>
    </w:p>
    <w:p w:rsidR="008F62E2" w:rsidRPr="008F62E2" w:rsidRDefault="008F62E2" w:rsidP="008F62E2">
      <w:pPr>
        <w:rPr>
          <w:rFonts w:cs="Arial"/>
          <w:b/>
          <w:bCs/>
          <w:szCs w:val="20"/>
        </w:rPr>
      </w:pPr>
    </w:p>
    <w:p w:rsidR="008F62E2" w:rsidRPr="008F62E2" w:rsidRDefault="008F62E2" w:rsidP="008F62E2">
      <w:pPr>
        <w:rPr>
          <w:rFonts w:cs="Arial"/>
          <w:szCs w:val="20"/>
        </w:rPr>
      </w:pPr>
      <w:r w:rsidRPr="008F62E2">
        <w:rPr>
          <w:rFonts w:cs="Arial"/>
          <w:szCs w:val="20"/>
        </w:rPr>
        <w:t xml:space="preserve">Za 10. členom se doda nov 11. člen, ki se glasi: </w:t>
      </w:r>
    </w:p>
    <w:p w:rsidR="008F62E2" w:rsidRPr="008F62E2" w:rsidRDefault="008F62E2" w:rsidP="008F62E2">
      <w:pPr>
        <w:rPr>
          <w:rFonts w:cs="Arial"/>
          <w:b/>
          <w:bCs/>
          <w:szCs w:val="20"/>
        </w:rPr>
      </w:pPr>
    </w:p>
    <w:p w:rsidR="008F62E2" w:rsidRPr="008F62E2" w:rsidRDefault="008F62E2" w:rsidP="008F62E2">
      <w:pPr>
        <w:pStyle w:val="len"/>
        <w:spacing w:before="0" w:line="260" w:lineRule="exact"/>
        <w:rPr>
          <w:rFonts w:cs="Arial"/>
          <w:sz w:val="20"/>
          <w:szCs w:val="20"/>
        </w:rPr>
      </w:pPr>
      <w:r w:rsidRPr="008F62E2">
        <w:rPr>
          <w:rFonts w:cs="Arial"/>
          <w:b w:val="0"/>
          <w:bCs/>
          <w:sz w:val="20"/>
          <w:szCs w:val="20"/>
        </w:rPr>
        <w:t>»</w:t>
      </w:r>
      <w:r w:rsidRPr="008F62E2">
        <w:rPr>
          <w:rFonts w:cs="Arial"/>
          <w:sz w:val="20"/>
          <w:szCs w:val="20"/>
        </w:rPr>
        <w:t>11. člen</w:t>
      </w:r>
    </w:p>
    <w:p w:rsidR="008F62E2" w:rsidRPr="008F62E2" w:rsidRDefault="008F62E2" w:rsidP="008F62E2">
      <w:pPr>
        <w:jc w:val="center"/>
        <w:rPr>
          <w:rFonts w:cs="Arial"/>
          <w:b/>
          <w:bCs/>
          <w:szCs w:val="20"/>
        </w:rPr>
      </w:pPr>
      <w:r w:rsidRPr="008F62E2">
        <w:rPr>
          <w:rFonts w:cs="Arial"/>
          <w:b/>
          <w:bCs/>
          <w:szCs w:val="20"/>
        </w:rPr>
        <w:t>(uveljavljanje vračila trošarine za energente, porabljene za kmetijsko in gozdarsko mehanizacijo za leto 2023)</w:t>
      </w:r>
    </w:p>
    <w:p w:rsidR="008F62E2" w:rsidRPr="008F62E2" w:rsidRDefault="008F62E2" w:rsidP="008F62E2">
      <w:pPr>
        <w:jc w:val="center"/>
        <w:rPr>
          <w:rFonts w:cs="Arial"/>
          <w:szCs w:val="20"/>
        </w:rPr>
      </w:pPr>
    </w:p>
    <w:p w:rsidR="008F62E2" w:rsidRPr="008F62E2" w:rsidRDefault="008F62E2" w:rsidP="008F62E2">
      <w:pPr>
        <w:jc w:val="both"/>
        <w:rPr>
          <w:rFonts w:cs="Arial"/>
          <w:szCs w:val="20"/>
        </w:rPr>
      </w:pPr>
      <w:r w:rsidRPr="008F62E2">
        <w:rPr>
          <w:rFonts w:cs="Arial"/>
          <w:szCs w:val="20"/>
        </w:rPr>
        <w:tab/>
        <w:t>Trgovec, ki prodaja gorivo za kmetijstvo, predloži davčnemu organu prvič poročilo o količini prodanega goriva za kmetijstvo, v skladu z osmim odstavkom spremenjenega 94. člena tega zakona za leto 2023.«</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Dosedanji 11. do 13. člen postanejo 12. do 14. člen.  </w:t>
      </w:r>
    </w:p>
    <w:p w:rsidR="008F62E2" w:rsidRPr="008F62E2" w:rsidRDefault="008F62E2" w:rsidP="008F62E2">
      <w:pPr>
        <w:jc w:val="both"/>
        <w:rPr>
          <w:rFonts w:cs="Arial"/>
          <w:szCs w:val="20"/>
        </w:rPr>
      </w:pPr>
    </w:p>
    <w:p w:rsidR="008F62E2" w:rsidRPr="008F62E2" w:rsidRDefault="008F62E2" w:rsidP="008F62E2">
      <w:pPr>
        <w:jc w:val="both"/>
        <w:rPr>
          <w:rFonts w:cs="Arial"/>
          <w:b/>
          <w:bCs/>
          <w:szCs w:val="20"/>
        </w:rPr>
      </w:pPr>
      <w:r w:rsidRPr="008F62E2">
        <w:rPr>
          <w:rFonts w:cs="Arial"/>
          <w:b/>
          <w:bCs/>
          <w:szCs w:val="20"/>
        </w:rPr>
        <w:t>Obrazložitev</w:t>
      </w:r>
    </w:p>
    <w:p w:rsidR="008F62E2" w:rsidRPr="008F62E2" w:rsidRDefault="008F62E2" w:rsidP="008F62E2">
      <w:pPr>
        <w:jc w:val="both"/>
        <w:rPr>
          <w:rFonts w:cs="Arial"/>
          <w:szCs w:val="20"/>
        </w:rPr>
      </w:pPr>
      <w:r w:rsidRPr="008F62E2">
        <w:rPr>
          <w:rFonts w:cs="Arial"/>
          <w:szCs w:val="20"/>
        </w:rPr>
        <w:t xml:space="preserve">Amandma sledi mnenju ZPS DZ. Na podlagi osmega odstavka spremenjenega 94. člena ZTro-1, v zvezi z obveznostjo poročanja o količini prodanega goriva za kmetijstvo, ki velja za trgovce, </w:t>
      </w:r>
      <w:r w:rsidRPr="008F62E2">
        <w:rPr>
          <w:rFonts w:cs="Arial"/>
          <w:szCs w:val="20"/>
        </w:rPr>
        <w:lastRenderedPageBreak/>
        <w:t xml:space="preserve">ki prodajajo gorivo za kmetijstvo, se določa prehodna določba, na podlagi katere trgovci prvič poročajo o prodanih količinah goriva za kmetijstvo v letu 2024 za leto 2023. </w:t>
      </w:r>
    </w:p>
    <w:p w:rsidR="008F62E2" w:rsidRPr="008F62E2" w:rsidRDefault="008F62E2" w:rsidP="008F62E2">
      <w:pPr>
        <w:jc w:val="both"/>
        <w:rPr>
          <w:rFonts w:cs="Arial"/>
          <w:szCs w:val="20"/>
        </w:rPr>
      </w:pPr>
    </w:p>
    <w:p w:rsidR="008F62E2" w:rsidRPr="008F62E2" w:rsidRDefault="008F62E2" w:rsidP="008F62E2">
      <w:pPr>
        <w:jc w:val="both"/>
        <w:rPr>
          <w:rFonts w:cs="Arial"/>
          <w:szCs w:val="20"/>
        </w:rPr>
      </w:pPr>
      <w:r w:rsidRPr="008F62E2">
        <w:rPr>
          <w:rFonts w:cs="Arial"/>
          <w:szCs w:val="20"/>
        </w:rPr>
        <w:t xml:space="preserve">Zaradi dodanega člena se členi prehodnih in končnih določb preštevilčijo. </w:t>
      </w:r>
    </w:p>
    <w:p w:rsidR="008F62E2" w:rsidRPr="008F62E2" w:rsidRDefault="008F62E2" w:rsidP="008F62E2">
      <w:pPr>
        <w:jc w:val="both"/>
        <w:rPr>
          <w:rFonts w:cs="Arial"/>
          <w:b/>
          <w:bCs/>
          <w:szCs w:val="20"/>
        </w:rPr>
      </w:pPr>
    </w:p>
    <w:p w:rsidR="007E1230" w:rsidRPr="008F62E2" w:rsidRDefault="007E1230" w:rsidP="008F62E2">
      <w:pPr>
        <w:autoSpaceDE w:val="0"/>
        <w:autoSpaceDN w:val="0"/>
        <w:adjustRightInd w:val="0"/>
        <w:jc w:val="both"/>
        <w:rPr>
          <w:rFonts w:cs="Arial"/>
          <w:color w:val="000000"/>
          <w:szCs w:val="20"/>
        </w:rPr>
      </w:pPr>
    </w:p>
    <w:sectPr w:rsidR="007E1230" w:rsidRPr="008F62E2"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DCE" w:rsidRDefault="000F5DCE" w:rsidP="00767987">
      <w:pPr>
        <w:spacing w:line="240" w:lineRule="auto"/>
      </w:pPr>
      <w:r>
        <w:separator/>
      </w:r>
    </w:p>
  </w:endnote>
  <w:endnote w:type="continuationSeparator" w:id="0">
    <w:p w:rsidR="000F5DCE" w:rsidRDefault="000F5DCE"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AC" w:rsidRDefault="004923A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AC" w:rsidRDefault="004923A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AC" w:rsidRDefault="004923A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DCE" w:rsidRDefault="000F5DCE" w:rsidP="00767987">
      <w:pPr>
        <w:spacing w:line="240" w:lineRule="auto"/>
      </w:pPr>
      <w:r>
        <w:separator/>
      </w:r>
    </w:p>
  </w:footnote>
  <w:footnote w:type="continuationSeparator" w:id="0">
    <w:p w:rsidR="000F5DCE" w:rsidRDefault="000F5DCE"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AC" w:rsidRDefault="004923A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3AC" w:rsidRDefault="004923A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0F5DCE"/>
    <w:rsid w:val="0031227B"/>
    <w:rsid w:val="00366636"/>
    <w:rsid w:val="00367DE6"/>
    <w:rsid w:val="003B3E19"/>
    <w:rsid w:val="004076C6"/>
    <w:rsid w:val="00457A58"/>
    <w:rsid w:val="004923AC"/>
    <w:rsid w:val="004B7F76"/>
    <w:rsid w:val="004E1BCE"/>
    <w:rsid w:val="00592079"/>
    <w:rsid w:val="00682FFE"/>
    <w:rsid w:val="00684751"/>
    <w:rsid w:val="006C69EC"/>
    <w:rsid w:val="007039D0"/>
    <w:rsid w:val="00767987"/>
    <w:rsid w:val="00782FD4"/>
    <w:rsid w:val="007E1230"/>
    <w:rsid w:val="00811140"/>
    <w:rsid w:val="008F62E2"/>
    <w:rsid w:val="00904A48"/>
    <w:rsid w:val="0093671A"/>
    <w:rsid w:val="00980294"/>
    <w:rsid w:val="009C5392"/>
    <w:rsid w:val="009C657E"/>
    <w:rsid w:val="00A16E6F"/>
    <w:rsid w:val="00A50E4B"/>
    <w:rsid w:val="00A56EFB"/>
    <w:rsid w:val="00A9231D"/>
    <w:rsid w:val="00AD3BB3"/>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Krepko">
    <w:name w:val="Strong"/>
    <w:uiPriority w:val="22"/>
    <w:qFormat/>
    <w:rsid w:val="0093671A"/>
    <w:rPr>
      <w:rFonts w:ascii="Times New Roman" w:hAnsi="Times New Roman" w:cs="Times New Roman" w:hint="default"/>
      <w:b/>
      <w:bCs/>
    </w:rPr>
  </w:style>
  <w:style w:type="paragraph" w:styleId="Pripombabesedilo">
    <w:name w:val="annotation text"/>
    <w:basedOn w:val="Navaden"/>
    <w:link w:val="PripombabesediloZnak"/>
    <w:uiPriority w:val="99"/>
    <w:semiHidden/>
    <w:unhideWhenUsed/>
    <w:rsid w:val="008F62E2"/>
    <w:pPr>
      <w:spacing w:line="240" w:lineRule="auto"/>
      <w:jc w:val="both"/>
    </w:pPr>
    <w:rPr>
      <w:rFonts w:eastAsiaTheme="minorHAnsi" w:cstheme="minorBidi"/>
      <w:szCs w:val="20"/>
    </w:rPr>
  </w:style>
  <w:style w:type="character" w:customStyle="1" w:styleId="PripombabesediloZnak">
    <w:name w:val="Pripomba – besedilo Znak"/>
    <w:basedOn w:val="Privzetapisavaodstavka"/>
    <w:link w:val="Pripombabesedilo"/>
    <w:uiPriority w:val="99"/>
    <w:semiHidden/>
    <w:rsid w:val="008F62E2"/>
    <w:rPr>
      <w:rFonts w:ascii="Arial" w:hAnsi="Arial"/>
      <w:sz w:val="20"/>
      <w:szCs w:val="20"/>
    </w:rPr>
  </w:style>
  <w:style w:type="character" w:customStyle="1" w:styleId="lenZnak">
    <w:name w:val="Člen Znak"/>
    <w:link w:val="len"/>
    <w:locked/>
    <w:rsid w:val="008F62E2"/>
    <w:rPr>
      <w:rFonts w:ascii="Arial" w:eastAsia="Times New Roman" w:hAnsi="Arial" w:cs="Times New Roman"/>
      <w:b/>
      <w:lang w:val="x-none" w:eastAsia="x-none"/>
    </w:rPr>
  </w:style>
  <w:style w:type="paragraph" w:customStyle="1" w:styleId="len">
    <w:name w:val="Člen"/>
    <w:basedOn w:val="Navaden"/>
    <w:link w:val="lenZnak"/>
    <w:qFormat/>
    <w:rsid w:val="008F62E2"/>
    <w:pPr>
      <w:suppressAutoHyphens/>
      <w:overflowPunct w:val="0"/>
      <w:autoSpaceDE w:val="0"/>
      <w:autoSpaceDN w:val="0"/>
      <w:adjustRightInd w:val="0"/>
      <w:spacing w:before="480" w:line="240" w:lineRule="auto"/>
      <w:jc w:val="center"/>
    </w:pPr>
    <w:rPr>
      <w:b/>
      <w:sz w:val="22"/>
      <w:szCs w:val="22"/>
      <w:lang w:val="x-none" w:eastAsia="x-none"/>
    </w:rPr>
  </w:style>
  <w:style w:type="character" w:customStyle="1" w:styleId="OdstavekZnak">
    <w:name w:val="Odstavek Znak"/>
    <w:link w:val="Odstavek"/>
    <w:locked/>
    <w:rsid w:val="008F62E2"/>
    <w:rPr>
      <w:rFonts w:ascii="Arial" w:eastAsia="Times New Roman" w:hAnsi="Arial" w:cs="Times New Roman"/>
      <w:lang w:val="x-none" w:eastAsia="x-none"/>
    </w:rPr>
  </w:style>
  <w:style w:type="paragraph" w:customStyle="1" w:styleId="Odstavek">
    <w:name w:val="Odstavek"/>
    <w:basedOn w:val="Navaden"/>
    <w:link w:val="OdstavekZnak"/>
    <w:qFormat/>
    <w:rsid w:val="008F62E2"/>
    <w:pPr>
      <w:overflowPunct w:val="0"/>
      <w:autoSpaceDE w:val="0"/>
      <w:autoSpaceDN w:val="0"/>
      <w:adjustRightInd w:val="0"/>
      <w:spacing w:before="240" w:line="240" w:lineRule="auto"/>
      <w:ind w:firstLine="1021"/>
      <w:jc w:val="both"/>
    </w:pPr>
    <w:rPr>
      <w:sz w:val="22"/>
      <w:szCs w:val="22"/>
      <w:lang w:val="x-none" w:eastAsia="x-none"/>
    </w:rPr>
  </w:style>
  <w:style w:type="paragraph" w:customStyle="1" w:styleId="lennaslov">
    <w:name w:val="Člen_naslov"/>
    <w:basedOn w:val="len"/>
    <w:qFormat/>
    <w:rsid w:val="008F62E2"/>
    <w:pPr>
      <w:spacing w:before="0"/>
    </w:pPr>
    <w:rPr>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452311">
      <w:bodyDiv w:val="1"/>
      <w:marLeft w:val="0"/>
      <w:marRight w:val="0"/>
      <w:marTop w:val="0"/>
      <w:marBottom w:val="0"/>
      <w:divBdr>
        <w:top w:val="none" w:sz="0" w:space="0" w:color="auto"/>
        <w:left w:val="none" w:sz="0" w:space="0" w:color="auto"/>
        <w:bottom w:val="none" w:sz="0" w:space="0" w:color="auto"/>
        <w:right w:val="none" w:sz="0" w:space="0" w:color="auto"/>
      </w:divBdr>
    </w:div>
    <w:div w:id="14594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9362</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2022-10-19T11:48:00Z</dcterms:created>
  <dcterms:modified xsi:type="dcterms:W3CDTF">2022-10-19T11:48:00Z</dcterms:modified>
</cp:coreProperties>
</file>