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3F08D8">
      <w:pPr>
        <w:pStyle w:val="datumtevilka"/>
      </w:pPr>
      <w:bookmarkStart w:id="0" w:name="_Hlk61014710"/>
      <w:bookmarkEnd w:id="0"/>
      <w:r w:rsidRPr="002760DC">
        <w:rPr>
          <w:rFonts w:cs="Arial"/>
          <w:color w:val="000000"/>
        </w:rPr>
        <w:t>EVA:</w:t>
      </w:r>
      <w:r w:rsidRPr="002760DC">
        <w:rPr>
          <w:rFonts w:cs="Arial"/>
          <w:color w:val="000000"/>
        </w:rPr>
        <w:tab/>
      </w:r>
      <w:r w:rsidR="0071050A">
        <w:rPr>
          <w:rFonts w:cs="Arial"/>
          <w:color w:val="000000"/>
        </w:rPr>
        <w:t>2022-1611-0089</w:t>
      </w:r>
    </w:p>
    <w:p w:rsidR="009C657E" w:rsidRPr="002760DC" w:rsidRDefault="009C657E" w:rsidP="003F08D8">
      <w:pPr>
        <w:pStyle w:val="datumtevilka"/>
      </w:pPr>
      <w:r w:rsidRPr="002760DC">
        <w:t xml:space="preserve">Številka: </w:t>
      </w:r>
      <w:r w:rsidRPr="002760DC">
        <w:tab/>
      </w:r>
      <w:r w:rsidR="0071050A">
        <w:rPr>
          <w:rFonts w:cs="Arial"/>
          <w:color w:val="000000"/>
        </w:rPr>
        <w:t>00704-350/2022/12</w:t>
      </w:r>
    </w:p>
    <w:p w:rsidR="009C657E" w:rsidRPr="002760DC" w:rsidRDefault="009C657E" w:rsidP="003F08D8">
      <w:pPr>
        <w:pStyle w:val="datumtevilka"/>
      </w:pPr>
      <w:r>
        <w:t>Datum:</w:t>
      </w:r>
      <w:r w:rsidRPr="002760DC">
        <w:tab/>
      </w:r>
      <w:r w:rsidR="0071050A">
        <w:rPr>
          <w:rFonts w:cs="Arial"/>
          <w:color w:val="000000"/>
        </w:rPr>
        <w:t>19. 10. 2022</w:t>
      </w:r>
      <w:r w:rsidRPr="002760DC">
        <w:t xml:space="preserve"> </w:t>
      </w:r>
    </w:p>
    <w:p w:rsidR="009C657E" w:rsidRDefault="009C657E" w:rsidP="003F08D8"/>
    <w:p w:rsidR="00524D81" w:rsidRDefault="00524D81" w:rsidP="003F08D8"/>
    <w:p w:rsidR="00524D81" w:rsidRPr="002760DC" w:rsidRDefault="00524D81" w:rsidP="003F08D8"/>
    <w:p w:rsidR="009C657E" w:rsidRDefault="009C657E" w:rsidP="003F08D8">
      <w:pPr>
        <w:autoSpaceDE w:val="0"/>
        <w:autoSpaceDN w:val="0"/>
        <w:adjustRightInd w:val="0"/>
        <w:rPr>
          <w:rFonts w:cs="Arial"/>
          <w:color w:val="000000"/>
          <w:szCs w:val="20"/>
        </w:rPr>
      </w:pPr>
    </w:p>
    <w:p w:rsidR="009C657E" w:rsidRPr="006B6EBB" w:rsidRDefault="0071050A" w:rsidP="006B6EBB">
      <w:pPr>
        <w:autoSpaceDE w:val="0"/>
        <w:autoSpaceDN w:val="0"/>
        <w:adjustRightInd w:val="0"/>
        <w:jc w:val="center"/>
        <w:rPr>
          <w:rFonts w:cs="Arial"/>
          <w:b/>
          <w:color w:val="000000"/>
          <w:szCs w:val="20"/>
        </w:rPr>
      </w:pPr>
      <w:r w:rsidRPr="006B6EBB">
        <w:rPr>
          <w:rFonts w:cs="Arial"/>
          <w:b/>
          <w:color w:val="000000"/>
          <w:szCs w:val="20"/>
        </w:rPr>
        <w:t>Predlog</w:t>
      </w:r>
      <w:r w:rsidR="00524D81" w:rsidRPr="006B6EBB">
        <w:rPr>
          <w:rFonts w:cs="Arial"/>
          <w:b/>
          <w:color w:val="000000"/>
          <w:szCs w:val="20"/>
        </w:rPr>
        <w:t xml:space="preserve"> </w:t>
      </w:r>
      <w:r w:rsidRPr="006B6EBB">
        <w:rPr>
          <w:rFonts w:cs="Arial"/>
          <w:b/>
          <w:color w:val="000000"/>
          <w:szCs w:val="20"/>
        </w:rPr>
        <w:t>amandmajev k Predlogu zako</w:t>
      </w:r>
      <w:r w:rsidR="00524D81" w:rsidRPr="006B6EBB">
        <w:rPr>
          <w:rFonts w:cs="Arial"/>
          <w:b/>
          <w:color w:val="000000"/>
          <w:szCs w:val="20"/>
        </w:rPr>
        <w:t>na o spremembah in dopolnitvah Z</w:t>
      </w:r>
      <w:r w:rsidRPr="006B6EBB">
        <w:rPr>
          <w:rFonts w:cs="Arial"/>
          <w:b/>
          <w:color w:val="000000"/>
          <w:szCs w:val="20"/>
        </w:rPr>
        <w:t>akona o Slovenskem državnem holdingu</w:t>
      </w:r>
    </w:p>
    <w:p w:rsidR="006B6EBB" w:rsidRDefault="006B6EBB" w:rsidP="003F08D8">
      <w:pPr>
        <w:autoSpaceDE w:val="0"/>
        <w:autoSpaceDN w:val="0"/>
        <w:adjustRightInd w:val="0"/>
        <w:jc w:val="both"/>
        <w:rPr>
          <w:rFonts w:cs="Arial"/>
          <w:color w:val="000000"/>
          <w:szCs w:val="20"/>
        </w:rPr>
      </w:pPr>
    </w:p>
    <w:p w:rsidR="006B6EBB" w:rsidRDefault="006B6EBB" w:rsidP="003F08D8">
      <w:pPr>
        <w:autoSpaceDE w:val="0"/>
        <w:autoSpaceDN w:val="0"/>
        <w:adjustRightInd w:val="0"/>
        <w:jc w:val="both"/>
        <w:rPr>
          <w:rFonts w:cs="Arial"/>
          <w:color w:val="000000"/>
          <w:szCs w:val="20"/>
        </w:rPr>
      </w:pPr>
    </w:p>
    <w:p w:rsidR="006B6EBB" w:rsidRDefault="006B6EBB" w:rsidP="006B6EBB">
      <w:pPr>
        <w:autoSpaceDE w:val="0"/>
        <w:autoSpaceDN w:val="0"/>
        <w:adjustRightInd w:val="0"/>
        <w:rPr>
          <w:rFonts w:eastAsia="Calibri" w:cs="Arial"/>
          <w:b/>
          <w:bCs/>
          <w:szCs w:val="20"/>
          <w:u w:val="single"/>
        </w:rPr>
      </w:pPr>
      <w:r>
        <w:rPr>
          <w:rFonts w:eastAsia="Calibri" w:cs="Arial"/>
          <w:b/>
          <w:bCs/>
          <w:szCs w:val="20"/>
          <w:u w:val="single"/>
        </w:rPr>
        <w:t>K 1. členu:</w:t>
      </w:r>
    </w:p>
    <w:p w:rsidR="006B6EBB" w:rsidRDefault="006B6EBB" w:rsidP="006B6EBB">
      <w:pPr>
        <w:rPr>
          <w:rFonts w:cs="Arial"/>
          <w:szCs w:val="20"/>
        </w:rPr>
      </w:pPr>
    </w:p>
    <w:p w:rsidR="006B6EBB" w:rsidRDefault="006B6EBB" w:rsidP="006B6EBB">
      <w:pPr>
        <w:rPr>
          <w:rFonts w:cs="Arial"/>
          <w:szCs w:val="20"/>
        </w:rPr>
      </w:pPr>
      <w:r>
        <w:rPr>
          <w:rFonts w:cs="Arial"/>
          <w:szCs w:val="20"/>
        </w:rPr>
        <w:t>1. člen se spremeni tako, da se glasi:</w:t>
      </w:r>
    </w:p>
    <w:p w:rsidR="006B6EBB" w:rsidRDefault="006B6EBB" w:rsidP="006B6EBB">
      <w:pPr>
        <w:rPr>
          <w:rFonts w:cs="Arial"/>
          <w:szCs w:val="20"/>
        </w:rPr>
      </w:pPr>
    </w:p>
    <w:p w:rsidR="006B6EBB" w:rsidRDefault="006B6EBB" w:rsidP="006B6EBB">
      <w:pPr>
        <w:jc w:val="center"/>
        <w:rPr>
          <w:rFonts w:cs="Arial"/>
          <w:szCs w:val="20"/>
        </w:rPr>
      </w:pPr>
      <w:r>
        <w:rPr>
          <w:rFonts w:cs="Arial"/>
          <w:szCs w:val="20"/>
        </w:rPr>
        <w:t>»1. člen</w:t>
      </w:r>
    </w:p>
    <w:p w:rsidR="006B6EBB" w:rsidRDefault="006B6EBB" w:rsidP="006B6EBB">
      <w:pPr>
        <w:ind w:firstLine="284"/>
        <w:rPr>
          <w:rFonts w:eastAsia="Arial" w:cs="Arial"/>
          <w:szCs w:val="20"/>
        </w:rPr>
      </w:pPr>
    </w:p>
    <w:p w:rsidR="006B6EBB" w:rsidRDefault="006B6EBB" w:rsidP="006B6EBB">
      <w:pPr>
        <w:ind w:firstLine="284"/>
        <w:rPr>
          <w:rFonts w:eastAsia="Arial" w:cs="Arial"/>
          <w:szCs w:val="20"/>
        </w:rPr>
      </w:pPr>
      <w:r>
        <w:rPr>
          <w:rFonts w:eastAsia="Arial" w:cs="Arial"/>
          <w:szCs w:val="20"/>
        </w:rPr>
        <w:t>V Zakonu o Slovenskem državnem holdingu (Uradni list RS, št. 25/14,) se v 2. členu v 1. točki pred piko doda besedilo: », terjatve in stvarno premoženje«.</w:t>
      </w:r>
    </w:p>
    <w:p w:rsidR="006B6EBB" w:rsidRDefault="006B6EBB" w:rsidP="006B6EBB">
      <w:pPr>
        <w:ind w:firstLine="284"/>
        <w:rPr>
          <w:rFonts w:eastAsia="Arial" w:cs="Arial"/>
          <w:szCs w:val="20"/>
        </w:rPr>
      </w:pPr>
    </w:p>
    <w:p w:rsidR="006B6EBB" w:rsidRDefault="006B6EBB" w:rsidP="006B6EBB">
      <w:pPr>
        <w:ind w:firstLine="284"/>
        <w:rPr>
          <w:rFonts w:eastAsia="Arial" w:cs="Arial"/>
          <w:szCs w:val="20"/>
        </w:rPr>
      </w:pPr>
      <w:r>
        <w:rPr>
          <w:rFonts w:eastAsia="Arial" w:cs="Arial"/>
          <w:szCs w:val="20"/>
        </w:rPr>
        <w:t xml:space="preserve">9. točka se spremeni, tako da se glasi: </w:t>
      </w:r>
    </w:p>
    <w:p w:rsidR="006B6EBB" w:rsidRDefault="006B6EBB" w:rsidP="006B6EBB">
      <w:pPr>
        <w:ind w:firstLine="284"/>
        <w:rPr>
          <w:rFonts w:eastAsia="Arial" w:cs="Arial"/>
          <w:szCs w:val="20"/>
        </w:rPr>
      </w:pPr>
    </w:p>
    <w:p w:rsidR="006B6EBB" w:rsidRDefault="006B6EBB" w:rsidP="006B6EBB">
      <w:pPr>
        <w:ind w:firstLine="284"/>
        <w:rPr>
          <w:rFonts w:eastAsia="Arial" w:cs="Arial"/>
          <w:szCs w:val="20"/>
        </w:rPr>
      </w:pPr>
      <w:r>
        <w:rPr>
          <w:rFonts w:eastAsia="Arial" w:cs="Arial"/>
          <w:szCs w:val="20"/>
        </w:rPr>
        <w:t>»9. Ožji družinski člani so: zakonec, otroci, posvojenci, starši, posvojitelji, bratje, sestre in osebe, ki s posameznikom živijo v skupnem gospodinjstvu ali v zunajzakonski skupnosti.«.«.</w:t>
      </w:r>
    </w:p>
    <w:p w:rsidR="006B6EBB" w:rsidRDefault="006B6EBB" w:rsidP="006B6EBB">
      <w:pPr>
        <w:rPr>
          <w:rFonts w:eastAsia="Calibri" w:cs="Arial"/>
          <w:szCs w:val="20"/>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 xml:space="preserve">Sledi se pripombi Zakonodajno-pravne službe Državnega zbora (v nadaljnjem besedilu ZPS), da se vsak člen predpisa novelira s posebnim (samostojnim) členom novele,  zaradi česar je treba besedilo 1. in 2. člena Predloga zakona združiti. Ob tem je bila popravljena napaka, saj se z besedilom », terjatve in stvarno premoženje.« ne dopolnjuje 2. točka 2. člena ZSDH-1, temveč 1. točka 2. člena ZSDH-1. </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 xml:space="preserve">Pripomba ZPS k 5. členu, ki je povezana z zgornjo razširitvijo opredelitve naložb, ni bila upoštevana. S prenosom premoženja z DUTB na SDH mora SDH za učinkovito upravljanje pridobiti tudi celoten nabor upravljavskih pristojnosti v zvezi z navedenim premoženjem. </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bookmarkStart w:id="1" w:name="_Hlk116475554"/>
      <w:r>
        <w:rPr>
          <w:rFonts w:cs="Arial"/>
          <w:b/>
          <w:szCs w:val="20"/>
          <w:u w:val="single"/>
          <w:lang w:eastAsia="ar-SA"/>
        </w:rPr>
        <w:t>K 2. členu:</w:t>
      </w:r>
    </w:p>
    <w:p w:rsidR="006B6EBB" w:rsidRDefault="006B6EBB" w:rsidP="006B6EBB">
      <w:pPr>
        <w:spacing w:line="276" w:lineRule="auto"/>
        <w:rPr>
          <w:rFonts w:cs="Arial"/>
          <w:szCs w:val="20"/>
        </w:rPr>
      </w:pPr>
      <w:r>
        <w:rPr>
          <w:rFonts w:cs="Arial"/>
          <w:szCs w:val="20"/>
        </w:rPr>
        <w:t>2. člen se črta.</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 xml:space="preserve">Vsebina tega člena je bila skladno s pripombo ZPS prenesena v 1. člen, zato se ta člen črta. </w:t>
      </w:r>
    </w:p>
    <w:bookmarkEnd w:id="1"/>
    <w:p w:rsidR="006B6EBB" w:rsidRDefault="006B6EBB" w:rsidP="006B6EBB">
      <w:pPr>
        <w:suppressAutoHyphens/>
        <w:rPr>
          <w:rFonts w:cs="Arial"/>
          <w:szCs w:val="20"/>
          <w:lang w:eastAsia="ar-SA"/>
        </w:rPr>
      </w:pPr>
    </w:p>
    <w:p w:rsidR="006B6EBB" w:rsidRDefault="006B6EBB" w:rsidP="006B6EBB">
      <w:pPr>
        <w:suppressAutoHyphens/>
        <w:rPr>
          <w:rFonts w:cs="Arial"/>
          <w:b/>
          <w:bCs/>
          <w:szCs w:val="20"/>
          <w:u w:val="single"/>
          <w:lang w:eastAsia="ar-SA"/>
        </w:rPr>
      </w:pPr>
      <w:r>
        <w:rPr>
          <w:rFonts w:cs="Arial"/>
          <w:b/>
          <w:bCs/>
          <w:szCs w:val="20"/>
          <w:u w:val="single"/>
          <w:lang w:eastAsia="ar-SA"/>
        </w:rPr>
        <w:t>K 6. členu:</w:t>
      </w:r>
    </w:p>
    <w:p w:rsidR="006B6EBB" w:rsidRDefault="006B6EBB" w:rsidP="006B6EBB">
      <w:pPr>
        <w:suppressAutoHyphens/>
        <w:rPr>
          <w:rFonts w:cs="Arial"/>
          <w:szCs w:val="20"/>
          <w:lang w:eastAsia="ar-SA"/>
        </w:rPr>
      </w:pPr>
      <w:r>
        <w:rPr>
          <w:rFonts w:cs="Arial"/>
          <w:szCs w:val="20"/>
          <w:lang w:eastAsia="ar-SA"/>
        </w:rPr>
        <w:t>6. člen se spremeni tako, da se glasi:</w:t>
      </w:r>
    </w:p>
    <w:p w:rsidR="006B6EBB" w:rsidRDefault="006B6EBB" w:rsidP="006B6EBB">
      <w:pPr>
        <w:suppressAutoHyphens/>
        <w:rPr>
          <w:rFonts w:cs="Arial"/>
          <w:szCs w:val="20"/>
          <w:lang w:eastAsia="ar-SA"/>
        </w:rPr>
      </w:pPr>
    </w:p>
    <w:p w:rsidR="006B6EBB" w:rsidRDefault="006B6EBB" w:rsidP="006B6EBB">
      <w:pPr>
        <w:jc w:val="center"/>
        <w:rPr>
          <w:rFonts w:cs="Arial"/>
          <w:szCs w:val="20"/>
        </w:rPr>
      </w:pPr>
      <w:r>
        <w:rPr>
          <w:rFonts w:cs="Arial"/>
          <w:szCs w:val="20"/>
        </w:rPr>
        <w:t>»6. člen</w:t>
      </w:r>
    </w:p>
    <w:p w:rsidR="006B6EBB" w:rsidRDefault="006B6EBB" w:rsidP="006B6EBB">
      <w:pPr>
        <w:widowControl w:val="0"/>
        <w:tabs>
          <w:tab w:val="left" w:pos="4820"/>
        </w:tabs>
        <w:spacing w:line="220" w:lineRule="exact"/>
        <w:ind w:left="4395"/>
        <w:rPr>
          <w:rFonts w:cs="Arial"/>
          <w:szCs w:val="20"/>
        </w:rPr>
      </w:pPr>
    </w:p>
    <w:p w:rsidR="006B6EBB" w:rsidRDefault="006B6EBB" w:rsidP="006B6EBB">
      <w:pPr>
        <w:spacing w:line="256" w:lineRule="auto"/>
        <w:ind w:firstLine="284"/>
        <w:rPr>
          <w:rFonts w:eastAsia="Arial" w:cs="Arial"/>
          <w:szCs w:val="20"/>
        </w:rPr>
      </w:pPr>
      <w:r>
        <w:rPr>
          <w:rFonts w:eastAsia="Arial" w:cs="Arial"/>
          <w:szCs w:val="20"/>
        </w:rPr>
        <w:t>V 19. členu se v drugem odstavku za drugo alinejo doda nova tretja alineja, ki se glasi: »- če tako določa zakon.«.</w:t>
      </w:r>
    </w:p>
    <w:p w:rsidR="006B6EBB" w:rsidRDefault="006B6EBB" w:rsidP="006B6EBB">
      <w:pPr>
        <w:spacing w:line="256" w:lineRule="auto"/>
        <w:ind w:firstLine="284"/>
        <w:rPr>
          <w:rFonts w:eastAsia="Arial" w:cs="Arial"/>
          <w:szCs w:val="20"/>
        </w:rPr>
      </w:pPr>
    </w:p>
    <w:p w:rsidR="006B6EBB" w:rsidRDefault="006B6EBB" w:rsidP="006B6EBB">
      <w:pPr>
        <w:spacing w:line="256" w:lineRule="auto"/>
        <w:ind w:firstLine="284"/>
        <w:rPr>
          <w:rFonts w:eastAsia="Arial" w:cs="Arial"/>
          <w:szCs w:val="20"/>
        </w:rPr>
      </w:pPr>
      <w:r>
        <w:rPr>
          <w:rFonts w:eastAsia="Arial" w:cs="Arial"/>
          <w:szCs w:val="20"/>
        </w:rPr>
        <w:t>Dosedanja tretja alineja se črta.</w:t>
      </w:r>
    </w:p>
    <w:p w:rsidR="006B6EBB" w:rsidRDefault="006B6EBB" w:rsidP="006B6EBB">
      <w:pPr>
        <w:spacing w:line="256" w:lineRule="auto"/>
        <w:ind w:firstLine="284"/>
        <w:rPr>
          <w:rFonts w:eastAsia="Arial" w:cs="Arial"/>
          <w:szCs w:val="20"/>
        </w:rPr>
      </w:pPr>
    </w:p>
    <w:p w:rsidR="006B6EBB" w:rsidRDefault="006B6EBB" w:rsidP="006B6EBB">
      <w:pPr>
        <w:spacing w:line="256" w:lineRule="auto"/>
        <w:ind w:firstLine="284"/>
        <w:rPr>
          <w:rFonts w:eastAsia="Arial" w:cs="Arial"/>
          <w:szCs w:val="20"/>
        </w:rPr>
      </w:pPr>
      <w:r>
        <w:rPr>
          <w:rFonts w:eastAsia="Arial" w:cs="Arial"/>
          <w:szCs w:val="20"/>
        </w:rPr>
        <w:t xml:space="preserve">Za tretjim odstavkom se dodata nov četrti in peti odstavek, ki se glasita: </w:t>
      </w:r>
    </w:p>
    <w:p w:rsidR="006B6EBB" w:rsidRDefault="006B6EBB" w:rsidP="006B6EBB">
      <w:pPr>
        <w:spacing w:line="256" w:lineRule="auto"/>
        <w:ind w:firstLine="284"/>
        <w:rPr>
          <w:rFonts w:eastAsia="Arial" w:cs="Arial"/>
          <w:szCs w:val="20"/>
        </w:rPr>
      </w:pPr>
    </w:p>
    <w:p w:rsidR="006B6EBB" w:rsidRDefault="006B6EBB" w:rsidP="006B6EBB">
      <w:pPr>
        <w:spacing w:line="256" w:lineRule="auto"/>
        <w:ind w:firstLine="284"/>
        <w:rPr>
          <w:rFonts w:eastAsia="Arial" w:cs="Arial"/>
          <w:szCs w:val="20"/>
        </w:rPr>
      </w:pPr>
      <w:r>
        <w:rPr>
          <w:rFonts w:eastAsia="Arial" w:cs="Arial"/>
          <w:szCs w:val="20"/>
        </w:rPr>
        <w:t>»(4) SDH mora pred odločitvijo o odplačni pridobitvi kapitalske naložbe v last Republike Slovenije pridobiti potrditev ministrstva, pristojnega za finance, da so v tekočem letu v proračunu zagotovljene pravice porabe v zadostni višini.</w:t>
      </w:r>
    </w:p>
    <w:p w:rsidR="006B6EBB" w:rsidRDefault="006B6EBB" w:rsidP="006B6EBB">
      <w:pPr>
        <w:spacing w:line="256" w:lineRule="auto"/>
        <w:ind w:firstLine="284"/>
        <w:rPr>
          <w:rFonts w:eastAsia="Arial" w:cs="Arial"/>
          <w:szCs w:val="20"/>
        </w:rPr>
      </w:pPr>
    </w:p>
    <w:p w:rsidR="006B6EBB" w:rsidRDefault="006B6EBB" w:rsidP="006B6EBB">
      <w:pPr>
        <w:spacing w:line="256" w:lineRule="auto"/>
        <w:ind w:firstLine="284"/>
        <w:rPr>
          <w:rFonts w:eastAsia="Calibri" w:cs="Arial"/>
          <w:szCs w:val="20"/>
        </w:rPr>
      </w:pPr>
      <w:r>
        <w:rPr>
          <w:rFonts w:eastAsia="Arial" w:cs="Arial"/>
          <w:szCs w:val="20"/>
        </w:rPr>
        <w:t>(5) Ministrstvo, pristojno za finance, na podlagi sklepa SDH o odplačni pridobitvi kapitalske naložbe v last Republike Slovenije, izvede izplačilo iz proračuna v roku, ki je za plačila obveznosti neposrednih uporabnikov proračuna določen z zakonom, ki ureja izvrševanje proračuna.</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Amandma sledi dejstvu, da ZSDH-1 ni edini zakon, ki ureja upravljanje kapitalskih naložb Republike Slovenije, ampak se to področje za posamezne naložbe ureja tudi v področnih zakonih. ZSDH-1 namreč že sam določa, da v slovenskem pravnem redu obstajata dva upravljavca kapitalskih naložb (praviloma je to SDH, v primeru izjem pa je to vlada), vendar področna zakonodaja poleg izjem, ki jih določa ZSDH</w:t>
      </w:r>
      <w:r>
        <w:rPr>
          <w:rFonts w:eastAsia="Calibri" w:cs="Arial"/>
          <w:szCs w:val="20"/>
        </w:rPr>
        <w:noBreakHyphen/>
        <w:t>1, določa še posamezne dodatne izjeme.</w:t>
      </w:r>
    </w:p>
    <w:p w:rsidR="006B6EBB" w:rsidRDefault="006B6EBB" w:rsidP="006B6EBB">
      <w:pPr>
        <w:rPr>
          <w:rFonts w:eastAsia="Calibri" w:cs="Arial"/>
          <w:szCs w:val="20"/>
        </w:rPr>
      </w:pPr>
    </w:p>
    <w:p w:rsidR="006B6EBB" w:rsidRDefault="006B6EBB" w:rsidP="006B6EBB">
      <w:pPr>
        <w:rPr>
          <w:rFonts w:cs="Arial"/>
          <w:b/>
          <w:bCs/>
          <w:szCs w:val="20"/>
          <w:u w:val="single"/>
          <w:lang w:eastAsia="ar-SA"/>
        </w:rPr>
      </w:pPr>
      <w:r>
        <w:rPr>
          <w:rFonts w:eastAsia="Calibri" w:cs="Arial"/>
          <w:szCs w:val="20"/>
        </w:rPr>
        <w:t xml:space="preserve">S tem amandmajem se iz zakona, ki ureja izvrševanje proračuna, v ZSDH-1 prenašajo določbe, ki urejajo postopek pred pridobitvijo kapitalskih naložb v last Republike Slovenije. </w:t>
      </w:r>
    </w:p>
    <w:p w:rsidR="006B6EBB" w:rsidRDefault="006B6EBB" w:rsidP="006B6EBB">
      <w:pPr>
        <w:suppressAutoHyphens/>
        <w:rPr>
          <w:rFonts w:cs="Arial"/>
          <w:b/>
          <w:bCs/>
          <w:szCs w:val="20"/>
          <w:u w:val="single"/>
          <w:lang w:eastAsia="ar-SA"/>
        </w:rPr>
      </w:pPr>
    </w:p>
    <w:p w:rsidR="006B6EBB" w:rsidRDefault="006B6EBB" w:rsidP="006B6EBB">
      <w:pPr>
        <w:suppressAutoHyphens/>
        <w:rPr>
          <w:rFonts w:cs="Arial"/>
          <w:b/>
          <w:bCs/>
          <w:szCs w:val="20"/>
          <w:u w:val="single"/>
          <w:lang w:eastAsia="ar-SA"/>
        </w:rPr>
      </w:pPr>
      <w:r>
        <w:rPr>
          <w:rFonts w:cs="Arial"/>
          <w:b/>
          <w:bCs/>
          <w:szCs w:val="20"/>
          <w:u w:val="single"/>
          <w:lang w:eastAsia="ar-SA"/>
        </w:rPr>
        <w:t>K 8. členu:</w:t>
      </w:r>
    </w:p>
    <w:p w:rsidR="006B6EBB" w:rsidRDefault="006B6EBB" w:rsidP="006B6EBB">
      <w:pPr>
        <w:suppressAutoHyphens/>
        <w:rPr>
          <w:rFonts w:cs="Arial"/>
          <w:b/>
          <w:bCs/>
          <w:szCs w:val="20"/>
          <w:u w:val="single"/>
          <w:lang w:eastAsia="ar-SA"/>
        </w:rPr>
      </w:pPr>
    </w:p>
    <w:p w:rsidR="006B6EBB" w:rsidRDefault="006B6EBB" w:rsidP="006B6EBB">
      <w:pPr>
        <w:spacing w:line="276" w:lineRule="auto"/>
        <w:rPr>
          <w:rFonts w:cs="Arial"/>
          <w:szCs w:val="20"/>
          <w:lang w:eastAsia="ar-SA"/>
        </w:rPr>
      </w:pPr>
      <w:r>
        <w:rPr>
          <w:rFonts w:cs="Arial"/>
          <w:szCs w:val="20"/>
          <w:lang w:eastAsia="ar-SA"/>
        </w:rPr>
        <w:t>V 8. členu se v drugem odstavku besedilo »V četrtem odstavku se pred podpičjem doda besedilo:« spremeni tako, da se glasi: »V četrtem odstavku se v prvi alineji pred podpičjem doda besedilo:«.</w:t>
      </w:r>
    </w:p>
    <w:p w:rsidR="006B6EBB" w:rsidRDefault="006B6EBB" w:rsidP="006B6EBB">
      <w:pPr>
        <w:suppressAutoHyphens/>
        <w:rPr>
          <w:rFonts w:cs="Arial"/>
          <w:szCs w:val="20"/>
          <w:lang w:eastAsia="ar-SA"/>
        </w:rPr>
      </w:pPr>
    </w:p>
    <w:p w:rsidR="006B6EBB" w:rsidRDefault="006B6EBB" w:rsidP="006B6EBB">
      <w:pPr>
        <w:rPr>
          <w:rFonts w:eastAsia="Calibri" w:cs="Arial"/>
          <w:szCs w:val="20"/>
        </w:rPr>
      </w:pPr>
      <w:r>
        <w:rPr>
          <w:rFonts w:cs="Arial"/>
          <w:szCs w:val="20"/>
          <w:lang w:eastAsia="ar-SA"/>
        </w:rPr>
        <w:t xml:space="preserve">V tretjem odstavku se besedilo </w:t>
      </w:r>
      <w:r>
        <w:rPr>
          <w:rFonts w:eastAsia="Calibri" w:cs="Arial"/>
          <w:szCs w:val="20"/>
        </w:rPr>
        <w:t>»- niso v morebitnem nasprotju interesov v skladu z definicijo iz zakona, ki ureja integriteto in preprečevanje korupcije.« nadomesti z besedilom »- niso v morebitnem nasprotju interesov, kot ga opredeljuje zakon, ki ureja integriteto in preprečevanje korupcije.«</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Besedilo člena se terminološko spreminja v skladu s pripombo ZPS.</w:t>
      </w:r>
    </w:p>
    <w:p w:rsidR="006B6EBB" w:rsidRDefault="006B6EBB" w:rsidP="006B6EBB">
      <w:pPr>
        <w:suppressAutoHyphens/>
        <w:rPr>
          <w:rFonts w:cs="Arial"/>
          <w:szCs w:val="20"/>
          <w:lang w:eastAsia="ar-SA"/>
        </w:rPr>
      </w:pPr>
    </w:p>
    <w:p w:rsidR="006B6EBB" w:rsidRDefault="006B6EBB" w:rsidP="006B6EBB">
      <w:pPr>
        <w:suppressAutoHyphens/>
        <w:rPr>
          <w:rFonts w:cs="Arial"/>
          <w:b/>
          <w:bCs/>
          <w:szCs w:val="20"/>
          <w:u w:val="single"/>
          <w:lang w:eastAsia="ar-SA"/>
        </w:rPr>
      </w:pPr>
      <w:r>
        <w:rPr>
          <w:rFonts w:cs="Arial"/>
          <w:b/>
          <w:bCs/>
          <w:szCs w:val="20"/>
          <w:u w:val="single"/>
          <w:lang w:eastAsia="ar-SA"/>
        </w:rPr>
        <w:t>K 13. členu:</w:t>
      </w:r>
    </w:p>
    <w:p w:rsidR="006B6EBB" w:rsidRDefault="006B6EBB" w:rsidP="006B6EBB">
      <w:pPr>
        <w:suppressAutoHyphens/>
        <w:rPr>
          <w:rFonts w:cs="Arial"/>
          <w:b/>
          <w:bCs/>
          <w:szCs w:val="20"/>
          <w:u w:val="single"/>
          <w:lang w:eastAsia="ar-SA"/>
        </w:rPr>
      </w:pPr>
    </w:p>
    <w:p w:rsidR="006B6EBB" w:rsidRDefault="006B6EBB" w:rsidP="006B6EBB">
      <w:pPr>
        <w:suppressAutoHyphens/>
        <w:rPr>
          <w:rFonts w:cs="Arial"/>
          <w:szCs w:val="20"/>
          <w:lang w:eastAsia="ar-SA"/>
        </w:rPr>
      </w:pPr>
      <w:r>
        <w:rPr>
          <w:rFonts w:cs="Arial"/>
          <w:szCs w:val="20"/>
          <w:lang w:eastAsia="ar-SA"/>
        </w:rPr>
        <w:t>Besedilo 13. člena se spremeni tako, da se glasi:</w:t>
      </w:r>
    </w:p>
    <w:p w:rsidR="006B6EBB" w:rsidRDefault="006B6EBB" w:rsidP="006B6EBB">
      <w:pPr>
        <w:suppressAutoHyphens/>
        <w:rPr>
          <w:rFonts w:cs="Arial"/>
          <w:b/>
          <w:bCs/>
          <w:szCs w:val="20"/>
          <w:u w:val="single"/>
          <w:lang w:eastAsia="ar-SA"/>
        </w:rPr>
      </w:pPr>
      <w:r>
        <w:rPr>
          <w:rFonts w:cs="Arial"/>
          <w:szCs w:val="20"/>
          <w:lang w:eastAsia="ar-SA"/>
        </w:rPr>
        <w:t xml:space="preserve">V 30. členu se za tretjim odstavkom dodajo novi četrti, peti in šesti odstavek, ki se glasijo: </w:t>
      </w:r>
    </w:p>
    <w:p w:rsidR="006B6EBB" w:rsidRDefault="006B6EBB" w:rsidP="006B6EBB">
      <w:pPr>
        <w:spacing w:line="256" w:lineRule="auto"/>
        <w:rPr>
          <w:rFonts w:eastAsia="Calibri" w:cs="Arial"/>
          <w:szCs w:val="20"/>
        </w:rPr>
      </w:pPr>
    </w:p>
    <w:p w:rsidR="006B6EBB" w:rsidRDefault="006B6EBB" w:rsidP="006B6EBB">
      <w:pPr>
        <w:spacing w:line="256" w:lineRule="auto"/>
        <w:ind w:firstLine="240"/>
        <w:rPr>
          <w:rFonts w:eastAsia="Calibri" w:cs="Arial"/>
          <w:szCs w:val="20"/>
        </w:rPr>
      </w:pPr>
      <w:r>
        <w:rPr>
          <w:rFonts w:eastAsia="Calibri" w:cs="Arial"/>
          <w:szCs w:val="20"/>
        </w:rPr>
        <w:t>»(4) Letni načrt upravljanja naložb se lahko med letom spreminja po postopku iz tega člena.</w:t>
      </w:r>
    </w:p>
    <w:p w:rsidR="006B6EBB" w:rsidRDefault="006B6EBB" w:rsidP="006B6EBB">
      <w:pPr>
        <w:spacing w:line="256" w:lineRule="auto"/>
        <w:ind w:firstLine="240"/>
        <w:rPr>
          <w:rFonts w:eastAsia="Calibri" w:cs="Arial"/>
          <w:szCs w:val="20"/>
        </w:rPr>
      </w:pPr>
    </w:p>
    <w:p w:rsidR="006B6EBB" w:rsidRDefault="006B6EBB" w:rsidP="006B6EBB">
      <w:pPr>
        <w:spacing w:line="256" w:lineRule="auto"/>
        <w:ind w:firstLine="240"/>
        <w:rPr>
          <w:rFonts w:eastAsia="Calibri" w:cs="Arial"/>
          <w:szCs w:val="20"/>
        </w:rPr>
      </w:pPr>
      <w:r>
        <w:rPr>
          <w:rFonts w:eastAsia="Calibri" w:cs="Arial"/>
          <w:szCs w:val="20"/>
        </w:rPr>
        <w:t>(5) Letni načrt upravljanja kapitalskih naložb Republike Slovenije, za upravljanje katerih ni pristojen SDH, sprejme vlada do konca decembra za naslednje koledarsko leto, na predlog ministrstva, pristojnega za finance. Ministrstva, na delovna področja katerih spadajo kapitalske naložbe iz prejšnjega stavka, spremljajo poslovanje družb, ki so izdajateljice kapitalskih naložb iz prejšnjega stavka in ministrstvu, pristojnemu za finance,</w:t>
      </w:r>
      <w:r>
        <w:rPr>
          <w:rFonts w:ascii="Calibri" w:eastAsia="Calibri" w:hAnsi="Calibri"/>
        </w:rPr>
        <w:t xml:space="preserve"> </w:t>
      </w:r>
      <w:r>
        <w:rPr>
          <w:rFonts w:eastAsia="Calibri" w:cs="Arial"/>
          <w:szCs w:val="20"/>
        </w:rPr>
        <w:t>posredujejo vse podatke in izhodišča, potrebna za pripravo letnega načrta upravljanja. Za izvajanje tega odstavka se smiselno uporabljajo določbe prvega odstavka tega člena ter drugega in tretjega odstavka 17. člena tega zakona.</w:t>
      </w:r>
    </w:p>
    <w:p w:rsidR="006B6EBB" w:rsidRDefault="006B6EBB" w:rsidP="006B6EBB">
      <w:pPr>
        <w:spacing w:line="276" w:lineRule="auto"/>
        <w:rPr>
          <w:rFonts w:eastAsia="Calibri" w:cs="Arial"/>
          <w:szCs w:val="20"/>
        </w:rPr>
      </w:pPr>
    </w:p>
    <w:p w:rsidR="006B6EBB" w:rsidRDefault="006B6EBB" w:rsidP="006B6EBB">
      <w:pPr>
        <w:spacing w:line="256" w:lineRule="auto"/>
        <w:ind w:firstLine="240"/>
        <w:rPr>
          <w:rFonts w:eastAsia="Calibri" w:cs="Arial"/>
          <w:szCs w:val="20"/>
        </w:rPr>
      </w:pPr>
      <w:r>
        <w:rPr>
          <w:rFonts w:eastAsia="Calibri" w:cs="Arial"/>
          <w:szCs w:val="20"/>
        </w:rPr>
        <w:lastRenderedPageBreak/>
        <w:t>(6) Ministrstvo, pristojno za finance, najpozneje do konca marca za preteklo leto vladi posreduje letno poročilo o upravljanju naložb iz tega odstavka. Poročilo mora temeljiti na prikazu izpolnjevanja ciljev ter ukrepov in usmeritev za doseganje teh ciljev.«</w:t>
      </w:r>
    </w:p>
    <w:p w:rsidR="006B6EBB" w:rsidRDefault="006B6EBB" w:rsidP="006B6EBB">
      <w:pPr>
        <w:spacing w:line="256" w:lineRule="auto"/>
        <w:ind w:firstLine="240"/>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Namen amandmaja je, da se vsa sorodna vprašanja uredijo s splošnimi opredelitvami v enem zakonu in da se odpravi parcialna in taksativna ureditev v drugem zakonu. S tem amandmajem se iz zakona, ki ureja izvrševanje proračuna, v ZSDH-1 prenašajo določbe, ki urejajo upravljanje kapitalskih naložb Republike Slovenije in ki po vsebini sledijo določbam ZSDH-1. ZSDH-1 sicer ureja status in delovanje SDH, vendar pri tem tudi sam določa, da obstajata dva upravljavca kapitalskih naložb (krovni SDH, v primeru izjem pa vlada). Zato je smiselno in logično, da tudi sam ZSDH-1 določi obveznost priprave letnega načrta upravljanja naložb, s katerimi upravlja vlada in obveznost poročanja o upravljanju teh naložb.</w:t>
      </w:r>
    </w:p>
    <w:p w:rsidR="006B6EBB" w:rsidRDefault="006B6EBB" w:rsidP="006B6EBB">
      <w:pPr>
        <w:rPr>
          <w:rFonts w:eastAsia="Calibri" w:cs="Arial"/>
          <w:szCs w:val="20"/>
        </w:rPr>
      </w:pPr>
    </w:p>
    <w:p w:rsidR="006B6EBB" w:rsidRDefault="006B6EBB" w:rsidP="006B6EBB">
      <w:pPr>
        <w:suppressAutoHyphens/>
        <w:rPr>
          <w:rFonts w:cs="Arial"/>
          <w:b/>
          <w:bCs/>
          <w:szCs w:val="20"/>
          <w:u w:val="single"/>
          <w:lang w:eastAsia="ar-SA"/>
        </w:rPr>
      </w:pPr>
      <w:r>
        <w:rPr>
          <w:rFonts w:cs="Arial"/>
          <w:b/>
          <w:bCs/>
          <w:szCs w:val="20"/>
          <w:u w:val="single"/>
          <w:lang w:eastAsia="ar-SA"/>
        </w:rPr>
        <w:t>Za novi 14.a  člen:</w:t>
      </w:r>
    </w:p>
    <w:p w:rsidR="006B6EBB" w:rsidRDefault="006B6EBB" w:rsidP="006B6EBB">
      <w:pPr>
        <w:suppressAutoHyphens/>
        <w:rPr>
          <w:rFonts w:cs="Arial"/>
          <w:szCs w:val="20"/>
          <w:lang w:eastAsia="ar-SA"/>
        </w:rPr>
      </w:pPr>
    </w:p>
    <w:p w:rsidR="006B6EBB" w:rsidRDefault="006B6EBB" w:rsidP="006B6EBB">
      <w:pPr>
        <w:spacing w:line="276" w:lineRule="auto"/>
        <w:rPr>
          <w:rFonts w:cs="Arial"/>
          <w:szCs w:val="20"/>
          <w:lang w:eastAsia="ar-SA"/>
        </w:rPr>
      </w:pPr>
      <w:r>
        <w:rPr>
          <w:rFonts w:cs="Arial"/>
          <w:szCs w:val="20"/>
          <w:lang w:eastAsia="ar-SA"/>
        </w:rPr>
        <w:t>Za 14. členom se doda nov 14.a člen, ki se glasi:</w:t>
      </w:r>
    </w:p>
    <w:p w:rsidR="006B6EBB" w:rsidRDefault="006B6EBB" w:rsidP="006B6EBB">
      <w:pPr>
        <w:spacing w:line="276" w:lineRule="auto"/>
        <w:jc w:val="center"/>
        <w:rPr>
          <w:rFonts w:cs="Arial"/>
          <w:szCs w:val="20"/>
          <w:lang w:eastAsia="ar-SA"/>
        </w:rPr>
      </w:pPr>
      <w:r>
        <w:rPr>
          <w:rFonts w:cs="Arial"/>
          <w:szCs w:val="20"/>
          <w:lang w:eastAsia="ar-SA"/>
        </w:rPr>
        <w:t>»14.a člen</w:t>
      </w:r>
    </w:p>
    <w:p w:rsidR="006B6EBB" w:rsidRDefault="006B6EBB" w:rsidP="006B6EBB">
      <w:pPr>
        <w:spacing w:line="276" w:lineRule="auto"/>
        <w:rPr>
          <w:rFonts w:cs="Arial"/>
          <w:szCs w:val="20"/>
          <w:lang w:eastAsia="ar-SA"/>
        </w:rPr>
      </w:pPr>
      <w:r>
        <w:rPr>
          <w:rFonts w:cs="Arial"/>
          <w:szCs w:val="20"/>
          <w:lang w:eastAsia="ar-SA"/>
        </w:rPr>
        <w:t>Za 36. členom se doda nov 36.a člen, ki se glasi:</w:t>
      </w:r>
    </w:p>
    <w:p w:rsidR="006B6EBB" w:rsidRDefault="006B6EBB" w:rsidP="006B6EBB">
      <w:pPr>
        <w:suppressAutoHyphens/>
        <w:rPr>
          <w:rFonts w:cs="Arial"/>
          <w:szCs w:val="20"/>
          <w:lang w:eastAsia="ar-SA"/>
        </w:rPr>
      </w:pPr>
    </w:p>
    <w:p w:rsidR="006B6EBB" w:rsidRDefault="006B6EBB" w:rsidP="006B6EBB">
      <w:pPr>
        <w:widowControl w:val="0"/>
        <w:spacing w:line="220" w:lineRule="exact"/>
        <w:jc w:val="center"/>
        <w:rPr>
          <w:rFonts w:cs="Arial"/>
          <w:szCs w:val="20"/>
        </w:rPr>
      </w:pPr>
      <w:r>
        <w:rPr>
          <w:rFonts w:cs="Arial"/>
          <w:szCs w:val="20"/>
        </w:rPr>
        <w:t>»36.a člen</w:t>
      </w:r>
    </w:p>
    <w:p w:rsidR="006B6EBB" w:rsidRDefault="006B6EBB" w:rsidP="006B6EBB">
      <w:pPr>
        <w:widowControl w:val="0"/>
        <w:spacing w:line="220" w:lineRule="exact"/>
        <w:jc w:val="center"/>
        <w:rPr>
          <w:rFonts w:cs="Arial"/>
          <w:szCs w:val="20"/>
        </w:rPr>
      </w:pPr>
      <w:r>
        <w:rPr>
          <w:rFonts w:cs="Arial"/>
          <w:szCs w:val="20"/>
        </w:rPr>
        <w:t>(posebne določbe zaradi prenosa premoženja ter pravic in obveznosti DUTB na SDH)</w:t>
      </w:r>
    </w:p>
    <w:p w:rsidR="006B6EBB" w:rsidRDefault="006B6EBB" w:rsidP="006B6EBB">
      <w:pPr>
        <w:spacing w:line="276" w:lineRule="auto"/>
        <w:ind w:firstLine="284"/>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t>(1) SDH v konsolidirano letno poročilo ne vključi odvisnih družb, v katerih je položaj obvladujoče družbe pridobil zaradi pridobitve deležev ali delnic na podlagi izvedbe prenosa premoženja ter pravic in obveznosti iz DUTB na SDH v skladu z zakonom, ki ureja ukrepe za krepitev stabilnosti bank.</w:t>
      </w:r>
    </w:p>
    <w:p w:rsidR="006B6EBB" w:rsidRDefault="006B6EBB" w:rsidP="006B6EBB">
      <w:pPr>
        <w:spacing w:line="276" w:lineRule="auto"/>
        <w:ind w:firstLine="240"/>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t>(2) V zvezi s prenesenim premoženjem ter pravicami in obveznostmi iz DUTB na SDH se za SDH kot pravnega naslednika DUTB ne uporabljajo določbe zakona, ki ureja postopke zaradi insolventnosti, ki določajo, da:</w:t>
      </w:r>
    </w:p>
    <w:p w:rsidR="006B6EBB" w:rsidRDefault="006B6EBB" w:rsidP="006B6EBB">
      <w:pPr>
        <w:spacing w:line="276" w:lineRule="auto"/>
        <w:ind w:firstLine="240"/>
        <w:rPr>
          <w:rFonts w:eastAsia="Calibri" w:cs="Arial"/>
          <w:szCs w:val="20"/>
        </w:rPr>
      </w:pPr>
      <w:r>
        <w:rPr>
          <w:rFonts w:eastAsia="Calibri" w:cs="Arial"/>
          <w:szCs w:val="20"/>
        </w:rPr>
        <w:t>- se pri izračunu deleža upnikov, ki soglašajo s sporazumom o finančnem prestrukturiranju, ne upoštevajo finančne terjatve upnikov, ki imajo v razmerju do dolžnika položaj povezane družbe;</w:t>
      </w:r>
    </w:p>
    <w:p w:rsidR="006B6EBB" w:rsidRDefault="006B6EBB" w:rsidP="006B6EBB">
      <w:pPr>
        <w:spacing w:line="276" w:lineRule="auto"/>
        <w:ind w:firstLine="240"/>
        <w:rPr>
          <w:rFonts w:eastAsia="Calibri" w:cs="Arial"/>
          <w:szCs w:val="20"/>
        </w:rPr>
      </w:pPr>
      <w:r>
        <w:rPr>
          <w:rFonts w:eastAsia="Calibri" w:cs="Arial"/>
          <w:szCs w:val="20"/>
        </w:rPr>
        <w:t>- za člana upniškega odbora ne more biti imenovan ali izvoljen upnik, ki ima v razmerju do insolventnega dolžnika ali njegovega dolžnika položaj povezane družbe;</w:t>
      </w:r>
    </w:p>
    <w:p w:rsidR="006B6EBB" w:rsidRDefault="006B6EBB" w:rsidP="006B6EBB">
      <w:pPr>
        <w:spacing w:line="276" w:lineRule="auto"/>
        <w:ind w:firstLine="240"/>
        <w:rPr>
          <w:rFonts w:eastAsia="Calibri" w:cs="Arial"/>
          <w:szCs w:val="20"/>
        </w:rPr>
      </w:pPr>
      <w:r>
        <w:rPr>
          <w:rFonts w:eastAsia="Calibri" w:cs="Arial"/>
          <w:szCs w:val="20"/>
        </w:rPr>
        <w:t>- so člani upniškega odbora ločitvenih upnikov vsi ločitveni upniki, razen tistih, ki imajo v razmerju do dolžnika položaj povezane družbe;</w:t>
      </w:r>
    </w:p>
    <w:p w:rsidR="006B6EBB" w:rsidRDefault="006B6EBB" w:rsidP="006B6EBB">
      <w:pPr>
        <w:spacing w:line="276" w:lineRule="auto"/>
        <w:ind w:firstLine="240"/>
        <w:rPr>
          <w:rFonts w:eastAsia="Calibri" w:cs="Arial"/>
          <w:szCs w:val="20"/>
        </w:rPr>
      </w:pPr>
      <w:r>
        <w:rPr>
          <w:rFonts w:eastAsia="Calibri" w:cs="Arial"/>
          <w:szCs w:val="20"/>
        </w:rPr>
        <w:t>- upnik nima pravice glasovati o prisilni poravnavi, če ima v razmerju do insolventnega dolžnika položaj povezane družbe;</w:t>
      </w:r>
    </w:p>
    <w:p w:rsidR="006B6EBB" w:rsidRDefault="006B6EBB" w:rsidP="006B6EBB">
      <w:pPr>
        <w:spacing w:line="276" w:lineRule="auto"/>
        <w:ind w:firstLine="240"/>
        <w:rPr>
          <w:rFonts w:eastAsia="Calibri" w:cs="Arial"/>
          <w:szCs w:val="20"/>
        </w:rPr>
      </w:pPr>
      <w:r>
        <w:rPr>
          <w:rFonts w:eastAsia="Calibri" w:cs="Arial"/>
          <w:szCs w:val="20"/>
        </w:rPr>
        <w:t>- vplačnik novih delnic nima pravice zahtevati, da ga sodišče pooblasti za vodenje poslov insolventnega dolžnika, če ima v razmerju do insolventnega dolžnika položaj povezane družbe, in</w:t>
      </w:r>
    </w:p>
    <w:p w:rsidR="006B6EBB" w:rsidRDefault="006B6EBB" w:rsidP="006B6EBB">
      <w:pPr>
        <w:spacing w:line="276" w:lineRule="auto"/>
        <w:ind w:firstLine="240"/>
        <w:rPr>
          <w:rFonts w:eastAsia="Calibri" w:cs="Arial"/>
          <w:szCs w:val="20"/>
        </w:rPr>
      </w:pPr>
      <w:r>
        <w:rPr>
          <w:rFonts w:eastAsia="Calibri" w:cs="Arial"/>
          <w:szCs w:val="20"/>
        </w:rPr>
        <w:t>- terjatev upnika, ki ima v razmerju do insolventnega dolžnika položaj povezane družbe, v postopku finančnega prestrukturiranja tega dolžnika ne sme biti predmet stvarnega vložka.</w:t>
      </w:r>
    </w:p>
    <w:p w:rsidR="006B6EBB" w:rsidRDefault="006B6EBB" w:rsidP="006B6EBB">
      <w:pPr>
        <w:spacing w:line="276" w:lineRule="auto"/>
        <w:ind w:firstLine="284"/>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t>(3) Če je DUTB v okviru prestrukturiranja gospodarske družbe na podlagi določb zakona, ki ureja ukrepe za krepitev stabilnosti bank z dolžnikom sklenil dogovor o delnem odpustu dolga ali tak dogovor po prenosu premoženja ter pravic in obveznosti z DUTB na SDH z dolžnikom v zvezi s tem premoženjem sklene SDH, lahko SDH v postopku zaradi insolventnosti, ki je uveden zoper tega dolžnika v 12 mesecih po sklenitvi dogovora o odpustu dolga, uveljavlja poplačilo celotnega dolga, kot da dogovor o odpustu dolga ne bi bil sklenjen.</w:t>
      </w:r>
    </w:p>
    <w:p w:rsidR="006B6EBB" w:rsidRDefault="006B6EBB" w:rsidP="006B6EBB">
      <w:pPr>
        <w:spacing w:line="276" w:lineRule="auto"/>
        <w:ind w:firstLine="240"/>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lastRenderedPageBreak/>
        <w:t>(4) Posojilo, ki ga je DUTB v okviru prestrukturiranja gospodarske družbe zagotovil dolžniku, v katerem je prej ali pozneje pridobil delež v kapitalu, ali je tak delež v kapitalu pridobil SDH po izvedenem prenosu premoženja ter pravic in obveznosti z DUTB na SDH v zvezi s tem premoženjem, se v poznejšem stečajnem postopku ali postopku prisilne poravnave nad tem dolžnikom ne šteje kot premoženje družbe.</w:t>
      </w:r>
    </w:p>
    <w:p w:rsidR="006B6EBB" w:rsidRDefault="006B6EBB" w:rsidP="006B6EBB">
      <w:pPr>
        <w:spacing w:line="276" w:lineRule="auto"/>
        <w:ind w:firstLine="240"/>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t>(5) Za pogodbe o prenosu tveganih postavk, ki jih je DUTB sklenil z bankami ali namenskimi družbami, ki so bile deležne ukrepov po zakonu, ki ureja ukrepe za krepitev stabilnosti bank, in so se prenesle na SDH, se ne uporabljajo določbe zakona, ki ureja obligacijska razmerja, o izpodbijanju pravnih dejanj dolžnika, če je bila dolžnik banka deležna ukrepov po zakonu, ki ureja ukrepe za krepitev stabilnosti bank, o razvezi ali spremembi pogodbe zaradi spremenjenih okoliščin, o čezmernem prikrajšanju in o oderuški pogodbi.</w:t>
      </w:r>
    </w:p>
    <w:p w:rsidR="006B6EBB" w:rsidRDefault="006B6EBB" w:rsidP="006B6EBB">
      <w:pPr>
        <w:spacing w:line="276" w:lineRule="auto"/>
        <w:ind w:firstLine="240"/>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t>(6) Za pogodbe, sklenjene med DUTB in bankami ali namenskimi družbami, ki so bile deležne ukrepov po zakonu, ki ureja ukrepe za krepitev stabilnosti bank, o ukrepih, ki se izvedejo v skladu z zakonom, ki ureja ukrepe za krepitev stabilnosti bank, in na njegovi podlagi izdanimi podzakonskimi akti, se tudi po prenosu premoženja ter pravic in obveznosti z DUTB na SDH ne uporabljajo določbe zakona, ki ureja postopke zaradi insolventnosti, o izpodbijanju pravnih dejanj stečajnega dolžnika.</w:t>
      </w:r>
    </w:p>
    <w:p w:rsidR="006B6EBB" w:rsidRDefault="006B6EBB" w:rsidP="006B6EBB">
      <w:pPr>
        <w:spacing w:line="276" w:lineRule="auto"/>
        <w:ind w:firstLine="240"/>
        <w:rPr>
          <w:rFonts w:eastAsia="Calibri" w:cs="Arial"/>
          <w:szCs w:val="20"/>
        </w:rPr>
      </w:pPr>
    </w:p>
    <w:p w:rsidR="006B6EBB" w:rsidRDefault="006B6EBB" w:rsidP="006B6EBB">
      <w:pPr>
        <w:spacing w:line="276" w:lineRule="auto"/>
        <w:ind w:firstLine="240"/>
        <w:rPr>
          <w:rFonts w:eastAsia="Calibri" w:cs="Arial"/>
          <w:szCs w:val="20"/>
        </w:rPr>
      </w:pPr>
      <w:r>
        <w:rPr>
          <w:rFonts w:eastAsia="Calibri" w:cs="Arial"/>
          <w:szCs w:val="20"/>
        </w:rPr>
        <w:t>(7) Če SDH del dejavnosti, zaposlenih in sredstev, ki so na podlagi prenosa premoženja ter pravic in obveznosti v skladu z zakonom, ki ureja ukrepe za krepitev stabilnosti bank, prešle z DUTB na SDH, prenese na družbo, v kateri ima SDH večinski delež, se za navedeno družbo smiselno uporabljajo določbe tega člena.«.«</w:t>
      </w:r>
    </w:p>
    <w:p w:rsidR="006B6EBB" w:rsidRDefault="006B6EBB" w:rsidP="006B6EBB">
      <w:pPr>
        <w:spacing w:line="276" w:lineRule="auto"/>
        <w:ind w:firstLine="240"/>
        <w:rPr>
          <w:rFonts w:eastAsia="Calibri" w:cs="Arial"/>
          <w:szCs w:val="20"/>
        </w:rPr>
      </w:pPr>
    </w:p>
    <w:p w:rsidR="006B6EBB" w:rsidRDefault="006B6EBB" w:rsidP="006B6EBB">
      <w:pPr>
        <w:suppressAutoHyphens/>
        <w:rPr>
          <w:rFonts w:cs="Arial"/>
          <w:b/>
          <w:bCs/>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Amandma sledi pripombi ZPS glede sledenja vrstnemu redu členov. Zato se nov 36.a člen ZSDH-1 premešča v člen, ki bo sledil 14. členu Predloga zakona (kot nov 14.a člen z besedilom novega 36.a člena ZSDH-1), besedilo 16. člena pa se črta.</w:t>
      </w:r>
    </w:p>
    <w:p w:rsidR="006B6EBB" w:rsidRDefault="006B6EBB" w:rsidP="006B6EBB">
      <w:pPr>
        <w:rPr>
          <w:rFonts w:eastAsia="Calibri" w:cs="Arial"/>
          <w:szCs w:val="20"/>
        </w:rPr>
      </w:pPr>
    </w:p>
    <w:p w:rsidR="006B6EBB" w:rsidRDefault="006B6EBB" w:rsidP="006B6EBB">
      <w:pPr>
        <w:rPr>
          <w:rFonts w:eastAsia="Calibri" w:cs="Arial"/>
          <w:b/>
          <w:bCs/>
          <w:szCs w:val="20"/>
        </w:rPr>
      </w:pPr>
      <w:r>
        <w:rPr>
          <w:rFonts w:eastAsia="Calibri" w:cs="Arial"/>
          <w:b/>
          <w:bCs/>
          <w:szCs w:val="20"/>
          <w:u w:val="single"/>
        </w:rPr>
        <w:t>K 16. členu</w:t>
      </w:r>
      <w:r>
        <w:rPr>
          <w:rFonts w:eastAsia="Calibri" w:cs="Arial"/>
          <w:b/>
          <w:bCs/>
          <w:szCs w:val="20"/>
        </w:rPr>
        <w:t>:</w:t>
      </w:r>
    </w:p>
    <w:p w:rsidR="006B6EBB" w:rsidRDefault="006B6EBB" w:rsidP="006B6EBB">
      <w:pPr>
        <w:rPr>
          <w:rFonts w:eastAsia="Calibri" w:cs="Arial"/>
          <w:szCs w:val="20"/>
        </w:rPr>
      </w:pPr>
      <w:r>
        <w:rPr>
          <w:rFonts w:eastAsia="Calibri" w:cs="Arial"/>
          <w:szCs w:val="20"/>
        </w:rPr>
        <w:t>Člen se črta.</w:t>
      </w:r>
    </w:p>
    <w:p w:rsidR="006B6EBB" w:rsidRDefault="006B6EBB" w:rsidP="006B6EBB">
      <w:pPr>
        <w:rPr>
          <w:rFonts w:eastAsia="Calibri" w:cs="Arial"/>
          <w:szCs w:val="20"/>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Amandma sledi pripombi ZPS glede sledenja vrstnemu redu členov. Zato se nov 36.a člen ZSDH-1 premešča v člen, ki bo sledil 14. členu Predloga zakona (kot nov 14.a člen z besedilom novega 36.a člena ZSDH-1), besedilo 16. člena pa se črta.</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r>
        <w:rPr>
          <w:rFonts w:cs="Arial"/>
          <w:b/>
          <w:szCs w:val="20"/>
          <w:u w:val="single"/>
          <w:lang w:eastAsia="ar-SA"/>
        </w:rPr>
        <w:t>K 18. členu:</w:t>
      </w:r>
    </w:p>
    <w:p w:rsidR="006B6EBB" w:rsidRDefault="006B6EBB" w:rsidP="006B6EBB">
      <w:pPr>
        <w:suppressAutoHyphens/>
        <w:rPr>
          <w:rFonts w:cs="Arial"/>
          <w:szCs w:val="20"/>
          <w:lang w:eastAsia="ar-SA"/>
        </w:rPr>
      </w:pPr>
    </w:p>
    <w:p w:rsidR="006B6EBB" w:rsidRDefault="006B6EBB" w:rsidP="006B6EBB">
      <w:pPr>
        <w:spacing w:line="276" w:lineRule="auto"/>
        <w:rPr>
          <w:rFonts w:cs="Arial"/>
          <w:szCs w:val="20"/>
          <w:lang w:eastAsia="ar-SA"/>
        </w:rPr>
      </w:pPr>
      <w:r>
        <w:rPr>
          <w:rFonts w:cs="Arial"/>
          <w:szCs w:val="20"/>
          <w:lang w:eastAsia="ar-SA"/>
        </w:rPr>
        <w:t xml:space="preserve">V 18. členu se v drugem odstavku besedna zveza »načela integritete« nadomesti z besedo »integriteto«. </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Amandma sledi pripombi ZPS.</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r>
        <w:rPr>
          <w:rFonts w:cs="Arial"/>
          <w:b/>
          <w:szCs w:val="20"/>
          <w:u w:val="single"/>
          <w:lang w:eastAsia="ar-SA"/>
        </w:rPr>
        <w:t>K 21. členu:</w:t>
      </w:r>
    </w:p>
    <w:p w:rsidR="006B6EBB" w:rsidRDefault="006B6EBB" w:rsidP="006B6EBB">
      <w:pPr>
        <w:suppressAutoHyphens/>
        <w:rPr>
          <w:rFonts w:cs="Arial"/>
          <w:szCs w:val="20"/>
          <w:lang w:eastAsia="ar-SA"/>
        </w:rPr>
      </w:pPr>
    </w:p>
    <w:p w:rsidR="006B6EBB" w:rsidRDefault="006B6EBB" w:rsidP="006B6EBB">
      <w:pPr>
        <w:spacing w:line="276" w:lineRule="auto"/>
        <w:rPr>
          <w:rFonts w:cs="Arial"/>
          <w:szCs w:val="20"/>
          <w:lang w:eastAsia="ar-SA"/>
        </w:rPr>
      </w:pPr>
      <w:r>
        <w:rPr>
          <w:rFonts w:cs="Arial"/>
          <w:szCs w:val="20"/>
          <w:lang w:eastAsia="ar-SA"/>
        </w:rPr>
        <w:t xml:space="preserve">V 21. členu se na koncu stavka doda besedilo: »in pred besedno zvezo »sindikalnih zvez« doda beseda »vseh«.«. </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lastRenderedPageBreak/>
        <w:t xml:space="preserve">Amandma sledi pripombi Ekonomsko-socialnega sveta. Amandma ne spreminja namena 21. člena, ampak se z besedo »vseh« jasno zapiše, da se s črtanjem besede »sedmih« dejansko omogoči sodelovanje v okviru Ekonomsko socialnega strokovnega odbora vsem sindikalnim zvezam oziroma konfederacijam, reprezentativnih na ravni države, ki so člani Ekonomsko-socialnega sveta, tudi v primeru, če je teh več kot sedem. </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r>
        <w:rPr>
          <w:rFonts w:cs="Arial"/>
          <w:b/>
          <w:szCs w:val="20"/>
          <w:u w:val="single"/>
          <w:lang w:eastAsia="ar-SA"/>
        </w:rPr>
        <w:t>K 22. členu:</w:t>
      </w:r>
    </w:p>
    <w:p w:rsidR="006B6EBB" w:rsidRDefault="006B6EBB" w:rsidP="006B6EBB">
      <w:pPr>
        <w:suppressAutoHyphens/>
        <w:rPr>
          <w:rFonts w:cs="Arial"/>
          <w:szCs w:val="20"/>
          <w:lang w:eastAsia="ar-SA"/>
        </w:rPr>
      </w:pPr>
    </w:p>
    <w:p w:rsidR="006B6EBB" w:rsidRDefault="006B6EBB" w:rsidP="006B6EBB">
      <w:pPr>
        <w:suppressAutoHyphens/>
        <w:rPr>
          <w:rFonts w:cs="Arial"/>
          <w:szCs w:val="20"/>
          <w:lang w:eastAsia="ar-SA"/>
        </w:rPr>
      </w:pPr>
      <w:r>
        <w:rPr>
          <w:rFonts w:cs="Arial"/>
          <w:szCs w:val="20"/>
          <w:lang w:eastAsia="ar-SA"/>
        </w:rPr>
        <w:t>V 22. členu se besedna zveza »član posvetovalnih teles« nadomesti z besedno zvezo »član posvetovalnih teles SDH«.</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Amandma sledi pripombi ZPS.</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r>
        <w:rPr>
          <w:rFonts w:cs="Arial"/>
          <w:b/>
          <w:szCs w:val="20"/>
          <w:u w:val="single"/>
          <w:lang w:eastAsia="ar-SA"/>
        </w:rPr>
        <w:t>K 26. členu:</w:t>
      </w:r>
    </w:p>
    <w:p w:rsidR="006B6EBB" w:rsidRDefault="006B6EBB" w:rsidP="006B6EBB">
      <w:pPr>
        <w:suppressAutoHyphens/>
        <w:rPr>
          <w:rFonts w:cs="Arial"/>
          <w:b/>
          <w:szCs w:val="20"/>
          <w:u w:val="single"/>
          <w:lang w:eastAsia="ar-SA"/>
        </w:rPr>
      </w:pPr>
    </w:p>
    <w:p w:rsidR="006B6EBB" w:rsidRDefault="006B6EBB" w:rsidP="006B6EBB">
      <w:pPr>
        <w:suppressAutoHyphens/>
        <w:rPr>
          <w:rFonts w:cs="Arial"/>
          <w:bCs/>
          <w:szCs w:val="20"/>
          <w:lang w:eastAsia="ar-SA"/>
        </w:rPr>
      </w:pPr>
      <w:r>
        <w:rPr>
          <w:rFonts w:cs="Arial"/>
          <w:bCs/>
          <w:szCs w:val="20"/>
          <w:lang w:eastAsia="ar-SA"/>
        </w:rPr>
        <w:t>V 26. členu se prvi odstavek spremeni tako, da se glasi:</w:t>
      </w:r>
    </w:p>
    <w:p w:rsidR="006B6EBB" w:rsidRDefault="006B6EBB" w:rsidP="006B6EBB">
      <w:pPr>
        <w:widowControl w:val="0"/>
        <w:spacing w:line="220" w:lineRule="exact"/>
        <w:jc w:val="center"/>
        <w:rPr>
          <w:rFonts w:ascii="Times New Roman" w:hAnsi="Times New Roman" w:cs="Arial"/>
          <w:szCs w:val="20"/>
        </w:rPr>
      </w:pPr>
    </w:p>
    <w:p w:rsidR="006B6EBB" w:rsidRDefault="006B6EBB" w:rsidP="006B6EBB">
      <w:pPr>
        <w:spacing w:line="276" w:lineRule="auto"/>
        <w:ind w:firstLine="240"/>
        <w:rPr>
          <w:rFonts w:eastAsia="Calibri" w:cs="Arial"/>
          <w:szCs w:val="20"/>
        </w:rPr>
      </w:pPr>
      <w:r>
        <w:rPr>
          <w:rFonts w:eastAsia="Calibri" w:cs="Arial"/>
          <w:szCs w:val="20"/>
        </w:rPr>
        <w:t xml:space="preserve">»(1) Z dnem uveljavitve tega zakona prenehajo veljati 14. člen, drugi in četrti odstavek 15. člena in 16. člen Zakona o gospodarjenju z gozdovi v lasti Republike Slovenije (Uradni list RS, št. 9/16 in 36/21 – ZZIRDKG), drugi in četrti odstavek 37. člena in 38. člen Zakona o Kobilarni Lipica (Uradni list RS, št. 6/18), peti in šesti stavek drugega odstavka 10. člena Zakona o cestah (Uradni list RS, št. 109/10, 48/12, 36/14 – </w:t>
      </w:r>
      <w:proofErr w:type="spellStart"/>
      <w:r>
        <w:rPr>
          <w:rFonts w:eastAsia="Calibri" w:cs="Arial"/>
          <w:szCs w:val="20"/>
        </w:rPr>
        <w:t>odl</w:t>
      </w:r>
      <w:proofErr w:type="spellEnd"/>
      <w:r>
        <w:rPr>
          <w:rFonts w:eastAsia="Calibri" w:cs="Arial"/>
          <w:szCs w:val="20"/>
        </w:rPr>
        <w:t xml:space="preserve">. US, 46/15, 10/18 in 123/21 – </w:t>
      </w:r>
      <w:proofErr w:type="spellStart"/>
      <w:r>
        <w:rPr>
          <w:rFonts w:eastAsia="Calibri" w:cs="Arial"/>
          <w:szCs w:val="20"/>
        </w:rPr>
        <w:t>ZPrCP</w:t>
      </w:r>
      <w:proofErr w:type="spellEnd"/>
      <w:r>
        <w:rPr>
          <w:rFonts w:eastAsia="Calibri" w:cs="Arial"/>
          <w:szCs w:val="20"/>
        </w:rPr>
        <w:noBreakHyphen/>
        <w:t>F) ter 49. in 50. člen Zakona o izvrševanju proračunov Republike Slovenije za leti 2022 in 2023 (Uradni list RS, št. 187/21, 206/21 – ZDUPŠOP in 129/22).«</w:t>
      </w:r>
    </w:p>
    <w:p w:rsidR="006B6EBB" w:rsidRDefault="006B6EBB" w:rsidP="006B6EBB">
      <w:pPr>
        <w:spacing w:line="276" w:lineRule="auto"/>
        <w:ind w:firstLine="240"/>
        <w:rPr>
          <w:rFonts w:eastAsia="Calibri" w:cs="Arial"/>
          <w:szCs w:val="20"/>
        </w:rPr>
      </w:pPr>
    </w:p>
    <w:p w:rsidR="006B6EBB" w:rsidRDefault="006B6EBB" w:rsidP="006B6EBB">
      <w:pPr>
        <w:spacing w:line="256" w:lineRule="auto"/>
        <w:ind w:firstLine="240"/>
        <w:rPr>
          <w:rFonts w:eastAsia="Calibri" w:cs="Arial"/>
          <w:szCs w:val="20"/>
        </w:rPr>
      </w:pPr>
      <w:r>
        <w:rPr>
          <w:rFonts w:eastAsia="Calibri" w:cs="Arial"/>
          <w:szCs w:val="20"/>
        </w:rPr>
        <w:t>Zadnji stavek drugega odstavka se spremeni, tako da se glasi:</w:t>
      </w:r>
    </w:p>
    <w:p w:rsidR="006B6EBB" w:rsidRDefault="006B6EBB" w:rsidP="006B6EBB">
      <w:pPr>
        <w:spacing w:line="256" w:lineRule="auto"/>
        <w:ind w:firstLine="240"/>
        <w:rPr>
          <w:rFonts w:eastAsia="Calibri" w:cs="Arial"/>
          <w:szCs w:val="20"/>
        </w:rPr>
      </w:pPr>
    </w:p>
    <w:p w:rsidR="006B6EBB" w:rsidRDefault="006B6EBB" w:rsidP="006B6EBB">
      <w:pPr>
        <w:spacing w:line="256" w:lineRule="auto"/>
        <w:ind w:firstLine="240"/>
        <w:rPr>
          <w:rFonts w:eastAsia="Calibri" w:cs="Arial"/>
          <w:szCs w:val="20"/>
        </w:rPr>
      </w:pPr>
      <w:r>
        <w:rPr>
          <w:rFonts w:eastAsia="Calibri" w:cs="Arial"/>
          <w:szCs w:val="20"/>
        </w:rPr>
        <w:t xml:space="preserve">»Za družbo DRI upravljanje investicij, Družba za razvoj infrastrukture, </w:t>
      </w:r>
      <w:proofErr w:type="spellStart"/>
      <w:r>
        <w:rPr>
          <w:rFonts w:eastAsia="Calibri" w:cs="Arial"/>
          <w:szCs w:val="20"/>
        </w:rPr>
        <w:t>d.o.o</w:t>
      </w:r>
      <w:proofErr w:type="spellEnd"/>
      <w:r>
        <w:rPr>
          <w:rFonts w:eastAsia="Calibri" w:cs="Arial"/>
          <w:szCs w:val="20"/>
        </w:rPr>
        <w:t>., mora SDH za spremembe in dopolnitve akta o ustanovitvi pridobiti soglasje ministrstva, pristojnega za infrastrukturo.«</w:t>
      </w:r>
    </w:p>
    <w:p w:rsidR="006B6EBB" w:rsidRDefault="006B6EBB" w:rsidP="006B6EBB">
      <w:pPr>
        <w:spacing w:line="276" w:lineRule="auto"/>
        <w:ind w:firstLine="240"/>
        <w:rPr>
          <w:rFonts w:eastAsia="Calibri" w:cs="Arial"/>
          <w:szCs w:val="20"/>
        </w:rPr>
      </w:pPr>
    </w:p>
    <w:p w:rsidR="006B6EBB" w:rsidRDefault="006B6EBB" w:rsidP="006B6EBB">
      <w:pPr>
        <w:spacing w:line="276" w:lineRule="auto"/>
        <w:ind w:firstLine="240"/>
        <w:rPr>
          <w:rFonts w:eastAsia="Calibri" w:cs="Arial"/>
          <w:szCs w:val="20"/>
        </w:rPr>
      </w:pPr>
      <w:bookmarkStart w:id="2" w:name="_Hlk116898102"/>
      <w:r>
        <w:rPr>
          <w:rFonts w:eastAsia="Calibri" w:cs="Arial"/>
          <w:szCs w:val="20"/>
        </w:rPr>
        <w:t>V tretjem odstavku se pred zadnjim stavkom doda nov stavek, ki se glasi: »Z izvršitvijo prejšnjega stavka se uskladi akt o ustanovitvi prenosne družbe.«.</w:t>
      </w:r>
    </w:p>
    <w:bookmarkEnd w:id="2"/>
    <w:p w:rsidR="006B6EBB" w:rsidRDefault="006B6EBB" w:rsidP="006B6EBB">
      <w:pPr>
        <w:suppressAutoHyphens/>
        <w:rPr>
          <w:rFonts w:cs="Arial"/>
          <w:bCs/>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Amandma sledi pripombi ZPS glede ustreznosti razveljavitve posameznih določb namesto prenehanja uporabe (zaradi načela jasnosti in določnosti po 2. členu Ustave RS). Ob tem se popravlja napačen sklic na tri stavke drugega odstavka 10. člena Zakona o cestah – pravilen je sklic na peti in šesti stavek. S tem se tudi odpravlja dvom glede pristojnosti za spremljanje kapitalske naložbe s strani ministrstva, pristojnega za infrastrukturo. Prav tako se skladno s pripombo ZPS (1) konkretizira in (2) dopolnjuje sklic na določbe ZGGLRS in ZKL</w:t>
      </w:r>
      <w:r>
        <w:rPr>
          <w:rFonts w:eastAsia="Calibri" w:cs="Arial"/>
          <w:szCs w:val="20"/>
        </w:rPr>
        <w:noBreakHyphen/>
        <w:t>1, ki prenehajo veljati z namenom, da (1.) ne preneha veljati preširok obseg določb in (2.) da ne pride do kolizije med določbami, ki ostanejo v veljavi, in določbami ZSDH-1, ki bodo po novi ureditvi veljale za obravnavane družbe. Dopolnitev sklica je namenjena tudi uskladitvi obravnave različnih kapitalskih naložb države z vidika števila članov in imenovanja nadzornih svetov. Niti ZGD-1 niti ZSDH-1 namreč ne urejata natančnega števila članov nadzornega sveta. Drugi odstavek 254. člena ZGD-1 določa le, da organ nadzora sestavljajo najmanj trije člani, če zakon ne določa drugače. Podrobnejša navodila glede sestave nadzornega sveta določa 21. člen ZSDH-1, ki se sklicuje na kodeks korporativnega upravljanja družb s kapitalsko naložbo države (urejen z 32. členom ZSDH</w:t>
      </w:r>
      <w:r>
        <w:rPr>
          <w:rFonts w:eastAsia="Calibri" w:cs="Arial"/>
          <w:szCs w:val="20"/>
        </w:rPr>
        <w:noBreakHyphen/>
        <w:t xml:space="preserve">1), ki določa, da je nadzorni svet družbe odgovoren za svojo učinkovito organizacijo in soodgovoren za svojo ustrezno sestavo. S prenosom upravljanja kapitalskih naložb v obravnavanih družbah na SDH tako odpade razlog za posebno ureditev </w:t>
      </w:r>
      <w:r>
        <w:rPr>
          <w:rFonts w:eastAsia="Calibri" w:cs="Arial"/>
          <w:szCs w:val="20"/>
        </w:rPr>
        <w:lastRenderedPageBreak/>
        <w:t>sestave in imenovanja članov nadzornega sveta, saj je ureditev v ZSDH-1 bistveno bolj podrobna ter temelji na objektivnih in merljivih kriterijih.</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 xml:space="preserve">Z vidika pripombe ZPS, da bi bilo treba določiti tudi obveznost uskladitve aktov o ustanovitvi družb s predlaganimi spremembami pojasnjujemo, da je to urejeno s predlaganim drugim odstavkom 26. člena. Ob tem pa je treba pojasniti, da takšna obveznost posredno izhaja že iz veljavnih določb ZSDH-1 o učinkovitem upravljanju, da se omogoča uresničitev ciljev, ki so opredeljeni v aktih upravljanja naložb, določenih s tem zakonom, v povezavi splošno pristojnostjo po ZGD-1 (tistega, ki uresničuje glasovalne pravice) glede sprejemanja (sprememb in dopolnitev) aktov o ustanovitvi. </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Z vidika pripombe ZPS, da bi bilo treba zaradi prenosa upravljanja teh kapitalskih naložb na SDH v prehodnih določbah določiti tudi uskladitev strategije upravljanja naložb s predlagano spremembo pojasnjujemo, da predlagana dopolnitev 29. člena ZSDH-1 predvideva možnost spremembe strategije, če to zahtevajo dejanske okoliščine v zvezi z naložbami, ki jih upravlja SDH. Ta okoliščina se bo nedvomno zgodila ob prenosu premoženja z DUTB na SDH, kakor tudi ob prenosu upravljavskih pravic v primeru družb, ki jih ureja 26. člen predloga zakona. Zapoved spremembe strategije pa je lahko problematična, saj je sprejem strategije v končni fazi (poleg uspešne izvedbe predhodnih predpisanih korakov po 29. členu ZSDH-1) odvisen od glasovanja v državnem zboru.</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Z vidika pripombe ZPS, da člen ne ureja prenosa upravljanja pojasnjujemo, da v primeru prenehanja veljavnosti določb področne zakonodaje veljajo določbe ZSDH-1, po katerih je SDH pristojen za upravljanje vseh naložb države (razen definiranih izjem). Zaradi prenehanja veljavnosti posameznih določb in določbe 12. člena ZGGLRS o subsidiarni uporabi določb ZGD-1 ne pride do negacije splošnih določb ZSDH-1, ki se uporabljajo primarno in ki prav tako napotujejo na subsidiarno uporabo ZGD-1. Zato se glede vprašanja strokovne usposobljenosti članov nadzornega sveta uporabijo določbe ZSDH</w:t>
      </w:r>
      <w:r>
        <w:rPr>
          <w:rFonts w:eastAsia="Calibri" w:cs="Arial"/>
          <w:szCs w:val="20"/>
        </w:rPr>
        <w:noBreakHyphen/>
        <w:t xml:space="preserve">1. </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 xml:space="preserve">Z vidika pripombe o doktrini </w:t>
      </w:r>
      <w:r>
        <w:rPr>
          <w:rFonts w:eastAsia="Calibri" w:cs="Arial"/>
          <w:i/>
          <w:iCs/>
          <w:szCs w:val="20"/>
        </w:rPr>
        <w:t>in-</w:t>
      </w:r>
      <w:proofErr w:type="spellStart"/>
      <w:r>
        <w:rPr>
          <w:rFonts w:eastAsia="Calibri" w:cs="Arial"/>
          <w:i/>
          <w:iCs/>
          <w:szCs w:val="20"/>
        </w:rPr>
        <w:t>house</w:t>
      </w:r>
      <w:proofErr w:type="spellEnd"/>
      <w:r>
        <w:rPr>
          <w:rFonts w:eastAsia="Calibri" w:cs="Arial"/>
          <w:szCs w:val="20"/>
        </w:rPr>
        <w:t xml:space="preserve"> je treba upoštevati popravek, na podlagi katerega se ne razveljavlja določba Zakona o cestah, ki določa, da se poslovni delež DRI ne more deliti ali prenesti na drugo osebo. Zgolj prenos korporativnega upravljanja na drug subjekt, četudi je ta samostojen in neodvisen, ne spreminja možnosti nadzora ustanovitelja, saj ustanoviteljske pravice, ki jih je možno opredeliti v aktu o ustanovitvi družbe niso nujno neločljivo vezane na upravljavske pravice. Slednje so namreč omejene s statusno obliko upravljavca, ki je v konkretnem primeru holding, ki kot tak ne more imeti vpliva niti na poslovodne odločitve družbe niti na vpliv ustanovitelja nanje. Z vidika pripombe ZPS glede manjkajočega pojasnila, v katerih primerih sprememb in dopolnitev aktov o ustanovitvi je potrebno soglasje ministrstva, pristojnega za infrastrukturo pojasnjujemo, da je to potrebno v primeru družbe DRI, ki velja za </w:t>
      </w:r>
      <w:r>
        <w:rPr>
          <w:rFonts w:eastAsia="Calibri" w:cs="Arial"/>
          <w:i/>
          <w:iCs/>
          <w:szCs w:val="20"/>
        </w:rPr>
        <w:t>»in-</w:t>
      </w:r>
      <w:proofErr w:type="spellStart"/>
      <w:r>
        <w:rPr>
          <w:rFonts w:eastAsia="Calibri" w:cs="Arial"/>
          <w:i/>
          <w:iCs/>
          <w:szCs w:val="20"/>
        </w:rPr>
        <w:t>house</w:t>
      </w:r>
      <w:proofErr w:type="spellEnd"/>
      <w:r>
        <w:rPr>
          <w:rFonts w:eastAsia="Calibri" w:cs="Arial"/>
          <w:i/>
          <w:iCs/>
          <w:szCs w:val="20"/>
        </w:rPr>
        <w:t>«</w:t>
      </w:r>
      <w:r>
        <w:rPr>
          <w:rFonts w:eastAsia="Calibri" w:cs="Arial"/>
          <w:szCs w:val="20"/>
        </w:rPr>
        <w:t xml:space="preserve"> izvajalca države. </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 xml:space="preserve">Družba 2TDK ni vključena v prenos upravljanja, saj gre na podlagi Zakona o izgradnji, upravljanju in gospodarjenju z drugim tirom železniške proge Divača–Koper (Uradni list RS, št. 51/18) za posebno namensko družbo, katere naloga je, da zagotovi izgradnjo in gospodarjenje z drugim tirom, in sicer v času trajanja koncesijske pogodbe iz tega zakona. Družba mora ves čas trajanja koncesijske pogodbe zagotavljati, da najmanj 80 odstotkov njenega skupnega povprečnega prometa v treh zaporednih letih izhaja iz dejavnosti za izpolnitev nalog iz tega zakona. Družba pa je dolžna po preteku trajanja koncesije izročiti Republiki Sloveniji v last vso javno železniško infrastrukturo, ki sestavlja drugi tir, skupaj z vso opremo in napravami. Družba za upravljanje javnega potniškega prometa je ustanovljena na podlagi Zakona o upravljanju javnega potniškega prometa (Uradni list RS, št. 54/22) za upravljanje z javnim potniškim prometom, katerega izvajajo tudi družbe, ki so že v portfelju upravljanja SDH. Zato gre za enako situacijo kot velja za izjemo upravljanja SDH iz druge alineje drugega odstavka 19. člena </w:t>
      </w:r>
      <w:r>
        <w:rPr>
          <w:rFonts w:eastAsia="Calibri" w:cs="Arial"/>
          <w:szCs w:val="20"/>
        </w:rPr>
        <w:lastRenderedPageBreak/>
        <w:t>ZSDH</w:t>
      </w:r>
      <w:r>
        <w:rPr>
          <w:rFonts w:eastAsia="Calibri" w:cs="Arial"/>
          <w:szCs w:val="20"/>
        </w:rPr>
        <w:noBreakHyphen/>
        <w:t>1 (SODO, ELES in BORZEN, ki delujejo kot sistemski operaterji oziroma na področju organiziranja trga električne energije, ne smejo biti v upravljavskem portfelju z družbami proizvajalkami električne energije).</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Zaradi amandmajev k 6. in 13. členu se s tem amandmajem določi prenehanje veljavnosti določb zakona, ki ureja izvrševanje proračuna, saj je njihova vsebina prenaša v ta zakon.</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Zadnji stavek drugega odstavka se zaradi jasnosti konkretizira.</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Dopolnitev tretjega odstavka sledi pripombi ZPS.</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r>
        <w:rPr>
          <w:rFonts w:cs="Arial"/>
          <w:b/>
          <w:szCs w:val="20"/>
          <w:u w:val="single"/>
          <w:lang w:eastAsia="ar-SA"/>
        </w:rPr>
        <w:t>K 27. členu:</w:t>
      </w:r>
    </w:p>
    <w:p w:rsidR="006B6EBB" w:rsidRDefault="006B6EBB" w:rsidP="006B6EBB">
      <w:pPr>
        <w:suppressAutoHyphens/>
        <w:rPr>
          <w:rFonts w:cs="Arial"/>
          <w:szCs w:val="20"/>
          <w:lang w:eastAsia="ar-SA"/>
        </w:rPr>
      </w:pPr>
    </w:p>
    <w:p w:rsidR="006B6EBB" w:rsidRDefault="006B6EBB" w:rsidP="006B6EBB">
      <w:pPr>
        <w:suppressAutoHyphens/>
        <w:rPr>
          <w:rFonts w:cs="Arial"/>
          <w:szCs w:val="20"/>
          <w:lang w:eastAsia="ar-SA"/>
        </w:rPr>
      </w:pPr>
      <w:r>
        <w:rPr>
          <w:rFonts w:cs="Arial"/>
          <w:szCs w:val="20"/>
          <w:lang w:eastAsia="ar-SA"/>
        </w:rPr>
        <w:t>27. člen se spremeni tako, da se glasi:</w:t>
      </w:r>
    </w:p>
    <w:p w:rsidR="006B6EBB" w:rsidRDefault="006B6EBB" w:rsidP="006B6EBB">
      <w:pPr>
        <w:suppressAutoHyphens/>
        <w:rPr>
          <w:rFonts w:cs="Arial"/>
          <w:szCs w:val="20"/>
          <w:lang w:eastAsia="ar-SA"/>
        </w:rPr>
      </w:pPr>
    </w:p>
    <w:p w:rsidR="006B6EBB" w:rsidRDefault="006B6EBB" w:rsidP="006B6EBB">
      <w:pPr>
        <w:jc w:val="center"/>
        <w:rPr>
          <w:rFonts w:cs="Arial"/>
          <w:szCs w:val="20"/>
        </w:rPr>
      </w:pPr>
      <w:r>
        <w:rPr>
          <w:rFonts w:cs="Arial"/>
          <w:szCs w:val="20"/>
        </w:rPr>
        <w:t>»27. člen</w:t>
      </w:r>
    </w:p>
    <w:p w:rsidR="006B6EBB" w:rsidRDefault="006B6EBB" w:rsidP="006B6EBB">
      <w:pPr>
        <w:widowControl w:val="0"/>
        <w:spacing w:line="220" w:lineRule="exact"/>
        <w:jc w:val="center"/>
        <w:rPr>
          <w:rFonts w:cs="Arial"/>
          <w:szCs w:val="20"/>
        </w:rPr>
      </w:pPr>
      <w:r>
        <w:rPr>
          <w:rFonts w:cs="Arial"/>
          <w:szCs w:val="20"/>
        </w:rPr>
        <w:t>(pravno nasledstvo Slovenskega odškodninskega sklada)</w:t>
      </w:r>
    </w:p>
    <w:p w:rsidR="006B6EBB" w:rsidRDefault="006B6EBB" w:rsidP="006B6EBB">
      <w:pPr>
        <w:widowControl w:val="0"/>
        <w:spacing w:line="220" w:lineRule="exact"/>
        <w:jc w:val="center"/>
        <w:rPr>
          <w:rFonts w:cs="Arial"/>
          <w:szCs w:val="20"/>
        </w:rPr>
      </w:pPr>
    </w:p>
    <w:p w:rsidR="006B6EBB" w:rsidRDefault="006B6EBB" w:rsidP="006B6EBB">
      <w:pPr>
        <w:ind w:firstLine="240"/>
        <w:rPr>
          <w:rFonts w:eastAsia="Calibri" w:cs="Arial"/>
          <w:szCs w:val="20"/>
        </w:rPr>
      </w:pPr>
      <w:r>
        <w:rPr>
          <w:rFonts w:eastAsia="Calibri" w:cs="Arial"/>
          <w:szCs w:val="20"/>
        </w:rPr>
        <w:t>Z dnem uveljavitve tega zakona prenehajo veljati prvi, tretji in četrti odstavek 19.a člena Zakona o Slovenskem odškodninskem skladu (Uradni list RS, št. 21/11 – uradno prečiščeno besedilo, 9/16 – ZGGLRS, 55/17 in 174/20 – ZIPRS2122).«</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 xml:space="preserve">Amandma sledi pripombi ZPS na način, da se uporabi drugačna tehnika noveliranja, in sicer prenehanje veljavnosti posameznih določb ZSOS. </w:t>
      </w:r>
    </w:p>
    <w:p w:rsidR="006B6EBB" w:rsidRDefault="006B6EBB" w:rsidP="006B6EBB">
      <w:pPr>
        <w:rPr>
          <w:rFonts w:eastAsia="Calibri" w:cs="Arial"/>
          <w:szCs w:val="20"/>
        </w:rPr>
      </w:pPr>
    </w:p>
    <w:p w:rsidR="006B6EBB" w:rsidRDefault="006B6EBB" w:rsidP="006B6EBB">
      <w:pPr>
        <w:suppressAutoHyphens/>
        <w:rPr>
          <w:rFonts w:cs="Arial"/>
          <w:b/>
          <w:szCs w:val="20"/>
          <w:u w:val="single"/>
          <w:lang w:eastAsia="ar-SA"/>
        </w:rPr>
      </w:pPr>
      <w:r>
        <w:rPr>
          <w:rFonts w:cs="Arial"/>
          <w:b/>
          <w:szCs w:val="20"/>
          <w:u w:val="single"/>
          <w:lang w:eastAsia="ar-SA"/>
        </w:rPr>
        <w:t>K 28. členu:</w:t>
      </w:r>
    </w:p>
    <w:p w:rsidR="006B6EBB" w:rsidRDefault="006B6EBB" w:rsidP="006B6EBB">
      <w:pPr>
        <w:suppressAutoHyphens/>
        <w:rPr>
          <w:rFonts w:cs="Arial"/>
          <w:szCs w:val="20"/>
          <w:lang w:eastAsia="ar-SA"/>
        </w:rPr>
      </w:pPr>
    </w:p>
    <w:p w:rsidR="006B6EBB" w:rsidRDefault="006B6EBB" w:rsidP="006B6EBB">
      <w:pPr>
        <w:suppressAutoHyphens/>
        <w:rPr>
          <w:rFonts w:cs="Arial"/>
          <w:szCs w:val="20"/>
          <w:lang w:eastAsia="ar-SA"/>
        </w:rPr>
      </w:pPr>
      <w:r>
        <w:rPr>
          <w:rFonts w:cs="Arial"/>
          <w:szCs w:val="20"/>
          <w:lang w:eastAsia="ar-SA"/>
        </w:rPr>
        <w:t>Besedilo 28. člena se spremeni tako, da se glasi:</w:t>
      </w:r>
    </w:p>
    <w:p w:rsidR="006B6EBB" w:rsidRDefault="006B6EBB" w:rsidP="006B6EBB">
      <w:pPr>
        <w:suppressAutoHyphens/>
        <w:rPr>
          <w:rFonts w:cs="Arial"/>
          <w:szCs w:val="20"/>
          <w:lang w:eastAsia="ar-SA"/>
        </w:rPr>
      </w:pPr>
    </w:p>
    <w:p w:rsidR="006B6EBB" w:rsidRDefault="006B6EBB" w:rsidP="006B6EBB">
      <w:pPr>
        <w:ind w:firstLine="240"/>
        <w:rPr>
          <w:rFonts w:eastAsia="Calibri" w:cs="Arial"/>
          <w:szCs w:val="20"/>
        </w:rPr>
      </w:pPr>
      <w:r>
        <w:rPr>
          <w:rFonts w:cs="Arial"/>
          <w:szCs w:val="20"/>
          <w:lang w:eastAsia="ar-SA"/>
        </w:rPr>
        <w:t>»</w:t>
      </w:r>
      <w:r>
        <w:rPr>
          <w:rFonts w:eastAsia="Calibri" w:cs="Arial"/>
          <w:szCs w:val="20"/>
        </w:rPr>
        <w:t>Ne glede na določbe zakonov, ki urejajo preprečevanje omejevanja konkurence in prevzeme, SDH, Republika Slovenija ali z njima povezane osebe v zvezi s prenosom premoženja ter pravic in obveznosti z DUTB na SDH, ki se izvede na podlagi zakona, ki ureja ukrepe za krepitev stabilnosti bank, niso zavezani:</w:t>
      </w:r>
    </w:p>
    <w:p w:rsidR="006B6EBB" w:rsidRDefault="006B6EBB" w:rsidP="006B6EBB">
      <w:pPr>
        <w:spacing w:line="276" w:lineRule="auto"/>
        <w:ind w:firstLine="240"/>
        <w:rPr>
          <w:rFonts w:eastAsia="Calibri" w:cs="Arial"/>
          <w:szCs w:val="20"/>
        </w:rPr>
      </w:pPr>
      <w:r>
        <w:rPr>
          <w:rFonts w:eastAsia="Calibri" w:cs="Arial"/>
          <w:szCs w:val="20"/>
        </w:rPr>
        <w:t>- priglasiti koncentracije v skladu z zakonom, ki ureja preprečevanje omejevanja konkurence,</w:t>
      </w:r>
    </w:p>
    <w:p w:rsidR="006B6EBB" w:rsidRDefault="006B6EBB" w:rsidP="006B6EBB">
      <w:pPr>
        <w:spacing w:line="276" w:lineRule="auto"/>
        <w:ind w:firstLine="240"/>
        <w:rPr>
          <w:rFonts w:eastAsia="Calibri" w:cs="Arial"/>
          <w:szCs w:val="20"/>
        </w:rPr>
      </w:pPr>
      <w:r>
        <w:rPr>
          <w:rFonts w:eastAsia="Calibri" w:cs="Arial"/>
          <w:szCs w:val="20"/>
        </w:rPr>
        <w:t>- dati obvezne prevzemne ponudbe v skladu z zakonom, ki ureja prevzeme, pri čemer se šteje, da prenosi premoženja DUTB na SDH ne predstavljajo pridobivanja novega deleža skladno z zakonom, ki ureja prevzeme, ter ne predstavljajo koncentracije v smislu zakona, ki ureja preprečevanje omejevanja konkurence.«</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Amandma sledi pripombi ZPS glede neustreznosti sklicevanja v napovednem stavku prvega odstavka 28. člena. Določba drugega odstavka 28. člena je bila skladno s pripombo ZPS ponovno pretehtana z vidika njenega vpliva in se predlaga brisanje.</w:t>
      </w:r>
    </w:p>
    <w:p w:rsidR="006B6EBB" w:rsidRDefault="006B6EBB" w:rsidP="006B6EBB">
      <w:pPr>
        <w:suppressAutoHyphens/>
        <w:rPr>
          <w:rFonts w:cs="Arial"/>
          <w:b/>
          <w:szCs w:val="20"/>
          <w:u w:val="single"/>
          <w:lang w:eastAsia="ar-SA"/>
        </w:rPr>
      </w:pPr>
    </w:p>
    <w:p w:rsidR="006B6EBB" w:rsidRDefault="006B6EBB" w:rsidP="006B6EBB">
      <w:pPr>
        <w:suppressAutoHyphens/>
        <w:rPr>
          <w:rFonts w:cs="Arial"/>
          <w:b/>
          <w:szCs w:val="20"/>
          <w:u w:val="single"/>
          <w:lang w:eastAsia="ar-SA"/>
        </w:rPr>
      </w:pPr>
      <w:bookmarkStart w:id="3" w:name="_Hlk116992189"/>
      <w:r>
        <w:rPr>
          <w:rFonts w:cs="Arial"/>
          <w:b/>
          <w:szCs w:val="20"/>
          <w:u w:val="single"/>
          <w:lang w:eastAsia="ar-SA"/>
        </w:rPr>
        <w:t>K 29. členu</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V 29. členu se doda naslov, ki se glasi: »(sprememba statuta SDH in strategije upravljanja naložb)«.</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Za besedilom 29. člena, ki postane prvi odstavek, se doda nov drugi odstavek, ki se glasi:</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»(2) Vlada strategijo na podlagi 28. in 29. člena zakona predloži državnemu zboru v šestih mesecih od uveljavitve tega zakona.«</w:t>
      </w:r>
    </w:p>
    <w:p w:rsidR="006B6EBB" w:rsidRDefault="006B6EBB" w:rsidP="006B6EBB">
      <w:pPr>
        <w:suppressAutoHyphens/>
        <w:rPr>
          <w:rFonts w:cs="Arial"/>
          <w:b/>
          <w:szCs w:val="20"/>
          <w:u w:val="single"/>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eastAsia="Calibri" w:cs="Arial"/>
          <w:szCs w:val="20"/>
        </w:rPr>
        <w:t>Zaradi uskladitve s preostalim zakonom se doda naslov člena.</w:t>
      </w:r>
    </w:p>
    <w:p w:rsidR="006B6EBB" w:rsidRDefault="006B6EBB" w:rsidP="006B6EBB">
      <w:pPr>
        <w:rPr>
          <w:rFonts w:eastAsia="Calibri" w:cs="Arial"/>
          <w:szCs w:val="20"/>
        </w:rPr>
      </w:pPr>
    </w:p>
    <w:p w:rsidR="006B6EBB" w:rsidRDefault="006B6EBB" w:rsidP="006B6EBB">
      <w:pPr>
        <w:rPr>
          <w:rFonts w:eastAsia="Calibri" w:cs="Arial"/>
          <w:szCs w:val="20"/>
        </w:rPr>
      </w:pPr>
      <w:r>
        <w:rPr>
          <w:rFonts w:eastAsia="Calibri" w:cs="Arial"/>
          <w:szCs w:val="20"/>
        </w:rPr>
        <w:t>Odlok o strategiji upravljanja kapitalskih naložb države (Uradni list RS, št. 53/15) je bil sprejet leta 2015 in je določal kvantitativne strateške cilje upravljanja portfelja SDH do leta 2020 (donos na kapital), tako da le-ti niso več aktualni. Enako velja tudi za ostale kvalitativne cilje upravljanja kapitalskih naložb države ter sestavo portfelja in deleže države v družbah, saj so bili od sprejema strategije prodani deleži države v več kot 40 družbah (manjšinski in večinski deleži). Poleg tega je razlog za sprejem nove strategije tudi prenos premoženja DUTB na SDH, ki vključuje kapitalske naložbe, terjatve in stvarno premoženje.</w:t>
      </w:r>
    </w:p>
    <w:bookmarkEnd w:id="3"/>
    <w:p w:rsidR="006B6EBB" w:rsidRDefault="006B6EBB" w:rsidP="006B6EBB">
      <w:pPr>
        <w:suppressAutoHyphens/>
        <w:rPr>
          <w:rFonts w:cs="Arial"/>
          <w:b/>
          <w:szCs w:val="20"/>
          <w:u w:val="single"/>
          <w:lang w:eastAsia="ar-SA"/>
        </w:rPr>
      </w:pPr>
    </w:p>
    <w:p w:rsidR="006B6EBB" w:rsidRDefault="006B6EBB" w:rsidP="006B6EBB">
      <w:pPr>
        <w:suppressAutoHyphens/>
        <w:rPr>
          <w:rFonts w:cs="Arial"/>
          <w:b/>
          <w:szCs w:val="20"/>
          <w:u w:val="single"/>
          <w:lang w:eastAsia="ar-SA"/>
        </w:rPr>
      </w:pPr>
      <w:r>
        <w:rPr>
          <w:rFonts w:cs="Arial"/>
          <w:b/>
          <w:szCs w:val="20"/>
          <w:u w:val="single"/>
          <w:lang w:eastAsia="ar-SA"/>
        </w:rPr>
        <w:t>K 30. členu:</w:t>
      </w:r>
    </w:p>
    <w:p w:rsidR="006B6EBB" w:rsidRDefault="006B6EBB" w:rsidP="006B6EBB">
      <w:pPr>
        <w:suppressAutoHyphens/>
        <w:rPr>
          <w:rFonts w:cs="Arial"/>
          <w:szCs w:val="20"/>
          <w:lang w:eastAsia="ar-SA"/>
        </w:rPr>
      </w:pPr>
    </w:p>
    <w:p w:rsidR="006B6EBB" w:rsidRDefault="006B6EBB" w:rsidP="006B6EBB">
      <w:pPr>
        <w:suppressAutoHyphens/>
        <w:rPr>
          <w:rFonts w:cs="Arial"/>
          <w:szCs w:val="20"/>
          <w:lang w:eastAsia="ar-SA"/>
        </w:rPr>
      </w:pPr>
      <w:r>
        <w:rPr>
          <w:rFonts w:cs="Arial"/>
          <w:szCs w:val="20"/>
          <w:lang w:eastAsia="ar-SA"/>
        </w:rPr>
        <w:t xml:space="preserve">V 30. členu se besedilo »4. člen« nadomesti z besedilom: »drugega odstavka 6. člena tega zakona«. </w:t>
      </w:r>
    </w:p>
    <w:p w:rsidR="006B6EBB" w:rsidRDefault="006B6EBB" w:rsidP="006B6EBB">
      <w:pPr>
        <w:suppressAutoHyphens/>
        <w:rPr>
          <w:rFonts w:cs="Arial"/>
          <w:szCs w:val="20"/>
          <w:lang w:eastAsia="ar-SA"/>
        </w:rPr>
      </w:pPr>
    </w:p>
    <w:p w:rsidR="006B6EBB" w:rsidRDefault="006B6EBB" w:rsidP="006B6EBB">
      <w:pPr>
        <w:rPr>
          <w:rFonts w:eastAsia="Calibri" w:cs="Arial"/>
          <w:szCs w:val="20"/>
          <w:u w:val="single"/>
        </w:rPr>
      </w:pPr>
      <w:r>
        <w:rPr>
          <w:rFonts w:eastAsia="Calibri" w:cs="Arial"/>
          <w:szCs w:val="20"/>
          <w:u w:val="single"/>
        </w:rPr>
        <w:t>Obrazložitev:</w:t>
      </w:r>
    </w:p>
    <w:p w:rsidR="006B6EBB" w:rsidRDefault="006B6EBB" w:rsidP="006B6EBB">
      <w:pPr>
        <w:rPr>
          <w:rFonts w:eastAsia="Calibri" w:cs="Arial"/>
          <w:szCs w:val="20"/>
        </w:rPr>
      </w:pPr>
      <w:r>
        <w:rPr>
          <w:rFonts w:cs="Arial"/>
          <w:szCs w:val="20"/>
          <w:lang w:eastAsia="ar-SA"/>
        </w:rPr>
        <w:t>Pripomba ZPS se je nanašala zamik uveljavitve 4. člena predloga zakona, vendar je pravilen sklic na 6. člen. V primeru 6. člena je zamik uveljavitve ustrezen, saj se predvideva, da bo ZSDH-1A sprejet in uveljavljen pred prenehanjem delovanja DUTB.</w:t>
      </w:r>
    </w:p>
    <w:p w:rsidR="006B6EBB" w:rsidRDefault="006B6EBB" w:rsidP="006B6EBB">
      <w:pPr>
        <w:spacing w:after="160" w:line="256" w:lineRule="auto"/>
        <w:rPr>
          <w:rFonts w:ascii="Calibri" w:eastAsia="Calibri" w:hAnsi="Calibri"/>
          <w:sz w:val="22"/>
          <w:szCs w:val="22"/>
        </w:rPr>
      </w:pPr>
    </w:p>
    <w:p w:rsidR="006B6EBB" w:rsidRDefault="006B6EBB" w:rsidP="006B6EBB">
      <w:pPr>
        <w:rPr>
          <w:rFonts w:eastAsiaTheme="minorHAnsi" w:cs="Arial"/>
          <w:szCs w:val="20"/>
        </w:rPr>
      </w:pPr>
    </w:p>
    <w:p w:rsidR="009C657E" w:rsidRPr="002760DC" w:rsidRDefault="009C657E" w:rsidP="006B6EBB">
      <w:pPr>
        <w:autoSpaceDE w:val="0"/>
        <w:autoSpaceDN w:val="0"/>
        <w:adjustRightInd w:val="0"/>
        <w:jc w:val="both"/>
        <w:rPr>
          <w:rFonts w:cs="Arial"/>
          <w:color w:val="000000"/>
          <w:szCs w:val="20"/>
        </w:rPr>
      </w:pPr>
      <w:bookmarkStart w:id="4" w:name="_GoBack"/>
      <w:bookmarkEnd w:id="4"/>
    </w:p>
    <w:sectPr w:rsidR="009C657E" w:rsidRPr="002760DC"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137A" w:rsidRDefault="0050137A" w:rsidP="00767987">
      <w:pPr>
        <w:spacing w:line="240" w:lineRule="auto"/>
      </w:pPr>
      <w:r>
        <w:separator/>
      </w:r>
    </w:p>
  </w:endnote>
  <w:endnote w:type="continuationSeparator" w:id="0">
    <w:p w:rsidR="0050137A" w:rsidRDefault="0050137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1CC5" w:rsidRDefault="00DE1CC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1CC5" w:rsidRDefault="00DE1CC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1CC5" w:rsidRDefault="00DE1CC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137A" w:rsidRDefault="0050137A" w:rsidP="00767987">
      <w:pPr>
        <w:spacing w:line="240" w:lineRule="auto"/>
      </w:pPr>
      <w:r>
        <w:separator/>
      </w:r>
    </w:p>
  </w:footnote>
  <w:footnote w:type="continuationSeparator" w:id="0">
    <w:p w:rsidR="0050137A" w:rsidRDefault="0050137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1CC5" w:rsidRDefault="00DE1CC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1CC5" w:rsidRDefault="00DE1CC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366636"/>
    <w:rsid w:val="00367DE6"/>
    <w:rsid w:val="003B3E19"/>
    <w:rsid w:val="003F08D8"/>
    <w:rsid w:val="004076C6"/>
    <w:rsid w:val="00457A58"/>
    <w:rsid w:val="004B7F76"/>
    <w:rsid w:val="004E1BCE"/>
    <w:rsid w:val="0050137A"/>
    <w:rsid w:val="00524D81"/>
    <w:rsid w:val="00592079"/>
    <w:rsid w:val="00682FFE"/>
    <w:rsid w:val="00684751"/>
    <w:rsid w:val="006B6EBB"/>
    <w:rsid w:val="006C69EC"/>
    <w:rsid w:val="007039D0"/>
    <w:rsid w:val="0071050A"/>
    <w:rsid w:val="00767987"/>
    <w:rsid w:val="00782FD4"/>
    <w:rsid w:val="007E1230"/>
    <w:rsid w:val="00811140"/>
    <w:rsid w:val="00904A48"/>
    <w:rsid w:val="00980294"/>
    <w:rsid w:val="009C5392"/>
    <w:rsid w:val="009C657E"/>
    <w:rsid w:val="00A16E6F"/>
    <w:rsid w:val="00A50E4B"/>
    <w:rsid w:val="00A56EFB"/>
    <w:rsid w:val="00A9231D"/>
    <w:rsid w:val="00AD3BB3"/>
    <w:rsid w:val="00C0216A"/>
    <w:rsid w:val="00CD6077"/>
    <w:rsid w:val="00CE234E"/>
    <w:rsid w:val="00D02973"/>
    <w:rsid w:val="00DA09BE"/>
    <w:rsid w:val="00DE1CC5"/>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224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3146</Words>
  <Characters>17934</Characters>
  <Application>Microsoft Office Word</Application>
  <DocSecurity>0</DocSecurity>
  <Lines>149</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2022-10-19T11:57:00Z</dcterms:created>
  <dcterms:modified xsi:type="dcterms:W3CDTF">2022-10-19T11:57:00Z</dcterms:modified>
</cp:coreProperties>
</file>