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B9FB9" w14:textId="77777777" w:rsidR="00DD27B8" w:rsidRPr="00191EC7" w:rsidRDefault="00D922CF" w:rsidP="00C87EEF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7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N</w:t>
      </w:r>
      <w:r w:rsidR="00C30FCE" w:rsidRPr="00191EC7">
        <w:rPr>
          <w:rFonts w:ascii="Arial" w:eastAsia="Arial" w:hAnsi="Arial" w:cs="Arial"/>
          <w:sz w:val="20"/>
          <w:szCs w:val="20"/>
        </w:rPr>
        <w:t xml:space="preserve">a podlagi 5. člena </w:t>
      </w:r>
      <w:bookmarkStart w:id="0" w:name="_Hlk100757744"/>
      <w:r w:rsidR="00C30FCE" w:rsidRPr="00191EC7">
        <w:rPr>
          <w:rFonts w:ascii="Arial" w:eastAsia="Arial" w:hAnsi="Arial" w:cs="Arial"/>
          <w:sz w:val="20"/>
          <w:szCs w:val="20"/>
        </w:rPr>
        <w:t>Zakona o tehničnih zahtevah za proizvode in o ugotavljanju skladnosti (Uradni list RS, št. 17/11)</w:t>
      </w:r>
      <w:bookmarkEnd w:id="0"/>
      <w:r w:rsidR="00C30FCE" w:rsidRPr="00191EC7">
        <w:rPr>
          <w:rFonts w:ascii="Arial" w:eastAsia="Arial" w:hAnsi="Arial" w:cs="Arial"/>
          <w:sz w:val="20"/>
          <w:szCs w:val="20"/>
        </w:rPr>
        <w:t xml:space="preserve"> minist</w:t>
      </w:r>
      <w:r w:rsidR="00F51AD1" w:rsidRPr="00191EC7">
        <w:rPr>
          <w:rFonts w:ascii="Arial" w:eastAsia="Arial" w:hAnsi="Arial" w:cs="Arial"/>
          <w:sz w:val="20"/>
          <w:szCs w:val="20"/>
        </w:rPr>
        <w:t>er</w:t>
      </w:r>
      <w:r w:rsidR="00C30FCE" w:rsidRPr="00191EC7">
        <w:rPr>
          <w:rFonts w:ascii="Arial" w:eastAsia="Arial" w:hAnsi="Arial" w:cs="Arial"/>
          <w:sz w:val="20"/>
          <w:szCs w:val="20"/>
        </w:rPr>
        <w:t xml:space="preserve"> za zdravje</w:t>
      </w:r>
      <w:r w:rsidR="00191EC7" w:rsidRPr="00191EC7">
        <w:rPr>
          <w:rFonts w:ascii="Arial" w:eastAsia="Arial" w:hAnsi="Arial" w:cs="Arial"/>
          <w:sz w:val="20"/>
          <w:szCs w:val="20"/>
        </w:rPr>
        <w:t xml:space="preserve"> izdaja</w:t>
      </w:r>
    </w:p>
    <w:p w14:paraId="6E5B55F8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</w:p>
    <w:p w14:paraId="40FDFC29" w14:textId="77777777" w:rsidR="00DD27B8" w:rsidRPr="00191EC7" w:rsidRDefault="00C30FCE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  <w:rPr>
          <w:rFonts w:ascii="Arial" w:eastAsia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 xml:space="preserve">P R A V I L N I K </w:t>
      </w:r>
      <w:r w:rsidRPr="00191EC7">
        <w:rPr>
          <w:rFonts w:ascii="Arial" w:eastAsia="Arial" w:hAnsi="Arial" w:cs="Arial"/>
          <w:b/>
          <w:sz w:val="20"/>
          <w:szCs w:val="20"/>
        </w:rPr>
        <w:br/>
        <w:t>o sprememb</w:t>
      </w:r>
      <w:r w:rsidR="005D1737">
        <w:rPr>
          <w:rFonts w:ascii="Arial" w:eastAsia="Arial" w:hAnsi="Arial" w:cs="Arial"/>
          <w:b/>
          <w:sz w:val="20"/>
          <w:szCs w:val="20"/>
        </w:rPr>
        <w:t>i</w:t>
      </w:r>
      <w:r w:rsidRPr="00191EC7">
        <w:rPr>
          <w:rFonts w:ascii="Arial" w:eastAsia="Arial" w:hAnsi="Arial" w:cs="Arial"/>
          <w:b/>
          <w:sz w:val="20"/>
          <w:szCs w:val="20"/>
        </w:rPr>
        <w:t xml:space="preserve"> Pravilnika o omejevanju uporabe določenih nevarnih snovi v električni in elektronski opremi</w:t>
      </w:r>
    </w:p>
    <w:p w14:paraId="6ABF8E7A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51C9D980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47A9F504" w14:textId="77777777" w:rsidR="00DD27B8" w:rsidRPr="00191EC7" w:rsidRDefault="00C30FC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sz w:val="20"/>
          <w:szCs w:val="20"/>
        </w:rPr>
      </w:pPr>
      <w:r w:rsidRPr="00191EC7">
        <w:rPr>
          <w:rFonts w:ascii="Arial" w:eastAsia="Arial" w:hAnsi="Arial" w:cs="Arial"/>
          <w:b/>
          <w:sz w:val="20"/>
          <w:szCs w:val="20"/>
        </w:rPr>
        <w:t>člen</w:t>
      </w:r>
    </w:p>
    <w:p w14:paraId="5E297B69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b/>
          <w:sz w:val="20"/>
          <w:szCs w:val="20"/>
        </w:rPr>
      </w:pPr>
    </w:p>
    <w:p w14:paraId="787046A1" w14:textId="4A756232" w:rsidR="00DD27B8" w:rsidRPr="00191EC7" w:rsidRDefault="00C30FCE" w:rsidP="00C87EEF">
      <w:pPr>
        <w:autoSpaceDE w:val="0"/>
        <w:autoSpaceDN w:val="0"/>
        <w:adjustRightInd w:val="0"/>
        <w:ind w:firstLine="36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V Pravilniku o omejevanju uporabe določenih nevarnih snovi v električni in elektronski opremi (Uradni list RS, št. </w:t>
      </w:r>
      <w:r w:rsidR="00F51AD1" w:rsidRPr="00191EC7">
        <w:rPr>
          <w:rFonts w:ascii="Arial" w:eastAsia="Arial" w:hAnsi="Arial" w:cs="Arial"/>
          <w:sz w:val="20"/>
          <w:szCs w:val="20"/>
        </w:rPr>
        <w:t xml:space="preserve">102/12, 20/14, 57/14, 53/15, </w:t>
      </w:r>
      <w:r w:rsidR="001C089B" w:rsidRPr="00191EC7">
        <w:rPr>
          <w:rFonts w:ascii="Arial" w:eastAsia="Arial" w:hAnsi="Arial" w:cs="Arial"/>
          <w:sz w:val="20"/>
          <w:szCs w:val="20"/>
        </w:rPr>
        <w:t>60/16</w:t>
      </w:r>
      <w:r w:rsidR="00F51AD1" w:rsidRPr="00191EC7">
        <w:rPr>
          <w:rFonts w:ascii="Arial" w:eastAsia="Arial" w:hAnsi="Arial" w:cs="Arial"/>
          <w:sz w:val="20"/>
          <w:szCs w:val="20"/>
        </w:rPr>
        <w:t>, 41/18</w:t>
      </w:r>
      <w:r w:rsidR="00B6027F">
        <w:rPr>
          <w:rFonts w:ascii="Arial" w:eastAsia="Arial" w:hAnsi="Arial" w:cs="Arial"/>
          <w:sz w:val="20"/>
          <w:szCs w:val="20"/>
        </w:rPr>
        <w:t xml:space="preserve">, </w:t>
      </w:r>
      <w:r w:rsidR="00D922CF">
        <w:rPr>
          <w:rFonts w:ascii="Arial" w:eastAsia="Arial" w:hAnsi="Arial" w:cs="Arial"/>
          <w:sz w:val="20"/>
          <w:szCs w:val="20"/>
        </w:rPr>
        <w:t>25/19</w:t>
      </w:r>
      <w:r w:rsidR="00766D99">
        <w:rPr>
          <w:rFonts w:ascii="Arial" w:eastAsia="Arial" w:hAnsi="Arial" w:cs="Arial"/>
          <w:sz w:val="20"/>
          <w:szCs w:val="20"/>
        </w:rPr>
        <w:t>,</w:t>
      </w:r>
      <w:r w:rsidR="00C87EEF">
        <w:rPr>
          <w:rFonts w:ascii="Arial" w:eastAsia="Arial" w:hAnsi="Arial" w:cs="Arial"/>
          <w:sz w:val="20"/>
          <w:szCs w:val="20"/>
        </w:rPr>
        <w:t xml:space="preserve"> </w:t>
      </w:r>
      <w:r w:rsidR="0053736B">
        <w:rPr>
          <w:rFonts w:ascii="Arial" w:eastAsia="Arial" w:hAnsi="Arial" w:cs="Arial"/>
          <w:sz w:val="20"/>
          <w:szCs w:val="20"/>
        </w:rPr>
        <w:t>32/19</w:t>
      </w:r>
      <w:r w:rsidR="00D22D84">
        <w:rPr>
          <w:rFonts w:ascii="Arial" w:eastAsia="Arial" w:hAnsi="Arial" w:cs="Arial"/>
          <w:sz w:val="20"/>
          <w:szCs w:val="20"/>
        </w:rPr>
        <w:t xml:space="preserve">, </w:t>
      </w:r>
      <w:r w:rsidR="00766D99">
        <w:rPr>
          <w:rFonts w:ascii="Arial" w:hAnsi="Arial" w:cs="Arial"/>
          <w:bCs/>
          <w:sz w:val="20"/>
          <w:szCs w:val="20"/>
        </w:rPr>
        <w:t>75/20</w:t>
      </w:r>
      <w:r w:rsidR="00C86A5A">
        <w:rPr>
          <w:rFonts w:ascii="Arial" w:hAnsi="Arial" w:cs="Arial"/>
          <w:bCs/>
          <w:sz w:val="20"/>
          <w:szCs w:val="20"/>
        </w:rPr>
        <w:t xml:space="preserve">, </w:t>
      </w:r>
      <w:r w:rsidR="00D22D84">
        <w:rPr>
          <w:rFonts w:ascii="Arial" w:hAnsi="Arial" w:cs="Arial"/>
          <w:bCs/>
          <w:sz w:val="20"/>
          <w:szCs w:val="20"/>
        </w:rPr>
        <w:t>113/20</w:t>
      </w:r>
      <w:r w:rsidR="009A0154">
        <w:rPr>
          <w:rFonts w:ascii="Arial" w:hAnsi="Arial" w:cs="Arial"/>
          <w:bCs/>
          <w:sz w:val="20"/>
          <w:szCs w:val="20"/>
        </w:rPr>
        <w:t xml:space="preserve">, </w:t>
      </w:r>
      <w:r w:rsidR="00C86A5A">
        <w:rPr>
          <w:rFonts w:ascii="Arial" w:hAnsi="Arial" w:cs="Arial"/>
          <w:bCs/>
          <w:sz w:val="20"/>
          <w:szCs w:val="20"/>
        </w:rPr>
        <w:t>162/21</w:t>
      </w:r>
      <w:r w:rsidR="009A0154">
        <w:rPr>
          <w:rFonts w:ascii="Arial" w:hAnsi="Arial" w:cs="Arial"/>
          <w:bCs/>
          <w:sz w:val="20"/>
          <w:szCs w:val="20"/>
        </w:rPr>
        <w:t xml:space="preserve"> in </w:t>
      </w:r>
      <w:r w:rsidR="009A0154" w:rsidRPr="009A0154">
        <w:rPr>
          <w:rFonts w:ascii="Arial" w:hAnsi="Arial" w:cs="Arial"/>
          <w:bCs/>
          <w:sz w:val="20"/>
          <w:szCs w:val="20"/>
          <w:highlight w:val="red"/>
        </w:rPr>
        <w:t>XX/22</w:t>
      </w:r>
      <w:r w:rsidR="00550C55">
        <w:rPr>
          <w:rFonts w:ascii="Arial" w:hAnsi="Arial" w:cs="Arial"/>
          <w:bCs/>
          <w:sz w:val="20"/>
          <w:szCs w:val="20"/>
        </w:rPr>
        <w:t xml:space="preserve"> </w:t>
      </w:r>
      <w:r w:rsidR="001C089B" w:rsidRPr="00191EC7">
        <w:rPr>
          <w:rFonts w:ascii="Arial" w:eastAsia="Arial" w:hAnsi="Arial" w:cs="Arial"/>
          <w:sz w:val="20"/>
          <w:szCs w:val="20"/>
        </w:rPr>
        <w:t>)</w:t>
      </w:r>
      <w:r w:rsidRPr="00191EC7">
        <w:rPr>
          <w:rFonts w:ascii="Arial" w:eastAsia="Arial" w:hAnsi="Arial" w:cs="Arial"/>
          <w:sz w:val="20"/>
          <w:szCs w:val="20"/>
        </w:rPr>
        <w:t xml:space="preserve"> se 1. člen spremeni tako, da se glasi:</w:t>
      </w:r>
    </w:p>
    <w:p w14:paraId="06528661" w14:textId="77777777" w:rsidR="001C089B" w:rsidRPr="00191EC7" w:rsidRDefault="00C30FCE" w:rsidP="00B433D4">
      <w:pPr>
        <w:pBdr>
          <w:top w:val="nil"/>
          <w:left w:val="nil"/>
          <w:bottom w:val="nil"/>
          <w:right w:val="nil"/>
          <w:between w:val="nil"/>
        </w:pBdr>
        <w:spacing w:after="210"/>
        <w:jc w:val="center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»</w:t>
      </w:r>
      <w:r w:rsidR="001C089B" w:rsidRPr="00191EC7">
        <w:rPr>
          <w:rFonts w:ascii="Arial" w:eastAsia="Arial" w:hAnsi="Arial" w:cs="Arial"/>
          <w:sz w:val="20"/>
          <w:szCs w:val="20"/>
        </w:rPr>
        <w:t>1. člen</w:t>
      </w:r>
    </w:p>
    <w:p w14:paraId="26F9DC54" w14:textId="77777777" w:rsidR="00DD27B8" w:rsidRPr="00191EC7" w:rsidRDefault="00C30FCE" w:rsidP="00C87EEF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72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Ta pravilnik določa omejitve in posebne pogoje uporabe nekaterih nevarnih snovi v električni in elektronski opremi (v nadaljnjem besedilu: EEO) v skladu z Direktivo 2011/65/ES Evropskega parlamenta in Sveta z dne 8. junija 2011 o omejevanju uporabe nekaterih nevarnih snovi v električni in elektronski opremi (UL L št. 174 z dne 1. 7. 2011, str. 88), spremenjeno z: </w:t>
      </w:r>
    </w:p>
    <w:p w14:paraId="5A8658FB" w14:textId="50D88E0C" w:rsidR="00AC51C3" w:rsidRPr="00550C55" w:rsidRDefault="00766D99" w:rsidP="00AC51C3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bookmarkStart w:id="1" w:name="_Hlk100758988"/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9A0154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2022/274 z dne 13. decembra 2021 o spremembi Priloge III k Direktivi 2011/65/EU Evropskega parlamenta in Sveta glede izjeme za uporabo živega srebra v </w:t>
      </w:r>
      <w:proofErr w:type="spellStart"/>
      <w:r w:rsidR="009A0154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hladnokatodnih</w:t>
      </w:r>
      <w:proofErr w:type="spellEnd"/>
      <w:r w:rsidR="009A0154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fluorescentnih sijalkah in fluorescentnih sijalkah z zunanjo elektrodo za posebne namene zaradi prilagoditve znanstvenemu in tehničnemu napredku</w:t>
      </w:r>
      <w:r w:rsidR="009A0154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 xml:space="preserve">(UL L št. </w:t>
      </w:r>
      <w:r w:rsidR="009A0154" w:rsidRPr="00550C55">
        <w:rPr>
          <w:rFonts w:ascii="Arial" w:eastAsia="Arial" w:hAnsi="Arial" w:cs="Arial"/>
          <w:sz w:val="20"/>
          <w:szCs w:val="20"/>
        </w:rPr>
        <w:t>43</w:t>
      </w:r>
      <w:r w:rsidR="006D73B6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 xml:space="preserve">z dne </w:t>
      </w:r>
      <w:r w:rsidR="009A0154" w:rsidRPr="00550C55">
        <w:rPr>
          <w:rFonts w:ascii="Arial" w:eastAsia="Arial" w:hAnsi="Arial" w:cs="Arial"/>
          <w:sz w:val="20"/>
          <w:szCs w:val="20"/>
        </w:rPr>
        <w:t>24. 2. 2022</w:t>
      </w:r>
      <w:r w:rsidR="00D22D84" w:rsidRPr="00550C55">
        <w:rPr>
          <w:rFonts w:ascii="Arial" w:eastAsia="Arial" w:hAnsi="Arial" w:cs="Arial"/>
          <w:sz w:val="20"/>
          <w:szCs w:val="20"/>
        </w:rPr>
        <w:t xml:space="preserve">, str. </w:t>
      </w:r>
      <w:r w:rsidR="009A0154" w:rsidRPr="00550C55">
        <w:rPr>
          <w:rFonts w:ascii="Arial" w:eastAsia="Arial" w:hAnsi="Arial" w:cs="Arial"/>
          <w:sz w:val="20"/>
          <w:szCs w:val="20"/>
        </w:rPr>
        <w:t>25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55CC1076" w14:textId="07630083" w:rsidR="009A0154" w:rsidRPr="00550C55" w:rsidRDefault="00D22D8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9A0154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2022/275 z dne 13. decembra 2021 o spremembi Priloge III k Direktivi 2011/65/EU Evropskega parlamenta in Sveta glede izjeme za uporabo živega srebra v drugih visokotlačnih natrijevih sijalkah za splošno razsvetljavo zaradi prilagoditve znanstvenemu in tehničnemu napredku</w:t>
      </w:r>
      <w:r w:rsidR="009A0154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9A0154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9A0154" w:rsidRPr="00550C55">
        <w:rPr>
          <w:rFonts w:ascii="Arial" w:eastAsia="Arial" w:hAnsi="Arial" w:cs="Arial"/>
          <w:sz w:val="20"/>
          <w:szCs w:val="20"/>
        </w:rPr>
        <w:t>29</w:t>
      </w:r>
      <w:r w:rsidR="00377612" w:rsidRPr="00550C55">
        <w:rPr>
          <w:rFonts w:ascii="Arial" w:eastAsia="Arial" w:hAnsi="Arial" w:cs="Arial"/>
          <w:sz w:val="20"/>
          <w:szCs w:val="20"/>
        </w:rPr>
        <w:t>)</w:t>
      </w:r>
      <w:r w:rsidR="009A0154" w:rsidRPr="00550C55">
        <w:rPr>
          <w:rFonts w:ascii="Arial" w:eastAsia="Arial" w:hAnsi="Arial" w:cs="Arial"/>
          <w:sz w:val="20"/>
          <w:szCs w:val="20"/>
        </w:rPr>
        <w:t>,</w:t>
      </w:r>
    </w:p>
    <w:p w14:paraId="3F0B9BF5" w14:textId="749CFD46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2022/276 z dne 13. decembra 2021 o spremembi Priloge III k Direktivi 2011/65/EU Evropskega parlamenta in Sveta glede izjeme za uporabo živega srebra v (kompaktnih) fluorescentnih sijalkah z enojnim podnožjem za splošno razsvetljavo zaradi prilagoditve znanstvenemu in tehničnemu napredku</w:t>
      </w:r>
      <w:r w:rsidRPr="00550C55">
        <w:rPr>
          <w:rFonts w:ascii="Arial" w:eastAsia="Arial" w:hAnsi="Arial" w:cs="Arial"/>
          <w:sz w:val="20"/>
          <w:szCs w:val="20"/>
        </w:rPr>
        <w:t xml:space="preserve"> (UL L št. 43 z dne 24. 2. 2022, str. </w:t>
      </w:r>
      <w:r w:rsidRPr="00550C55">
        <w:rPr>
          <w:rFonts w:ascii="Arial" w:eastAsia="Arial" w:hAnsi="Arial" w:cs="Arial"/>
          <w:sz w:val="20"/>
          <w:szCs w:val="20"/>
        </w:rPr>
        <w:t>32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3B6AED55" w14:textId="2C3657AF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2022/277 z dne 13. decembra 2021 o spremembi Priloge III k Direktivi 2011/65/EU Evropskega parlamenta in Sveta glede izjeme za uporabo živega srebra v (kompaktnih) fluorescentnih sijalkah z enojnim podnožjem za splošno razsvetljavo &lt; 30 W z življenjsko dobo enako ali daljšo od 20000 h zaradi prilagoditve znanstvenemu in tehničnemu napredku</w:t>
      </w:r>
      <w:r w:rsidRPr="00550C55">
        <w:rPr>
          <w:rFonts w:ascii="Arial" w:eastAsia="Arial" w:hAnsi="Arial" w:cs="Arial"/>
          <w:sz w:val="20"/>
          <w:szCs w:val="20"/>
        </w:rPr>
        <w:t xml:space="preserve"> (UL L št. </w:t>
      </w:r>
      <w:r w:rsidR="00601FDD" w:rsidRPr="00550C55">
        <w:rPr>
          <w:rFonts w:ascii="Arial" w:eastAsia="Arial" w:hAnsi="Arial" w:cs="Arial"/>
          <w:sz w:val="20"/>
          <w:szCs w:val="20"/>
        </w:rPr>
        <w:t>43</w:t>
      </w:r>
      <w:r w:rsidRPr="00550C55">
        <w:rPr>
          <w:rFonts w:ascii="Arial" w:eastAsia="Arial" w:hAnsi="Arial" w:cs="Arial"/>
          <w:sz w:val="20"/>
          <w:szCs w:val="20"/>
        </w:rPr>
        <w:t xml:space="preserve"> z dne </w:t>
      </w:r>
      <w:r w:rsidR="00601FDD" w:rsidRPr="00550C55">
        <w:rPr>
          <w:rFonts w:ascii="Arial" w:eastAsia="Arial" w:hAnsi="Arial" w:cs="Arial"/>
          <w:sz w:val="20"/>
          <w:szCs w:val="20"/>
        </w:rPr>
        <w:t>24. 2. 2022</w:t>
      </w:r>
      <w:r w:rsidRPr="00550C55">
        <w:rPr>
          <w:rFonts w:ascii="Arial" w:eastAsia="Arial" w:hAnsi="Arial" w:cs="Arial"/>
          <w:sz w:val="20"/>
          <w:szCs w:val="20"/>
        </w:rPr>
        <w:t xml:space="preserve">, str. </w:t>
      </w:r>
      <w:r w:rsidR="00601FDD" w:rsidRPr="00550C55">
        <w:rPr>
          <w:rFonts w:ascii="Arial" w:eastAsia="Arial" w:hAnsi="Arial" w:cs="Arial"/>
          <w:sz w:val="20"/>
          <w:szCs w:val="20"/>
        </w:rPr>
        <w:t>35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101F9BDD" w14:textId="4ADD13D2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2022/278 z dne 13. decembra 2021 o spremembi Priloge III k Direktivi 2011/65/EU Evropskega parlamenta in Sveta glede izjeme za uporabo živega srebra v </w:t>
      </w:r>
      <w:proofErr w:type="spellStart"/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metalhalogenidnih</w:t>
      </w:r>
      <w:proofErr w:type="spellEnd"/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sijalkah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zaradi prilagoditve znanstvenemu in tehničnemu napredku</w:t>
      </w:r>
      <w:r w:rsidRPr="00550C55">
        <w:rPr>
          <w:rFonts w:ascii="Arial" w:eastAsia="Arial" w:hAnsi="Arial" w:cs="Arial"/>
          <w:sz w:val="20"/>
          <w:szCs w:val="20"/>
        </w:rPr>
        <w:t xml:space="preserve"> 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38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27AB39CA" w14:textId="34167AD0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2022/279 z dne 13. decembra 2021 o spremembi Priloge III k Direktivi 2011/65/EU Evropskega parlamenta in Sveta glede izjeme za uporabo živega srebra v drugih sijalkah na razelektrenje za posebne namene zaradi prilagoditve znanstvenemu in tehničnemu napredku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41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6ED4BF50" w14:textId="3856BCCC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2022/280 z dne 13. decembra 2021 o spremembi Priloge III k Direktivi 2011/65/EU Evropskega parlamenta in Sveta glede izjeme za uporabo živega srebra v drugih nizkotlačnih sijalkah na razelektrenje zaradi prilagoditve znanstvenemu in tehničnemu napredku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44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72BC6475" w14:textId="3CD572D4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2022/281 z dne 13. decembra 2021 o spremembi Priloge III k Direktivi 2011/65/EU Evropskega parlamenta in Sveta glede izjeme za uporabo živega srebra v (kompaktnih) fluorescentnih sijalkah z enojnim podnožjem za posebne namene zaradi prilagoditve znanstvenemu in tehničnemu napredku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47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4066DB35" w14:textId="3FB759D7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2022/282 z dne 13. decembra 2021 o spremembi Priloge III k Direktivi 2011/65/EU Evropskega parlamenta in Sveta glede izjeme za uporabo živega srebra v nelinearnih tripasovnih fosfornih sijalkah zaradi prilagoditve znanstvenemu in tehničnemu napredku</w:t>
      </w:r>
      <w:r w:rsidRPr="00550C55">
        <w:rPr>
          <w:rFonts w:ascii="Arial" w:eastAsia="Arial" w:hAnsi="Arial" w:cs="Arial"/>
          <w:sz w:val="20"/>
          <w:szCs w:val="20"/>
        </w:rPr>
        <w:t xml:space="preserve"> 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51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44F46016" w14:textId="24E6EBF2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lastRenderedPageBreak/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2022/283 z dne 13. decembra 2021 o spremembi Priloge III k Direktivi 2011/65/EU Evropskega parlamenta in Sveta glede izjeme za uporabo živega srebra v visokotlačnih natrijevih sijalkah z izboljšanim indeksom barvnega videza za splošno razsvetljavo zaradi prilagoditve znanstvenemu in tehničnemu napredku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54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6E17120B" w14:textId="65124FA7" w:rsidR="009A0154" w:rsidRPr="00550C55" w:rsidRDefault="009A0154" w:rsidP="009A0154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2022/284 z dne 16. decembra 2021 o spremembi Priloge III k Direktivi 2011/65/EU Evropskega parlamenta in Sveta glede izjeme za uporabo živega srebra v linearnih fluorescentnih sijalkah za splošno razsvetljavo z dvojnim podnožjem zaradi prilagoditve znanstvenemu in tehničnemu napredku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>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57</w:t>
      </w:r>
      <w:r w:rsidRPr="00550C55">
        <w:rPr>
          <w:rFonts w:ascii="Arial" w:eastAsia="Arial" w:hAnsi="Arial" w:cs="Arial"/>
          <w:sz w:val="20"/>
          <w:szCs w:val="20"/>
        </w:rPr>
        <w:t>),</w:t>
      </w:r>
    </w:p>
    <w:p w14:paraId="6F10868C" w14:textId="032DBE73" w:rsidR="00DD27B8" w:rsidRPr="00550C55" w:rsidRDefault="009A0154" w:rsidP="00601FDD">
      <w:pPr>
        <w:pStyle w:val="Odstavekseznam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10"/>
        <w:ind w:left="426"/>
        <w:rPr>
          <w:rFonts w:ascii="Arial" w:eastAsia="Arial" w:hAnsi="Arial" w:cs="Arial"/>
          <w:sz w:val="20"/>
          <w:szCs w:val="20"/>
        </w:rPr>
      </w:pPr>
      <w:r w:rsidRPr="00550C55">
        <w:rPr>
          <w:rFonts w:ascii="Arial" w:eastAsia="Arial" w:hAnsi="Arial" w:cs="Arial"/>
          <w:sz w:val="20"/>
          <w:szCs w:val="20"/>
        </w:rPr>
        <w:t xml:space="preserve">Delegirano direktivo Komisije (EU) 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>2022/287 z dne 13. decembra 2021 o spremembi Priloge III k Direktivi 2011/65/EU Evropskega parlamenta in Sveta glede izjeme za uporabo živega srebra v fluorescentnih sijalkah za druge namene splošne razsvetljave in druge posebne namene zaradi prilagoditve znanstvenemu in tehničnemu napredku</w:t>
      </w:r>
      <w:r w:rsidR="00601FDD" w:rsidRPr="00550C5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550C55">
        <w:rPr>
          <w:rFonts w:ascii="Arial" w:eastAsia="Arial" w:hAnsi="Arial" w:cs="Arial"/>
          <w:sz w:val="20"/>
          <w:szCs w:val="20"/>
        </w:rPr>
        <w:t xml:space="preserve"> (</w:t>
      </w:r>
      <w:r w:rsidR="00601FDD" w:rsidRPr="00550C55">
        <w:rPr>
          <w:rFonts w:ascii="Arial" w:eastAsia="Arial" w:hAnsi="Arial" w:cs="Arial"/>
          <w:sz w:val="20"/>
          <w:szCs w:val="20"/>
        </w:rPr>
        <w:t xml:space="preserve">UL L št. 43 z dne 24. 2. 2022, str. </w:t>
      </w:r>
      <w:r w:rsidR="00601FDD" w:rsidRPr="00550C55">
        <w:rPr>
          <w:rFonts w:ascii="Arial" w:eastAsia="Arial" w:hAnsi="Arial" w:cs="Arial"/>
          <w:sz w:val="20"/>
          <w:szCs w:val="20"/>
        </w:rPr>
        <w:t>6</w:t>
      </w:r>
      <w:r w:rsidR="00601FDD" w:rsidRPr="00550C55">
        <w:rPr>
          <w:rFonts w:ascii="Arial" w:eastAsia="Arial" w:hAnsi="Arial" w:cs="Arial"/>
          <w:sz w:val="20"/>
          <w:szCs w:val="20"/>
        </w:rPr>
        <w:t>4</w:t>
      </w:r>
      <w:r w:rsidRPr="00550C55">
        <w:rPr>
          <w:rFonts w:ascii="Arial" w:eastAsia="Arial" w:hAnsi="Arial" w:cs="Arial"/>
          <w:sz w:val="20"/>
          <w:szCs w:val="20"/>
        </w:rPr>
        <w:t>)</w:t>
      </w:r>
      <w:bookmarkEnd w:id="1"/>
      <w:r w:rsidRPr="00550C55">
        <w:rPr>
          <w:rFonts w:ascii="Arial" w:eastAsia="Arial" w:hAnsi="Arial" w:cs="Arial"/>
          <w:sz w:val="20"/>
          <w:szCs w:val="20"/>
        </w:rPr>
        <w:t>.</w:t>
      </w:r>
      <w:r w:rsidR="00AC51C3" w:rsidRPr="00550C55">
        <w:rPr>
          <w:rFonts w:ascii="Arial" w:eastAsia="Arial" w:hAnsi="Arial" w:cs="Arial"/>
          <w:sz w:val="20"/>
          <w:szCs w:val="20"/>
        </w:rPr>
        <w:t>«</w:t>
      </w:r>
      <w:r w:rsidR="00F34E9F" w:rsidRPr="00550C55">
        <w:rPr>
          <w:rFonts w:ascii="Arial" w:eastAsia="Arial" w:hAnsi="Arial" w:cs="Arial"/>
          <w:sz w:val="20"/>
          <w:szCs w:val="20"/>
        </w:rPr>
        <w:t>.</w:t>
      </w:r>
    </w:p>
    <w:p w14:paraId="6806A23E" w14:textId="77777777" w:rsidR="00AC51C3" w:rsidRDefault="00AC51C3" w:rsidP="00C87E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sz w:val="20"/>
          <w:szCs w:val="20"/>
        </w:rPr>
      </w:pPr>
    </w:p>
    <w:p w14:paraId="618B0840" w14:textId="77777777" w:rsidR="00DD27B8" w:rsidRPr="0075000A" w:rsidRDefault="002C1CBE" w:rsidP="00C87E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sz w:val="20"/>
          <w:szCs w:val="20"/>
        </w:rPr>
      </w:pPr>
      <w:r w:rsidRPr="0075000A">
        <w:rPr>
          <w:rFonts w:ascii="Arial" w:eastAsia="Arial" w:hAnsi="Arial" w:cs="Arial"/>
          <w:bCs/>
          <w:sz w:val="20"/>
          <w:szCs w:val="20"/>
        </w:rPr>
        <w:t>Končna določba</w:t>
      </w:r>
    </w:p>
    <w:p w14:paraId="2DC87663" w14:textId="77777777" w:rsidR="00C87EEF" w:rsidRPr="0075000A" w:rsidRDefault="00C87EEF" w:rsidP="00C87E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sz w:val="20"/>
          <w:szCs w:val="20"/>
        </w:rPr>
      </w:pPr>
    </w:p>
    <w:p w14:paraId="7E728675" w14:textId="77777777" w:rsidR="00DD27B8" w:rsidRPr="0075000A" w:rsidRDefault="00C30FC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Cs/>
          <w:sz w:val="20"/>
          <w:szCs w:val="20"/>
        </w:rPr>
      </w:pPr>
      <w:r w:rsidRPr="0075000A">
        <w:rPr>
          <w:rFonts w:ascii="Arial" w:eastAsia="Arial" w:hAnsi="Arial" w:cs="Arial"/>
          <w:bCs/>
          <w:sz w:val="20"/>
          <w:szCs w:val="20"/>
        </w:rPr>
        <w:t xml:space="preserve">2. </w:t>
      </w:r>
      <w:r w:rsidR="00C87EEF" w:rsidRPr="0075000A">
        <w:rPr>
          <w:rFonts w:ascii="Arial" w:eastAsia="Arial" w:hAnsi="Arial" w:cs="Arial"/>
          <w:bCs/>
          <w:sz w:val="20"/>
          <w:szCs w:val="20"/>
        </w:rPr>
        <w:t xml:space="preserve"> </w:t>
      </w:r>
      <w:r w:rsidRPr="0075000A">
        <w:rPr>
          <w:rFonts w:ascii="Arial" w:eastAsia="Arial" w:hAnsi="Arial" w:cs="Arial"/>
          <w:bCs/>
          <w:sz w:val="20"/>
          <w:szCs w:val="20"/>
        </w:rPr>
        <w:t>člen</w:t>
      </w:r>
    </w:p>
    <w:p w14:paraId="0A9D362F" w14:textId="77777777" w:rsidR="00151759" w:rsidRPr="0075000A" w:rsidRDefault="007B782F">
      <w:pPr>
        <w:pBdr>
          <w:top w:val="nil"/>
          <w:left w:val="nil"/>
          <w:bottom w:val="nil"/>
          <w:right w:val="nil"/>
          <w:between w:val="nil"/>
        </w:pBdr>
        <w:ind w:firstLine="240"/>
        <w:jc w:val="center"/>
        <w:rPr>
          <w:rFonts w:ascii="Arial" w:hAnsi="Arial" w:cs="Arial"/>
          <w:bCs/>
          <w:sz w:val="20"/>
          <w:szCs w:val="20"/>
        </w:rPr>
      </w:pPr>
      <w:r w:rsidRPr="0075000A">
        <w:rPr>
          <w:rFonts w:ascii="Arial" w:eastAsia="Arial" w:hAnsi="Arial" w:cs="Arial"/>
          <w:bCs/>
          <w:sz w:val="20"/>
          <w:szCs w:val="20"/>
        </w:rPr>
        <w:t xml:space="preserve"> </w:t>
      </w:r>
      <w:r w:rsidR="00151759" w:rsidRPr="0075000A">
        <w:rPr>
          <w:rFonts w:ascii="Arial" w:eastAsia="Arial" w:hAnsi="Arial" w:cs="Arial"/>
          <w:bCs/>
          <w:sz w:val="20"/>
          <w:szCs w:val="20"/>
        </w:rPr>
        <w:t>(začetek veljavnosti</w:t>
      </w:r>
      <w:r w:rsidR="00EB72DB" w:rsidRPr="0075000A">
        <w:rPr>
          <w:rFonts w:ascii="Arial" w:eastAsia="Arial" w:hAnsi="Arial" w:cs="Arial"/>
          <w:bCs/>
          <w:sz w:val="20"/>
          <w:szCs w:val="20"/>
        </w:rPr>
        <w:t xml:space="preserve"> in uporabe</w:t>
      </w:r>
      <w:r w:rsidR="00151759" w:rsidRPr="0075000A">
        <w:rPr>
          <w:rFonts w:ascii="Arial" w:eastAsia="Arial" w:hAnsi="Arial" w:cs="Arial"/>
          <w:bCs/>
          <w:sz w:val="20"/>
          <w:szCs w:val="20"/>
        </w:rPr>
        <w:t>)</w:t>
      </w:r>
    </w:p>
    <w:p w14:paraId="4C347055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ind w:firstLine="240"/>
        <w:jc w:val="center"/>
        <w:rPr>
          <w:rFonts w:ascii="Arial" w:eastAsia="Arial" w:hAnsi="Arial" w:cs="Arial"/>
          <w:b/>
          <w:sz w:val="20"/>
          <w:szCs w:val="20"/>
        </w:rPr>
      </w:pPr>
    </w:p>
    <w:p w14:paraId="12C63CC1" w14:textId="4E1984BA" w:rsidR="00DD27B8" w:rsidRPr="00191EC7" w:rsidRDefault="00C30FCE" w:rsidP="001E675A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Ta pravilnik začne veljati </w:t>
      </w:r>
      <w:r w:rsidR="002C1CBE">
        <w:rPr>
          <w:rFonts w:ascii="Arial" w:eastAsia="Arial" w:hAnsi="Arial" w:cs="Arial"/>
          <w:sz w:val="20"/>
          <w:szCs w:val="20"/>
        </w:rPr>
        <w:t>naslednji</w:t>
      </w:r>
      <w:r w:rsidR="002C1CBE" w:rsidRPr="00191EC7">
        <w:rPr>
          <w:rFonts w:ascii="Arial" w:eastAsia="Arial" w:hAnsi="Arial" w:cs="Arial"/>
          <w:sz w:val="20"/>
          <w:szCs w:val="20"/>
        </w:rPr>
        <w:t xml:space="preserve"> </w:t>
      </w:r>
      <w:r w:rsidR="005306DF" w:rsidRPr="00191EC7">
        <w:rPr>
          <w:rFonts w:ascii="Arial" w:eastAsia="Arial" w:hAnsi="Arial" w:cs="Arial"/>
          <w:sz w:val="20"/>
          <w:szCs w:val="20"/>
        </w:rPr>
        <w:t>dan po objavi</w:t>
      </w:r>
      <w:r w:rsidR="00737D3C" w:rsidRPr="00191EC7">
        <w:rPr>
          <w:rFonts w:ascii="Arial" w:eastAsia="Arial" w:hAnsi="Arial" w:cs="Arial"/>
          <w:sz w:val="20"/>
          <w:szCs w:val="20"/>
        </w:rPr>
        <w:t xml:space="preserve"> v Uradnem listu Republike Slovenije</w:t>
      </w:r>
      <w:r w:rsidR="00EB72DB">
        <w:rPr>
          <w:rFonts w:ascii="Arial" w:eastAsia="Arial" w:hAnsi="Arial" w:cs="Arial"/>
          <w:sz w:val="20"/>
          <w:szCs w:val="20"/>
        </w:rPr>
        <w:t>,</w:t>
      </w:r>
      <w:r w:rsidR="00EB72DB" w:rsidRPr="00AC51C3">
        <w:rPr>
          <w:rFonts w:ascii="Arial" w:eastAsia="Arial" w:hAnsi="Arial" w:cs="Arial"/>
          <w:sz w:val="20"/>
          <w:szCs w:val="20"/>
        </w:rPr>
        <w:t xml:space="preserve"> uporablja</w:t>
      </w:r>
      <w:r w:rsidR="00CB79E4">
        <w:rPr>
          <w:rFonts w:ascii="Arial" w:eastAsia="Arial" w:hAnsi="Arial" w:cs="Arial"/>
          <w:sz w:val="20"/>
          <w:szCs w:val="20"/>
        </w:rPr>
        <w:t xml:space="preserve"> </w:t>
      </w:r>
      <w:r w:rsidR="00EB72DB" w:rsidRPr="00AC51C3">
        <w:rPr>
          <w:rFonts w:ascii="Arial" w:eastAsia="Arial" w:hAnsi="Arial" w:cs="Arial"/>
          <w:sz w:val="20"/>
          <w:szCs w:val="20"/>
        </w:rPr>
        <w:t xml:space="preserve">pa se </w:t>
      </w:r>
      <w:r w:rsidR="00214A1A">
        <w:rPr>
          <w:rFonts w:ascii="Arial" w:eastAsia="Arial" w:hAnsi="Arial" w:cs="Arial"/>
          <w:sz w:val="20"/>
          <w:szCs w:val="20"/>
        </w:rPr>
        <w:t>od</w:t>
      </w:r>
      <w:r w:rsidR="00214A1A" w:rsidRPr="00AC51C3">
        <w:rPr>
          <w:rFonts w:ascii="Arial" w:eastAsia="Arial" w:hAnsi="Arial" w:cs="Arial"/>
          <w:sz w:val="20"/>
          <w:szCs w:val="20"/>
        </w:rPr>
        <w:t xml:space="preserve"> </w:t>
      </w:r>
      <w:r w:rsidR="009A0154">
        <w:rPr>
          <w:rFonts w:ascii="Arial" w:eastAsia="Arial" w:hAnsi="Arial" w:cs="Arial"/>
          <w:sz w:val="20"/>
          <w:szCs w:val="20"/>
        </w:rPr>
        <w:t>1</w:t>
      </w:r>
      <w:r w:rsidR="00EB72DB" w:rsidRPr="00AC51C3">
        <w:rPr>
          <w:rFonts w:ascii="Arial" w:eastAsia="Arial" w:hAnsi="Arial" w:cs="Arial"/>
          <w:sz w:val="20"/>
          <w:szCs w:val="20"/>
        </w:rPr>
        <w:t xml:space="preserve">. </w:t>
      </w:r>
      <w:r w:rsidR="009A0154">
        <w:rPr>
          <w:rFonts w:ascii="Arial" w:eastAsia="Arial" w:hAnsi="Arial" w:cs="Arial"/>
          <w:sz w:val="20"/>
          <w:szCs w:val="20"/>
        </w:rPr>
        <w:t>oktobra</w:t>
      </w:r>
      <w:r w:rsidR="006D73B6" w:rsidRPr="00AC51C3">
        <w:rPr>
          <w:rFonts w:ascii="Arial" w:eastAsia="Arial" w:hAnsi="Arial" w:cs="Arial"/>
          <w:sz w:val="20"/>
          <w:szCs w:val="20"/>
        </w:rPr>
        <w:t xml:space="preserve"> </w:t>
      </w:r>
      <w:r w:rsidR="00EB72DB" w:rsidRPr="00AC51C3">
        <w:rPr>
          <w:rFonts w:ascii="Arial" w:eastAsia="Arial" w:hAnsi="Arial" w:cs="Arial"/>
          <w:sz w:val="20"/>
          <w:szCs w:val="20"/>
        </w:rPr>
        <w:t>202</w:t>
      </w:r>
      <w:r w:rsidR="009A0154">
        <w:rPr>
          <w:rFonts w:ascii="Arial" w:eastAsia="Arial" w:hAnsi="Arial" w:cs="Arial"/>
          <w:sz w:val="20"/>
          <w:szCs w:val="20"/>
        </w:rPr>
        <w:t>2</w:t>
      </w:r>
      <w:r w:rsidR="00214A1A">
        <w:rPr>
          <w:rFonts w:ascii="Arial" w:eastAsia="Arial" w:hAnsi="Arial" w:cs="Arial"/>
          <w:sz w:val="20"/>
          <w:szCs w:val="20"/>
        </w:rPr>
        <w:t>.</w:t>
      </w:r>
    </w:p>
    <w:p w14:paraId="5A1583B7" w14:textId="77777777" w:rsidR="00DD27B8" w:rsidRPr="00191EC7" w:rsidRDefault="00DD27B8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</w:p>
    <w:p w14:paraId="066AE7E3" w14:textId="071887DF" w:rsidR="00DD27B8" w:rsidRPr="00AC51C3" w:rsidRDefault="00C30FCE" w:rsidP="00AC51C3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 xml:space="preserve">Št. </w:t>
      </w:r>
      <w:r w:rsidR="00191EC7" w:rsidRPr="00191EC7">
        <w:rPr>
          <w:rFonts w:ascii="Arial" w:eastAsia="Arial" w:hAnsi="Arial" w:cs="Arial"/>
          <w:sz w:val="20"/>
          <w:szCs w:val="20"/>
        </w:rPr>
        <w:t>0070-</w:t>
      </w:r>
      <w:r w:rsidR="00CB79E4">
        <w:rPr>
          <w:rFonts w:ascii="Arial" w:eastAsia="Arial" w:hAnsi="Arial" w:cs="Arial"/>
          <w:sz w:val="20"/>
          <w:szCs w:val="20"/>
        </w:rPr>
        <w:t>10</w:t>
      </w:r>
      <w:r w:rsidR="009A0154">
        <w:rPr>
          <w:rFonts w:ascii="Arial" w:eastAsia="Arial" w:hAnsi="Arial" w:cs="Arial"/>
          <w:sz w:val="20"/>
          <w:szCs w:val="20"/>
        </w:rPr>
        <w:t>5</w:t>
      </w:r>
      <w:r w:rsidR="00CB79E4">
        <w:rPr>
          <w:rFonts w:ascii="Arial" w:eastAsia="Arial" w:hAnsi="Arial" w:cs="Arial"/>
          <w:sz w:val="20"/>
          <w:szCs w:val="20"/>
        </w:rPr>
        <w:t>/2022</w:t>
      </w:r>
    </w:p>
    <w:p w14:paraId="4E4EB23A" w14:textId="7AF75A0E" w:rsidR="00DD27B8" w:rsidRPr="00AC51C3" w:rsidRDefault="00C30FCE" w:rsidP="00AC51C3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Ljubljana,</w:t>
      </w:r>
      <w:r w:rsidR="00A1226E" w:rsidRPr="00191EC7">
        <w:rPr>
          <w:rFonts w:ascii="Arial" w:eastAsia="Arial" w:hAnsi="Arial" w:cs="Arial"/>
          <w:sz w:val="20"/>
          <w:szCs w:val="20"/>
        </w:rPr>
        <w:t xml:space="preserve"> dne</w:t>
      </w:r>
      <w:r w:rsidR="0075000A">
        <w:rPr>
          <w:rFonts w:ascii="Arial" w:eastAsia="Arial" w:hAnsi="Arial" w:cs="Arial"/>
          <w:sz w:val="20"/>
          <w:szCs w:val="20"/>
        </w:rPr>
        <w:t xml:space="preserve"> </w:t>
      </w:r>
      <w:r w:rsidR="008A01D0">
        <w:rPr>
          <w:rFonts w:ascii="Arial" w:eastAsia="Arial" w:hAnsi="Arial" w:cs="Arial"/>
          <w:sz w:val="20"/>
          <w:szCs w:val="20"/>
        </w:rPr>
        <w:t>20</w:t>
      </w:r>
      <w:r w:rsidR="0075000A">
        <w:rPr>
          <w:rFonts w:ascii="Arial" w:eastAsia="Arial" w:hAnsi="Arial" w:cs="Arial"/>
          <w:sz w:val="20"/>
          <w:szCs w:val="20"/>
        </w:rPr>
        <w:t>. aprila 2022</w:t>
      </w:r>
    </w:p>
    <w:p w14:paraId="06759BAD" w14:textId="28EBA60B" w:rsidR="00151759" w:rsidRPr="00191EC7" w:rsidRDefault="00C30FCE" w:rsidP="0075000A">
      <w:pPr>
        <w:pBdr>
          <w:top w:val="nil"/>
          <w:left w:val="nil"/>
          <w:bottom w:val="nil"/>
          <w:right w:val="nil"/>
          <w:between w:val="nil"/>
        </w:pBdr>
        <w:spacing w:after="210"/>
        <w:ind w:firstLine="240"/>
        <w:rPr>
          <w:rFonts w:ascii="Arial" w:eastAsia="Arial" w:hAnsi="Arial" w:cs="Arial"/>
          <w:sz w:val="20"/>
          <w:szCs w:val="20"/>
        </w:rPr>
      </w:pPr>
      <w:r w:rsidRPr="00191EC7">
        <w:rPr>
          <w:rFonts w:ascii="Arial" w:eastAsia="Arial" w:hAnsi="Arial" w:cs="Arial"/>
          <w:sz w:val="20"/>
          <w:szCs w:val="20"/>
        </w:rPr>
        <w:t>EVA</w:t>
      </w:r>
      <w:r w:rsidR="00191EC7" w:rsidRPr="00191EC7">
        <w:rPr>
          <w:rFonts w:ascii="Arial" w:eastAsia="Arial" w:hAnsi="Arial" w:cs="Arial"/>
          <w:sz w:val="20"/>
          <w:szCs w:val="20"/>
        </w:rPr>
        <w:t xml:space="preserve"> </w:t>
      </w:r>
      <w:r w:rsidR="00CB79E4">
        <w:rPr>
          <w:rFonts w:ascii="Arial" w:eastAsia="Arial" w:hAnsi="Arial" w:cs="Arial"/>
          <w:sz w:val="20"/>
          <w:szCs w:val="20"/>
        </w:rPr>
        <w:t>2022-2711-005</w:t>
      </w:r>
      <w:r w:rsidR="009A0154">
        <w:rPr>
          <w:rFonts w:ascii="Arial" w:eastAsia="Arial" w:hAnsi="Arial" w:cs="Arial"/>
          <w:sz w:val="20"/>
          <w:szCs w:val="20"/>
        </w:rPr>
        <w:t>8</w:t>
      </w:r>
    </w:p>
    <w:p w14:paraId="68E1EBBA" w14:textId="77777777" w:rsidR="00151759" w:rsidRPr="00191EC7" w:rsidRDefault="00151759">
      <w:pPr>
        <w:pBdr>
          <w:top w:val="nil"/>
          <w:left w:val="nil"/>
          <w:bottom w:val="nil"/>
          <w:right w:val="nil"/>
          <w:between w:val="nil"/>
        </w:pBdr>
        <w:spacing w:after="150"/>
        <w:jc w:val="left"/>
        <w:rPr>
          <w:rFonts w:ascii="Arial" w:eastAsia="Arial" w:hAnsi="Arial" w:cs="Arial"/>
          <w:sz w:val="20"/>
          <w:szCs w:val="20"/>
        </w:rPr>
      </w:pPr>
    </w:p>
    <w:p w14:paraId="3E1D1B08" w14:textId="77777777" w:rsidR="00151759" w:rsidRPr="00601FDD" w:rsidRDefault="00D22D84" w:rsidP="00F51AD1">
      <w:pPr>
        <w:pBdr>
          <w:top w:val="nil"/>
          <w:left w:val="nil"/>
          <w:bottom w:val="nil"/>
          <w:right w:val="nil"/>
          <w:between w:val="nil"/>
        </w:pBdr>
        <w:spacing w:after="150"/>
        <w:ind w:left="1440" w:firstLine="720"/>
        <w:jc w:val="center"/>
        <w:rPr>
          <w:rFonts w:ascii="Arial" w:eastAsia="Arial" w:hAnsi="Arial" w:cs="Arial"/>
          <w:bCs/>
          <w:sz w:val="20"/>
          <w:szCs w:val="20"/>
        </w:rPr>
      </w:pPr>
      <w:r w:rsidRPr="00601FDD">
        <w:rPr>
          <w:rFonts w:ascii="Arial" w:eastAsia="Arial" w:hAnsi="Arial" w:cs="Arial"/>
          <w:bCs/>
          <w:sz w:val="20"/>
          <w:szCs w:val="20"/>
        </w:rPr>
        <w:t>Janez Poklukar</w:t>
      </w:r>
    </w:p>
    <w:p w14:paraId="7DA2E149" w14:textId="77777777" w:rsidR="00DD27B8" w:rsidRPr="00601FDD" w:rsidRDefault="00C803B6" w:rsidP="0099204C">
      <w:pPr>
        <w:pBdr>
          <w:top w:val="nil"/>
          <w:left w:val="nil"/>
          <w:bottom w:val="nil"/>
          <w:right w:val="nil"/>
          <w:between w:val="nil"/>
        </w:pBdr>
        <w:spacing w:after="150"/>
        <w:ind w:left="1440" w:firstLine="720"/>
        <w:jc w:val="center"/>
        <w:rPr>
          <w:rFonts w:ascii="Arial" w:eastAsia="Arial" w:hAnsi="Arial" w:cs="Arial"/>
          <w:bCs/>
          <w:sz w:val="20"/>
          <w:szCs w:val="20"/>
        </w:rPr>
      </w:pPr>
      <w:r w:rsidRPr="00601FDD">
        <w:rPr>
          <w:rFonts w:ascii="Arial" w:eastAsia="Arial" w:hAnsi="Arial" w:cs="Arial"/>
          <w:bCs/>
          <w:sz w:val="20"/>
          <w:szCs w:val="20"/>
        </w:rPr>
        <w:t>m</w:t>
      </w:r>
      <w:r w:rsidR="00F51AD1" w:rsidRPr="00601FDD">
        <w:rPr>
          <w:rFonts w:ascii="Arial" w:eastAsia="Arial" w:hAnsi="Arial" w:cs="Arial"/>
          <w:bCs/>
          <w:sz w:val="20"/>
          <w:szCs w:val="20"/>
        </w:rPr>
        <w:t>inister</w:t>
      </w:r>
      <w:r w:rsidR="00340CD6" w:rsidRPr="00601FDD">
        <w:rPr>
          <w:rFonts w:ascii="Arial" w:eastAsia="Arial" w:hAnsi="Arial" w:cs="Arial"/>
          <w:bCs/>
          <w:sz w:val="20"/>
          <w:szCs w:val="20"/>
        </w:rPr>
        <w:t xml:space="preserve"> </w:t>
      </w:r>
      <w:r w:rsidR="00D22D84" w:rsidRPr="00601FDD">
        <w:rPr>
          <w:rFonts w:ascii="Arial" w:eastAsia="Arial" w:hAnsi="Arial" w:cs="Arial"/>
          <w:bCs/>
          <w:sz w:val="20"/>
          <w:szCs w:val="20"/>
        </w:rPr>
        <w:t>za zdravje</w:t>
      </w:r>
    </w:p>
    <w:sectPr w:rsidR="00DD27B8" w:rsidRPr="00601FDD" w:rsidSect="00E23AD5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mbla">
    <w:altName w:val="Times New Roman"/>
    <w:panose1 w:val="00000000000000000000"/>
    <w:charset w:val="00"/>
    <w:family w:val="roman"/>
    <w:notTrueType/>
    <w:pitch w:val="default"/>
  </w:font>
  <w:font w:name="Noto Sans Symbols"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0C7B"/>
    <w:multiLevelType w:val="hybridMultilevel"/>
    <w:tmpl w:val="91D89B5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A74F08"/>
    <w:multiLevelType w:val="hybridMultilevel"/>
    <w:tmpl w:val="9D544C48"/>
    <w:lvl w:ilvl="0" w:tplc="BD5E416E">
      <w:numFmt w:val="bullet"/>
      <w:lvlText w:val="-"/>
      <w:lvlJc w:val="left"/>
      <w:pPr>
        <w:ind w:left="1080" w:hanging="360"/>
      </w:pPr>
      <w:rPr>
        <w:rFonts w:ascii="Arial" w:eastAsia="Rambla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E53F4C"/>
    <w:multiLevelType w:val="hybridMultilevel"/>
    <w:tmpl w:val="05EEE93A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232231"/>
    <w:multiLevelType w:val="multilevel"/>
    <w:tmpl w:val="C0B4416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07BDE"/>
    <w:multiLevelType w:val="hybridMultilevel"/>
    <w:tmpl w:val="1E1C783C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EC486E"/>
    <w:multiLevelType w:val="multilevel"/>
    <w:tmpl w:val="EB4A3246"/>
    <w:lvl w:ilvl="0">
      <w:start w:val="1"/>
      <w:numFmt w:val="bullet"/>
      <w:lvlText w:val="-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3F2DF5"/>
    <w:multiLevelType w:val="hybridMultilevel"/>
    <w:tmpl w:val="7BE6B8F6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DB1245E"/>
    <w:multiLevelType w:val="hybridMultilevel"/>
    <w:tmpl w:val="B916005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A0E65B1"/>
    <w:multiLevelType w:val="hybridMultilevel"/>
    <w:tmpl w:val="04FE01B4"/>
    <w:lvl w:ilvl="0" w:tplc="ED765534">
      <w:numFmt w:val="bullet"/>
      <w:lvlText w:val="–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C449A5"/>
    <w:multiLevelType w:val="hybridMultilevel"/>
    <w:tmpl w:val="0F1E5634"/>
    <w:lvl w:ilvl="0" w:tplc="ED765534">
      <w:numFmt w:val="bullet"/>
      <w:lvlText w:val="–"/>
      <w:lvlJc w:val="left"/>
      <w:pPr>
        <w:ind w:left="144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B8"/>
    <w:rsid w:val="00102BD4"/>
    <w:rsid w:val="0015168C"/>
    <w:rsid w:val="00151759"/>
    <w:rsid w:val="00151875"/>
    <w:rsid w:val="00162912"/>
    <w:rsid w:val="00172ABE"/>
    <w:rsid w:val="00191EC7"/>
    <w:rsid w:val="001924A4"/>
    <w:rsid w:val="00194145"/>
    <w:rsid w:val="001C089B"/>
    <w:rsid w:val="001E675A"/>
    <w:rsid w:val="0020292E"/>
    <w:rsid w:val="00214A1A"/>
    <w:rsid w:val="00216FCC"/>
    <w:rsid w:val="0023434F"/>
    <w:rsid w:val="002C1CBE"/>
    <w:rsid w:val="002C4307"/>
    <w:rsid w:val="002F41A6"/>
    <w:rsid w:val="00340CD6"/>
    <w:rsid w:val="00367327"/>
    <w:rsid w:val="00377612"/>
    <w:rsid w:val="0047117C"/>
    <w:rsid w:val="0047571F"/>
    <w:rsid w:val="005306DF"/>
    <w:rsid w:val="0053736B"/>
    <w:rsid w:val="00550C55"/>
    <w:rsid w:val="005D1737"/>
    <w:rsid w:val="005E12F4"/>
    <w:rsid w:val="005F29F9"/>
    <w:rsid w:val="00601FDD"/>
    <w:rsid w:val="00621E68"/>
    <w:rsid w:val="0062239B"/>
    <w:rsid w:val="00627FED"/>
    <w:rsid w:val="006A68D8"/>
    <w:rsid w:val="006C7ABD"/>
    <w:rsid w:val="006D73B6"/>
    <w:rsid w:val="00737D3C"/>
    <w:rsid w:val="0075000A"/>
    <w:rsid w:val="007510F5"/>
    <w:rsid w:val="00766D99"/>
    <w:rsid w:val="007B782F"/>
    <w:rsid w:val="007E4D02"/>
    <w:rsid w:val="00835631"/>
    <w:rsid w:val="008372AB"/>
    <w:rsid w:val="00837B3D"/>
    <w:rsid w:val="008418BC"/>
    <w:rsid w:val="008511B7"/>
    <w:rsid w:val="008A01D0"/>
    <w:rsid w:val="008F3EA3"/>
    <w:rsid w:val="00961C54"/>
    <w:rsid w:val="0096620E"/>
    <w:rsid w:val="00973963"/>
    <w:rsid w:val="0099204C"/>
    <w:rsid w:val="0099292D"/>
    <w:rsid w:val="009A0154"/>
    <w:rsid w:val="009C3F36"/>
    <w:rsid w:val="009F78BF"/>
    <w:rsid w:val="00A1226E"/>
    <w:rsid w:val="00A55103"/>
    <w:rsid w:val="00AC51C3"/>
    <w:rsid w:val="00B433D4"/>
    <w:rsid w:val="00B462A5"/>
    <w:rsid w:val="00B6027F"/>
    <w:rsid w:val="00B97A2C"/>
    <w:rsid w:val="00C262D0"/>
    <w:rsid w:val="00C30FCE"/>
    <w:rsid w:val="00C53CF6"/>
    <w:rsid w:val="00C803B6"/>
    <w:rsid w:val="00C86A5A"/>
    <w:rsid w:val="00C87EEF"/>
    <w:rsid w:val="00CB79E4"/>
    <w:rsid w:val="00CF4847"/>
    <w:rsid w:val="00D22D84"/>
    <w:rsid w:val="00D51F2A"/>
    <w:rsid w:val="00D54093"/>
    <w:rsid w:val="00D81BC9"/>
    <w:rsid w:val="00D922CF"/>
    <w:rsid w:val="00DD27B8"/>
    <w:rsid w:val="00DE13A1"/>
    <w:rsid w:val="00DE1ECE"/>
    <w:rsid w:val="00E23AD5"/>
    <w:rsid w:val="00E809D8"/>
    <w:rsid w:val="00EB72DB"/>
    <w:rsid w:val="00ED40F1"/>
    <w:rsid w:val="00F03A62"/>
    <w:rsid w:val="00F24105"/>
    <w:rsid w:val="00F34E9F"/>
    <w:rsid w:val="00F51AD1"/>
    <w:rsid w:val="00F56A4E"/>
    <w:rsid w:val="00FD0411"/>
    <w:rsid w:val="00FE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B4BF"/>
  <w15:docId w15:val="{1C63DEAB-7BEF-4F06-924E-9E4A869AE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l-SI" w:eastAsia="sl-SI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E23AD5"/>
  </w:style>
  <w:style w:type="paragraph" w:styleId="Naslov1">
    <w:name w:val="heading 1"/>
    <w:basedOn w:val="Navaden"/>
    <w:next w:val="Navaden"/>
    <w:rsid w:val="00E23AD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rsid w:val="00E23AD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rsid w:val="00E23AD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rsid w:val="00E23AD5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avaden"/>
    <w:next w:val="Navaden"/>
    <w:rsid w:val="00E23AD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avaden"/>
    <w:next w:val="Navaden"/>
    <w:rsid w:val="00E23AD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rsid w:val="00E23A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rsid w:val="00E23AD5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avaden"/>
    <w:next w:val="Navaden"/>
    <w:rsid w:val="00E23AD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C089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C089B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DE13A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E13A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E13A1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E13A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E13A1"/>
    <w:rPr>
      <w:b/>
      <w:bCs/>
      <w:sz w:val="20"/>
      <w:szCs w:val="20"/>
    </w:rPr>
  </w:style>
  <w:style w:type="character" w:styleId="Poudarek">
    <w:name w:val="Emphasis"/>
    <w:basedOn w:val="Privzetapisavaodstavka"/>
    <w:uiPriority w:val="20"/>
    <w:qFormat/>
    <w:rsid w:val="0015168C"/>
    <w:rPr>
      <w:i/>
      <w:iCs/>
    </w:rPr>
  </w:style>
  <w:style w:type="paragraph" w:styleId="Odstavekseznama">
    <w:name w:val="List Paragraph"/>
    <w:basedOn w:val="Navaden"/>
    <w:uiPriority w:val="34"/>
    <w:qFormat/>
    <w:rsid w:val="00151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585E65FBDAD46A417241CC7B2E922" ma:contentTypeVersion="7" ma:contentTypeDescription="Create a new document." ma:contentTypeScope="" ma:versionID="f49185f04e63c6289eb2e968526637dd">
  <xsd:schema xmlns:xsd="http://www.w3.org/2001/XMLSchema" xmlns:xs="http://www.w3.org/2001/XMLSchema" xmlns:p="http://schemas.microsoft.com/office/2006/metadata/properties" xmlns:ns3="64a8a310-e08a-4fa3-a98e-ba640f0fbe81" xmlns:ns4="ea35fded-d7e7-4b85-aaab-5298ecf26817" targetNamespace="http://schemas.microsoft.com/office/2006/metadata/properties" ma:root="true" ma:fieldsID="137a67e0d159b4ff2eb142a997b9cc5b" ns3:_="" ns4:_="">
    <xsd:import namespace="64a8a310-e08a-4fa3-a98e-ba640f0fbe81"/>
    <xsd:import namespace="ea35fded-d7e7-4b85-aaab-5298ecf268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8a310-e08a-4fa3-a98e-ba640f0fbe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5fded-d7e7-4b85-aaab-5298ecf268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EE9AB-8CDA-43CD-927B-EC3BA6D658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58490A-8396-4C17-B13D-C7452A2B4C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07E3F7-A0E3-42EE-A236-0D8180009C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8a310-e08a-4fa3-a98e-ba640f0fbe81"/>
    <ds:schemaRef ds:uri="ea35fded-d7e7-4b85-aaab-5298ecf26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4011BE-14F2-46F2-8D8C-BEF08DB31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zdravje RS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Alojz Grabner</dc:creator>
  <cp:lastModifiedBy>Alojz Grabner</cp:lastModifiedBy>
  <cp:revision>7</cp:revision>
  <dcterms:created xsi:type="dcterms:W3CDTF">2022-04-16T20:04:00Z</dcterms:created>
  <dcterms:modified xsi:type="dcterms:W3CDTF">2022-04-20T15:40:00Z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0x010100A57585E65FBDAD46A417241CC7B2E922</vt:lpwstr>
  </property>
</Properties>
</file>