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B9FB9" w14:textId="77777777"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="00C30FCE" w:rsidRPr="00191EC7">
        <w:rPr>
          <w:rFonts w:ascii="Arial" w:eastAsia="Arial" w:hAnsi="Arial" w:cs="Arial"/>
          <w:sz w:val="20"/>
          <w:szCs w:val="20"/>
        </w:rPr>
        <w:t>Zakona o tehničnih zahtevah za proizvode in o ugotavljanju skladnosti (Uradni list RS, št. 17/11)</w:t>
      </w:r>
      <w:bookmarkEnd w:id="0"/>
      <w:r w:rsidR="00C30FCE" w:rsidRPr="00191EC7">
        <w:rPr>
          <w:rFonts w:ascii="Arial" w:eastAsia="Arial" w:hAnsi="Arial" w:cs="Arial"/>
          <w:sz w:val="20"/>
          <w:szCs w:val="20"/>
        </w:rPr>
        <w:t xml:space="preserve">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6E5B55F8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40FDFC29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ABF8E7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51C9D980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7A9F504" w14:textId="77777777"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5E297B69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14:paraId="787046A1" w14:textId="4A756232" w:rsidR="00DD27B8" w:rsidRPr="00191EC7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102/12, 20/14, 57/14, 53/15, </w:t>
      </w:r>
      <w:r w:rsidR="001C089B" w:rsidRPr="00191EC7">
        <w:rPr>
          <w:rFonts w:ascii="Arial" w:eastAsia="Arial" w:hAnsi="Arial" w:cs="Arial"/>
          <w:sz w:val="20"/>
          <w:szCs w:val="20"/>
        </w:rPr>
        <w:t>60/16</w:t>
      </w:r>
      <w:r w:rsidR="00F51AD1" w:rsidRPr="00191EC7">
        <w:rPr>
          <w:rFonts w:ascii="Arial" w:eastAsia="Arial" w:hAnsi="Arial" w:cs="Arial"/>
          <w:sz w:val="20"/>
          <w:szCs w:val="20"/>
        </w:rPr>
        <w:t>, 41/18</w:t>
      </w:r>
      <w:r w:rsidR="00B6027F">
        <w:rPr>
          <w:rFonts w:ascii="Arial" w:eastAsia="Arial" w:hAnsi="Arial" w:cs="Arial"/>
          <w:sz w:val="20"/>
          <w:szCs w:val="20"/>
        </w:rPr>
        <w:t xml:space="preserve">, </w:t>
      </w:r>
      <w:r w:rsidR="00D922CF">
        <w:rPr>
          <w:rFonts w:ascii="Arial" w:eastAsia="Arial" w:hAnsi="Arial" w:cs="Arial"/>
          <w:sz w:val="20"/>
          <w:szCs w:val="20"/>
        </w:rPr>
        <w:t>25/19</w:t>
      </w:r>
      <w:r w:rsidR="00766D99">
        <w:rPr>
          <w:rFonts w:ascii="Arial" w:eastAsia="Arial" w:hAnsi="Arial" w:cs="Arial"/>
          <w:sz w:val="20"/>
          <w:szCs w:val="20"/>
        </w:rPr>
        <w:t>,</w:t>
      </w:r>
      <w:r w:rsidR="00C87EEF">
        <w:rPr>
          <w:rFonts w:ascii="Arial" w:eastAsia="Arial" w:hAnsi="Arial" w:cs="Arial"/>
          <w:sz w:val="20"/>
          <w:szCs w:val="20"/>
        </w:rPr>
        <w:t xml:space="preserve"> </w:t>
      </w:r>
      <w:r w:rsidR="0053736B">
        <w:rPr>
          <w:rFonts w:ascii="Arial" w:eastAsia="Arial" w:hAnsi="Arial" w:cs="Arial"/>
          <w:sz w:val="20"/>
          <w:szCs w:val="20"/>
        </w:rPr>
        <w:t>32/19</w:t>
      </w:r>
      <w:r w:rsidR="00D22D84">
        <w:rPr>
          <w:rFonts w:ascii="Arial" w:eastAsia="Arial" w:hAnsi="Arial" w:cs="Arial"/>
          <w:sz w:val="20"/>
          <w:szCs w:val="20"/>
        </w:rPr>
        <w:t xml:space="preserve">, </w:t>
      </w:r>
      <w:r w:rsidR="00766D99">
        <w:rPr>
          <w:rFonts w:ascii="Arial" w:hAnsi="Arial" w:cs="Arial"/>
          <w:bCs/>
          <w:sz w:val="20"/>
          <w:szCs w:val="20"/>
        </w:rPr>
        <w:t>75/20</w:t>
      </w:r>
      <w:r w:rsidR="00C86A5A">
        <w:rPr>
          <w:rFonts w:ascii="Arial" w:hAnsi="Arial" w:cs="Arial"/>
          <w:bCs/>
          <w:sz w:val="20"/>
          <w:szCs w:val="20"/>
        </w:rPr>
        <w:t xml:space="preserve">, </w:t>
      </w:r>
      <w:r w:rsidR="00D22D84">
        <w:rPr>
          <w:rFonts w:ascii="Arial" w:hAnsi="Arial" w:cs="Arial"/>
          <w:bCs/>
          <w:sz w:val="20"/>
          <w:szCs w:val="20"/>
        </w:rPr>
        <w:t>113/20</w:t>
      </w:r>
      <w:r w:rsidR="009A0154">
        <w:rPr>
          <w:rFonts w:ascii="Arial" w:hAnsi="Arial" w:cs="Arial"/>
          <w:bCs/>
          <w:sz w:val="20"/>
          <w:szCs w:val="20"/>
        </w:rPr>
        <w:t xml:space="preserve">, </w:t>
      </w:r>
      <w:r w:rsidR="00C86A5A">
        <w:rPr>
          <w:rFonts w:ascii="Arial" w:hAnsi="Arial" w:cs="Arial"/>
          <w:bCs/>
          <w:sz w:val="20"/>
          <w:szCs w:val="20"/>
        </w:rPr>
        <w:t>162/21</w:t>
      </w:r>
      <w:r w:rsidR="009A0154">
        <w:rPr>
          <w:rFonts w:ascii="Arial" w:hAnsi="Arial" w:cs="Arial"/>
          <w:bCs/>
          <w:sz w:val="20"/>
          <w:szCs w:val="20"/>
        </w:rPr>
        <w:t xml:space="preserve"> in </w:t>
      </w:r>
      <w:r w:rsidR="009A0154" w:rsidRPr="009A0154">
        <w:rPr>
          <w:rFonts w:ascii="Arial" w:hAnsi="Arial" w:cs="Arial"/>
          <w:bCs/>
          <w:sz w:val="20"/>
          <w:szCs w:val="20"/>
          <w:highlight w:val="red"/>
        </w:rPr>
        <w:t>XX/22</w:t>
      </w:r>
      <w:r w:rsidR="00550C55">
        <w:rPr>
          <w:rFonts w:ascii="Arial" w:hAnsi="Arial" w:cs="Arial"/>
          <w:bCs/>
          <w:sz w:val="20"/>
          <w:szCs w:val="20"/>
        </w:rPr>
        <w:t xml:space="preserve"> 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14:paraId="06528661" w14:textId="77777777"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14:paraId="26F9DC54" w14:textId="77777777" w:rsidR="00DD27B8" w:rsidRPr="00191EC7" w:rsidRDefault="00C30FCE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14:paraId="5A8658FB" w14:textId="50D88E0C" w:rsidR="00AC51C3" w:rsidRPr="00550C55" w:rsidRDefault="00766D99" w:rsidP="00AC51C3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bookmarkStart w:id="1" w:name="_Hlk100758988"/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9A0154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2022/274 z dne 13. decembra 2021 o spremembi Priloge III k Direktivi 2011/65/EU Evropskega parlamenta in Sveta glede izjeme za uporabo živega srebra v </w:t>
      </w:r>
      <w:proofErr w:type="spellStart"/>
      <w:r w:rsidR="009A0154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hladnokatodnih</w:t>
      </w:r>
      <w:proofErr w:type="spellEnd"/>
      <w:r w:rsidR="009A0154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fluorescentnih sijalkah in fluorescentnih sijalkah z zunanjo elektrodo za posebne namene zaradi prilagoditve znanstvenemu in tehničnemu napredku</w:t>
      </w:r>
      <w:r w:rsidR="009A0154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 xml:space="preserve">(UL L št. </w:t>
      </w:r>
      <w:r w:rsidR="009A0154" w:rsidRPr="00550C55">
        <w:rPr>
          <w:rFonts w:ascii="Arial" w:eastAsia="Arial" w:hAnsi="Arial" w:cs="Arial"/>
          <w:sz w:val="20"/>
          <w:szCs w:val="20"/>
        </w:rPr>
        <w:t>43</w:t>
      </w:r>
      <w:r w:rsidR="006D73B6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 xml:space="preserve">z dne </w:t>
      </w:r>
      <w:r w:rsidR="009A0154" w:rsidRPr="00550C55">
        <w:rPr>
          <w:rFonts w:ascii="Arial" w:eastAsia="Arial" w:hAnsi="Arial" w:cs="Arial"/>
          <w:sz w:val="20"/>
          <w:szCs w:val="20"/>
        </w:rPr>
        <w:t>24. 2. 2022</w:t>
      </w:r>
      <w:r w:rsidR="00D22D84" w:rsidRPr="00550C55">
        <w:rPr>
          <w:rFonts w:ascii="Arial" w:eastAsia="Arial" w:hAnsi="Arial" w:cs="Arial"/>
          <w:sz w:val="20"/>
          <w:szCs w:val="20"/>
        </w:rPr>
        <w:t xml:space="preserve">, str. </w:t>
      </w:r>
      <w:r w:rsidR="009A0154" w:rsidRPr="00550C55">
        <w:rPr>
          <w:rFonts w:ascii="Arial" w:eastAsia="Arial" w:hAnsi="Arial" w:cs="Arial"/>
          <w:sz w:val="20"/>
          <w:szCs w:val="20"/>
        </w:rPr>
        <w:t>25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55CC1076" w14:textId="07630083" w:rsidR="009A0154" w:rsidRPr="00550C55" w:rsidRDefault="00D22D8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9A0154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2022/275 z dne 13. decembra 2021 o spremembi Priloge III k Direktivi 2011/65/EU Evropskega parlamenta in Sveta glede izjeme za uporabo živega srebra v drugih visokotlačnih natrijevih sijalkah za splošno razsvetljavo zaradi prilagoditve znanstvenemu in tehničnemu napredku</w:t>
      </w:r>
      <w:r w:rsidR="009A0154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9A0154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9A0154" w:rsidRPr="00550C55">
        <w:rPr>
          <w:rFonts w:ascii="Arial" w:eastAsia="Arial" w:hAnsi="Arial" w:cs="Arial"/>
          <w:sz w:val="20"/>
          <w:szCs w:val="20"/>
        </w:rPr>
        <w:t>29</w:t>
      </w:r>
      <w:r w:rsidR="00377612" w:rsidRPr="00550C55">
        <w:rPr>
          <w:rFonts w:ascii="Arial" w:eastAsia="Arial" w:hAnsi="Arial" w:cs="Arial"/>
          <w:sz w:val="20"/>
          <w:szCs w:val="20"/>
        </w:rPr>
        <w:t>)</w:t>
      </w:r>
      <w:r w:rsidR="009A0154" w:rsidRPr="00550C55">
        <w:rPr>
          <w:rFonts w:ascii="Arial" w:eastAsia="Arial" w:hAnsi="Arial" w:cs="Arial"/>
          <w:sz w:val="20"/>
          <w:szCs w:val="20"/>
        </w:rPr>
        <w:t>,</w:t>
      </w:r>
    </w:p>
    <w:p w14:paraId="3F0B9BF5" w14:textId="749CFD46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2022/276 z dne 13. decembra 2021 o spremembi Priloge III k Direktivi 2011/65/EU Evropskega parlamenta in Sveta glede izjeme za uporabo živega srebra v (kompaktnih) fluorescentnih sijalkah z enojnim podnožjem za splošno razsvetljavo zaradi prilagoditve znanstvenemu in tehničnemu napredku</w:t>
      </w:r>
      <w:r w:rsidRPr="00550C55">
        <w:rPr>
          <w:rFonts w:ascii="Arial" w:eastAsia="Arial" w:hAnsi="Arial" w:cs="Arial"/>
          <w:sz w:val="20"/>
          <w:szCs w:val="20"/>
        </w:rPr>
        <w:t xml:space="preserve"> (UL L št. 43 z dne 24. 2. 2022, str. </w:t>
      </w:r>
      <w:r w:rsidRPr="00550C55">
        <w:rPr>
          <w:rFonts w:ascii="Arial" w:eastAsia="Arial" w:hAnsi="Arial" w:cs="Arial"/>
          <w:sz w:val="20"/>
          <w:szCs w:val="20"/>
        </w:rPr>
        <w:t>32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3B6AED55" w14:textId="2C3657AF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2022/277 z dne 13. decembra 2021 o spremembi Priloge III k Direktivi 2011/65/EU Evropskega parlamenta in Sveta glede izjeme za uporabo živega srebra v (kompaktnih) fluorescentnih sijalkah z enojnim podnožjem za splošno razsvetljavo &lt; 30 W z življenjsko dobo enako ali daljšo od 20000 h zaradi prilagoditve znanstvenemu in tehničnemu napredku</w:t>
      </w:r>
      <w:r w:rsidRPr="00550C55">
        <w:rPr>
          <w:rFonts w:ascii="Arial" w:eastAsia="Arial" w:hAnsi="Arial" w:cs="Arial"/>
          <w:sz w:val="20"/>
          <w:szCs w:val="20"/>
        </w:rPr>
        <w:t xml:space="preserve"> (UL L št. </w:t>
      </w:r>
      <w:r w:rsidR="00601FDD" w:rsidRPr="00550C55">
        <w:rPr>
          <w:rFonts w:ascii="Arial" w:eastAsia="Arial" w:hAnsi="Arial" w:cs="Arial"/>
          <w:sz w:val="20"/>
          <w:szCs w:val="20"/>
        </w:rPr>
        <w:t>43</w:t>
      </w:r>
      <w:r w:rsidRPr="00550C55">
        <w:rPr>
          <w:rFonts w:ascii="Arial" w:eastAsia="Arial" w:hAnsi="Arial" w:cs="Arial"/>
          <w:sz w:val="20"/>
          <w:szCs w:val="20"/>
        </w:rPr>
        <w:t xml:space="preserve"> z dne </w:t>
      </w:r>
      <w:r w:rsidR="00601FDD" w:rsidRPr="00550C55">
        <w:rPr>
          <w:rFonts w:ascii="Arial" w:eastAsia="Arial" w:hAnsi="Arial" w:cs="Arial"/>
          <w:sz w:val="20"/>
          <w:szCs w:val="20"/>
        </w:rPr>
        <w:t>24. 2. 2022</w:t>
      </w:r>
      <w:r w:rsidRPr="00550C55">
        <w:rPr>
          <w:rFonts w:ascii="Arial" w:eastAsia="Arial" w:hAnsi="Arial" w:cs="Arial"/>
          <w:sz w:val="20"/>
          <w:szCs w:val="20"/>
        </w:rPr>
        <w:t xml:space="preserve">, str. </w:t>
      </w:r>
      <w:r w:rsidR="00601FDD" w:rsidRPr="00550C55">
        <w:rPr>
          <w:rFonts w:ascii="Arial" w:eastAsia="Arial" w:hAnsi="Arial" w:cs="Arial"/>
          <w:sz w:val="20"/>
          <w:szCs w:val="20"/>
        </w:rPr>
        <w:t>35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101F9BDD" w14:textId="4ADD13D2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2022/278 z dne 13. decembra 2021 o spremembi Priloge III k Direktivi 2011/65/EU Evropskega parlamenta in Sveta glede izjeme za uporabo živega srebra v </w:t>
      </w:r>
      <w:proofErr w:type="spellStart"/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metalhalogenidnih</w:t>
      </w:r>
      <w:proofErr w:type="spellEnd"/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sijalkah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r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zaradi prilagoditve znanstvenemu in tehničnemu napredku</w:t>
      </w:r>
      <w:r w:rsidRPr="00550C55">
        <w:rPr>
          <w:rFonts w:ascii="Arial" w:eastAsia="Arial" w:hAnsi="Arial" w:cs="Arial"/>
          <w:sz w:val="20"/>
          <w:szCs w:val="20"/>
        </w:rPr>
        <w:t xml:space="preserve"> 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38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27AB39CA" w14:textId="34167AD0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2022/279 z dne 13. decembra 2021 o spremembi Priloge III k Direktivi 2011/65/EU Evropskega parlamenta in Sveta glede izjeme za uporabo živega srebra v drugih sijalkah na razelektrenje za posebne namene zaradi prilagoditve znanstvenemu in tehničnemu napredku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41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6ED4BF50" w14:textId="3856BCCC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2022/280 z dne 13. decembra 2021 o spremembi Priloge III k Direktivi 2011/65/EU Evropskega parlamenta in Sveta glede izjeme za uporabo živega srebra v drugih nizkotlačnih sijalkah na razelektrenje zaradi prilagoditve znanstvenemu in tehničnemu napredku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44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72BC6475" w14:textId="3CD572D4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2022/281 z dne 13. decembra 2021 o spremembi Priloge III k Direktivi 2011/65/EU Evropskega parlamenta in Sveta glede izjeme za uporabo živega srebra v (kompaktnih) fluorescentnih sijalkah z enojnim podnožjem za posebne namene zaradi prilagoditve znanstvenemu in tehničnemu napredku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47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4066DB35" w14:textId="3FB759D7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2022/282 z dne 13. decembra 2021 o spremembi Priloge III k Direktivi 2011/65/EU Evropskega parlamenta in Sveta glede izjeme za uporabo živega srebra v nelinearnih tripasovnih fosfornih sijalkah zaradi prilagoditve znanstvenemu in tehničnemu napredku</w:t>
      </w:r>
      <w:r w:rsidRPr="00550C55">
        <w:rPr>
          <w:rFonts w:ascii="Arial" w:eastAsia="Arial" w:hAnsi="Arial" w:cs="Arial"/>
          <w:sz w:val="20"/>
          <w:szCs w:val="20"/>
        </w:rPr>
        <w:t xml:space="preserve"> 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51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44F46016" w14:textId="24E6EBF2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lastRenderedPageBreak/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2022/283 z dne 13. decembra 2021 o spremembi Priloge III k Direktivi 2011/65/EU Evropskega parlamenta in Sveta glede izjeme za uporabo živega srebra v visokotlačnih natrijevih sijalkah z izboljšanim indeksom barvnega videza za splošno razsvetljavo zaradi prilagoditve znanstvenemu in tehničnemu napredku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54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6E17120B" w14:textId="65124FA7" w:rsidR="009A0154" w:rsidRPr="00550C55" w:rsidRDefault="009A0154" w:rsidP="009A0154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2022/284 z dne 16. decembra 2021 o spremembi Priloge III k Direktivi 2011/65/EU Evropskega parlamenta in Sveta glede izjeme za uporabo živega srebra v linearnih fluorescentnih sijalkah za splošno razsvetljavo z dvojnim podnožjem zaradi prilagoditve znanstvenemu in tehničnemu napredku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>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57</w:t>
      </w:r>
      <w:r w:rsidRPr="00550C55">
        <w:rPr>
          <w:rFonts w:ascii="Arial" w:eastAsia="Arial" w:hAnsi="Arial" w:cs="Arial"/>
          <w:sz w:val="20"/>
          <w:szCs w:val="20"/>
        </w:rPr>
        <w:t>),</w:t>
      </w:r>
    </w:p>
    <w:p w14:paraId="6F10868C" w14:textId="032DBE73" w:rsidR="00DD27B8" w:rsidRPr="00550C55" w:rsidRDefault="009A0154" w:rsidP="00601FDD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550C55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>2022/287 z dne 13. decembra 2021 o spremembi Priloge III k Direktivi 2011/65/EU Evropskega parlamenta in Sveta glede izjeme za uporabo živega srebra v fluorescentnih sijalkah za druge namene splošne razsvetljave in druge posebne namene zaradi prilagoditve znanstvenemu in tehničnemu napredku</w:t>
      </w:r>
      <w:r w:rsidR="00601FDD" w:rsidRPr="00550C55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r w:rsidRPr="00550C55">
        <w:rPr>
          <w:rFonts w:ascii="Arial" w:eastAsia="Arial" w:hAnsi="Arial" w:cs="Arial"/>
          <w:sz w:val="20"/>
          <w:szCs w:val="20"/>
        </w:rPr>
        <w:t xml:space="preserve"> (</w:t>
      </w:r>
      <w:r w:rsidR="00601FDD" w:rsidRPr="00550C55">
        <w:rPr>
          <w:rFonts w:ascii="Arial" w:eastAsia="Arial" w:hAnsi="Arial" w:cs="Arial"/>
          <w:sz w:val="20"/>
          <w:szCs w:val="20"/>
        </w:rPr>
        <w:t xml:space="preserve">UL L št. 43 z dne 24. 2. 2022, str. </w:t>
      </w:r>
      <w:r w:rsidR="00601FDD" w:rsidRPr="00550C55">
        <w:rPr>
          <w:rFonts w:ascii="Arial" w:eastAsia="Arial" w:hAnsi="Arial" w:cs="Arial"/>
          <w:sz w:val="20"/>
          <w:szCs w:val="20"/>
        </w:rPr>
        <w:t>6</w:t>
      </w:r>
      <w:r w:rsidR="00601FDD" w:rsidRPr="00550C55">
        <w:rPr>
          <w:rFonts w:ascii="Arial" w:eastAsia="Arial" w:hAnsi="Arial" w:cs="Arial"/>
          <w:sz w:val="20"/>
          <w:szCs w:val="20"/>
        </w:rPr>
        <w:t>4</w:t>
      </w:r>
      <w:r w:rsidRPr="00550C55">
        <w:rPr>
          <w:rFonts w:ascii="Arial" w:eastAsia="Arial" w:hAnsi="Arial" w:cs="Arial"/>
          <w:sz w:val="20"/>
          <w:szCs w:val="20"/>
        </w:rPr>
        <w:t>)</w:t>
      </w:r>
      <w:bookmarkEnd w:id="1"/>
      <w:r w:rsidRPr="00550C55">
        <w:rPr>
          <w:rFonts w:ascii="Arial" w:eastAsia="Arial" w:hAnsi="Arial" w:cs="Arial"/>
          <w:sz w:val="20"/>
          <w:szCs w:val="20"/>
        </w:rPr>
        <w:t>.</w:t>
      </w:r>
      <w:r w:rsidR="00AC51C3" w:rsidRPr="00550C55">
        <w:rPr>
          <w:rFonts w:ascii="Arial" w:eastAsia="Arial" w:hAnsi="Arial" w:cs="Arial"/>
          <w:sz w:val="20"/>
          <w:szCs w:val="20"/>
        </w:rPr>
        <w:t>«</w:t>
      </w:r>
      <w:r w:rsidR="00F34E9F" w:rsidRPr="00550C55">
        <w:rPr>
          <w:rFonts w:ascii="Arial" w:eastAsia="Arial" w:hAnsi="Arial" w:cs="Arial"/>
          <w:sz w:val="20"/>
          <w:szCs w:val="20"/>
        </w:rPr>
        <w:t>.</w:t>
      </w:r>
    </w:p>
    <w:p w14:paraId="6806A23E" w14:textId="77777777" w:rsidR="00AC51C3" w:rsidRDefault="00AC51C3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618B0840" w14:textId="77777777" w:rsidR="00DD27B8" w:rsidRPr="0075000A" w:rsidRDefault="002C1CBE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  <w:r w:rsidRPr="0075000A">
        <w:rPr>
          <w:rFonts w:ascii="Arial" w:eastAsia="Arial" w:hAnsi="Arial" w:cs="Arial"/>
          <w:bCs/>
          <w:sz w:val="20"/>
          <w:szCs w:val="20"/>
        </w:rPr>
        <w:t>Končna določba</w:t>
      </w:r>
    </w:p>
    <w:p w14:paraId="2DC87663" w14:textId="77777777" w:rsidR="00C87EEF" w:rsidRPr="0075000A" w:rsidRDefault="00C87EEF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7E728675" w14:textId="77777777" w:rsidR="00DD27B8" w:rsidRPr="0075000A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  <w:r w:rsidRPr="0075000A">
        <w:rPr>
          <w:rFonts w:ascii="Arial" w:eastAsia="Arial" w:hAnsi="Arial" w:cs="Arial"/>
          <w:bCs/>
          <w:sz w:val="20"/>
          <w:szCs w:val="20"/>
        </w:rPr>
        <w:t xml:space="preserve">2. </w:t>
      </w:r>
      <w:r w:rsidR="00C87EEF" w:rsidRPr="0075000A">
        <w:rPr>
          <w:rFonts w:ascii="Arial" w:eastAsia="Arial" w:hAnsi="Arial" w:cs="Arial"/>
          <w:bCs/>
          <w:sz w:val="20"/>
          <w:szCs w:val="20"/>
        </w:rPr>
        <w:t xml:space="preserve"> </w:t>
      </w:r>
      <w:r w:rsidRPr="0075000A">
        <w:rPr>
          <w:rFonts w:ascii="Arial" w:eastAsia="Arial" w:hAnsi="Arial" w:cs="Arial"/>
          <w:bCs/>
          <w:sz w:val="20"/>
          <w:szCs w:val="20"/>
        </w:rPr>
        <w:t>člen</w:t>
      </w:r>
    </w:p>
    <w:p w14:paraId="0A9D362F" w14:textId="77777777" w:rsidR="00151759" w:rsidRPr="0075000A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Cs/>
          <w:sz w:val="20"/>
          <w:szCs w:val="20"/>
        </w:rPr>
      </w:pPr>
      <w:r w:rsidRPr="0075000A">
        <w:rPr>
          <w:rFonts w:ascii="Arial" w:eastAsia="Arial" w:hAnsi="Arial" w:cs="Arial"/>
          <w:bCs/>
          <w:sz w:val="20"/>
          <w:szCs w:val="20"/>
        </w:rPr>
        <w:t xml:space="preserve"> </w:t>
      </w:r>
      <w:r w:rsidR="00151759" w:rsidRPr="0075000A">
        <w:rPr>
          <w:rFonts w:ascii="Arial" w:eastAsia="Arial" w:hAnsi="Arial" w:cs="Arial"/>
          <w:bCs/>
          <w:sz w:val="20"/>
          <w:szCs w:val="20"/>
        </w:rPr>
        <w:t>(začetek veljavnosti</w:t>
      </w:r>
      <w:r w:rsidR="00EB72DB" w:rsidRPr="0075000A">
        <w:rPr>
          <w:rFonts w:ascii="Arial" w:eastAsia="Arial" w:hAnsi="Arial" w:cs="Arial"/>
          <w:bCs/>
          <w:sz w:val="20"/>
          <w:szCs w:val="20"/>
        </w:rPr>
        <w:t xml:space="preserve"> in uporabe</w:t>
      </w:r>
      <w:r w:rsidR="00151759" w:rsidRPr="0075000A">
        <w:rPr>
          <w:rFonts w:ascii="Arial" w:eastAsia="Arial" w:hAnsi="Arial" w:cs="Arial"/>
          <w:bCs/>
          <w:sz w:val="20"/>
          <w:szCs w:val="20"/>
        </w:rPr>
        <w:t>)</w:t>
      </w:r>
    </w:p>
    <w:p w14:paraId="4C347055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14:paraId="12C63CC1" w14:textId="4E1984BA" w:rsidR="00DD27B8" w:rsidRPr="00191EC7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2C1CBE">
        <w:rPr>
          <w:rFonts w:ascii="Arial" w:eastAsia="Arial" w:hAnsi="Arial" w:cs="Arial"/>
          <w:sz w:val="20"/>
          <w:szCs w:val="20"/>
        </w:rPr>
        <w:t>naslednji</w:t>
      </w:r>
      <w:r w:rsidR="002C1CBE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5306DF" w:rsidRPr="00191EC7">
        <w:rPr>
          <w:rFonts w:ascii="Arial" w:eastAsia="Arial" w:hAnsi="Arial" w:cs="Arial"/>
          <w:sz w:val="20"/>
          <w:szCs w:val="20"/>
        </w:rPr>
        <w:t>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EB72DB">
        <w:rPr>
          <w:rFonts w:ascii="Arial" w:eastAsia="Arial" w:hAnsi="Arial" w:cs="Arial"/>
          <w:sz w:val="20"/>
          <w:szCs w:val="20"/>
        </w:rPr>
        <w:t>,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uporablja</w:t>
      </w:r>
      <w:r w:rsidR="00CB79E4">
        <w:rPr>
          <w:rFonts w:ascii="Arial" w:eastAsia="Arial" w:hAnsi="Arial" w:cs="Arial"/>
          <w:sz w:val="20"/>
          <w:szCs w:val="20"/>
        </w:rPr>
        <w:t xml:space="preserve"> 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pa se </w:t>
      </w:r>
      <w:r w:rsidR="00214A1A">
        <w:rPr>
          <w:rFonts w:ascii="Arial" w:eastAsia="Arial" w:hAnsi="Arial" w:cs="Arial"/>
          <w:sz w:val="20"/>
          <w:szCs w:val="20"/>
        </w:rPr>
        <w:t>od</w:t>
      </w:r>
      <w:r w:rsidR="00214A1A" w:rsidRPr="00AC51C3">
        <w:rPr>
          <w:rFonts w:ascii="Arial" w:eastAsia="Arial" w:hAnsi="Arial" w:cs="Arial"/>
          <w:sz w:val="20"/>
          <w:szCs w:val="20"/>
        </w:rPr>
        <w:t xml:space="preserve"> </w:t>
      </w:r>
      <w:r w:rsidR="009A0154">
        <w:rPr>
          <w:rFonts w:ascii="Arial" w:eastAsia="Arial" w:hAnsi="Arial" w:cs="Arial"/>
          <w:sz w:val="20"/>
          <w:szCs w:val="20"/>
        </w:rPr>
        <w:t>1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. </w:t>
      </w:r>
      <w:r w:rsidR="009A0154">
        <w:rPr>
          <w:rFonts w:ascii="Arial" w:eastAsia="Arial" w:hAnsi="Arial" w:cs="Arial"/>
          <w:sz w:val="20"/>
          <w:szCs w:val="20"/>
        </w:rPr>
        <w:t>oktobra</w:t>
      </w:r>
      <w:r w:rsidR="006D73B6" w:rsidRPr="00AC51C3">
        <w:rPr>
          <w:rFonts w:ascii="Arial" w:eastAsia="Arial" w:hAnsi="Arial" w:cs="Arial"/>
          <w:sz w:val="20"/>
          <w:szCs w:val="20"/>
        </w:rPr>
        <w:t xml:space="preserve"> </w:t>
      </w:r>
      <w:r w:rsidR="00EB72DB" w:rsidRPr="00AC51C3">
        <w:rPr>
          <w:rFonts w:ascii="Arial" w:eastAsia="Arial" w:hAnsi="Arial" w:cs="Arial"/>
          <w:sz w:val="20"/>
          <w:szCs w:val="20"/>
        </w:rPr>
        <w:t>202</w:t>
      </w:r>
      <w:r w:rsidR="009A0154">
        <w:rPr>
          <w:rFonts w:ascii="Arial" w:eastAsia="Arial" w:hAnsi="Arial" w:cs="Arial"/>
          <w:sz w:val="20"/>
          <w:szCs w:val="20"/>
        </w:rPr>
        <w:t>2</w:t>
      </w:r>
      <w:r w:rsidR="00214A1A">
        <w:rPr>
          <w:rFonts w:ascii="Arial" w:eastAsia="Arial" w:hAnsi="Arial" w:cs="Arial"/>
          <w:sz w:val="20"/>
          <w:szCs w:val="20"/>
        </w:rPr>
        <w:t>.</w:t>
      </w:r>
    </w:p>
    <w:p w14:paraId="5A1583B7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66AE7E3" w14:textId="071887DF" w:rsidR="00DD27B8" w:rsidRPr="00AC51C3" w:rsidRDefault="00C30FCE" w:rsidP="00AC51C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91EC7" w:rsidRPr="00191EC7">
        <w:rPr>
          <w:rFonts w:ascii="Arial" w:eastAsia="Arial" w:hAnsi="Arial" w:cs="Arial"/>
          <w:sz w:val="20"/>
          <w:szCs w:val="20"/>
        </w:rPr>
        <w:t>0070-</w:t>
      </w:r>
      <w:r w:rsidR="00CB79E4">
        <w:rPr>
          <w:rFonts w:ascii="Arial" w:eastAsia="Arial" w:hAnsi="Arial" w:cs="Arial"/>
          <w:sz w:val="20"/>
          <w:szCs w:val="20"/>
        </w:rPr>
        <w:t>10</w:t>
      </w:r>
      <w:r w:rsidR="009A0154">
        <w:rPr>
          <w:rFonts w:ascii="Arial" w:eastAsia="Arial" w:hAnsi="Arial" w:cs="Arial"/>
          <w:sz w:val="20"/>
          <w:szCs w:val="20"/>
        </w:rPr>
        <w:t>5</w:t>
      </w:r>
      <w:r w:rsidR="00CB79E4">
        <w:rPr>
          <w:rFonts w:ascii="Arial" w:eastAsia="Arial" w:hAnsi="Arial" w:cs="Arial"/>
          <w:sz w:val="20"/>
          <w:szCs w:val="20"/>
        </w:rPr>
        <w:t>/2022</w:t>
      </w:r>
    </w:p>
    <w:p w14:paraId="4E4EB23A" w14:textId="7AF75A0E" w:rsidR="00DD27B8" w:rsidRPr="00AC51C3" w:rsidRDefault="00C30FCE" w:rsidP="00AC51C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</w:t>
      </w:r>
      <w:r w:rsidR="0075000A">
        <w:rPr>
          <w:rFonts w:ascii="Arial" w:eastAsia="Arial" w:hAnsi="Arial" w:cs="Arial"/>
          <w:sz w:val="20"/>
          <w:szCs w:val="20"/>
        </w:rPr>
        <w:t xml:space="preserve"> </w:t>
      </w:r>
      <w:r w:rsidR="008A01D0">
        <w:rPr>
          <w:rFonts w:ascii="Arial" w:eastAsia="Arial" w:hAnsi="Arial" w:cs="Arial"/>
          <w:sz w:val="20"/>
          <w:szCs w:val="20"/>
        </w:rPr>
        <w:t>20</w:t>
      </w:r>
      <w:r w:rsidR="0075000A">
        <w:rPr>
          <w:rFonts w:ascii="Arial" w:eastAsia="Arial" w:hAnsi="Arial" w:cs="Arial"/>
          <w:sz w:val="20"/>
          <w:szCs w:val="20"/>
        </w:rPr>
        <w:t>. aprila 2022</w:t>
      </w:r>
    </w:p>
    <w:p w14:paraId="06759BAD" w14:textId="28EBA60B" w:rsidR="00151759" w:rsidRPr="00191EC7" w:rsidRDefault="00C30FCE" w:rsidP="0075000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CB79E4">
        <w:rPr>
          <w:rFonts w:ascii="Arial" w:eastAsia="Arial" w:hAnsi="Arial" w:cs="Arial"/>
          <w:sz w:val="20"/>
          <w:szCs w:val="20"/>
        </w:rPr>
        <w:t>2022-2711-005</w:t>
      </w:r>
      <w:r w:rsidR="009A0154">
        <w:rPr>
          <w:rFonts w:ascii="Arial" w:eastAsia="Arial" w:hAnsi="Arial" w:cs="Arial"/>
          <w:sz w:val="20"/>
          <w:szCs w:val="20"/>
        </w:rPr>
        <w:t>8</w:t>
      </w:r>
    </w:p>
    <w:p w14:paraId="68E1EBBA" w14:textId="77777777"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E1D1B08" w14:textId="77777777" w:rsidR="00151759" w:rsidRPr="00601FDD" w:rsidRDefault="00D22D84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Cs/>
          <w:sz w:val="20"/>
          <w:szCs w:val="20"/>
        </w:rPr>
      </w:pPr>
      <w:r w:rsidRPr="00601FDD">
        <w:rPr>
          <w:rFonts w:ascii="Arial" w:eastAsia="Arial" w:hAnsi="Arial" w:cs="Arial"/>
          <w:bCs/>
          <w:sz w:val="20"/>
          <w:szCs w:val="20"/>
        </w:rPr>
        <w:t>Janez Poklukar</w:t>
      </w:r>
    </w:p>
    <w:p w14:paraId="7DA2E149" w14:textId="77777777" w:rsidR="00DD27B8" w:rsidRPr="00601FDD" w:rsidRDefault="00C803B6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Cs/>
          <w:sz w:val="20"/>
          <w:szCs w:val="20"/>
        </w:rPr>
      </w:pPr>
      <w:r w:rsidRPr="00601FDD">
        <w:rPr>
          <w:rFonts w:ascii="Arial" w:eastAsia="Arial" w:hAnsi="Arial" w:cs="Arial"/>
          <w:bCs/>
          <w:sz w:val="20"/>
          <w:szCs w:val="20"/>
        </w:rPr>
        <w:t>m</w:t>
      </w:r>
      <w:r w:rsidR="00F51AD1" w:rsidRPr="00601FDD">
        <w:rPr>
          <w:rFonts w:ascii="Arial" w:eastAsia="Arial" w:hAnsi="Arial" w:cs="Arial"/>
          <w:bCs/>
          <w:sz w:val="20"/>
          <w:szCs w:val="20"/>
        </w:rPr>
        <w:t>inister</w:t>
      </w:r>
      <w:r w:rsidR="00340CD6" w:rsidRPr="00601FDD">
        <w:rPr>
          <w:rFonts w:ascii="Arial" w:eastAsia="Arial" w:hAnsi="Arial" w:cs="Arial"/>
          <w:bCs/>
          <w:sz w:val="20"/>
          <w:szCs w:val="20"/>
        </w:rPr>
        <w:t xml:space="preserve"> </w:t>
      </w:r>
      <w:r w:rsidR="00D22D84" w:rsidRPr="00601FDD">
        <w:rPr>
          <w:rFonts w:ascii="Arial" w:eastAsia="Arial" w:hAnsi="Arial" w:cs="Arial"/>
          <w:bCs/>
          <w:sz w:val="20"/>
          <w:szCs w:val="20"/>
        </w:rPr>
        <w:t>za zdravje</w:t>
      </w:r>
    </w:p>
    <w:sectPr w:rsidR="00DD27B8" w:rsidRPr="00601FDD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102BD4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14A1A"/>
    <w:rsid w:val="00216FCC"/>
    <w:rsid w:val="0023434F"/>
    <w:rsid w:val="002C1CBE"/>
    <w:rsid w:val="002C4307"/>
    <w:rsid w:val="002F41A6"/>
    <w:rsid w:val="00340CD6"/>
    <w:rsid w:val="00367327"/>
    <w:rsid w:val="00377612"/>
    <w:rsid w:val="0047117C"/>
    <w:rsid w:val="0047571F"/>
    <w:rsid w:val="005306DF"/>
    <w:rsid w:val="0053736B"/>
    <w:rsid w:val="00550C55"/>
    <w:rsid w:val="005D1737"/>
    <w:rsid w:val="005E12F4"/>
    <w:rsid w:val="005F29F9"/>
    <w:rsid w:val="00601FDD"/>
    <w:rsid w:val="00621E68"/>
    <w:rsid w:val="0062239B"/>
    <w:rsid w:val="00627FED"/>
    <w:rsid w:val="006A68D8"/>
    <w:rsid w:val="006C7ABD"/>
    <w:rsid w:val="006D73B6"/>
    <w:rsid w:val="00737D3C"/>
    <w:rsid w:val="0075000A"/>
    <w:rsid w:val="007510F5"/>
    <w:rsid w:val="00766D99"/>
    <w:rsid w:val="007B782F"/>
    <w:rsid w:val="007E4D02"/>
    <w:rsid w:val="00835631"/>
    <w:rsid w:val="008372AB"/>
    <w:rsid w:val="00837B3D"/>
    <w:rsid w:val="008418BC"/>
    <w:rsid w:val="008511B7"/>
    <w:rsid w:val="008A01D0"/>
    <w:rsid w:val="008F3EA3"/>
    <w:rsid w:val="00961C54"/>
    <w:rsid w:val="0096620E"/>
    <w:rsid w:val="00973963"/>
    <w:rsid w:val="0099204C"/>
    <w:rsid w:val="0099292D"/>
    <w:rsid w:val="009A0154"/>
    <w:rsid w:val="009C3F36"/>
    <w:rsid w:val="009F78BF"/>
    <w:rsid w:val="00A1226E"/>
    <w:rsid w:val="00A55103"/>
    <w:rsid w:val="00AC51C3"/>
    <w:rsid w:val="00B433D4"/>
    <w:rsid w:val="00B462A5"/>
    <w:rsid w:val="00B6027F"/>
    <w:rsid w:val="00B97A2C"/>
    <w:rsid w:val="00C262D0"/>
    <w:rsid w:val="00C30FCE"/>
    <w:rsid w:val="00C53CF6"/>
    <w:rsid w:val="00C803B6"/>
    <w:rsid w:val="00C86A5A"/>
    <w:rsid w:val="00C87EEF"/>
    <w:rsid w:val="00CB79E4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D40F1"/>
    <w:rsid w:val="00F03A62"/>
    <w:rsid w:val="00F24105"/>
    <w:rsid w:val="00F34E9F"/>
    <w:rsid w:val="00F51AD1"/>
    <w:rsid w:val="00F56A4E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7</cp:revision>
  <dcterms:created xsi:type="dcterms:W3CDTF">2022-04-16T20:04:00Z</dcterms:created>
  <dcterms:modified xsi:type="dcterms:W3CDTF">2022-04-20T15:40:00Z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