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19E8" w:rsidRPr="00A9231D" w:rsidRDefault="005719E8" w:rsidP="005719E8">
      <w:pPr>
        <w:pStyle w:val="Glava"/>
        <w:tabs>
          <w:tab w:val="clear" w:pos="4536"/>
          <w:tab w:val="clear" w:pos="9072"/>
          <w:tab w:val="left" w:pos="5112"/>
          <w:tab w:val="left" w:pos="8641"/>
        </w:tabs>
        <w:spacing w:before="340" w:line="240" w:lineRule="exact"/>
        <w:ind w:left="-765"/>
        <w:rPr>
          <w:rFonts w:cs="Arial"/>
          <w:sz w:val="16"/>
        </w:rPr>
      </w:pPr>
      <w:bookmarkStart w:id="0" w:name="_Ref425159136"/>
      <w:bookmarkStart w:id="1" w:name="_GoBack"/>
      <w:bookmarkEnd w:id="1"/>
      <w:r w:rsidRPr="00CE234E">
        <w:rPr>
          <w:noProof/>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719E8" w:rsidRPr="00A9231D" w:rsidRDefault="005719E8" w:rsidP="005719E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719E8" w:rsidRPr="00A9231D" w:rsidRDefault="005719E8" w:rsidP="005719E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719E8" w:rsidRPr="00A9231D" w:rsidRDefault="005719E8" w:rsidP="005719E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719E8" w:rsidRPr="00A9231D" w:rsidRDefault="005719E8" w:rsidP="005719E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AC6E15" w:rsidRDefault="00AC6E15" w:rsidP="00AC6E15">
      <w:pPr>
        <w:overflowPunct/>
        <w:autoSpaceDE/>
        <w:autoSpaceDN/>
        <w:adjustRightInd/>
        <w:spacing w:line="260" w:lineRule="exact"/>
        <w:jc w:val="left"/>
        <w:textAlignment w:val="auto"/>
        <w:rPr>
          <w:rFonts w:cs="Arial"/>
          <w:b/>
          <w:sz w:val="20"/>
          <w:szCs w:val="20"/>
          <w:lang w:eastAsia="en-US"/>
        </w:rPr>
      </w:pPr>
    </w:p>
    <w:p w:rsidR="005719E8" w:rsidRDefault="005719E8" w:rsidP="005719E8">
      <w:pPr>
        <w:overflowPunct/>
        <w:autoSpaceDE/>
        <w:autoSpaceDN/>
        <w:adjustRightInd/>
        <w:spacing w:line="260" w:lineRule="exact"/>
        <w:jc w:val="right"/>
        <w:textAlignment w:val="auto"/>
        <w:rPr>
          <w:rFonts w:cs="Arial"/>
          <w:b/>
          <w:sz w:val="20"/>
          <w:szCs w:val="20"/>
          <w:lang w:eastAsia="en-US"/>
        </w:rPr>
      </w:pPr>
      <w:r>
        <w:rPr>
          <w:rFonts w:cs="Arial"/>
          <w:b/>
          <w:sz w:val="20"/>
          <w:szCs w:val="20"/>
          <w:lang w:eastAsia="en-US"/>
        </w:rPr>
        <w:t>PREDLOG</w:t>
      </w:r>
    </w:p>
    <w:p w:rsidR="005719E8" w:rsidRDefault="005719E8" w:rsidP="005719E8">
      <w:pPr>
        <w:overflowPunct/>
        <w:autoSpaceDE/>
        <w:autoSpaceDN/>
        <w:adjustRightInd/>
        <w:spacing w:line="260" w:lineRule="exact"/>
        <w:jc w:val="right"/>
        <w:textAlignment w:val="auto"/>
        <w:rPr>
          <w:rFonts w:cs="Arial"/>
          <w:b/>
          <w:sz w:val="20"/>
          <w:szCs w:val="20"/>
          <w:lang w:eastAsia="en-US"/>
        </w:rPr>
      </w:pPr>
      <w:r>
        <w:rPr>
          <w:rFonts w:cs="Arial"/>
          <w:b/>
          <w:sz w:val="20"/>
          <w:szCs w:val="20"/>
          <w:lang w:eastAsia="en-US"/>
        </w:rPr>
        <w:t>NUJNI POSTOPEK</w:t>
      </w:r>
    </w:p>
    <w:p w:rsidR="005719E8" w:rsidRPr="002760DC" w:rsidRDefault="005719E8" w:rsidP="005719E8">
      <w:pPr>
        <w:pStyle w:val="datumtevilka"/>
        <w:jc w:val="right"/>
      </w:pPr>
      <w:r>
        <w:rPr>
          <w:rFonts w:cs="Arial"/>
          <w:b/>
          <w:lang w:eastAsia="en-US"/>
        </w:rPr>
        <w:t xml:space="preserve">EVA </w:t>
      </w:r>
      <w:r w:rsidRPr="005719E8">
        <w:rPr>
          <w:rFonts w:cs="Arial"/>
          <w:b/>
          <w:color w:val="000000"/>
        </w:rPr>
        <w:t>2020-2130-0037</w:t>
      </w:r>
    </w:p>
    <w:p w:rsidR="005719E8" w:rsidRPr="002F30DF" w:rsidRDefault="005719E8" w:rsidP="005719E8">
      <w:pPr>
        <w:overflowPunct/>
        <w:autoSpaceDE/>
        <w:autoSpaceDN/>
        <w:adjustRightInd/>
        <w:spacing w:line="260" w:lineRule="exact"/>
        <w:jc w:val="right"/>
        <w:textAlignment w:val="auto"/>
        <w:rPr>
          <w:rFonts w:cs="Arial"/>
          <w:b/>
          <w:sz w:val="20"/>
          <w:szCs w:val="20"/>
          <w:lang w:eastAsia="en-US"/>
        </w:rPr>
      </w:pPr>
    </w:p>
    <w:tbl>
      <w:tblPr>
        <w:tblW w:w="0" w:type="auto"/>
        <w:tblLook w:val="04A0" w:firstRow="1" w:lastRow="0" w:firstColumn="1" w:lastColumn="0" w:noHBand="0" w:noVBand="1"/>
      </w:tblPr>
      <w:tblGrid>
        <w:gridCol w:w="8714"/>
      </w:tblGrid>
      <w:tr w:rsidR="00AC6E15" w:rsidRPr="002F30DF" w:rsidTr="00AC6E15">
        <w:tc>
          <w:tcPr>
            <w:tcW w:w="8714" w:type="dxa"/>
          </w:tcPr>
          <w:p w:rsidR="005719E8" w:rsidRDefault="005719E8" w:rsidP="00AC6E15">
            <w:pPr>
              <w:overflowPunct/>
              <w:autoSpaceDE/>
              <w:autoSpaceDN/>
              <w:adjustRightInd/>
              <w:spacing w:line="260" w:lineRule="exact"/>
              <w:jc w:val="center"/>
              <w:textAlignment w:val="auto"/>
              <w:rPr>
                <w:rFonts w:cs="Arial"/>
                <w:b/>
                <w:sz w:val="20"/>
                <w:szCs w:val="20"/>
                <w:lang w:eastAsia="en-US"/>
              </w:rPr>
            </w:pPr>
          </w:p>
          <w:p w:rsidR="005719E8" w:rsidRDefault="005719E8" w:rsidP="00AC6E15">
            <w:pPr>
              <w:overflowPunct/>
              <w:autoSpaceDE/>
              <w:autoSpaceDN/>
              <w:adjustRightInd/>
              <w:spacing w:line="260" w:lineRule="exact"/>
              <w:jc w:val="center"/>
              <w:textAlignment w:val="auto"/>
              <w:rPr>
                <w:rFonts w:cs="Arial"/>
                <w:b/>
                <w:sz w:val="20"/>
                <w:szCs w:val="20"/>
                <w:lang w:eastAsia="en-US"/>
              </w:rPr>
            </w:pPr>
          </w:p>
          <w:p w:rsidR="005719E8" w:rsidRPr="002F30DF" w:rsidRDefault="005719E8" w:rsidP="00AC6E15">
            <w:pPr>
              <w:overflowPunct/>
              <w:autoSpaceDE/>
              <w:autoSpaceDN/>
              <w:adjustRightInd/>
              <w:spacing w:line="260" w:lineRule="exact"/>
              <w:jc w:val="center"/>
              <w:textAlignment w:val="auto"/>
              <w:rPr>
                <w:rFonts w:cs="Arial"/>
                <w:b/>
                <w:sz w:val="20"/>
                <w:szCs w:val="20"/>
                <w:lang w:eastAsia="en-US"/>
              </w:rPr>
            </w:pPr>
          </w:p>
          <w:p w:rsidR="00AC6E15" w:rsidRPr="002F30DF" w:rsidRDefault="00AC6E15" w:rsidP="00AC6E15">
            <w:pPr>
              <w:overflowPunct/>
              <w:autoSpaceDE/>
              <w:autoSpaceDN/>
              <w:adjustRightInd/>
              <w:spacing w:line="260" w:lineRule="exact"/>
              <w:jc w:val="center"/>
              <w:textAlignment w:val="auto"/>
              <w:rPr>
                <w:rFonts w:cs="Arial"/>
                <w:b/>
                <w:sz w:val="20"/>
                <w:szCs w:val="20"/>
                <w:lang w:eastAsia="en-US"/>
              </w:rPr>
            </w:pPr>
            <w:r w:rsidRPr="002F30DF">
              <w:rPr>
                <w:rFonts w:cs="Arial"/>
                <w:b/>
                <w:sz w:val="20"/>
                <w:szCs w:val="20"/>
                <w:lang w:eastAsia="en-US"/>
              </w:rPr>
              <w:t>ZAKON O PREPREČEVANJU OMEJEVANJA KONKURENCE</w:t>
            </w:r>
          </w:p>
          <w:p w:rsidR="00AC6E15" w:rsidRPr="002F30DF" w:rsidRDefault="00AC6E15" w:rsidP="00AC6E15">
            <w:pPr>
              <w:overflowPunct/>
              <w:autoSpaceDE/>
              <w:autoSpaceDN/>
              <w:adjustRightInd/>
              <w:spacing w:line="260" w:lineRule="exact"/>
              <w:jc w:val="center"/>
              <w:textAlignment w:val="auto"/>
              <w:rPr>
                <w:rFonts w:cs="Arial"/>
                <w:b/>
                <w:sz w:val="20"/>
                <w:szCs w:val="20"/>
                <w:lang w:eastAsia="en-US"/>
              </w:rPr>
            </w:pPr>
          </w:p>
          <w:p w:rsidR="00AC6E15" w:rsidRPr="002F30DF" w:rsidRDefault="00AC6E15" w:rsidP="00AC6E15">
            <w:pPr>
              <w:overflowPunct/>
              <w:autoSpaceDE/>
              <w:autoSpaceDN/>
              <w:adjustRightInd/>
              <w:spacing w:line="260" w:lineRule="exact"/>
              <w:jc w:val="center"/>
              <w:textAlignment w:val="auto"/>
              <w:rPr>
                <w:rFonts w:cs="Arial"/>
                <w:b/>
                <w:sz w:val="20"/>
                <w:szCs w:val="20"/>
                <w:lang w:eastAsia="en-US"/>
              </w:rPr>
            </w:pPr>
          </w:p>
        </w:tc>
      </w:tr>
      <w:tr w:rsidR="00AC6E15" w:rsidRPr="002F30DF" w:rsidTr="00AC6E15">
        <w:tc>
          <w:tcPr>
            <w:tcW w:w="8714" w:type="dxa"/>
          </w:tcPr>
          <w:p w:rsidR="00AC6E15" w:rsidRPr="002F30DF" w:rsidRDefault="00AC6E15" w:rsidP="00AC6E15">
            <w:pPr>
              <w:overflowPunct/>
              <w:autoSpaceDE/>
              <w:autoSpaceDN/>
              <w:adjustRightInd/>
              <w:spacing w:line="260" w:lineRule="exact"/>
              <w:jc w:val="left"/>
              <w:textAlignment w:val="auto"/>
              <w:rPr>
                <w:rFonts w:cs="Arial"/>
                <w:b/>
                <w:sz w:val="20"/>
                <w:szCs w:val="20"/>
                <w:lang w:eastAsia="en-US"/>
              </w:rPr>
            </w:pPr>
            <w:r w:rsidRPr="002F30DF">
              <w:rPr>
                <w:rFonts w:cs="Arial"/>
                <w:b/>
                <w:sz w:val="20"/>
                <w:szCs w:val="20"/>
                <w:lang w:eastAsia="en-US"/>
              </w:rPr>
              <w:t>I. UVOD</w:t>
            </w:r>
          </w:p>
        </w:tc>
      </w:tr>
    </w:tbl>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1. OCENA STANJA IN RAZLOGI ZA SPREJEM PREDLOGA ZAKONA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 xml:space="preserve">Pravila varstva konkurence so ena od temeljnih značilnosti notranjega trga. Če pride do izkrivljanja konkurence, ni mogoče uresničiti celotnega potenciala notranjega trga in ustvariti pravih pogojev za trajnostno gospodarsko rast. </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sz w:val="20"/>
          <w:szCs w:val="20"/>
          <w:lang w:eastAsia="en-US"/>
        </w:rPr>
        <w:t xml:space="preserve">Države članice Evropske unije (v nadaljnjem besedilu: države članice) so poleg Evropske komisije ključni akterji pri izvajanju pravil konkurence </w:t>
      </w:r>
      <w:r w:rsidRPr="002F30DF">
        <w:rPr>
          <w:rFonts w:cs="Arial"/>
          <w:sz w:val="20"/>
          <w:szCs w:val="20"/>
          <w:lang w:eastAsia="en-US"/>
        </w:rPr>
        <w:t xml:space="preserve">Evropske unije. Nacionalni organi, pristojni za varstvo konkurence v državah članicah, so z Uredbo Sveta (ES) št. 1/2003 z dne 16. decembra 2002 o izvajanju pravil konkurence iz členov 81 in 82 Pogodbe (UL L št. 1 z dne 4. 1. 2003, str. 1, v nadaljnjem besedilu: Uredba 1/2003) </w:t>
      </w:r>
      <w:r w:rsidRPr="002F30DF">
        <w:rPr>
          <w:rFonts w:eastAsia="Calibri" w:cs="Arial"/>
          <w:sz w:val="20"/>
          <w:szCs w:val="20"/>
          <w:lang w:eastAsia="en-US"/>
        </w:rPr>
        <w:t xml:space="preserve">pooblaščeni, da vzporedno z Evropsko komisijo uporabljajo pravila varstva konkurence Evropske unije za </w:t>
      </w:r>
      <w:r w:rsidRPr="002F30DF">
        <w:rPr>
          <w:rFonts w:eastAsia="Calibri" w:cs="Arial"/>
          <w:iCs/>
          <w:sz w:val="20"/>
          <w:szCs w:val="20"/>
          <w:lang w:eastAsia="en-US"/>
        </w:rPr>
        <w:t xml:space="preserve">sporazume ali ravnanja, ki bi lahko prizadeli trgovino med državami članicami. Evropska komisija in nacionalni organi, pristojni za varstvo konkurence držav članic, že od leta 2004 izvajajo pravila konkurence Evropske unije v okviru Evropske mreže za konkurenco. </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 xml:space="preserve">V svobodnem tržnem gospodarstvu medsebojna povezanost ponudbe in povpraševanja določa, katere izdelke in storitve se izmenjuje ter po kakšni ceni in kakovosti. V konkurenčnem okolju lahko kupci izbirajo med blagom ali storitvami različnih dobaviteljev. Zato si podjetja prizadevajo ponuditi svoje blago ali storitve po </w:t>
      </w:r>
      <w:r w:rsidRPr="002F30DF">
        <w:rPr>
          <w:rFonts w:eastAsia="Calibri" w:cs="Arial"/>
          <w:iCs/>
          <w:sz w:val="20"/>
          <w:szCs w:val="20"/>
          <w:lang w:eastAsia="en-US"/>
        </w:rPr>
        <w:lastRenderedPageBreak/>
        <w:t>najnižji možni ceni in izboljšati njihovo kakovost. Konkurenca torej spodbuja podjetja k inovativnosti. Učinkovita konkurenca tudi preprečuje ustvarjanje ali krepitev položajev moči, ki so preveč vplivni v družbi in politiki. Potrošniki imajo koristi od konkurenčno organiziranega trga, saj lahko izbirajo med široko ponudbo blaga in storitev, ki najbolje ustrezajo njihovim pričakovanjem.</w:t>
      </w:r>
    </w:p>
    <w:p w:rsidR="00AC6E15" w:rsidRPr="002F30DF" w:rsidRDefault="00AC6E15" w:rsidP="00AC6E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rPr>
          <w:rFonts w:cs="Arial"/>
          <w:sz w:val="20"/>
          <w:szCs w:val="20"/>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Politika varstva konkurence prispeva k oblikovanju družbe, ki ljudem omogoča izbiro, spodbuja </w:t>
      </w:r>
      <w:r w:rsidR="00C30E20" w:rsidRPr="002F30DF">
        <w:rPr>
          <w:rFonts w:eastAsia="Calibri" w:cs="Arial"/>
          <w:sz w:val="20"/>
          <w:szCs w:val="20"/>
          <w:lang w:eastAsia="en-US"/>
        </w:rPr>
        <w:t>inovacije</w:t>
      </w:r>
      <w:r w:rsidRPr="002F30DF">
        <w:rPr>
          <w:rFonts w:eastAsia="Calibri" w:cs="Arial"/>
          <w:sz w:val="20"/>
          <w:szCs w:val="20"/>
          <w:lang w:eastAsia="en-US"/>
        </w:rPr>
        <w:t>, preprečuje zlorabe s strani prevladujočih akterjev in spodbuja podjetja, da čim bolje izkoristijo omenjena sredstva, ter tako prispeva k obravnavanju svetovnih izzivov. Cilj politike varstva konkurence je tudi zagotoviti, da se potrošniki obravnavajo pošteno ter da se vplivnim podjetjem prepreči sklepanje poslov, ki zvišujejo cene ali ovirajo inovacije in ljudem onemogočajo svobodno izbiro želenih proizvodov.</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sz w:val="20"/>
          <w:szCs w:val="20"/>
          <w:lang w:eastAsia="en-US"/>
        </w:rPr>
        <w:t>Izvajanje pravil varstva konkurence Evropske unije je torej ključni gradnik za vzpostavitev odprtega, konkurenčnega in inovativnega notranjega trga ter bistveni dejavnik za spodbujanje zaposlovanja in rasti v gospodarstvu.</w:t>
      </w:r>
      <w:r w:rsidRPr="002F30DF">
        <w:rPr>
          <w:rFonts w:eastAsia="Calibri" w:cs="Arial"/>
          <w:iCs/>
          <w:sz w:val="20"/>
          <w:szCs w:val="20"/>
          <w:lang w:eastAsia="en-US"/>
        </w:rPr>
        <w:t xml:space="preserve"> </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Zmožnosti organov, pristojnih za varstvo konkurence držav članic, za učinkovitejše izvajanje pravil </w:t>
      </w:r>
      <w:r w:rsidR="00CE0EC8" w:rsidRPr="002F30DF">
        <w:rPr>
          <w:rFonts w:eastAsia="Calibri" w:cs="Arial"/>
          <w:sz w:val="20"/>
          <w:szCs w:val="20"/>
          <w:lang w:eastAsia="en-US"/>
        </w:rPr>
        <w:t xml:space="preserve">varstva </w:t>
      </w:r>
      <w:r w:rsidRPr="002F30DF">
        <w:rPr>
          <w:rFonts w:eastAsia="Calibri" w:cs="Arial"/>
          <w:sz w:val="20"/>
          <w:szCs w:val="20"/>
          <w:lang w:eastAsia="en-US"/>
        </w:rPr>
        <w:t xml:space="preserve">konkurence </w:t>
      </w:r>
      <w:r w:rsidRPr="002F30DF">
        <w:rPr>
          <w:rFonts w:eastAsia="Calibri" w:cs="Arial"/>
          <w:iCs/>
          <w:sz w:val="20"/>
          <w:szCs w:val="20"/>
          <w:lang w:eastAsia="en-US"/>
        </w:rPr>
        <w:t>Evropske unije</w:t>
      </w:r>
      <w:r w:rsidRPr="002F30DF">
        <w:rPr>
          <w:rFonts w:eastAsia="Calibri" w:cs="Arial"/>
          <w:sz w:val="20"/>
          <w:szCs w:val="20"/>
          <w:lang w:eastAsia="en-US"/>
        </w:rPr>
        <w:t xml:space="preserve"> še niso v celoti izkoriščene, saj Uredba 1/2003 ne obravnava sredstev in instrumentov, s katerimi naj bi organi, pristojni za varstvo konkurence držav članic, uporabljali pravila </w:t>
      </w:r>
      <w:r w:rsidR="00CE0EC8" w:rsidRPr="002F30DF">
        <w:rPr>
          <w:rFonts w:eastAsia="Calibri" w:cs="Arial"/>
          <w:sz w:val="20"/>
          <w:szCs w:val="20"/>
          <w:lang w:eastAsia="en-US"/>
        </w:rPr>
        <w:t xml:space="preserve">varstva </w:t>
      </w:r>
      <w:r w:rsidRPr="002F30DF">
        <w:rPr>
          <w:rFonts w:eastAsia="Calibri" w:cs="Arial"/>
          <w:sz w:val="20"/>
          <w:szCs w:val="20"/>
          <w:lang w:eastAsia="en-US"/>
        </w:rPr>
        <w:t xml:space="preserve">konkurence </w:t>
      </w:r>
      <w:r w:rsidRPr="002F30DF">
        <w:rPr>
          <w:rFonts w:eastAsia="Calibri" w:cs="Arial"/>
          <w:iCs/>
          <w:sz w:val="20"/>
          <w:szCs w:val="20"/>
          <w:lang w:eastAsia="en-US"/>
        </w:rPr>
        <w:t>Evropske unije</w:t>
      </w:r>
      <w:r w:rsidRPr="002F30DF">
        <w:rPr>
          <w:rFonts w:eastAsia="Calibri" w:cs="Arial"/>
          <w:sz w:val="20"/>
          <w:szCs w:val="20"/>
          <w:lang w:eastAsia="en-US"/>
        </w:rPr>
        <w:t>, in mnogi med njimi nimajo na voljo vseh sredstev in instrumentov, ki bi jih potrebovali za učinkovito izvajanje 101. in 102. člena Pogodbe o delovanje Evropske unije (v nadaljnjem besedilu: PDEU).</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Zaradi vrzeli in omejitev pri orodjih in jamstvih, ki so na voljo organom, pristojnim za varstvo konkurence držav članic, so lahko izidi postopkov za podjetja, ki so udeležena pri teh protikonkurenčnih ravnanjih, zelo različni in sicer odvisno od države članice, v kateri poslujejo</w:t>
      </w:r>
      <w:r w:rsidR="00991237" w:rsidRPr="002F30DF">
        <w:rPr>
          <w:rFonts w:eastAsia="Calibri" w:cs="Arial"/>
          <w:sz w:val="20"/>
          <w:szCs w:val="20"/>
          <w:lang w:eastAsia="en-US"/>
        </w:rPr>
        <w:t>. M</w:t>
      </w:r>
      <w:r w:rsidRPr="002F30DF">
        <w:rPr>
          <w:rFonts w:eastAsia="Calibri" w:cs="Arial"/>
          <w:sz w:val="20"/>
          <w:szCs w:val="20"/>
          <w:lang w:eastAsia="en-US"/>
        </w:rPr>
        <w:t xml:space="preserve">orda se pravila v skladu s 101. in 102. členom PDEU za posamezno podjetje sploh ne bodo izvajala ali bo njihovo izvajanje neučinkovito, ker na primer ni mogoče pridobiti dokazov za protikonkurenčna ravnanja ali ker se lahko podjetje izogne obveznosti plačila denarne sankcije. Zaradi neenakega izvajanja pravil konkurence </w:t>
      </w:r>
      <w:r w:rsidRPr="002F30DF">
        <w:rPr>
          <w:rFonts w:eastAsia="Calibri" w:cs="Arial"/>
          <w:iCs/>
          <w:sz w:val="20"/>
          <w:szCs w:val="20"/>
          <w:lang w:eastAsia="en-US"/>
        </w:rPr>
        <w:t xml:space="preserve">Evropske unije </w:t>
      </w:r>
      <w:r w:rsidRPr="002F30DF">
        <w:rPr>
          <w:rFonts w:eastAsia="Calibri" w:cs="Arial"/>
          <w:sz w:val="20"/>
          <w:szCs w:val="20"/>
          <w:lang w:eastAsia="en-US"/>
        </w:rPr>
        <w:t>se izkrivlja konkurenca na notranjem trgu in slabi sistem decentraliziranega izvajanja, ki je bil vzpostavljen z Uredbo 1/2003.</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lastRenderedPageBreak/>
        <w:t>Z namenom zagotovitve poenotenja pravil za delovanje organov, pristojnih za varstvo konkurence držav članic, ter zagotovitve ustreznih jamstev za neodvisno delovanje ter vire kot tudi pooblastila za izvajanje pravil in naložitev denarnih sankcij sta Evropski parlament in Svet dne 11. decembra 2018 sprejela Direktivo (EU) 2019/1 o krepitvi vloge organov držav članic, pristojnih za konkurenco, da bodo učinkoviteje uveljavljali pravila konkurence, in o zagotavljanju pravilnega delovanja notranja trga</w:t>
      </w:r>
      <w:r w:rsidRPr="002F30DF">
        <w:rPr>
          <w:rFonts w:eastAsia="Calibri" w:cs="Arial"/>
          <w:b/>
          <w:i/>
          <w:iCs/>
          <w:sz w:val="20"/>
          <w:szCs w:val="20"/>
          <w:lang w:eastAsia="en-US"/>
        </w:rPr>
        <w:t xml:space="preserve"> </w:t>
      </w:r>
      <w:r w:rsidRPr="002F30DF">
        <w:rPr>
          <w:rFonts w:eastAsia="Calibri" w:cs="Arial"/>
          <w:iCs/>
          <w:sz w:val="20"/>
          <w:szCs w:val="20"/>
          <w:lang w:eastAsia="en-US"/>
        </w:rPr>
        <w:t xml:space="preserve">(v nadaljnjem besedilu: Direktiva 2019/1). Z odpravo nacionalnih ovir, ki organom, pristojnim za varstvo konkurenco držav članic, preprečujejo učinkovito izvajanje pravil varstva konkurence, se želi odpraviti izkrivljanje konkurence na notranjem trgu in preprečiti, da bi bili potrošniki in podjetja, vključno z MSP, zaradi takšnih ukrepov še naprej v slabšem položaju ali da bi jim ti ukrepi škodovali. Poleg tega se želi z okrepljeno zmožnostjo organov, pristojnih za varstvo konkurence držav članic, da si medsebojno učinkovito pomagajo, zagotoviti bolj enakovredne konkurenčne pogoje in zaščititi tesno sodelovanje v okviru Evropske mreže za konkurenco. Rok za prenos Direktive 2019/1 v nacionalni pravni red </w:t>
      </w:r>
      <w:r w:rsidR="00B971C4" w:rsidRPr="002F30DF">
        <w:rPr>
          <w:rFonts w:eastAsia="Calibri" w:cs="Arial"/>
          <w:iCs/>
          <w:sz w:val="20"/>
          <w:szCs w:val="20"/>
          <w:lang w:eastAsia="en-US"/>
        </w:rPr>
        <w:t xml:space="preserve">se </w:t>
      </w:r>
      <w:r w:rsidRPr="002F30DF">
        <w:rPr>
          <w:rFonts w:eastAsia="Calibri" w:cs="Arial"/>
          <w:iCs/>
          <w:sz w:val="20"/>
          <w:szCs w:val="20"/>
          <w:lang w:eastAsia="en-US"/>
        </w:rPr>
        <w:t xml:space="preserve">je </w:t>
      </w:r>
      <w:r w:rsidR="00B971C4" w:rsidRPr="002F30DF">
        <w:rPr>
          <w:rFonts w:eastAsia="Calibri" w:cs="Arial"/>
          <w:iCs/>
          <w:sz w:val="20"/>
          <w:szCs w:val="20"/>
          <w:lang w:eastAsia="en-US"/>
        </w:rPr>
        <w:t xml:space="preserve">iztekel </w:t>
      </w:r>
      <w:r w:rsidRPr="002F30DF">
        <w:rPr>
          <w:rFonts w:eastAsia="Calibri" w:cs="Arial"/>
          <w:iCs/>
          <w:sz w:val="20"/>
          <w:szCs w:val="20"/>
          <w:lang w:eastAsia="en-US"/>
        </w:rPr>
        <w:t>4. februar</w:t>
      </w:r>
      <w:r w:rsidR="002474B5" w:rsidRPr="002F30DF">
        <w:rPr>
          <w:rFonts w:eastAsia="Calibri" w:cs="Arial"/>
          <w:iCs/>
          <w:sz w:val="20"/>
          <w:szCs w:val="20"/>
          <w:lang w:eastAsia="en-US"/>
        </w:rPr>
        <w:t>ja</w:t>
      </w:r>
      <w:r w:rsidRPr="002F30DF">
        <w:rPr>
          <w:rFonts w:eastAsia="Calibri" w:cs="Arial"/>
          <w:iCs/>
          <w:sz w:val="20"/>
          <w:szCs w:val="20"/>
          <w:lang w:eastAsia="en-US"/>
        </w:rPr>
        <w:t xml:space="preserve"> 2021.</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C658DB" w:rsidRPr="002F30DF" w:rsidRDefault="00C658DB" w:rsidP="00C658DB">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Direktiva 2019/1 določa nekatera pravila za zagotovitev, da bodo nacionalni organi, pristojni za konkurenco, imeli jamstva za neodvisno delovanje, vire ter pooblastila za uveljavljanje pravil konkurence in izrek glob, </w:t>
      </w:r>
      <w:r w:rsidR="00A86662" w:rsidRPr="002F30DF">
        <w:rPr>
          <w:rFonts w:eastAsia="Calibri" w:cs="Arial"/>
          <w:sz w:val="20"/>
          <w:szCs w:val="20"/>
          <w:lang w:eastAsia="en-US"/>
        </w:rPr>
        <w:t xml:space="preserve">da </w:t>
      </w:r>
      <w:r w:rsidRPr="002F30DF">
        <w:rPr>
          <w:rFonts w:eastAsia="Calibri" w:cs="Arial"/>
          <w:sz w:val="20"/>
          <w:szCs w:val="20"/>
          <w:lang w:eastAsia="en-US"/>
        </w:rPr>
        <w:t>bodo lahko učinkovito uporabljali 101. in 102. člen PDEU, tako da ne bo izkrivljanja konkurence na notranjem trgu ter da potrošniki in podjetja ne bodo v slabšem položaju zaradi nacionalnih zakonov in ukrepov, ki nacionalnim organom, pristojnim za konkurenco, preprečujejo, da bi učinkovito uveljavljali zadevna pravila.</w:t>
      </w:r>
    </w:p>
    <w:p w:rsidR="00C658DB" w:rsidRPr="002F30DF" w:rsidRDefault="00C658DB" w:rsidP="00C658DB">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 </w:t>
      </w:r>
    </w:p>
    <w:p w:rsidR="00C658DB"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eastAsia="Calibri" w:cs="Arial"/>
          <w:sz w:val="20"/>
          <w:szCs w:val="20"/>
          <w:lang w:eastAsia="en-US"/>
        </w:rPr>
        <w:t>Temeljni predpis, ki v Republiki Sloveniji ureja pravila varstva konkurence, je</w:t>
      </w:r>
      <w:r w:rsidRPr="002F30DF">
        <w:rPr>
          <w:rFonts w:eastAsia="Calibri" w:cs="Arial"/>
          <w:b/>
          <w:sz w:val="20"/>
          <w:szCs w:val="20"/>
          <w:lang w:eastAsia="en-US"/>
        </w:rPr>
        <w:t xml:space="preserve"> </w:t>
      </w:r>
      <w:r w:rsidRPr="002F30DF">
        <w:rPr>
          <w:rFonts w:eastAsia="Calibri" w:cs="Arial"/>
          <w:sz w:val="20"/>
          <w:szCs w:val="20"/>
          <w:lang w:eastAsia="en-US"/>
        </w:rPr>
        <w:t xml:space="preserve">Zakon o preprečevanju omejevanja konkurence (Uradni list RS, št. </w:t>
      </w:r>
      <w:hyperlink r:id="rId9" w:tgtFrame="_blank" w:tooltip="Zakon o preprečevanju omejevanja konkurence (ZPOmK-1)" w:history="1">
        <w:r w:rsidRPr="002F30DF">
          <w:rPr>
            <w:rFonts w:eastAsia="Calibri" w:cs="Arial"/>
            <w:sz w:val="20"/>
            <w:szCs w:val="20"/>
            <w:lang w:eastAsia="en-US"/>
          </w:rPr>
          <w:t>36/08</w:t>
        </w:r>
      </w:hyperlink>
      <w:r w:rsidRPr="002F30DF">
        <w:rPr>
          <w:rFonts w:eastAsia="Calibri" w:cs="Arial"/>
          <w:sz w:val="20"/>
          <w:szCs w:val="20"/>
          <w:lang w:eastAsia="en-US"/>
        </w:rPr>
        <w:t xml:space="preserve">, </w:t>
      </w:r>
      <w:hyperlink r:id="rId10" w:tgtFrame="_blank" w:tooltip="Zakon o spremembah in dopolnitvah Zakona o preprečevanju omejevanja konkurence" w:history="1">
        <w:r w:rsidRPr="002F30DF">
          <w:rPr>
            <w:rFonts w:eastAsia="Calibri" w:cs="Arial"/>
            <w:sz w:val="20"/>
            <w:szCs w:val="20"/>
            <w:lang w:eastAsia="en-US"/>
          </w:rPr>
          <w:t>40/09</w:t>
        </w:r>
      </w:hyperlink>
      <w:r w:rsidRPr="002F30DF">
        <w:rPr>
          <w:rFonts w:eastAsia="Calibri" w:cs="Arial"/>
          <w:sz w:val="20"/>
          <w:szCs w:val="20"/>
          <w:lang w:eastAsia="en-US"/>
        </w:rPr>
        <w:t xml:space="preserve">, </w:t>
      </w:r>
      <w:hyperlink r:id="rId11" w:tgtFrame="_blank" w:tooltip="Zakon o spremembah in dopolnitvah Zakona o preprečevanju omejevanja konkurence" w:history="1">
        <w:r w:rsidRPr="002F30DF">
          <w:rPr>
            <w:rFonts w:eastAsia="Calibri" w:cs="Arial"/>
            <w:sz w:val="20"/>
            <w:szCs w:val="20"/>
            <w:lang w:eastAsia="en-US"/>
          </w:rPr>
          <w:t>26/11</w:t>
        </w:r>
      </w:hyperlink>
      <w:r w:rsidRPr="002F30DF">
        <w:rPr>
          <w:rFonts w:eastAsia="Calibri" w:cs="Arial"/>
          <w:sz w:val="20"/>
          <w:szCs w:val="20"/>
          <w:lang w:eastAsia="en-US"/>
        </w:rPr>
        <w:t xml:space="preserve">, </w:t>
      </w:r>
      <w:hyperlink r:id="rId12" w:tgtFrame="_blank" w:tooltip="Zakon o spremembah in dopolnitvah Zakona o spremembah in dopolnitvah Zakona o preprečevanju omejevanja konkurence" w:history="1">
        <w:r w:rsidRPr="002F30DF">
          <w:rPr>
            <w:rFonts w:eastAsia="Calibri" w:cs="Arial"/>
            <w:sz w:val="20"/>
            <w:szCs w:val="20"/>
            <w:lang w:eastAsia="en-US"/>
          </w:rPr>
          <w:t>87/11</w:t>
        </w:r>
      </w:hyperlink>
      <w:r w:rsidRPr="002F30DF">
        <w:rPr>
          <w:rFonts w:eastAsia="Calibri" w:cs="Arial"/>
          <w:sz w:val="20"/>
          <w:szCs w:val="20"/>
          <w:lang w:eastAsia="en-US"/>
        </w:rPr>
        <w:t xml:space="preserve">, </w:t>
      </w:r>
      <w:hyperlink r:id="rId13" w:tgtFrame="_blank" w:tooltip="Zakon o spremembah in dopolnitvah Zakona o preprečevanju omejevanja konkurence" w:history="1">
        <w:r w:rsidRPr="002F30DF">
          <w:rPr>
            <w:rFonts w:eastAsia="Calibri" w:cs="Arial"/>
            <w:sz w:val="20"/>
            <w:szCs w:val="20"/>
            <w:lang w:eastAsia="en-US"/>
          </w:rPr>
          <w:t>57/12</w:t>
        </w:r>
      </w:hyperlink>
      <w:r w:rsidRPr="002F30DF">
        <w:rPr>
          <w:rFonts w:eastAsia="Calibri" w:cs="Arial"/>
          <w:sz w:val="20"/>
          <w:szCs w:val="20"/>
          <w:lang w:eastAsia="en-US"/>
        </w:rPr>
        <w:t xml:space="preserve">, </w:t>
      </w:r>
      <w:hyperlink r:id="rId14"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Pr="002F30DF">
          <w:rPr>
            <w:rFonts w:eastAsia="Calibri" w:cs="Arial"/>
            <w:sz w:val="20"/>
            <w:szCs w:val="20"/>
            <w:lang w:eastAsia="en-US"/>
          </w:rPr>
          <w:t>39/13</w:t>
        </w:r>
      </w:hyperlink>
      <w:r w:rsidRPr="002F30DF">
        <w:rPr>
          <w:rFonts w:eastAsia="Calibri" w:cs="Arial"/>
          <w:sz w:val="20"/>
          <w:szCs w:val="20"/>
          <w:lang w:eastAsia="en-US"/>
        </w:rPr>
        <w:t xml:space="preserve"> – odl. US, </w:t>
      </w:r>
      <w:hyperlink r:id="rId15" w:tgtFrame="_blank" w:tooltip="Zakon o spremembah in dopolnitvah Zakona o sodiščih" w:history="1">
        <w:r w:rsidRPr="002F30DF">
          <w:rPr>
            <w:rFonts w:eastAsia="Calibri" w:cs="Arial"/>
            <w:sz w:val="20"/>
            <w:szCs w:val="20"/>
            <w:lang w:eastAsia="en-US"/>
          </w:rPr>
          <w:t>63/13</w:t>
        </w:r>
      </w:hyperlink>
      <w:r w:rsidRPr="002F30DF">
        <w:rPr>
          <w:rFonts w:eastAsia="Calibri" w:cs="Arial"/>
          <w:sz w:val="20"/>
          <w:szCs w:val="20"/>
          <w:lang w:eastAsia="en-US"/>
        </w:rPr>
        <w:t xml:space="preserve"> – ZS-K, </w:t>
      </w:r>
      <w:hyperlink r:id="rId16" w:tgtFrame="_blank" w:tooltip="Zakon o spremembah in dopolnitvah Zakona o preprečevanju omejevanja konkurence" w:history="1">
        <w:r w:rsidRPr="002F30DF">
          <w:rPr>
            <w:rFonts w:eastAsia="Calibri" w:cs="Arial"/>
            <w:sz w:val="20"/>
            <w:szCs w:val="20"/>
            <w:lang w:eastAsia="en-US"/>
          </w:rPr>
          <w:t>33/14</w:t>
        </w:r>
      </w:hyperlink>
      <w:r w:rsidRPr="002F30DF">
        <w:rPr>
          <w:rFonts w:eastAsia="Calibri" w:cs="Arial"/>
          <w:sz w:val="20"/>
          <w:szCs w:val="20"/>
          <w:lang w:eastAsia="en-US"/>
        </w:rPr>
        <w:t xml:space="preserve">, </w:t>
      </w:r>
      <w:hyperlink r:id="rId17" w:tgtFrame="_blank" w:tooltip="Zakon o dopolnitvah Zakona o preprečevanju omejevanja konkurence" w:history="1">
        <w:r w:rsidRPr="002F30DF">
          <w:rPr>
            <w:rFonts w:eastAsia="Calibri" w:cs="Arial"/>
            <w:sz w:val="20"/>
            <w:szCs w:val="20"/>
            <w:lang w:eastAsia="en-US"/>
          </w:rPr>
          <w:t>76/15</w:t>
        </w:r>
      </w:hyperlink>
      <w:r w:rsidRPr="002F30DF">
        <w:rPr>
          <w:rFonts w:eastAsia="Calibri" w:cs="Arial"/>
          <w:sz w:val="20"/>
          <w:szCs w:val="20"/>
          <w:lang w:eastAsia="en-US"/>
        </w:rPr>
        <w:t xml:space="preserve"> in </w:t>
      </w:r>
      <w:hyperlink r:id="rId18" w:tgtFrame="_blank" w:tooltip="Zakon o spremembah in dopolnitvah Zakona o preprečevanju omejevanja konkurence" w:history="1">
        <w:r w:rsidRPr="002F30DF">
          <w:rPr>
            <w:rFonts w:eastAsia="Calibri" w:cs="Arial"/>
            <w:sz w:val="20"/>
            <w:szCs w:val="20"/>
            <w:lang w:eastAsia="en-US"/>
          </w:rPr>
          <w:t>23/17</w:t>
        </w:r>
      </w:hyperlink>
      <w:r w:rsidRPr="002F30DF">
        <w:rPr>
          <w:rFonts w:eastAsia="Calibri" w:cs="Arial"/>
          <w:sz w:val="20"/>
          <w:szCs w:val="20"/>
          <w:lang w:eastAsia="en-US"/>
        </w:rPr>
        <w:t xml:space="preserve">; v nadaljnjem besedilu: ZPOmK-1), ki je bil sprejet v Državnem zboru Republike Slovenije 1. aprila 2008. Z ZPOmK-1 je uredil tudi postopek in pristojnost </w:t>
      </w:r>
      <w:r w:rsidRPr="002F30DF">
        <w:rPr>
          <w:rFonts w:cs="Arial"/>
          <w:sz w:val="20"/>
          <w:szCs w:val="20"/>
          <w:lang w:eastAsia="en-US"/>
        </w:rPr>
        <w:t xml:space="preserve">za izvajanje Uredbe 1/2003 in Uredbe Sveta (ES) št. 139/2004 z dne 20. januarja 2004 o nadzoru koncentracij podjetij (UL L št. 24 z dne 29. 1. 2004, str. 1, v nadaljnjem besedilu: Uredba 139/2004/ES). ZPOmK-1 je bil </w:t>
      </w:r>
      <w:r w:rsidRPr="002F30DF">
        <w:rPr>
          <w:rFonts w:eastAsia="Calibri" w:cs="Arial"/>
          <w:sz w:val="20"/>
          <w:szCs w:val="20"/>
          <w:lang w:eastAsia="en-US"/>
        </w:rPr>
        <w:t xml:space="preserve">večkrat spremenjen, nazadnje z Zakonom o spremembah in dopolnitvah Zakona o preprečevanju omejevanja konkurence (Uradni list RS, št. </w:t>
      </w:r>
      <w:hyperlink r:id="rId19" w:tgtFrame="_blank" w:tooltip="Zakon o spremembah in dopolnitvah Zakona o preprečevanju omejevanja konkurence (ZPOmK-1G)" w:history="1">
        <w:r w:rsidRPr="002F30DF">
          <w:rPr>
            <w:rFonts w:cs="Arial"/>
            <w:sz w:val="20"/>
            <w:szCs w:val="20"/>
            <w:lang w:eastAsia="en-US"/>
          </w:rPr>
          <w:t>23/17</w:t>
        </w:r>
      </w:hyperlink>
      <w:r w:rsidRPr="002F30DF">
        <w:rPr>
          <w:rFonts w:eastAsia="Calibri" w:cs="Arial"/>
          <w:sz w:val="20"/>
          <w:szCs w:val="20"/>
          <w:lang w:eastAsia="en-US"/>
        </w:rPr>
        <w:t>), s katerim se je v slovenski pravni red prenesla Direktiva</w:t>
      </w:r>
      <w:r w:rsidRPr="002F30DF">
        <w:rPr>
          <w:rFonts w:cs="Arial"/>
          <w:sz w:val="20"/>
          <w:szCs w:val="20"/>
          <w:lang w:eastAsia="en-US"/>
        </w:rPr>
        <w:t xml:space="preserve"> 2014/104/EU Evropskega parlamenta in Sveta z dne 26. novembra 2014 </w:t>
      </w:r>
      <w:r w:rsidRPr="002F30DF">
        <w:rPr>
          <w:rFonts w:cs="Arial"/>
          <w:sz w:val="20"/>
          <w:szCs w:val="20"/>
          <w:lang w:eastAsia="en-US"/>
        </w:rPr>
        <w:lastRenderedPageBreak/>
        <w:t xml:space="preserve">o nekaterih pravilih, ki urejajo odškodninske tožbe po nacionalnem pravu za kršitve določb konkurenčnega prava držav članic in Evropske unije (UL L št. 349 z dne 5. 12. 2014, str. 1).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tbl>
      <w:tblPr>
        <w:tblW w:w="5000" w:type="pct"/>
        <w:tblCellSpacing w:w="0" w:type="dxa"/>
        <w:tblCellMar>
          <w:left w:w="0" w:type="dxa"/>
          <w:right w:w="0" w:type="dxa"/>
        </w:tblCellMar>
        <w:tblLook w:val="04A0" w:firstRow="1" w:lastRow="0" w:firstColumn="1" w:lastColumn="0" w:noHBand="0" w:noVBand="1"/>
      </w:tblPr>
      <w:tblGrid>
        <w:gridCol w:w="9071"/>
      </w:tblGrid>
      <w:tr w:rsidR="00AC6E15" w:rsidRPr="002F30DF" w:rsidTr="00AC6E15">
        <w:trPr>
          <w:tblCellSpacing w:w="0" w:type="dxa"/>
        </w:trPr>
        <w:tc>
          <w:tcPr>
            <w:tcW w:w="0" w:type="auto"/>
            <w:hideMark/>
          </w:tcPr>
          <w:p w:rsidR="00D6387B" w:rsidRPr="002F30DF" w:rsidRDefault="00713C55" w:rsidP="00B9445D">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N</w:t>
            </w:r>
            <w:r w:rsidR="00AC6E15" w:rsidRPr="002F30DF">
              <w:rPr>
                <w:rFonts w:eastAsia="Calibri" w:cs="Arial"/>
                <w:sz w:val="20"/>
                <w:szCs w:val="20"/>
                <w:lang w:eastAsia="en-US"/>
              </w:rPr>
              <w:t xml:space="preserve">adzor nad izvajanjem ZPOmK-1 ter tudi 101. in 102. člena PDEU </w:t>
            </w:r>
            <w:r w:rsidRPr="002F30DF">
              <w:rPr>
                <w:rFonts w:eastAsia="Calibri" w:cs="Arial"/>
                <w:sz w:val="20"/>
                <w:szCs w:val="20"/>
                <w:lang w:eastAsia="en-US"/>
              </w:rPr>
              <w:t xml:space="preserve">izvaja agencija, ki je pristojna za varstvo konkurence </w:t>
            </w:r>
            <w:r w:rsidR="00AC6E15" w:rsidRPr="002F30DF">
              <w:rPr>
                <w:rFonts w:eastAsia="Calibri" w:cs="Arial"/>
                <w:sz w:val="20"/>
                <w:szCs w:val="20"/>
                <w:lang w:eastAsia="en-US"/>
              </w:rPr>
              <w:t xml:space="preserve">(v nadaljnjem besedilu: agencija), Evropska komisija pa je pristojna za izvajanje 101. in 102. člena PDEU. </w:t>
            </w:r>
          </w:p>
          <w:p w:rsidR="00500483" w:rsidRPr="002F30DF" w:rsidRDefault="00500483" w:rsidP="00B9445D">
            <w:pPr>
              <w:overflowPunct/>
              <w:autoSpaceDE/>
              <w:autoSpaceDN/>
              <w:adjustRightInd/>
              <w:spacing w:line="260" w:lineRule="exact"/>
              <w:textAlignment w:val="auto"/>
              <w:rPr>
                <w:rFonts w:eastAsia="Calibri" w:cs="Arial"/>
                <w:sz w:val="20"/>
                <w:szCs w:val="20"/>
                <w:lang w:eastAsia="en-US"/>
              </w:rPr>
            </w:pPr>
          </w:p>
        </w:tc>
      </w:tr>
    </w:tbl>
    <w:p w:rsidR="00AC6E15" w:rsidRPr="002F30DF" w:rsidRDefault="00D6387B"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Ker Direktiva 2019/1 ureja nekatere institute drugače kot ZPOmK-1 </w:t>
      </w:r>
      <w:r w:rsidR="006F5107" w:rsidRPr="002F30DF">
        <w:rPr>
          <w:rFonts w:eastAsia="Calibri" w:cs="Arial"/>
          <w:sz w:val="20"/>
          <w:szCs w:val="20"/>
          <w:lang w:eastAsia="en-US"/>
        </w:rPr>
        <w:t xml:space="preserve">je </w:t>
      </w:r>
      <w:r w:rsidRPr="002F30DF">
        <w:rPr>
          <w:rFonts w:eastAsia="Calibri" w:cs="Arial"/>
          <w:sz w:val="20"/>
          <w:szCs w:val="20"/>
          <w:lang w:eastAsia="en-US"/>
        </w:rPr>
        <w:t xml:space="preserve">treba določbe </w:t>
      </w:r>
      <w:r w:rsidR="00462D61" w:rsidRPr="002F30DF">
        <w:rPr>
          <w:rFonts w:eastAsia="Calibri" w:cs="Arial"/>
          <w:sz w:val="20"/>
          <w:szCs w:val="20"/>
          <w:lang w:eastAsia="en-US"/>
        </w:rPr>
        <w:t xml:space="preserve">ZPOmK-1 </w:t>
      </w:r>
      <w:r w:rsidRPr="002F30DF">
        <w:rPr>
          <w:rFonts w:eastAsia="Calibri" w:cs="Arial"/>
          <w:sz w:val="20"/>
          <w:szCs w:val="20"/>
          <w:lang w:eastAsia="en-US"/>
        </w:rPr>
        <w:t xml:space="preserve">prilagoditi oziroma nadgraditi na način, da bo zagotovljen pravilen prenos Direktive 2019/1 v naš pravni </w:t>
      </w:r>
      <w:r w:rsidR="00B971C4" w:rsidRPr="002F30DF">
        <w:rPr>
          <w:rFonts w:eastAsia="Calibri" w:cs="Arial"/>
          <w:sz w:val="20"/>
          <w:szCs w:val="20"/>
          <w:lang w:eastAsia="en-US"/>
        </w:rPr>
        <w:t>red</w:t>
      </w:r>
      <w:r w:rsidRPr="002F30DF">
        <w:rPr>
          <w:rFonts w:eastAsia="Calibri" w:cs="Arial"/>
          <w:sz w:val="20"/>
          <w:szCs w:val="20"/>
          <w:lang w:eastAsia="en-US"/>
        </w:rPr>
        <w:t xml:space="preserve">. Tako na primer </w:t>
      </w:r>
      <w:r w:rsidR="00AC6E15" w:rsidRPr="002F30DF">
        <w:rPr>
          <w:rFonts w:eastAsia="Calibri" w:cs="Arial"/>
          <w:sz w:val="20"/>
          <w:szCs w:val="20"/>
          <w:lang w:eastAsia="en-US"/>
        </w:rPr>
        <w:t>Direktiva 2019/1 ureja pooblastila, sankcije, progam prizanesljivosti, zastaralne roke, dostop strank do spisa in omejitve uporabe informacij, ki so sicer že urejeni v ZPOmK-1, vendar</w:t>
      </w:r>
      <w:r w:rsidR="001B7AC2" w:rsidRPr="002F30DF">
        <w:rPr>
          <w:rFonts w:eastAsia="Calibri" w:cs="Arial"/>
          <w:sz w:val="20"/>
          <w:szCs w:val="20"/>
          <w:lang w:eastAsia="en-US"/>
        </w:rPr>
        <w:t xml:space="preserve"> </w:t>
      </w:r>
      <w:r w:rsidR="00AC6E15" w:rsidRPr="002F30DF">
        <w:rPr>
          <w:rFonts w:eastAsia="Calibri" w:cs="Arial"/>
          <w:sz w:val="20"/>
          <w:szCs w:val="20"/>
          <w:lang w:eastAsia="en-US"/>
        </w:rPr>
        <w:t>je treba</w:t>
      </w:r>
      <w:r w:rsidR="001B7AC2" w:rsidRPr="002F30DF">
        <w:rPr>
          <w:rFonts w:eastAsia="Calibri" w:cs="Arial"/>
          <w:sz w:val="20"/>
          <w:szCs w:val="20"/>
          <w:lang w:eastAsia="en-US"/>
        </w:rPr>
        <w:t xml:space="preserve"> te določbe dopolniti oziroma spremeniti</w:t>
      </w:r>
      <w:r w:rsidR="00AC6E15" w:rsidRPr="002F30DF">
        <w:rPr>
          <w:rFonts w:eastAsia="Calibri" w:cs="Arial"/>
          <w:sz w:val="20"/>
          <w:szCs w:val="20"/>
          <w:lang w:eastAsia="en-US"/>
        </w:rPr>
        <w:t>. Direktiva 2019/1 ureja tudi medsebojno pomoč med nacionalnimi organi, pristojnimi za varstvo konkurence držav članic Evropske unije, ki v našem pravnem sistemu še ni urejeno</w:t>
      </w:r>
      <w:r w:rsidR="003D4287" w:rsidRPr="002F30DF">
        <w:rPr>
          <w:rFonts w:eastAsia="Calibri" w:cs="Arial"/>
          <w:sz w:val="20"/>
          <w:szCs w:val="20"/>
          <w:lang w:eastAsia="en-US"/>
        </w:rPr>
        <w:t xml:space="preserve">, zato se bo s predlogom zakona </w:t>
      </w:r>
      <w:r w:rsidR="001B7AC2" w:rsidRPr="002F30DF">
        <w:rPr>
          <w:rFonts w:eastAsia="Calibri" w:cs="Arial"/>
          <w:sz w:val="20"/>
          <w:szCs w:val="20"/>
          <w:lang w:eastAsia="en-US"/>
        </w:rPr>
        <w:t xml:space="preserve">takšno sodelovanje </w:t>
      </w:r>
      <w:r w:rsidR="003D4287" w:rsidRPr="002F30DF">
        <w:rPr>
          <w:rFonts w:eastAsia="Calibri" w:cs="Arial"/>
          <w:sz w:val="20"/>
          <w:szCs w:val="20"/>
          <w:lang w:eastAsia="en-US"/>
        </w:rPr>
        <w:t>uredilo na novo</w:t>
      </w:r>
      <w:r w:rsidR="00AC6E15" w:rsidRPr="002F30DF">
        <w:rPr>
          <w:rFonts w:eastAsia="Calibri" w:cs="Arial"/>
          <w:sz w:val="20"/>
          <w:szCs w:val="20"/>
          <w:lang w:eastAsia="en-US"/>
        </w:rPr>
        <w:t>.</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Namen učinkovitega izvajanja nadzora nad spoštovanjem pravil varstva konkurence je zagotoviti učinkovito konkurenco med podjetji in tako omogočiti uresničevanje potenciala notranjega trga in ustvariti prave pogoje za trajnostno gospodarsko rast. Veljavni ZPOmK-1 nalaga agenciji, da obstoj kršitve pravil konkurenčnega prava ugotavlja v upravnem postopku, globe pa izreče v prekrškovnem postopku. Dvojnost postopkov pomeni tudi dvojno breme za podjetja, ki so stranke v postopku pred agencijo.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Z namenom zagotovitve učinkovitejšega izvajanja nalog in pristojnosti agencije ter zmanjšanja administrativnih bremen za podjetja, je smiselno poenostaviti postopek sankcioniranja podjetij zaradi kršitev pravil konkurenčnega prava in oblikovati enoten postopek, v katerem bo agencija ugotavljala obstoj kršitev konkurenčnega prava ter v primeru ugotovitve obstoja kršitev konkurenčnega prava v istem postopku podjetju tudi naložila sankcijo.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Da bo agencija lahko učinkovito odkrivala kršitve pravil konkurenčnega prava, ji morajo biti zagotovljena ustrezna preiskovalna sredstva. Veljavni ZPOmK-1 omogoča agenciji zbiranje podatkov na podlagi zahteve in opravljanje preiskave.</w:t>
      </w:r>
      <w:r w:rsidR="00991237" w:rsidRPr="002F30DF">
        <w:rPr>
          <w:rFonts w:eastAsia="Calibri" w:cs="Arial"/>
          <w:sz w:val="20"/>
          <w:szCs w:val="20"/>
          <w:lang w:eastAsia="en-US"/>
        </w:rPr>
        <w:t xml:space="preserve"> Na novo pa se dodaja zbiranje informacij.</w:t>
      </w:r>
      <w:r w:rsidRPr="002F30DF">
        <w:rPr>
          <w:rFonts w:eastAsia="Calibri" w:cs="Arial"/>
          <w:sz w:val="20"/>
          <w:szCs w:val="20"/>
          <w:lang w:eastAsia="en-US"/>
        </w:rPr>
        <w:t xml:space="preserve"> </w:t>
      </w:r>
    </w:p>
    <w:p w:rsidR="001B7AC2" w:rsidRPr="002F30DF" w:rsidRDefault="001B7AC2"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5A323C"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C</w:t>
      </w:r>
      <w:r w:rsidR="00AC6E15" w:rsidRPr="002F30DF">
        <w:rPr>
          <w:rFonts w:eastAsia="Calibri" w:cs="Arial"/>
          <w:iCs/>
          <w:sz w:val="20"/>
          <w:szCs w:val="20"/>
          <w:lang w:eastAsia="en-US"/>
        </w:rPr>
        <w:t xml:space="preserve">ilj zakona je </w:t>
      </w:r>
      <w:r w:rsidR="002A657C" w:rsidRPr="002F30DF">
        <w:rPr>
          <w:rFonts w:eastAsia="Calibri" w:cs="Arial"/>
          <w:iCs/>
          <w:sz w:val="20"/>
          <w:szCs w:val="20"/>
          <w:lang w:eastAsia="en-US"/>
        </w:rPr>
        <w:t xml:space="preserve">torej </w:t>
      </w:r>
      <w:r w:rsidR="00AC6E15" w:rsidRPr="002F30DF">
        <w:rPr>
          <w:rFonts w:eastAsia="Calibri" w:cs="Arial"/>
          <w:iCs/>
          <w:sz w:val="20"/>
          <w:szCs w:val="20"/>
          <w:lang w:eastAsia="en-US"/>
        </w:rPr>
        <w:t xml:space="preserve">prenos Direktive 2019/1 v </w:t>
      </w:r>
      <w:r w:rsidR="00F04258" w:rsidRPr="002F30DF">
        <w:rPr>
          <w:rFonts w:eastAsia="Calibri" w:cs="Arial"/>
          <w:iCs/>
          <w:sz w:val="20"/>
          <w:szCs w:val="20"/>
          <w:lang w:eastAsia="en-US"/>
        </w:rPr>
        <w:t>slovenski pravni red</w:t>
      </w:r>
      <w:r w:rsidR="00AC6E15" w:rsidRPr="002F30DF">
        <w:rPr>
          <w:rFonts w:eastAsia="Calibri" w:cs="Arial"/>
          <w:iCs/>
          <w:sz w:val="20"/>
          <w:szCs w:val="20"/>
          <w:lang w:eastAsia="en-US"/>
        </w:rPr>
        <w:t xml:space="preserve">. </w:t>
      </w:r>
      <w:r w:rsidR="002C5BA0" w:rsidRPr="002F30DF">
        <w:rPr>
          <w:rFonts w:eastAsia="Calibri" w:cs="Arial"/>
          <w:iCs/>
          <w:sz w:val="20"/>
          <w:szCs w:val="20"/>
          <w:lang w:eastAsia="en-US"/>
        </w:rPr>
        <w:t>S čimer</w:t>
      </w:r>
      <w:r w:rsidR="00AC6E15" w:rsidRPr="002F30DF">
        <w:rPr>
          <w:rFonts w:eastAsia="Calibri" w:cs="Arial"/>
          <w:iCs/>
          <w:sz w:val="20"/>
          <w:szCs w:val="20"/>
          <w:lang w:eastAsia="en-US"/>
        </w:rPr>
        <w:t xml:space="preserve"> se želi zagotoviti učinkovitejšo in večjo konkurenco med podjetji, kar pa ima koristi ne </w:t>
      </w:r>
      <w:r w:rsidR="00AC6E15" w:rsidRPr="002F30DF">
        <w:rPr>
          <w:rFonts w:eastAsia="Calibri" w:cs="Arial"/>
          <w:iCs/>
          <w:sz w:val="20"/>
          <w:szCs w:val="20"/>
          <w:lang w:eastAsia="en-US"/>
        </w:rPr>
        <w:lastRenderedPageBreak/>
        <w:t>samo za podjetja, ampak tudi za potrošnike, saj imajo z večjo konkurenco večjo izbiro in boljše proizvode.</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tbl>
      <w:tblPr>
        <w:tblW w:w="0" w:type="auto"/>
        <w:tblLook w:val="04A0" w:firstRow="1" w:lastRow="0" w:firstColumn="1" w:lastColumn="0" w:noHBand="0" w:noVBand="1"/>
      </w:tblPr>
      <w:tblGrid>
        <w:gridCol w:w="8179"/>
        <w:gridCol w:w="892"/>
      </w:tblGrid>
      <w:tr w:rsidR="00AC6E15" w:rsidRPr="002F30DF" w:rsidTr="006379E8">
        <w:trPr>
          <w:gridAfter w:val="1"/>
          <w:wAfter w:w="892" w:type="dxa"/>
        </w:trPr>
        <w:tc>
          <w:tcPr>
            <w:tcW w:w="8181" w:type="dxa"/>
          </w:tcPr>
          <w:p w:rsidR="00AC6E15" w:rsidRPr="002F30DF" w:rsidRDefault="00AC6E15" w:rsidP="00132EBA">
            <w:pPr>
              <w:overflowPunct/>
              <w:autoSpaceDE/>
              <w:autoSpaceDN/>
              <w:adjustRightInd/>
              <w:spacing w:line="260" w:lineRule="exact"/>
              <w:ind w:left="-109"/>
              <w:jc w:val="left"/>
              <w:textAlignment w:val="auto"/>
              <w:rPr>
                <w:rFonts w:cs="Arial"/>
                <w:b/>
                <w:sz w:val="20"/>
                <w:szCs w:val="20"/>
                <w:lang w:eastAsia="en-US"/>
              </w:rPr>
            </w:pPr>
            <w:r w:rsidRPr="002F30DF">
              <w:rPr>
                <w:rFonts w:cs="Arial"/>
                <w:b/>
                <w:sz w:val="20"/>
                <w:szCs w:val="20"/>
                <w:lang w:eastAsia="en-US"/>
              </w:rPr>
              <w:t>2. CILJI, NAČELA IN POGLAVITNE REŠITVE PREDLOGA ZAKONA</w:t>
            </w:r>
          </w:p>
        </w:tc>
      </w:tr>
      <w:tr w:rsidR="00AC6E15" w:rsidRPr="002F30DF" w:rsidTr="006379E8">
        <w:trPr>
          <w:gridAfter w:val="1"/>
          <w:wAfter w:w="892" w:type="dxa"/>
        </w:trPr>
        <w:tc>
          <w:tcPr>
            <w:tcW w:w="8181" w:type="dxa"/>
          </w:tcPr>
          <w:p w:rsidR="00AC6E15" w:rsidRPr="002F30DF" w:rsidRDefault="00AC6E15" w:rsidP="00132EBA">
            <w:pPr>
              <w:overflowPunct/>
              <w:autoSpaceDE/>
              <w:autoSpaceDN/>
              <w:adjustRightInd/>
              <w:spacing w:line="260" w:lineRule="exact"/>
              <w:ind w:left="-109"/>
              <w:jc w:val="left"/>
              <w:textAlignment w:val="auto"/>
              <w:rPr>
                <w:rFonts w:cs="Arial"/>
                <w:b/>
                <w:sz w:val="20"/>
                <w:szCs w:val="20"/>
                <w:lang w:eastAsia="en-US"/>
              </w:rPr>
            </w:pPr>
          </w:p>
          <w:p w:rsidR="00AC6E15" w:rsidRPr="002F30DF" w:rsidRDefault="00AC6E15" w:rsidP="00132EBA">
            <w:pPr>
              <w:overflowPunct/>
              <w:autoSpaceDE/>
              <w:autoSpaceDN/>
              <w:adjustRightInd/>
              <w:spacing w:line="260" w:lineRule="exact"/>
              <w:ind w:left="-109"/>
              <w:jc w:val="left"/>
              <w:textAlignment w:val="auto"/>
              <w:rPr>
                <w:rFonts w:cs="Arial"/>
                <w:b/>
                <w:sz w:val="20"/>
                <w:szCs w:val="20"/>
                <w:lang w:eastAsia="en-US"/>
              </w:rPr>
            </w:pPr>
            <w:r w:rsidRPr="002F30DF">
              <w:rPr>
                <w:rFonts w:cs="Arial"/>
                <w:b/>
                <w:sz w:val="20"/>
                <w:szCs w:val="20"/>
                <w:lang w:eastAsia="en-US"/>
              </w:rPr>
              <w:t>2.1 Cilji</w:t>
            </w:r>
          </w:p>
        </w:tc>
      </w:tr>
      <w:tr w:rsidR="00AC6E15" w:rsidRPr="002F30DF" w:rsidTr="006379E8">
        <w:tc>
          <w:tcPr>
            <w:tcW w:w="9073" w:type="dxa"/>
            <w:gridSpan w:val="2"/>
          </w:tcPr>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5A323C">
            <w:pPr>
              <w:overflowPunct/>
              <w:autoSpaceDE/>
              <w:autoSpaceDN/>
              <w:adjustRightInd/>
              <w:spacing w:line="260" w:lineRule="exact"/>
              <w:ind w:left="-109" w:right="-108"/>
              <w:textAlignment w:val="auto"/>
              <w:rPr>
                <w:rFonts w:eastAsia="Calibri" w:cs="Arial"/>
                <w:iCs/>
                <w:sz w:val="20"/>
                <w:szCs w:val="20"/>
                <w:lang w:eastAsia="en-US"/>
              </w:rPr>
            </w:pPr>
            <w:r w:rsidRPr="002F30DF">
              <w:rPr>
                <w:rFonts w:eastAsia="Calibri" w:cs="Arial"/>
                <w:iCs/>
                <w:sz w:val="20"/>
                <w:szCs w:val="20"/>
                <w:lang w:eastAsia="en-US"/>
              </w:rPr>
              <w:t xml:space="preserve">S </w:t>
            </w:r>
            <w:r w:rsidR="003D4287" w:rsidRPr="002F30DF">
              <w:rPr>
                <w:rFonts w:eastAsia="Calibri" w:cs="Arial"/>
                <w:iCs/>
                <w:sz w:val="20"/>
                <w:szCs w:val="20"/>
                <w:lang w:eastAsia="en-US"/>
              </w:rPr>
              <w:t xml:space="preserve">predlogom </w:t>
            </w:r>
            <w:r w:rsidRPr="002F30DF">
              <w:rPr>
                <w:rFonts w:eastAsia="Calibri" w:cs="Arial"/>
                <w:iCs/>
                <w:sz w:val="20"/>
                <w:szCs w:val="20"/>
                <w:lang w:eastAsia="en-US"/>
              </w:rPr>
              <w:t>zakon</w:t>
            </w:r>
            <w:r w:rsidR="00652356" w:rsidRPr="002F30DF">
              <w:rPr>
                <w:rFonts w:eastAsia="Calibri" w:cs="Arial"/>
                <w:iCs/>
                <w:sz w:val="20"/>
                <w:szCs w:val="20"/>
                <w:lang w:eastAsia="en-US"/>
              </w:rPr>
              <w:t>a</w:t>
            </w:r>
            <w:r w:rsidRPr="002F30DF">
              <w:rPr>
                <w:rFonts w:eastAsia="Calibri" w:cs="Arial"/>
                <w:iCs/>
                <w:sz w:val="20"/>
                <w:szCs w:val="20"/>
                <w:lang w:eastAsia="en-US"/>
              </w:rPr>
              <w:t xml:space="preserve"> Republika Slovenija izpolnjuje dolžnost prenosa Direktive 2019/1 v nacionalni pravni red. Države članice </w:t>
            </w:r>
            <w:r w:rsidR="00B971C4" w:rsidRPr="002F30DF">
              <w:rPr>
                <w:rFonts w:eastAsia="Calibri" w:cs="Arial"/>
                <w:iCs/>
                <w:sz w:val="20"/>
                <w:szCs w:val="20"/>
                <w:lang w:eastAsia="en-US"/>
              </w:rPr>
              <w:t xml:space="preserve">so morale </w:t>
            </w:r>
            <w:r w:rsidRPr="002F30DF">
              <w:rPr>
                <w:rFonts w:eastAsia="Calibri" w:cs="Arial"/>
                <w:iCs/>
                <w:sz w:val="20"/>
                <w:szCs w:val="20"/>
                <w:lang w:eastAsia="en-US"/>
              </w:rPr>
              <w:t xml:space="preserve">to direktivo prenesti v svoje </w:t>
            </w:r>
            <w:r w:rsidR="00F04258" w:rsidRPr="002F30DF">
              <w:rPr>
                <w:rFonts w:eastAsia="Calibri" w:cs="Arial"/>
                <w:iCs/>
                <w:sz w:val="20"/>
                <w:szCs w:val="20"/>
                <w:lang w:eastAsia="en-US"/>
              </w:rPr>
              <w:t xml:space="preserve">nacionalne </w:t>
            </w:r>
            <w:r w:rsidRPr="002F30DF">
              <w:rPr>
                <w:rFonts w:eastAsia="Calibri" w:cs="Arial"/>
                <w:iCs/>
                <w:sz w:val="20"/>
                <w:szCs w:val="20"/>
                <w:lang w:eastAsia="en-US"/>
              </w:rPr>
              <w:t>predpise do 4. februarja 2021. Ključni cilji, ki jih zasleduje predlog zakona, se v primerjavi z do sedaj veljavnim ZPOmK-1 ne spreminjajo. Temeljni cilj varstva konkurence v Republiki Sloveniji je zagotoviti učinkovito konkurenčno okolje, ki bo spodbujalo inovacije in tehnološki napredek, s tem pa blaginjo kupcev in večjo konkurenčnost Republike Slovenije na svetovnem trgu.</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tc>
      </w:tr>
    </w:tbl>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2.2 Načela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Predlagatelj zakona je pri pripravi zakona upošteval obstoječe pravne okvire in v tem zakonu ureja vprašanja, ki so specialne narave (lex specialis), kar pomeni, da je v zvezi z obstoječo zakonodajo uveljavljeno načelo subsidiarnosti. Tako se subsidiarno uporabljajo pravila Zakona o splošnem upravnem postopk</w:t>
      </w:r>
      <w:r w:rsidR="001B7AC2" w:rsidRPr="002F30DF">
        <w:rPr>
          <w:rFonts w:eastAsia="Calibri" w:cs="Arial"/>
          <w:iCs/>
          <w:sz w:val="20"/>
          <w:szCs w:val="20"/>
          <w:lang w:eastAsia="en-US"/>
        </w:rPr>
        <w:t>u</w:t>
      </w:r>
      <w:r w:rsidR="000F263D" w:rsidRPr="002F30DF">
        <w:rPr>
          <w:rFonts w:eastAsia="Calibri" w:cs="Arial"/>
          <w:iCs/>
          <w:sz w:val="20"/>
          <w:szCs w:val="20"/>
          <w:lang w:eastAsia="en-US"/>
        </w:rPr>
        <w:t xml:space="preserve"> in</w:t>
      </w:r>
      <w:r w:rsidRPr="002F30DF">
        <w:rPr>
          <w:rFonts w:eastAsia="Calibri" w:cs="Arial"/>
          <w:iCs/>
          <w:sz w:val="20"/>
          <w:szCs w:val="20"/>
          <w:lang w:eastAsia="en-US"/>
        </w:rPr>
        <w:t xml:space="preserve"> Zakona o upravnem sporu.</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 xml:space="preserve">V zvezi z določbami, ki se nanašajo na nadzor nad določbami </w:t>
      </w:r>
      <w:r w:rsidR="000F263D" w:rsidRPr="002F30DF">
        <w:rPr>
          <w:rFonts w:eastAsia="Calibri" w:cs="Arial"/>
          <w:iCs/>
          <w:sz w:val="20"/>
          <w:szCs w:val="20"/>
          <w:lang w:eastAsia="en-US"/>
        </w:rPr>
        <w:t xml:space="preserve">predloga </w:t>
      </w:r>
      <w:r w:rsidRPr="002F30DF">
        <w:rPr>
          <w:rFonts w:eastAsia="Calibri" w:cs="Arial"/>
          <w:iCs/>
          <w:sz w:val="20"/>
          <w:szCs w:val="20"/>
          <w:lang w:eastAsia="en-US"/>
        </w:rPr>
        <w:t>zakona, poizkuša uravnotežiti pravo razmerje med načelom učinkovitosti nadzora</w:t>
      </w:r>
      <w:r w:rsidR="000F263D" w:rsidRPr="002F30DF">
        <w:rPr>
          <w:rFonts w:eastAsia="Calibri" w:cs="Arial"/>
          <w:iCs/>
          <w:sz w:val="20"/>
          <w:szCs w:val="20"/>
          <w:lang w:eastAsia="en-US"/>
        </w:rPr>
        <w:t xml:space="preserve"> in</w:t>
      </w:r>
      <w:r w:rsidRPr="002F30DF">
        <w:rPr>
          <w:rFonts w:eastAsia="Calibri" w:cs="Arial"/>
          <w:iCs/>
          <w:sz w:val="20"/>
          <w:szCs w:val="20"/>
          <w:lang w:eastAsia="en-US"/>
        </w:rPr>
        <w:t xml:space="preserve"> načelom ekonomičnosti postopka, hkrati pa spoštovati tudi načelo kontradiktornosti, enakopravnosti strank v postopku ter njihovo pravico do obrambe, pri čemer se ne sme prekomerno poseči v varstvo zaupnih podatkov. </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Predlog zakona nadalje temelji na načelu javnosti, saj lahko agencija poleg izvlečka sklepa o uvedbi postopka in izreka odločb, ki jih objavi na spletni strani agencije, objavi tudi poročilo o rezultatih raziskave sektorja ali posameznih vrst sporazumov, ki jih opravi v skladu s predlogom tega zakona. Nadalje lahko agencija objavi</w:t>
      </w:r>
      <w:r w:rsidR="00652356" w:rsidRPr="002F30DF">
        <w:rPr>
          <w:rFonts w:eastAsia="Calibri" w:cs="Arial"/>
          <w:iCs/>
          <w:sz w:val="20"/>
          <w:szCs w:val="20"/>
          <w:lang w:eastAsia="en-US"/>
        </w:rPr>
        <w:t>,</w:t>
      </w:r>
      <w:r w:rsidRPr="002F30DF">
        <w:rPr>
          <w:rFonts w:eastAsia="Calibri" w:cs="Arial"/>
          <w:iCs/>
          <w:sz w:val="20"/>
          <w:szCs w:val="20"/>
          <w:lang w:eastAsia="en-US"/>
        </w:rPr>
        <w:t xml:space="preserve"> o katerih zadevah posebnega pomena je dal</w:t>
      </w:r>
      <w:r w:rsidR="00652356" w:rsidRPr="002F30DF">
        <w:rPr>
          <w:rFonts w:eastAsia="Calibri" w:cs="Arial"/>
          <w:iCs/>
          <w:sz w:val="20"/>
          <w:szCs w:val="20"/>
          <w:lang w:eastAsia="en-US"/>
        </w:rPr>
        <w:t>a</w:t>
      </w:r>
      <w:r w:rsidRPr="002F30DF">
        <w:rPr>
          <w:rFonts w:eastAsia="Calibri" w:cs="Arial"/>
          <w:iCs/>
          <w:sz w:val="20"/>
          <w:szCs w:val="20"/>
          <w:lang w:eastAsia="en-US"/>
        </w:rPr>
        <w:t xml:space="preserve"> obvestila in mnenja, če je to primerno zaradi narave in pomena omejevanja.</w:t>
      </w:r>
    </w:p>
    <w:p w:rsidR="00AC6E15" w:rsidRPr="002F30DF" w:rsidRDefault="00AC6E15" w:rsidP="00AC6E15">
      <w:pPr>
        <w:overflowPunct/>
        <w:autoSpaceDE/>
        <w:autoSpaceDN/>
        <w:adjustRightInd/>
        <w:spacing w:line="260" w:lineRule="exact"/>
        <w:textAlignment w:val="auto"/>
        <w:rPr>
          <w:rFonts w:eastAsia="Calibri" w:cs="Arial"/>
          <w:sz w:val="20"/>
          <w:szCs w:val="20"/>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2.3 Poglavitne rešitve</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a) Predstavitev predlaganih rešitev:</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Poglavitne zakonodajne spremembe glede na </w:t>
      </w:r>
      <w:r w:rsidR="000F263D" w:rsidRPr="002F30DF">
        <w:rPr>
          <w:rFonts w:eastAsia="Calibri" w:cs="Arial"/>
          <w:sz w:val="20"/>
          <w:szCs w:val="20"/>
          <w:lang w:eastAsia="en-US"/>
        </w:rPr>
        <w:t xml:space="preserve">veljavni </w:t>
      </w:r>
      <w:r w:rsidRPr="002F30DF">
        <w:rPr>
          <w:rFonts w:eastAsia="Calibri" w:cs="Arial"/>
          <w:sz w:val="20"/>
          <w:szCs w:val="20"/>
          <w:lang w:eastAsia="en-US"/>
        </w:rPr>
        <w:t xml:space="preserve">ZPOmK-1 se nanašajo na uvedbo administrativnega sankcioniranja podjetij, preiskavo, uporabo informacij iz </w:t>
      </w:r>
      <w:r w:rsidR="00B971C4" w:rsidRPr="002F30DF">
        <w:rPr>
          <w:rFonts w:eastAsia="Calibri" w:cs="Arial"/>
          <w:sz w:val="20"/>
          <w:szCs w:val="20"/>
          <w:lang w:eastAsia="en-US"/>
        </w:rPr>
        <w:lastRenderedPageBreak/>
        <w:t xml:space="preserve">izjav </w:t>
      </w:r>
      <w:r w:rsidRPr="002F30DF">
        <w:rPr>
          <w:rFonts w:eastAsia="Calibri" w:cs="Arial"/>
          <w:sz w:val="20"/>
          <w:szCs w:val="20"/>
          <w:lang w:eastAsia="en-US"/>
        </w:rPr>
        <w:t>za</w:t>
      </w:r>
      <w:r w:rsidR="00B971C4" w:rsidRPr="002F30DF">
        <w:rPr>
          <w:rFonts w:eastAsia="Calibri" w:cs="Arial"/>
          <w:sz w:val="20"/>
          <w:szCs w:val="20"/>
          <w:lang w:eastAsia="en-US"/>
        </w:rPr>
        <w:t>radi</w:t>
      </w:r>
      <w:r w:rsidRPr="002F30DF">
        <w:rPr>
          <w:rFonts w:eastAsia="Calibri" w:cs="Arial"/>
          <w:sz w:val="20"/>
          <w:szCs w:val="20"/>
          <w:lang w:eastAsia="en-US"/>
        </w:rPr>
        <w:t xml:space="preserve"> prizanesljivost</w:t>
      </w:r>
      <w:r w:rsidR="00B971C4" w:rsidRPr="002F30DF">
        <w:rPr>
          <w:rFonts w:eastAsia="Calibri" w:cs="Arial"/>
          <w:sz w:val="20"/>
          <w:szCs w:val="20"/>
          <w:lang w:eastAsia="en-US"/>
        </w:rPr>
        <w:t>i</w:t>
      </w:r>
      <w:r w:rsidRPr="002F30DF">
        <w:rPr>
          <w:rFonts w:eastAsia="Calibri" w:cs="Arial"/>
          <w:sz w:val="20"/>
          <w:szCs w:val="20"/>
          <w:lang w:eastAsia="en-US"/>
        </w:rPr>
        <w:t xml:space="preserve">, ki so pridobljene z vpogledom v spis ter na vročanje in izvršitev aktov v tujini in aktov organov, pristojnih za varstvo konkurence druge države članice, pri nas. </w:t>
      </w:r>
    </w:p>
    <w:p w:rsidR="00AC6E15" w:rsidRPr="002F30DF" w:rsidRDefault="00AC6E15"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2C5BA0"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1</w:t>
      </w:r>
      <w:r w:rsidR="00AC6E15" w:rsidRPr="002F30DF">
        <w:rPr>
          <w:rFonts w:eastAsia="Calibri" w:cs="Arial"/>
          <w:b/>
          <w:sz w:val="20"/>
          <w:szCs w:val="20"/>
          <w:lang w:eastAsia="en-US"/>
        </w:rPr>
        <w:t xml:space="preserve">. Rešitve, ki se nanašajo na uporabo podatkov iz </w:t>
      </w:r>
      <w:r w:rsidR="007D14FB" w:rsidRPr="002F30DF">
        <w:rPr>
          <w:rFonts w:eastAsia="Calibri" w:cs="Arial"/>
          <w:b/>
          <w:sz w:val="20"/>
          <w:szCs w:val="20"/>
          <w:lang w:eastAsia="en-US"/>
        </w:rPr>
        <w:t xml:space="preserve">izjav </w:t>
      </w:r>
      <w:r w:rsidR="00AC6E15" w:rsidRPr="002F30DF">
        <w:rPr>
          <w:rFonts w:eastAsia="Calibri" w:cs="Arial"/>
          <w:b/>
          <w:sz w:val="20"/>
          <w:szCs w:val="20"/>
          <w:lang w:eastAsia="en-US"/>
        </w:rPr>
        <w:t>za</w:t>
      </w:r>
      <w:r w:rsidR="007D14FB" w:rsidRPr="002F30DF">
        <w:rPr>
          <w:rFonts w:eastAsia="Calibri" w:cs="Arial"/>
          <w:b/>
          <w:sz w:val="20"/>
          <w:szCs w:val="20"/>
          <w:lang w:eastAsia="en-US"/>
        </w:rPr>
        <w:t>radi</w:t>
      </w:r>
      <w:r w:rsidR="00AC6E15" w:rsidRPr="002F30DF">
        <w:rPr>
          <w:rFonts w:eastAsia="Calibri" w:cs="Arial"/>
          <w:b/>
          <w:sz w:val="20"/>
          <w:szCs w:val="20"/>
          <w:lang w:eastAsia="en-US"/>
        </w:rPr>
        <w:t xml:space="preserve"> prizanesljivost</w:t>
      </w:r>
      <w:r w:rsidR="007D14FB" w:rsidRPr="002F30DF">
        <w:rPr>
          <w:rFonts w:eastAsia="Calibri" w:cs="Arial"/>
          <w:b/>
          <w:sz w:val="20"/>
          <w:szCs w:val="20"/>
          <w:lang w:eastAsia="en-US"/>
        </w:rPr>
        <w:t>i</w:t>
      </w:r>
      <w:r w:rsidR="00AC6E15" w:rsidRPr="002F30DF">
        <w:rPr>
          <w:rFonts w:eastAsia="Calibri" w:cs="Arial"/>
          <w:b/>
          <w:sz w:val="20"/>
          <w:szCs w:val="20"/>
          <w:lang w:eastAsia="en-US"/>
        </w:rPr>
        <w:t xml:space="preserve"> </w:t>
      </w:r>
      <w:r w:rsidR="003C273F" w:rsidRPr="002F30DF">
        <w:rPr>
          <w:rFonts w:eastAsia="Calibri" w:cs="Arial"/>
          <w:b/>
          <w:sz w:val="20"/>
          <w:szCs w:val="20"/>
          <w:lang w:eastAsia="en-US"/>
        </w:rPr>
        <w:t xml:space="preserve">in vlog za poravnavo </w:t>
      </w:r>
      <w:r w:rsidR="00AC6E15" w:rsidRPr="002F30DF">
        <w:rPr>
          <w:rFonts w:eastAsia="Calibri" w:cs="Arial"/>
          <w:b/>
          <w:sz w:val="20"/>
          <w:szCs w:val="20"/>
          <w:lang w:eastAsia="en-US"/>
        </w:rPr>
        <w:t>določajo, da: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 xml:space="preserve">se lahko podatki iz </w:t>
      </w:r>
      <w:r w:rsidR="007D14FB" w:rsidRPr="002F30DF">
        <w:rPr>
          <w:rFonts w:eastAsia="Calibri" w:cs="Arial"/>
          <w:sz w:val="20"/>
          <w:szCs w:val="20"/>
          <w:lang w:eastAsia="en-US"/>
        </w:rPr>
        <w:t xml:space="preserve">izjave </w:t>
      </w:r>
      <w:r w:rsidRPr="002F30DF">
        <w:rPr>
          <w:rFonts w:eastAsia="Calibri" w:cs="Arial"/>
          <w:sz w:val="20"/>
          <w:szCs w:val="20"/>
          <w:lang w:eastAsia="en-US"/>
        </w:rPr>
        <w:t>za</w:t>
      </w:r>
      <w:r w:rsidR="007D14FB" w:rsidRPr="002F30DF">
        <w:rPr>
          <w:rFonts w:eastAsia="Calibri" w:cs="Arial"/>
          <w:sz w:val="20"/>
          <w:szCs w:val="20"/>
          <w:lang w:eastAsia="en-US"/>
        </w:rPr>
        <w:t>radi</w:t>
      </w:r>
      <w:r w:rsidRPr="002F30DF">
        <w:rPr>
          <w:rFonts w:eastAsia="Calibri" w:cs="Arial"/>
          <w:sz w:val="20"/>
          <w:szCs w:val="20"/>
          <w:lang w:eastAsia="en-US"/>
        </w:rPr>
        <w:t xml:space="preserve"> prizanesljivost</w:t>
      </w:r>
      <w:r w:rsidR="007D14FB" w:rsidRPr="002F30DF">
        <w:rPr>
          <w:rFonts w:eastAsia="Calibri" w:cs="Arial"/>
          <w:sz w:val="20"/>
          <w:szCs w:val="20"/>
          <w:lang w:eastAsia="en-US"/>
        </w:rPr>
        <w:t>i</w:t>
      </w:r>
      <w:r w:rsidRPr="002F30DF">
        <w:rPr>
          <w:rFonts w:eastAsia="Calibri" w:cs="Arial"/>
          <w:sz w:val="20"/>
          <w:szCs w:val="20"/>
          <w:lang w:eastAsia="en-US"/>
        </w:rPr>
        <w:t xml:space="preserve"> </w:t>
      </w:r>
      <w:r w:rsidR="003C273F" w:rsidRPr="002F30DF">
        <w:rPr>
          <w:rFonts w:eastAsia="Calibri" w:cs="Arial"/>
          <w:sz w:val="20"/>
          <w:szCs w:val="20"/>
          <w:lang w:eastAsia="en-US"/>
        </w:rPr>
        <w:t xml:space="preserve">in vlog za poravnavo </w:t>
      </w:r>
      <w:r w:rsidRPr="002F30DF">
        <w:rPr>
          <w:rFonts w:eastAsia="Calibri" w:cs="Arial"/>
          <w:sz w:val="20"/>
          <w:szCs w:val="20"/>
          <w:lang w:eastAsia="en-US"/>
        </w:rPr>
        <w:t xml:space="preserve">uporabijo v postopku pred sodiščem, ki preizkuša odločbo </w:t>
      </w:r>
      <w:r w:rsidR="00F24224" w:rsidRPr="002F30DF">
        <w:rPr>
          <w:rFonts w:eastAsia="Calibri" w:cs="Arial"/>
          <w:sz w:val="20"/>
          <w:szCs w:val="20"/>
          <w:lang w:eastAsia="en-US"/>
        </w:rPr>
        <w:t xml:space="preserve">agencije, </w:t>
      </w:r>
      <w:r w:rsidRPr="002F30DF">
        <w:rPr>
          <w:rFonts w:eastAsia="Calibri" w:cs="Arial"/>
          <w:sz w:val="20"/>
          <w:szCs w:val="20"/>
          <w:lang w:eastAsia="en-US"/>
        </w:rPr>
        <w:t>le</w:t>
      </w:r>
      <w:r w:rsidR="00F24224" w:rsidRPr="002F30DF">
        <w:rPr>
          <w:rFonts w:eastAsia="Calibri" w:cs="Arial"/>
          <w:sz w:val="20"/>
          <w:szCs w:val="20"/>
          <w:lang w:eastAsia="en-US"/>
        </w:rPr>
        <w:t>,</w:t>
      </w:r>
      <w:r w:rsidRPr="002F30DF">
        <w:rPr>
          <w:rFonts w:eastAsia="Calibri" w:cs="Arial"/>
          <w:sz w:val="20"/>
          <w:szCs w:val="20"/>
          <w:lang w:eastAsia="en-US"/>
        </w:rPr>
        <w:t xml:space="preserve"> kadar je to potrebno za uveljavljanje pravice do obrambe v postopku pred sodiščem in le za namene presoje porazdelitve administrativne sankcije, za plačilo katere so udeleženci kartela solidarno odgovorni, ali za presojo odločbe, s katero je agencija ugotovila kršitev pravil </w:t>
      </w:r>
      <w:r w:rsidR="00F24224" w:rsidRPr="002F30DF">
        <w:rPr>
          <w:rFonts w:eastAsia="Calibri" w:cs="Arial"/>
          <w:sz w:val="20"/>
          <w:szCs w:val="20"/>
          <w:lang w:eastAsia="en-US"/>
        </w:rPr>
        <w:t>varstva konkurence</w:t>
      </w:r>
      <w:r w:rsidRPr="002F30DF">
        <w:rPr>
          <w:rFonts w:eastAsia="Calibri" w:cs="Arial"/>
          <w:sz w:val="20"/>
          <w:szCs w:val="20"/>
          <w:lang w:eastAsia="en-US"/>
        </w:rPr>
        <w:t xml:space="preserve"> ali prekršek iz predloga zakona</w:t>
      </w:r>
      <w:r w:rsidR="003C273F" w:rsidRPr="002F30DF">
        <w:rPr>
          <w:rFonts w:eastAsia="Calibri" w:cs="Arial"/>
          <w:sz w:val="20"/>
          <w:szCs w:val="20"/>
          <w:lang w:eastAsia="en-US"/>
        </w:rPr>
        <w:t xml:space="preserve">  (</w:t>
      </w:r>
      <w:r w:rsidR="00FB20D2" w:rsidRPr="002F30DF">
        <w:rPr>
          <w:rFonts w:eastAsia="Calibri" w:cs="Arial"/>
          <w:sz w:val="20"/>
          <w:szCs w:val="20"/>
          <w:lang w:eastAsia="en-US"/>
        </w:rPr>
        <w:t>43.</w:t>
      </w:r>
      <w:r w:rsidR="003C273F" w:rsidRPr="002F30DF">
        <w:rPr>
          <w:rFonts w:eastAsia="Calibri" w:cs="Arial"/>
          <w:sz w:val="20"/>
          <w:szCs w:val="20"/>
          <w:lang w:eastAsia="en-US"/>
        </w:rPr>
        <w:t xml:space="preserve">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dokumentov in informacij iz spisa agencije, ki se nanašajo na informacije, pripravljene posebej za postopek pred agencijo, informacij, ki jih je med postopkom sestavila agencija in jih poslala strankam, ali vlog za poravnavo, ki so bile umaknjene, ni dovoljeno razkriti, razen če se je postopek pred agencijo, že končal</w:t>
      </w:r>
      <w:r w:rsidR="003C273F" w:rsidRPr="002F30DF">
        <w:rPr>
          <w:rFonts w:eastAsia="Calibri" w:cs="Arial"/>
          <w:sz w:val="20"/>
          <w:szCs w:val="20"/>
          <w:lang w:eastAsia="en-US"/>
        </w:rPr>
        <w:t xml:space="preserve"> (</w:t>
      </w:r>
      <w:r w:rsidR="00611F95" w:rsidRPr="002F30DF">
        <w:rPr>
          <w:rFonts w:eastAsia="Calibri" w:cs="Arial"/>
          <w:sz w:val="20"/>
          <w:szCs w:val="20"/>
          <w:lang w:eastAsia="en-US"/>
        </w:rPr>
        <w:t>4</w:t>
      </w:r>
      <w:r w:rsidR="00FB20D2" w:rsidRPr="002F30DF">
        <w:rPr>
          <w:rFonts w:eastAsia="Calibri" w:cs="Arial"/>
          <w:sz w:val="20"/>
          <w:szCs w:val="20"/>
          <w:lang w:eastAsia="en-US"/>
        </w:rPr>
        <w:t>3</w:t>
      </w:r>
      <w:r w:rsidR="003C273F"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C27FF8"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2</w:t>
      </w:r>
      <w:r w:rsidR="00AC6E15" w:rsidRPr="002F30DF">
        <w:rPr>
          <w:rFonts w:eastAsia="Calibri" w:cs="Arial"/>
          <w:b/>
          <w:sz w:val="20"/>
          <w:szCs w:val="20"/>
          <w:lang w:eastAsia="en-US"/>
        </w:rPr>
        <w:t>. Rešitve, ki se nanašajo na dopolnitev preiskovalnih pristojnosti agencije določajo, da:</w:t>
      </w:r>
    </w:p>
    <w:p w:rsidR="00AC6E15" w:rsidRPr="002F30DF" w:rsidRDefault="00AC6E15"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se poenotijo pogoji za izdajo odredbe za preiskavo prostorov in dokumentacije, vključno s preiskavo elektronskih naprav</w:t>
      </w:r>
      <w:r w:rsidR="003C273F" w:rsidRPr="002F30DF">
        <w:rPr>
          <w:rFonts w:eastAsia="Calibri" w:cs="Arial"/>
          <w:sz w:val="20"/>
          <w:szCs w:val="20"/>
          <w:lang w:eastAsia="en-US"/>
        </w:rPr>
        <w:t xml:space="preserve"> in </w:t>
      </w:r>
      <w:r w:rsidR="00D57706" w:rsidRPr="002F30DF">
        <w:rPr>
          <w:rFonts w:eastAsia="Calibri" w:cs="Arial"/>
          <w:sz w:val="20"/>
          <w:szCs w:val="20"/>
          <w:lang w:eastAsia="en-US"/>
        </w:rPr>
        <w:t>se uskladijo</w:t>
      </w:r>
      <w:r w:rsidR="003C273F" w:rsidRPr="002F30DF">
        <w:rPr>
          <w:rFonts w:eastAsia="Calibri" w:cs="Arial"/>
          <w:sz w:val="20"/>
          <w:szCs w:val="20"/>
          <w:lang w:eastAsia="en-US"/>
        </w:rPr>
        <w:t xml:space="preserve"> z Direktivo 2019/1 (</w:t>
      </w:r>
      <w:r w:rsidR="00611F95" w:rsidRPr="002F30DF">
        <w:rPr>
          <w:rFonts w:eastAsia="Calibri" w:cs="Arial"/>
          <w:sz w:val="20"/>
          <w:szCs w:val="20"/>
          <w:lang w:eastAsia="en-US"/>
        </w:rPr>
        <w:t>5</w:t>
      </w:r>
      <w:r w:rsidR="00FB20D2" w:rsidRPr="002F30DF">
        <w:rPr>
          <w:rFonts w:eastAsia="Calibri" w:cs="Arial"/>
          <w:sz w:val="20"/>
          <w:szCs w:val="20"/>
          <w:lang w:eastAsia="en-US"/>
        </w:rPr>
        <w:t>5</w:t>
      </w:r>
      <w:r w:rsidR="003C273F"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se uvaja možnost vložitve pritožbe, če se sodnik ne strinja s predlogom agencije za uvedbo preiskave</w:t>
      </w:r>
      <w:r w:rsidR="003C273F" w:rsidRPr="002F30DF">
        <w:rPr>
          <w:rFonts w:eastAsia="Calibri" w:cs="Arial"/>
          <w:sz w:val="20"/>
          <w:szCs w:val="20"/>
          <w:lang w:eastAsia="en-US"/>
        </w:rPr>
        <w:t xml:space="preserve"> (</w:t>
      </w:r>
      <w:r w:rsidR="00611F95" w:rsidRPr="002F30DF">
        <w:rPr>
          <w:rFonts w:eastAsia="Calibri" w:cs="Arial"/>
          <w:sz w:val="20"/>
          <w:szCs w:val="20"/>
          <w:lang w:eastAsia="en-US"/>
        </w:rPr>
        <w:t>5</w:t>
      </w:r>
      <w:r w:rsidR="00FB20D2" w:rsidRPr="002F30DF">
        <w:rPr>
          <w:rFonts w:eastAsia="Calibri" w:cs="Arial"/>
          <w:sz w:val="20"/>
          <w:szCs w:val="20"/>
          <w:lang w:eastAsia="en-US"/>
        </w:rPr>
        <w:t>5</w:t>
      </w:r>
      <w:r w:rsidR="003C273F"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 xml:space="preserve">lahko agencija še preden izda sklep o uvedbi postopka </w:t>
      </w:r>
      <w:r w:rsidRPr="002F30DF">
        <w:rPr>
          <w:rFonts w:cs="Arial"/>
          <w:iCs/>
          <w:sz w:val="20"/>
          <w:szCs w:val="20"/>
          <w:lang w:eastAsia="en-US"/>
        </w:rPr>
        <w:t xml:space="preserve">zbira informacije od podjetij, katerega koli </w:t>
      </w:r>
      <w:r w:rsidRPr="002F30DF">
        <w:rPr>
          <w:rFonts w:eastAsia="Calibri" w:cs="Arial"/>
          <w:sz w:val="20"/>
          <w:szCs w:val="20"/>
          <w:lang w:eastAsia="en-US"/>
        </w:rPr>
        <w:t>predstavnika</w:t>
      </w:r>
      <w:r w:rsidRPr="002F30DF">
        <w:rPr>
          <w:rFonts w:cs="Arial"/>
          <w:iCs/>
          <w:sz w:val="20"/>
          <w:szCs w:val="20"/>
          <w:lang w:eastAsia="en-US"/>
        </w:rPr>
        <w:t xml:space="preserve"> ali osebe, zaposlene v podjetju ali fizične osebe, ki bi lahko razpolagal</w:t>
      </w:r>
      <w:r w:rsidR="003C273F" w:rsidRPr="002F30DF">
        <w:rPr>
          <w:rFonts w:cs="Arial"/>
          <w:iCs/>
          <w:sz w:val="20"/>
          <w:szCs w:val="20"/>
          <w:lang w:eastAsia="en-US"/>
        </w:rPr>
        <w:t>e</w:t>
      </w:r>
      <w:r w:rsidRPr="002F30DF">
        <w:rPr>
          <w:rFonts w:cs="Arial"/>
          <w:iCs/>
          <w:sz w:val="20"/>
          <w:szCs w:val="20"/>
          <w:lang w:eastAsia="en-US"/>
        </w:rPr>
        <w:t xml:space="preserve"> z informacijami, relevantnimi za predmet ali namen nadzora</w:t>
      </w:r>
      <w:r w:rsidR="003C273F" w:rsidRPr="002F30DF">
        <w:rPr>
          <w:rFonts w:cs="Arial"/>
          <w:iCs/>
          <w:sz w:val="20"/>
          <w:szCs w:val="20"/>
          <w:lang w:eastAsia="en-US"/>
        </w:rPr>
        <w:t xml:space="preserve"> (</w:t>
      </w:r>
      <w:r w:rsidR="00611F95" w:rsidRPr="002F30DF">
        <w:rPr>
          <w:rFonts w:cs="Arial"/>
          <w:iCs/>
          <w:sz w:val="20"/>
          <w:szCs w:val="20"/>
          <w:lang w:eastAsia="en-US"/>
        </w:rPr>
        <w:t>5</w:t>
      </w:r>
      <w:r w:rsidR="003C273F" w:rsidRPr="002F30DF">
        <w:rPr>
          <w:rFonts w:cs="Arial"/>
          <w:iCs/>
          <w:sz w:val="20"/>
          <w:szCs w:val="20"/>
          <w:lang w:eastAsia="en-US"/>
        </w:rPr>
        <w:t>. člen)</w:t>
      </w:r>
      <w:r w:rsidRPr="002F30DF">
        <w:rPr>
          <w:rFonts w:eastAsia="Calibri" w:cs="Arial"/>
          <w:sz w:val="20"/>
          <w:szCs w:val="20"/>
          <w:lang w:eastAsia="en-US"/>
        </w:rPr>
        <w:t xml:space="preserve">. </w:t>
      </w:r>
    </w:p>
    <w:p w:rsidR="00794B9D" w:rsidRPr="002F30DF" w:rsidRDefault="00794B9D" w:rsidP="00794B9D">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5477BA"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3</w:t>
      </w:r>
      <w:r w:rsidR="00AC6E15" w:rsidRPr="002F30DF">
        <w:rPr>
          <w:rFonts w:eastAsia="Calibri" w:cs="Arial"/>
          <w:b/>
          <w:sz w:val="20"/>
          <w:szCs w:val="20"/>
          <w:lang w:eastAsia="en-US"/>
        </w:rPr>
        <w:t>. Rešitve, ki se nanašajo na uvedbo administrativnega sankcioniranja podjetij določajo, da:</w:t>
      </w:r>
    </w:p>
    <w:p w:rsidR="00AC6E15" w:rsidRPr="002F30DF" w:rsidRDefault="00AC6E15"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lastRenderedPageBreak/>
        <w:t>agencija v enem (upravnem) postopku ugotovi kršitev določb predloga zakona ali 101. ali 102. člena PDEU ter podjetju za ugotovljeno kršitev izreče administrativno sankcijo v obliki enkratnega denarnega zneska ali periodičnega denarnega zneska</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8</w:t>
      </w:r>
      <w:r w:rsidR="00FB20D2" w:rsidRPr="002F30DF">
        <w:rPr>
          <w:rFonts w:eastAsia="Calibri" w:cs="Arial"/>
          <w:sz w:val="20"/>
          <w:szCs w:val="20"/>
          <w:lang w:eastAsia="en-US"/>
        </w:rPr>
        <w:t>3</w:t>
      </w:r>
      <w:r w:rsidR="00BD01A0" w:rsidRPr="002F30DF">
        <w:rPr>
          <w:rFonts w:eastAsia="Calibri" w:cs="Arial"/>
          <w:sz w:val="20"/>
          <w:szCs w:val="20"/>
          <w:lang w:eastAsia="en-US"/>
        </w:rPr>
        <w:t>. člen)</w:t>
      </w:r>
      <w:r w:rsidRPr="002F30DF">
        <w:rPr>
          <w:rFonts w:eastAsia="Calibri" w:cs="Arial"/>
          <w:sz w:val="20"/>
          <w:szCs w:val="20"/>
          <w:lang w:eastAsia="en-US"/>
        </w:rPr>
        <w:t xml:space="preserve">; </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lahko agencija v postopku za uveljavljanje pravil konkurence uporabi vse vrste dokazov, razen tistih, ki jih pridobi s kršitvijo ustavno določenih človekovih pravic in temeljnih svoboščin ali če tako določa zakon</w:t>
      </w:r>
      <w:r w:rsidR="005C35B0" w:rsidRPr="002F30DF">
        <w:rPr>
          <w:rFonts w:eastAsia="Calibri" w:cs="Arial"/>
          <w:sz w:val="20"/>
          <w:szCs w:val="20"/>
          <w:lang w:eastAsia="en-US"/>
        </w:rPr>
        <w:t xml:space="preserve"> (</w:t>
      </w:r>
      <w:r w:rsidR="00611F95" w:rsidRPr="002F30DF">
        <w:rPr>
          <w:rFonts w:eastAsia="Calibri" w:cs="Arial"/>
          <w:sz w:val="20"/>
          <w:szCs w:val="20"/>
          <w:lang w:eastAsia="en-US"/>
        </w:rPr>
        <w:t>45</w:t>
      </w:r>
      <w:r w:rsidR="005C35B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se z namenom zagotovitve skladne uporabe pojmov naklep in malomarnost</w:t>
      </w:r>
      <w:r w:rsidR="00652356" w:rsidRPr="002F30DF">
        <w:rPr>
          <w:rFonts w:eastAsia="Calibri" w:cs="Arial"/>
          <w:sz w:val="20"/>
          <w:szCs w:val="20"/>
          <w:lang w:eastAsia="en-US"/>
        </w:rPr>
        <w:t>,</w:t>
      </w:r>
      <w:r w:rsidRPr="002F30DF">
        <w:rPr>
          <w:rFonts w:eastAsia="Calibri" w:cs="Arial"/>
          <w:sz w:val="20"/>
          <w:szCs w:val="20"/>
          <w:lang w:eastAsia="en-US"/>
        </w:rPr>
        <w:t xml:space="preserve"> oba pojma opredelita v zakon</w:t>
      </w:r>
      <w:r w:rsidR="00652356" w:rsidRPr="002F30DF">
        <w:rPr>
          <w:rFonts w:eastAsia="Calibri" w:cs="Arial"/>
          <w:sz w:val="20"/>
          <w:szCs w:val="20"/>
          <w:lang w:eastAsia="en-US"/>
        </w:rPr>
        <w:t>u</w:t>
      </w:r>
      <w:r w:rsidRPr="002F30DF">
        <w:rPr>
          <w:rFonts w:eastAsia="Calibri" w:cs="Arial"/>
          <w:sz w:val="20"/>
          <w:szCs w:val="20"/>
          <w:lang w:eastAsia="en-US"/>
        </w:rPr>
        <w:t xml:space="preserve"> skladno s sodno prasko Sodišč EU</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8</w:t>
      </w:r>
      <w:r w:rsidR="00FB20D2" w:rsidRPr="002F30DF">
        <w:rPr>
          <w:rFonts w:eastAsia="Calibri" w:cs="Arial"/>
          <w:sz w:val="20"/>
          <w:szCs w:val="20"/>
          <w:lang w:eastAsia="en-US"/>
        </w:rPr>
        <w:t>2</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se ohranja najvišja dopustna sankcija za ugotovljeno kršitev določb predlog</w:t>
      </w:r>
      <w:r w:rsidR="00F24224" w:rsidRPr="002F30DF">
        <w:rPr>
          <w:rFonts w:eastAsia="Calibri" w:cs="Arial"/>
          <w:sz w:val="20"/>
          <w:szCs w:val="20"/>
          <w:lang w:eastAsia="en-US"/>
        </w:rPr>
        <w:t>a</w:t>
      </w:r>
      <w:r w:rsidRPr="002F30DF">
        <w:rPr>
          <w:rFonts w:eastAsia="Calibri" w:cs="Arial"/>
          <w:sz w:val="20"/>
          <w:szCs w:val="20"/>
          <w:lang w:eastAsia="en-US"/>
        </w:rPr>
        <w:t xml:space="preserve"> zakona ali 101. ali 102. člena PDEU</w:t>
      </w:r>
      <w:r w:rsidR="00F24224" w:rsidRPr="002F30DF">
        <w:rPr>
          <w:rFonts w:eastAsia="Calibri" w:cs="Arial"/>
          <w:sz w:val="20"/>
          <w:szCs w:val="20"/>
          <w:lang w:eastAsia="en-US"/>
        </w:rPr>
        <w:t>,</w:t>
      </w:r>
      <w:r w:rsidRPr="002F30DF">
        <w:rPr>
          <w:rFonts w:eastAsia="Calibri" w:cs="Arial"/>
          <w:sz w:val="20"/>
          <w:szCs w:val="20"/>
          <w:lang w:eastAsia="en-US"/>
        </w:rPr>
        <w:t xml:space="preserve"> in sicer v višini 10 odstotkov letnega</w:t>
      </w:r>
      <w:r w:rsidR="00754EA0" w:rsidRPr="002F30DF">
        <w:rPr>
          <w:rFonts w:eastAsia="Calibri" w:cs="Arial"/>
          <w:sz w:val="20"/>
          <w:szCs w:val="20"/>
          <w:lang w:eastAsia="en-US"/>
        </w:rPr>
        <w:t xml:space="preserve"> </w:t>
      </w:r>
      <w:r w:rsidRPr="002F30DF">
        <w:rPr>
          <w:rFonts w:eastAsia="Calibri" w:cs="Arial"/>
          <w:sz w:val="20"/>
          <w:szCs w:val="20"/>
          <w:lang w:eastAsia="en-US"/>
        </w:rPr>
        <w:t>prometa podjetja v predhodnem poslovnem letu</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8</w:t>
      </w:r>
      <w:r w:rsidR="00FB20D2" w:rsidRPr="002F30DF">
        <w:rPr>
          <w:rFonts w:eastAsia="Calibri" w:cs="Arial"/>
          <w:sz w:val="20"/>
          <w:szCs w:val="20"/>
          <w:lang w:eastAsia="en-US"/>
        </w:rPr>
        <w:t>4</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lahko agencija z namenom, da podjetje prisili k predložitvi popolnih in pravilnih informacij na podlagi zahteve za posredovanje podatkov</w:t>
      </w:r>
      <w:r w:rsidR="00F24224" w:rsidRPr="002F30DF">
        <w:rPr>
          <w:rFonts w:eastAsia="Calibri" w:cs="Arial"/>
          <w:sz w:val="20"/>
          <w:szCs w:val="20"/>
          <w:lang w:eastAsia="en-US"/>
        </w:rPr>
        <w:t>,</w:t>
      </w:r>
      <w:r w:rsidRPr="002F30DF">
        <w:rPr>
          <w:rFonts w:eastAsia="Calibri" w:cs="Arial"/>
          <w:sz w:val="20"/>
          <w:szCs w:val="20"/>
          <w:lang w:eastAsia="en-US"/>
        </w:rPr>
        <w:t xml:space="preserve"> </w:t>
      </w:r>
      <w:r w:rsidR="008A22DE" w:rsidRPr="002F30DF">
        <w:rPr>
          <w:rFonts w:eastAsia="Calibri" w:cs="Arial"/>
          <w:sz w:val="20"/>
          <w:szCs w:val="20"/>
          <w:lang w:eastAsia="en-US"/>
        </w:rPr>
        <w:t xml:space="preserve">k udeležbi na razgovor za zbiranje </w:t>
      </w:r>
      <w:r w:rsidR="00BD01A0" w:rsidRPr="002F30DF">
        <w:rPr>
          <w:rFonts w:eastAsia="Calibri" w:cs="Arial"/>
          <w:sz w:val="20"/>
          <w:szCs w:val="20"/>
          <w:lang w:eastAsia="en-US"/>
        </w:rPr>
        <w:t>informacij</w:t>
      </w:r>
      <w:r w:rsidRPr="002F30DF">
        <w:rPr>
          <w:rFonts w:eastAsia="Calibri" w:cs="Arial"/>
          <w:sz w:val="20"/>
          <w:szCs w:val="20"/>
          <w:lang w:eastAsia="en-US"/>
        </w:rPr>
        <w:t xml:space="preserve"> ali k podreditvi sodno odrejene preiskave ali k spoštovanju odločb glede prenehanja kršitve, začasnih ukrepov in zavez izreče dnevno periodično administrativno sankcijo do največ pet odstotkov povprečnega dnevnega skupnega prometa podjetja v predhodnem poslovnem letu</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8</w:t>
      </w:r>
      <w:r w:rsidR="00FB20D2" w:rsidRPr="002F30DF">
        <w:rPr>
          <w:rFonts w:eastAsia="Calibri" w:cs="Arial"/>
          <w:sz w:val="20"/>
          <w:szCs w:val="20"/>
          <w:lang w:eastAsia="en-US"/>
        </w:rPr>
        <w:t>4</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agencija pri določitvi višine administrativne sankcije upošteva vse okoliščine primera, zlasti naravo in težo kršitve, letni promet, trajanje kršitve, sodelovanje v postopku ugotavljanja kršitve, povrnitev škode oškodovancem, ali je podjetje z oškodovanci sklenilo poravnave za povračilo škode in nezmožnost plačila</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9</w:t>
      </w:r>
      <w:r w:rsidR="00FB20D2" w:rsidRPr="002F30DF">
        <w:rPr>
          <w:rFonts w:eastAsia="Calibri" w:cs="Arial"/>
          <w:sz w:val="20"/>
          <w:szCs w:val="20"/>
          <w:lang w:eastAsia="en-US"/>
        </w:rPr>
        <w:t>0</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 xml:space="preserve">lahko agencija izreče administrativno sankcijo matični družbi </w:t>
      </w:r>
      <w:r w:rsidR="00BD01A0" w:rsidRPr="002F30DF">
        <w:rPr>
          <w:rFonts w:eastAsia="Calibri" w:cs="Arial"/>
          <w:sz w:val="20"/>
          <w:szCs w:val="20"/>
          <w:lang w:eastAsia="en-US"/>
        </w:rPr>
        <w:t>(</w:t>
      </w:r>
      <w:r w:rsidR="00611F95" w:rsidRPr="002F30DF">
        <w:rPr>
          <w:rFonts w:eastAsia="Calibri" w:cs="Arial"/>
          <w:sz w:val="20"/>
          <w:szCs w:val="20"/>
          <w:lang w:eastAsia="en-US"/>
        </w:rPr>
        <w:t>8</w:t>
      </w:r>
      <w:r w:rsidR="00FB20D2" w:rsidRPr="002F30DF">
        <w:rPr>
          <w:rFonts w:eastAsia="Calibri" w:cs="Arial"/>
          <w:sz w:val="20"/>
          <w:szCs w:val="20"/>
          <w:lang w:eastAsia="en-US"/>
        </w:rPr>
        <w:t>5</w:t>
      </w:r>
      <w:r w:rsidR="00BD01A0" w:rsidRPr="002F30DF">
        <w:rPr>
          <w:rFonts w:eastAsia="Calibri" w:cs="Arial"/>
          <w:sz w:val="20"/>
          <w:szCs w:val="20"/>
          <w:lang w:eastAsia="en-US"/>
        </w:rPr>
        <w:t xml:space="preserve">. člen) </w:t>
      </w:r>
      <w:r w:rsidRPr="002F30DF">
        <w:rPr>
          <w:rFonts w:eastAsia="Calibri" w:cs="Arial"/>
          <w:sz w:val="20"/>
          <w:szCs w:val="20"/>
          <w:lang w:eastAsia="en-US"/>
        </w:rPr>
        <w:t xml:space="preserve">ter </w:t>
      </w:r>
      <w:r w:rsidR="0018645C" w:rsidRPr="002F30DF">
        <w:rPr>
          <w:rFonts w:eastAsia="Calibri" w:cs="Arial"/>
          <w:sz w:val="20"/>
          <w:szCs w:val="20"/>
          <w:lang w:eastAsia="en-US"/>
        </w:rPr>
        <w:t xml:space="preserve">pravnemu </w:t>
      </w:r>
      <w:r w:rsidRPr="002F30DF">
        <w:rPr>
          <w:rFonts w:eastAsia="Calibri" w:cs="Arial"/>
          <w:sz w:val="20"/>
          <w:szCs w:val="20"/>
          <w:lang w:eastAsia="en-US"/>
        </w:rPr>
        <w:t>ali gospodarsk</w:t>
      </w:r>
      <w:r w:rsidR="0018645C" w:rsidRPr="002F30DF">
        <w:rPr>
          <w:rFonts w:eastAsia="Calibri" w:cs="Arial"/>
          <w:sz w:val="20"/>
          <w:szCs w:val="20"/>
          <w:lang w:eastAsia="en-US"/>
        </w:rPr>
        <w:t>emu</w:t>
      </w:r>
      <w:r w:rsidRPr="002F30DF">
        <w:rPr>
          <w:rFonts w:eastAsia="Calibri" w:cs="Arial"/>
          <w:sz w:val="20"/>
          <w:szCs w:val="20"/>
          <w:lang w:eastAsia="en-US"/>
        </w:rPr>
        <w:t xml:space="preserve"> nasledni</w:t>
      </w:r>
      <w:r w:rsidR="0018645C" w:rsidRPr="002F30DF">
        <w:rPr>
          <w:rFonts w:eastAsia="Calibri" w:cs="Arial"/>
          <w:sz w:val="20"/>
          <w:szCs w:val="20"/>
          <w:lang w:eastAsia="en-US"/>
        </w:rPr>
        <w:t>ku</w:t>
      </w:r>
      <w:r w:rsidRPr="002F30DF">
        <w:rPr>
          <w:rFonts w:eastAsia="Calibri" w:cs="Arial"/>
          <w:sz w:val="20"/>
          <w:szCs w:val="20"/>
          <w:lang w:eastAsia="en-US"/>
        </w:rPr>
        <w:t xml:space="preserve"> podjetja, ki je kršilo določbe predloga zakona ali 101. ali 102. člena PDEU</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8</w:t>
      </w:r>
      <w:r w:rsidR="00FB20D2" w:rsidRPr="002F30DF">
        <w:rPr>
          <w:rFonts w:eastAsia="Calibri" w:cs="Arial"/>
          <w:sz w:val="20"/>
          <w:szCs w:val="20"/>
          <w:lang w:eastAsia="en-US"/>
        </w:rPr>
        <w:t>6</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so člani podjetniškega združenja solidarno odgovorni za plačilo administrativne sankcije, ki jo agencija izreče podjetniškemu združenju. Če prispevki članov podjetniškega združenja v določenem roku niso nakazani, lahko agencija zahtevala plačilo neposredno od članov, katerega predstavniki so člani organov odločanja tega podjetniška združenja. Če tudi to ne zadošča za poplačilo izrečene administrativne sankcije, lahko agencija terja plačilo še od drugih članov, ki so dejavni na trgu, razen če posamezni član dokaže, da kršitve ni izvajal, ali ni vedel zanjo, ali je izrazil odklonilno mnenje do takšnega ravnanja</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8</w:t>
      </w:r>
      <w:r w:rsidR="00FB20D2" w:rsidRPr="002F30DF">
        <w:rPr>
          <w:rFonts w:eastAsia="Calibri" w:cs="Arial"/>
          <w:sz w:val="20"/>
          <w:szCs w:val="20"/>
          <w:lang w:eastAsia="en-US"/>
        </w:rPr>
        <w:t>7</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 xml:space="preserve">lahko agencija pod določenimi pogoji podjetju odpusti </w:t>
      </w:r>
      <w:r w:rsidR="0018645C" w:rsidRPr="002F30DF">
        <w:rPr>
          <w:rFonts w:eastAsia="Calibri" w:cs="Arial"/>
          <w:sz w:val="20"/>
          <w:szCs w:val="20"/>
          <w:lang w:eastAsia="en-US"/>
        </w:rPr>
        <w:t xml:space="preserve">ali </w:t>
      </w:r>
      <w:r w:rsidRPr="002F30DF">
        <w:rPr>
          <w:rFonts w:eastAsia="Calibri" w:cs="Arial"/>
          <w:sz w:val="20"/>
          <w:szCs w:val="20"/>
          <w:lang w:eastAsia="en-US"/>
        </w:rPr>
        <w:t>zniža administrativno sankcijo</w:t>
      </w:r>
      <w:r w:rsidR="00BD01A0" w:rsidRPr="002F30DF">
        <w:rPr>
          <w:rFonts w:eastAsia="Calibri" w:cs="Arial"/>
          <w:sz w:val="20"/>
          <w:szCs w:val="20"/>
          <w:lang w:eastAsia="en-US"/>
        </w:rPr>
        <w:t xml:space="preserve"> (</w:t>
      </w:r>
      <w:r w:rsidR="00611F95" w:rsidRPr="002F30DF">
        <w:rPr>
          <w:rFonts w:eastAsia="Calibri" w:cs="Arial"/>
          <w:sz w:val="20"/>
          <w:szCs w:val="20"/>
          <w:lang w:eastAsia="en-US"/>
        </w:rPr>
        <w:t>9</w:t>
      </w:r>
      <w:r w:rsidR="00FB20D2" w:rsidRPr="002F30DF">
        <w:rPr>
          <w:rFonts w:eastAsia="Calibri" w:cs="Arial"/>
          <w:sz w:val="20"/>
          <w:szCs w:val="20"/>
          <w:lang w:eastAsia="en-US"/>
        </w:rPr>
        <w:t>1</w:t>
      </w:r>
      <w:r w:rsidR="00BD01A0" w:rsidRPr="002F30DF">
        <w:rPr>
          <w:rFonts w:eastAsia="Calibri" w:cs="Arial"/>
          <w:sz w:val="20"/>
          <w:szCs w:val="20"/>
          <w:lang w:eastAsia="en-US"/>
        </w:rPr>
        <w:t>. člen)</w:t>
      </w:r>
      <w:r w:rsidRPr="002F30DF">
        <w:rPr>
          <w:rFonts w:eastAsia="Calibri" w:cs="Arial"/>
          <w:sz w:val="20"/>
          <w:szCs w:val="20"/>
          <w:lang w:eastAsia="en-US"/>
        </w:rPr>
        <w:t>;</w:t>
      </w:r>
    </w:p>
    <w:p w:rsidR="00AC6E15" w:rsidRPr="002F30DF" w:rsidRDefault="006E7A97"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lastRenderedPageBreak/>
        <w:t>spreminja se tek zastaranja</w:t>
      </w:r>
      <w:r w:rsidR="00235B04" w:rsidRPr="002F30DF">
        <w:rPr>
          <w:rFonts w:eastAsia="Calibri" w:cs="Arial"/>
          <w:sz w:val="20"/>
          <w:szCs w:val="20"/>
          <w:lang w:eastAsia="en-US"/>
        </w:rPr>
        <w:t>, in sicer, t</w:t>
      </w:r>
      <w:r w:rsidR="00AC6E15" w:rsidRPr="002F30DF">
        <w:rPr>
          <w:rFonts w:eastAsia="Calibri" w:cs="Arial"/>
          <w:sz w:val="20"/>
          <w:szCs w:val="20"/>
          <w:lang w:eastAsia="en-US"/>
        </w:rPr>
        <w:t>ek zastaralnega roka pretrga vsako dejanje agencije, ki ga izvede zaradi preiskave ali postopka v zvezi s kršitvijo določb predloga zakona ali 101. ali 102. člena PDEU. Ureja se tudi prekinitev teka zastaralnega roka, ko je odločitev o administrativnem prestopku predmet postopka sodnega varstva, ali se po zakonu postopek ne sme začeti ali nadaljevati, oziroma za čas trajanja postopka za uveljavljanje pravil konkurence pred organi, pristojnimi za varstvo konkurence drugih držav članic, ali Evropsko komisijo</w:t>
      </w:r>
      <w:r w:rsidR="00BD01A0" w:rsidRPr="002F30DF">
        <w:rPr>
          <w:rFonts w:eastAsia="Calibri" w:cs="Arial"/>
          <w:sz w:val="20"/>
          <w:szCs w:val="20"/>
          <w:lang w:eastAsia="en-US"/>
        </w:rPr>
        <w:t xml:space="preserve"> (</w:t>
      </w:r>
      <w:r w:rsidR="00FB20D2" w:rsidRPr="002F30DF">
        <w:rPr>
          <w:rFonts w:eastAsia="Calibri" w:cs="Arial"/>
          <w:sz w:val="20"/>
          <w:szCs w:val="20"/>
          <w:lang w:eastAsia="en-US"/>
        </w:rPr>
        <w:t>89</w:t>
      </w:r>
      <w:r w:rsidR="00BD01A0" w:rsidRPr="002F30DF">
        <w:rPr>
          <w:rFonts w:eastAsia="Calibri" w:cs="Arial"/>
          <w:sz w:val="20"/>
          <w:szCs w:val="20"/>
          <w:lang w:eastAsia="en-US"/>
        </w:rPr>
        <w:t>. člen)</w:t>
      </w:r>
      <w:r w:rsidR="00AC6E15" w:rsidRPr="002F30DF">
        <w:rPr>
          <w:rFonts w:eastAsia="Calibri" w:cs="Arial"/>
          <w:sz w:val="20"/>
          <w:szCs w:val="20"/>
          <w:lang w:eastAsia="en-US"/>
        </w:rPr>
        <w:t>;</w:t>
      </w:r>
    </w:p>
    <w:p w:rsidR="00AC6E15" w:rsidRPr="002F30DF" w:rsidRDefault="00AC6E15" w:rsidP="00173AA0">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se ohranjajo prekrški zoper odgovorne osebe pravnih oseb in odgovorne osebe</w:t>
      </w:r>
      <w:r w:rsidR="00C55AAB" w:rsidRPr="002F30DF">
        <w:rPr>
          <w:rFonts w:eastAsia="Calibri" w:cs="Arial"/>
          <w:sz w:val="20"/>
          <w:szCs w:val="20"/>
          <w:lang w:eastAsia="en-US"/>
        </w:rPr>
        <w:t xml:space="preserve"> </w:t>
      </w:r>
      <w:r w:rsidRPr="002F30DF">
        <w:rPr>
          <w:rFonts w:eastAsia="Calibri" w:cs="Arial"/>
          <w:sz w:val="20"/>
          <w:szCs w:val="20"/>
          <w:lang w:eastAsia="en-US"/>
        </w:rPr>
        <w:t>samostojnega podjetnika posameznika</w:t>
      </w:r>
      <w:r w:rsidR="00BD01A0" w:rsidRPr="002F30DF">
        <w:rPr>
          <w:rFonts w:eastAsia="Calibri" w:cs="Arial"/>
          <w:sz w:val="20"/>
          <w:szCs w:val="20"/>
          <w:lang w:eastAsia="en-US"/>
        </w:rPr>
        <w:t xml:space="preserve"> (</w:t>
      </w:r>
      <w:r w:rsidR="00EF5D4D" w:rsidRPr="002F30DF">
        <w:rPr>
          <w:rFonts w:eastAsia="Calibri" w:cs="Arial"/>
          <w:sz w:val="20"/>
          <w:szCs w:val="20"/>
          <w:lang w:eastAsia="en-US"/>
        </w:rPr>
        <w:t>13</w:t>
      </w:r>
      <w:r w:rsidR="00FB20D2" w:rsidRPr="002F30DF">
        <w:rPr>
          <w:rFonts w:eastAsia="Calibri" w:cs="Arial"/>
          <w:sz w:val="20"/>
          <w:szCs w:val="20"/>
          <w:lang w:eastAsia="en-US"/>
        </w:rPr>
        <w:t>2</w:t>
      </w:r>
      <w:r w:rsidR="00BD01A0" w:rsidRPr="002F30DF">
        <w:rPr>
          <w:rFonts w:eastAsia="Calibri" w:cs="Arial"/>
          <w:sz w:val="20"/>
          <w:szCs w:val="20"/>
          <w:lang w:eastAsia="en-US"/>
        </w:rPr>
        <w:t>. člen)</w:t>
      </w:r>
      <w:r w:rsidRPr="002F30DF">
        <w:rPr>
          <w:rFonts w:eastAsia="Calibri" w:cs="Arial"/>
          <w:sz w:val="20"/>
          <w:szCs w:val="20"/>
          <w:lang w:eastAsia="en-US"/>
        </w:rPr>
        <w:t>.</w:t>
      </w:r>
    </w:p>
    <w:p w:rsidR="00235B04" w:rsidRPr="002F30DF" w:rsidRDefault="00235B04"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5477BA"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4</w:t>
      </w:r>
      <w:r w:rsidR="00AC6E15" w:rsidRPr="002F30DF">
        <w:rPr>
          <w:rFonts w:eastAsia="Calibri" w:cs="Arial"/>
          <w:b/>
          <w:sz w:val="20"/>
          <w:szCs w:val="20"/>
          <w:lang w:eastAsia="en-US"/>
        </w:rPr>
        <w:t xml:space="preserve">. Rešitve, ki se nanašajo na določitev izjem glede vpliva </w:t>
      </w:r>
      <w:r w:rsidR="00754EA0" w:rsidRPr="002F30DF">
        <w:rPr>
          <w:rFonts w:eastAsia="Calibri" w:cs="Arial"/>
          <w:b/>
          <w:sz w:val="20"/>
          <w:szCs w:val="20"/>
          <w:lang w:eastAsia="en-US"/>
        </w:rPr>
        <w:t xml:space="preserve">izjave </w:t>
      </w:r>
      <w:r w:rsidR="00AC6E15" w:rsidRPr="002F30DF">
        <w:rPr>
          <w:rFonts w:eastAsia="Calibri" w:cs="Arial"/>
          <w:b/>
          <w:sz w:val="20"/>
          <w:szCs w:val="20"/>
          <w:lang w:eastAsia="en-US"/>
        </w:rPr>
        <w:t>za odpustitev sankcij na izrek sankcije fizični osebi določajo, da:</w:t>
      </w:r>
    </w:p>
    <w:p w:rsidR="00AC6E15" w:rsidRPr="002F30DF" w:rsidRDefault="00AC6E15"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 xml:space="preserve">se </w:t>
      </w:r>
      <w:r w:rsidR="00754EA0" w:rsidRPr="002F30DF">
        <w:rPr>
          <w:rFonts w:eastAsia="Calibri" w:cs="Arial"/>
          <w:sz w:val="20"/>
          <w:szCs w:val="20"/>
          <w:lang w:eastAsia="en-US"/>
        </w:rPr>
        <w:t>trenutnim in nekdanjim odgovornim osebam in drugim zaposlenim v podjetju, ki je vložilo izjavo zaradi prizanesljivosti</w:t>
      </w:r>
      <w:r w:rsidRPr="002F30DF">
        <w:rPr>
          <w:rFonts w:eastAsia="Calibri" w:cs="Arial"/>
          <w:sz w:val="20"/>
          <w:szCs w:val="20"/>
          <w:lang w:eastAsia="en-US"/>
        </w:rPr>
        <w:t xml:space="preserve">, v zvezi z njeno udeležbo v kartelu, navedeno v </w:t>
      </w:r>
      <w:r w:rsidR="007D14FB" w:rsidRPr="002F30DF">
        <w:rPr>
          <w:rFonts w:eastAsia="Calibri" w:cs="Arial"/>
          <w:sz w:val="20"/>
          <w:szCs w:val="20"/>
          <w:lang w:eastAsia="en-US"/>
        </w:rPr>
        <w:t>izjav</w:t>
      </w:r>
      <w:r w:rsidR="005C35B0" w:rsidRPr="002F30DF">
        <w:rPr>
          <w:rFonts w:eastAsia="Calibri" w:cs="Arial"/>
          <w:sz w:val="20"/>
          <w:szCs w:val="20"/>
          <w:lang w:eastAsia="en-US"/>
        </w:rPr>
        <w:t>i</w:t>
      </w:r>
      <w:r w:rsidRPr="002F30DF">
        <w:rPr>
          <w:rFonts w:eastAsia="Calibri" w:cs="Arial"/>
          <w:sz w:val="20"/>
          <w:szCs w:val="20"/>
          <w:lang w:eastAsia="en-US"/>
        </w:rPr>
        <w:t xml:space="preserve"> za</w:t>
      </w:r>
      <w:r w:rsidR="007D14FB" w:rsidRPr="002F30DF">
        <w:rPr>
          <w:rFonts w:eastAsia="Calibri" w:cs="Arial"/>
          <w:sz w:val="20"/>
          <w:szCs w:val="20"/>
          <w:lang w:eastAsia="en-US"/>
        </w:rPr>
        <w:t>radi</w:t>
      </w:r>
      <w:r w:rsidRPr="002F30DF">
        <w:rPr>
          <w:rFonts w:eastAsia="Calibri" w:cs="Arial"/>
          <w:sz w:val="20"/>
          <w:szCs w:val="20"/>
          <w:lang w:eastAsia="en-US"/>
        </w:rPr>
        <w:t xml:space="preserve"> prizanesljivost</w:t>
      </w:r>
      <w:r w:rsidR="007D14FB" w:rsidRPr="002F30DF">
        <w:rPr>
          <w:rFonts w:eastAsia="Calibri" w:cs="Arial"/>
          <w:sz w:val="20"/>
          <w:szCs w:val="20"/>
          <w:lang w:eastAsia="en-US"/>
        </w:rPr>
        <w:t>i</w:t>
      </w:r>
      <w:r w:rsidRPr="002F30DF">
        <w:rPr>
          <w:rFonts w:eastAsia="Calibri" w:cs="Arial"/>
          <w:sz w:val="20"/>
          <w:szCs w:val="20"/>
          <w:lang w:eastAsia="en-US"/>
        </w:rPr>
        <w:t>, ne sme izreči sankcij v kazenskem postopku, če so izpolnjeni zakonski pogoji</w:t>
      </w:r>
      <w:r w:rsidR="00754EA0" w:rsidRPr="002F30DF">
        <w:rPr>
          <w:rFonts w:cs="Arial"/>
          <w:sz w:val="20"/>
          <w:szCs w:val="20"/>
        </w:rPr>
        <w:t xml:space="preserve"> </w:t>
      </w:r>
      <w:r w:rsidR="00754EA0" w:rsidRPr="002F30DF">
        <w:rPr>
          <w:rFonts w:eastAsia="Calibri" w:cs="Arial"/>
          <w:sz w:val="20"/>
          <w:szCs w:val="20"/>
          <w:lang w:eastAsia="en-US"/>
        </w:rPr>
        <w:t xml:space="preserve">in če je bila prijava podjetja za odpustitev administrativne </w:t>
      </w:r>
      <w:r w:rsidR="00F3509B" w:rsidRPr="002F30DF">
        <w:rPr>
          <w:rFonts w:eastAsia="Calibri" w:cs="Arial"/>
          <w:sz w:val="20"/>
          <w:szCs w:val="20"/>
          <w:lang w:eastAsia="en-US"/>
        </w:rPr>
        <w:t xml:space="preserve">sankcije </w:t>
      </w:r>
      <w:r w:rsidR="00754EA0" w:rsidRPr="002F30DF">
        <w:rPr>
          <w:rFonts w:eastAsia="Calibri" w:cs="Arial"/>
          <w:sz w:val="20"/>
          <w:szCs w:val="20"/>
          <w:lang w:eastAsia="en-US"/>
        </w:rPr>
        <w:t>vložena, še preden je bila odgovorna oseba s strani agencije ali organa, pristojnega za varstvo konkurence druge države članice</w:t>
      </w:r>
      <w:r w:rsidR="00F3509B" w:rsidRPr="002F30DF">
        <w:rPr>
          <w:rFonts w:eastAsia="Calibri" w:cs="Arial"/>
          <w:sz w:val="20"/>
          <w:szCs w:val="20"/>
          <w:lang w:eastAsia="en-US"/>
        </w:rPr>
        <w:t xml:space="preserve"> ali Evropsk</w:t>
      </w:r>
      <w:r w:rsidR="005C35B0" w:rsidRPr="002F30DF">
        <w:rPr>
          <w:rFonts w:eastAsia="Calibri" w:cs="Arial"/>
          <w:sz w:val="20"/>
          <w:szCs w:val="20"/>
          <w:lang w:eastAsia="en-US"/>
        </w:rPr>
        <w:t>e</w:t>
      </w:r>
      <w:r w:rsidR="00F3509B" w:rsidRPr="002F30DF">
        <w:rPr>
          <w:rFonts w:eastAsia="Calibri" w:cs="Arial"/>
          <w:sz w:val="20"/>
          <w:szCs w:val="20"/>
          <w:lang w:eastAsia="en-US"/>
        </w:rPr>
        <w:t xml:space="preserve"> komisij</w:t>
      </w:r>
      <w:r w:rsidR="005C35B0" w:rsidRPr="002F30DF">
        <w:rPr>
          <w:rFonts w:eastAsia="Calibri" w:cs="Arial"/>
          <w:sz w:val="20"/>
          <w:szCs w:val="20"/>
          <w:lang w:eastAsia="en-US"/>
        </w:rPr>
        <w:t>e</w:t>
      </w:r>
      <w:r w:rsidR="00754EA0" w:rsidRPr="002F30DF">
        <w:rPr>
          <w:rFonts w:eastAsia="Calibri" w:cs="Arial"/>
          <w:sz w:val="20"/>
          <w:szCs w:val="20"/>
          <w:lang w:eastAsia="en-US"/>
        </w:rPr>
        <w:t>, obveščena o postopku zaradi kršitev konkurenčnega prava</w:t>
      </w:r>
      <w:r w:rsidR="00F3509B" w:rsidRPr="002F30DF">
        <w:rPr>
          <w:rFonts w:eastAsia="Calibri" w:cs="Arial"/>
          <w:sz w:val="20"/>
          <w:szCs w:val="20"/>
          <w:lang w:eastAsia="en-US"/>
        </w:rPr>
        <w:t xml:space="preserve"> (</w:t>
      </w:r>
      <w:r w:rsidR="00EF5D4D" w:rsidRPr="002F30DF">
        <w:rPr>
          <w:rFonts w:eastAsia="Calibri" w:cs="Arial"/>
          <w:sz w:val="20"/>
          <w:szCs w:val="20"/>
          <w:lang w:eastAsia="en-US"/>
        </w:rPr>
        <w:t>9</w:t>
      </w:r>
      <w:r w:rsidR="00FB20D2" w:rsidRPr="002F30DF">
        <w:rPr>
          <w:rFonts w:eastAsia="Calibri" w:cs="Arial"/>
          <w:sz w:val="20"/>
          <w:szCs w:val="20"/>
          <w:lang w:eastAsia="en-US"/>
        </w:rPr>
        <w:t>2</w:t>
      </w:r>
      <w:r w:rsidR="00F3509B" w:rsidRPr="002F30DF">
        <w:rPr>
          <w:rFonts w:eastAsia="Calibri" w:cs="Arial"/>
          <w:sz w:val="20"/>
          <w:szCs w:val="20"/>
          <w:lang w:eastAsia="en-US"/>
        </w:rPr>
        <w:t>. člen)</w:t>
      </w:r>
      <w:r w:rsidRPr="002F30DF">
        <w:rPr>
          <w:rFonts w:eastAsia="Calibri" w:cs="Arial"/>
          <w:sz w:val="20"/>
          <w:szCs w:val="20"/>
          <w:lang w:eastAsia="en-US"/>
        </w:rPr>
        <w:t xml:space="preserve">; </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sz w:val="20"/>
          <w:szCs w:val="20"/>
          <w:lang w:eastAsia="en-US"/>
        </w:rPr>
      </w:pPr>
      <w:r w:rsidRPr="002F30DF">
        <w:rPr>
          <w:rFonts w:eastAsia="Calibri" w:cs="Arial"/>
          <w:sz w:val="20"/>
          <w:szCs w:val="20"/>
          <w:lang w:eastAsia="en-US"/>
        </w:rPr>
        <w:t>državni tožilec ni dolžan začeti kazenskega pregona oziroma sme odstopiti od pregona tudi v primeru, ko prispevek k odkritju in preiskavi kartela fizične osebe pretehta nad interesom za pregon oziroma nad sankcioniranjem</w:t>
      </w:r>
      <w:r w:rsidR="00F3509B" w:rsidRPr="002F30DF">
        <w:rPr>
          <w:rFonts w:eastAsia="Calibri" w:cs="Arial"/>
          <w:sz w:val="20"/>
          <w:szCs w:val="20"/>
          <w:lang w:eastAsia="en-US"/>
        </w:rPr>
        <w:t xml:space="preserve"> (</w:t>
      </w:r>
      <w:r w:rsidR="00EF5D4D" w:rsidRPr="002F30DF">
        <w:rPr>
          <w:rFonts w:eastAsia="Calibri" w:cs="Arial"/>
          <w:sz w:val="20"/>
          <w:szCs w:val="20"/>
          <w:lang w:eastAsia="en-US"/>
        </w:rPr>
        <w:t>9</w:t>
      </w:r>
      <w:r w:rsidR="00FB20D2" w:rsidRPr="002F30DF">
        <w:rPr>
          <w:rFonts w:eastAsia="Calibri" w:cs="Arial"/>
          <w:sz w:val="20"/>
          <w:szCs w:val="20"/>
          <w:lang w:eastAsia="en-US"/>
        </w:rPr>
        <w:t>2</w:t>
      </w:r>
      <w:r w:rsidR="00F3509B" w:rsidRPr="002F30DF">
        <w:rPr>
          <w:rFonts w:eastAsia="Calibri" w:cs="Arial"/>
          <w:sz w:val="20"/>
          <w:szCs w:val="20"/>
          <w:lang w:eastAsia="en-US"/>
        </w:rPr>
        <w:t>. člen)</w:t>
      </w:r>
      <w:r w:rsidRPr="002F30DF">
        <w:rPr>
          <w:rFonts w:eastAsia="Calibri" w:cs="Arial"/>
          <w:sz w:val="20"/>
          <w:szCs w:val="20"/>
          <w:lang w:eastAsia="en-US"/>
        </w:rPr>
        <w:t xml:space="preserve">. </w:t>
      </w:r>
    </w:p>
    <w:p w:rsidR="00AC6E15" w:rsidRPr="002F30DF" w:rsidRDefault="00AC6E15" w:rsidP="00AC6E15">
      <w:pPr>
        <w:overflowPunct/>
        <w:autoSpaceDE/>
        <w:autoSpaceDN/>
        <w:adjustRightInd/>
        <w:spacing w:line="260" w:lineRule="exact"/>
        <w:ind w:left="284"/>
        <w:textAlignment w:val="auto"/>
        <w:rPr>
          <w:rFonts w:eastAsia="Calibri" w:cs="Arial"/>
          <w:sz w:val="20"/>
          <w:szCs w:val="20"/>
          <w:lang w:eastAsia="en-US"/>
        </w:rPr>
      </w:pPr>
    </w:p>
    <w:p w:rsidR="00AC6E15" w:rsidRPr="002F30DF" w:rsidRDefault="005477BA"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5</w:t>
      </w:r>
      <w:r w:rsidR="00AC6E15" w:rsidRPr="002F30DF">
        <w:rPr>
          <w:rFonts w:eastAsia="Calibri" w:cs="Arial"/>
          <w:b/>
          <w:sz w:val="20"/>
          <w:szCs w:val="20"/>
          <w:lang w:eastAsia="en-US"/>
        </w:rPr>
        <w:t>. Rešitve, ki se nanašajo na mednarodno sodelovanje pri vročitvi in izvršitvi dokumentov organov, pristojnih za varstvo konkurence, urejajo:</w:t>
      </w:r>
    </w:p>
    <w:p w:rsidR="00AC6E15" w:rsidRPr="002F30DF" w:rsidRDefault="00AC6E15" w:rsidP="00AC6E15">
      <w:pPr>
        <w:overflowPunct/>
        <w:autoSpaceDE/>
        <w:autoSpaceDN/>
        <w:adjustRightInd/>
        <w:spacing w:line="260" w:lineRule="exact"/>
        <w:ind w:left="284"/>
        <w:textAlignment w:val="auto"/>
        <w:rPr>
          <w:rFonts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textAlignment w:val="auto"/>
        <w:rPr>
          <w:rFonts w:cs="Arial"/>
          <w:sz w:val="20"/>
          <w:szCs w:val="20"/>
          <w:lang w:eastAsia="en-US"/>
        </w:rPr>
      </w:pPr>
      <w:r w:rsidRPr="002F30DF">
        <w:rPr>
          <w:rFonts w:cs="Arial"/>
          <w:sz w:val="20"/>
          <w:szCs w:val="20"/>
          <w:lang w:eastAsia="en-US"/>
        </w:rPr>
        <w:t>način vročanja predhodnih ugotovitev o domnevni kršitvi ter drugih procesnih aktov podjetju, ki ima sedež ali premoženje v drugi državi članici</w:t>
      </w:r>
      <w:r w:rsidR="00F3509B" w:rsidRPr="002F30DF">
        <w:rPr>
          <w:rFonts w:cs="Arial"/>
          <w:sz w:val="20"/>
          <w:szCs w:val="20"/>
          <w:lang w:eastAsia="en-US"/>
        </w:rPr>
        <w:t xml:space="preserve"> (</w:t>
      </w:r>
      <w:r w:rsidR="00FB20D2" w:rsidRPr="002F30DF">
        <w:rPr>
          <w:rFonts w:cs="Arial"/>
          <w:sz w:val="20"/>
          <w:szCs w:val="20"/>
          <w:lang w:eastAsia="en-US"/>
        </w:rPr>
        <w:t>98</w:t>
      </w:r>
      <w:r w:rsidR="00F3509B" w:rsidRPr="002F30DF">
        <w:rPr>
          <w:rFonts w:cs="Arial"/>
          <w:sz w:val="20"/>
          <w:szCs w:val="20"/>
          <w:lang w:eastAsia="en-US"/>
        </w:rPr>
        <w:t>. člen)</w:t>
      </w:r>
      <w:r w:rsidRPr="002F30DF">
        <w:rPr>
          <w:rFonts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cs="Arial"/>
          <w:sz w:val="20"/>
          <w:szCs w:val="20"/>
          <w:lang w:eastAsia="en-US"/>
        </w:rPr>
      </w:pPr>
      <w:r w:rsidRPr="002F30DF">
        <w:rPr>
          <w:rFonts w:cs="Arial"/>
          <w:sz w:val="20"/>
          <w:szCs w:val="20"/>
          <w:lang w:eastAsia="en-US"/>
        </w:rPr>
        <w:t>način izvršitve pravnomočne odločbe, s katero je izrečena administrativna sankcija ali periodična administrativna sankcija podjetju, ki v Republiki Sloveniji nima zadostnih sredstev za plačilo izrečene administrativne sankcije. V ta namen agencija lahko zaprosi za pomoč organ,</w:t>
      </w:r>
      <w:r w:rsidR="00A557EC" w:rsidRPr="002F30DF">
        <w:rPr>
          <w:rFonts w:cs="Arial"/>
          <w:sz w:val="20"/>
          <w:szCs w:val="20"/>
          <w:lang w:eastAsia="en-US"/>
        </w:rPr>
        <w:t xml:space="preserve"> pristojen</w:t>
      </w:r>
      <w:r w:rsidRPr="002F30DF">
        <w:rPr>
          <w:rFonts w:cs="Arial"/>
          <w:sz w:val="20"/>
          <w:szCs w:val="20"/>
          <w:lang w:eastAsia="en-US"/>
        </w:rPr>
        <w:t xml:space="preserve"> za varstvo konkurence druge države članice, ali drugi javni organ, ki je pristojen za izvrševanje aktov na podlagi nacionalnih predpisov v drugi državi članici</w:t>
      </w:r>
      <w:r w:rsidR="00F3509B" w:rsidRPr="002F30DF">
        <w:rPr>
          <w:rFonts w:cs="Arial"/>
          <w:sz w:val="20"/>
          <w:szCs w:val="20"/>
          <w:lang w:eastAsia="en-US"/>
        </w:rPr>
        <w:t xml:space="preserve"> (</w:t>
      </w:r>
      <w:r w:rsidR="00FB20D2" w:rsidRPr="002F30DF">
        <w:rPr>
          <w:rFonts w:cs="Arial"/>
          <w:sz w:val="20"/>
          <w:szCs w:val="20"/>
          <w:lang w:eastAsia="en-US"/>
        </w:rPr>
        <w:t>98</w:t>
      </w:r>
      <w:r w:rsidR="00F3509B" w:rsidRPr="002F30DF">
        <w:rPr>
          <w:rFonts w:cs="Arial"/>
          <w:sz w:val="20"/>
          <w:szCs w:val="20"/>
          <w:lang w:eastAsia="en-US"/>
        </w:rPr>
        <w:t>. člen)</w:t>
      </w:r>
      <w:r w:rsidRPr="002F30DF">
        <w:rPr>
          <w:rFonts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cs="Arial"/>
          <w:sz w:val="20"/>
          <w:szCs w:val="20"/>
          <w:lang w:eastAsia="en-US"/>
        </w:rPr>
      </w:pPr>
      <w:r w:rsidRPr="002F30DF">
        <w:rPr>
          <w:rFonts w:cs="Arial"/>
          <w:sz w:val="20"/>
          <w:szCs w:val="20"/>
          <w:lang w:eastAsia="en-US"/>
        </w:rPr>
        <w:lastRenderedPageBreak/>
        <w:t>način vročitve in izvršitve aktov organov, pristojnih za varstvo konkurence drugih držav članic, v Republiki Slovenije. V ta namen je določeno, da akte vroča agencija, pravnomočne odločbe pa izvrši davčni organ, po postopku predpisanem za izvršbo davčnih obveznosti</w:t>
      </w:r>
      <w:r w:rsidR="00F3509B" w:rsidRPr="002F30DF">
        <w:rPr>
          <w:rFonts w:cs="Arial"/>
          <w:sz w:val="20"/>
          <w:szCs w:val="20"/>
          <w:lang w:eastAsia="en-US"/>
        </w:rPr>
        <w:t xml:space="preserve"> (</w:t>
      </w:r>
      <w:r w:rsidR="00FB20D2" w:rsidRPr="002F30DF">
        <w:rPr>
          <w:rFonts w:cs="Arial"/>
          <w:sz w:val="20"/>
          <w:szCs w:val="20"/>
          <w:lang w:eastAsia="en-US"/>
        </w:rPr>
        <w:t>99</w:t>
      </w:r>
      <w:r w:rsidR="00F3509B" w:rsidRPr="002F30DF">
        <w:rPr>
          <w:rFonts w:cs="Arial"/>
          <w:sz w:val="20"/>
          <w:szCs w:val="20"/>
          <w:lang w:eastAsia="en-US"/>
        </w:rPr>
        <w:t>. člen)</w:t>
      </w:r>
      <w:r w:rsidRPr="002F30DF">
        <w:rPr>
          <w:rFonts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cs="Arial"/>
          <w:sz w:val="20"/>
          <w:szCs w:val="20"/>
          <w:lang w:eastAsia="en-US"/>
        </w:rPr>
      </w:pPr>
      <w:r w:rsidRPr="002F30DF">
        <w:rPr>
          <w:rFonts w:cs="Arial"/>
          <w:sz w:val="20"/>
          <w:szCs w:val="20"/>
          <w:lang w:eastAsia="en-US"/>
        </w:rPr>
        <w:t>vsebino zaprosil, pri čemer se za vročitev ali izvršitev ne zahteva nobenih listin o priznanju, dopolnitvi ali nadomestitvi</w:t>
      </w:r>
      <w:r w:rsidR="00F3509B" w:rsidRPr="002F30DF">
        <w:rPr>
          <w:rFonts w:cs="Arial"/>
          <w:sz w:val="20"/>
          <w:szCs w:val="20"/>
          <w:lang w:eastAsia="en-US"/>
        </w:rPr>
        <w:t xml:space="preserve"> (</w:t>
      </w:r>
      <w:r w:rsidR="00FB20D2" w:rsidRPr="002F30DF">
        <w:rPr>
          <w:rFonts w:cs="Arial"/>
          <w:sz w:val="20"/>
          <w:szCs w:val="20"/>
          <w:lang w:eastAsia="en-US"/>
        </w:rPr>
        <w:t>98</w:t>
      </w:r>
      <w:r w:rsidR="00F3509B" w:rsidRPr="002F30DF">
        <w:rPr>
          <w:rFonts w:cs="Arial"/>
          <w:sz w:val="20"/>
          <w:szCs w:val="20"/>
          <w:lang w:eastAsia="en-US"/>
        </w:rPr>
        <w:t xml:space="preserve">. in </w:t>
      </w:r>
      <w:r w:rsidR="00EF5D4D" w:rsidRPr="002F30DF">
        <w:rPr>
          <w:rFonts w:cs="Arial"/>
          <w:sz w:val="20"/>
          <w:szCs w:val="20"/>
          <w:lang w:eastAsia="en-US"/>
        </w:rPr>
        <w:t>1</w:t>
      </w:r>
      <w:r w:rsidR="00A106CC" w:rsidRPr="002F30DF">
        <w:rPr>
          <w:rFonts w:cs="Arial"/>
          <w:sz w:val="20"/>
          <w:szCs w:val="20"/>
          <w:lang w:eastAsia="en-US"/>
        </w:rPr>
        <w:t>1</w:t>
      </w:r>
      <w:r w:rsidR="00FB20D2" w:rsidRPr="002F30DF">
        <w:rPr>
          <w:rFonts w:cs="Arial"/>
          <w:sz w:val="20"/>
          <w:szCs w:val="20"/>
          <w:lang w:eastAsia="en-US"/>
        </w:rPr>
        <w:t>0</w:t>
      </w:r>
      <w:r w:rsidR="00F3509B" w:rsidRPr="002F30DF">
        <w:rPr>
          <w:rFonts w:cs="Arial"/>
          <w:sz w:val="20"/>
          <w:szCs w:val="20"/>
          <w:lang w:eastAsia="en-US"/>
        </w:rPr>
        <w:t>. člen)</w:t>
      </w:r>
      <w:r w:rsidRPr="002F30DF">
        <w:rPr>
          <w:rFonts w:cs="Arial"/>
          <w:sz w:val="20"/>
          <w:szCs w:val="20"/>
          <w:lang w:eastAsia="en-US"/>
        </w:rPr>
        <w:t>;</w:t>
      </w:r>
    </w:p>
    <w:p w:rsidR="00AC6E15" w:rsidRPr="002F30DF" w:rsidRDefault="00AC6E15" w:rsidP="00431BAA">
      <w:pPr>
        <w:numPr>
          <w:ilvl w:val="1"/>
          <w:numId w:val="86"/>
        </w:numPr>
        <w:overflowPunct/>
        <w:autoSpaceDE/>
        <w:autoSpaceDN/>
        <w:adjustRightInd/>
        <w:spacing w:line="260" w:lineRule="exact"/>
        <w:ind w:left="284" w:hanging="284"/>
        <w:textAlignment w:val="auto"/>
        <w:rPr>
          <w:rFonts w:cs="Arial"/>
          <w:sz w:val="20"/>
          <w:szCs w:val="20"/>
          <w:lang w:eastAsia="en-US"/>
        </w:rPr>
      </w:pPr>
      <w:r w:rsidRPr="002F30DF">
        <w:rPr>
          <w:rFonts w:cs="Arial"/>
          <w:sz w:val="20"/>
          <w:szCs w:val="20"/>
          <w:lang w:eastAsia="en-US"/>
        </w:rPr>
        <w:t>pristojnost in pravo države, ki se uporablja v sporih v zvezi z zaprosili za vročitev ali izvršitev odločb</w:t>
      </w:r>
      <w:r w:rsidR="00F3509B" w:rsidRPr="002F30DF">
        <w:rPr>
          <w:rFonts w:cs="Arial"/>
          <w:sz w:val="20"/>
          <w:szCs w:val="20"/>
          <w:lang w:eastAsia="en-US"/>
        </w:rPr>
        <w:t xml:space="preserve"> (</w:t>
      </w:r>
      <w:r w:rsidR="00EF5D4D" w:rsidRPr="002F30DF">
        <w:rPr>
          <w:rFonts w:cs="Arial"/>
          <w:sz w:val="20"/>
          <w:szCs w:val="20"/>
          <w:lang w:eastAsia="en-US"/>
        </w:rPr>
        <w:t>10</w:t>
      </w:r>
      <w:r w:rsidR="00FB20D2" w:rsidRPr="002F30DF">
        <w:rPr>
          <w:rFonts w:cs="Arial"/>
          <w:sz w:val="20"/>
          <w:szCs w:val="20"/>
          <w:lang w:eastAsia="en-US"/>
        </w:rPr>
        <w:t>1</w:t>
      </w:r>
      <w:r w:rsidR="00F3509B" w:rsidRPr="002F30DF">
        <w:rPr>
          <w:rFonts w:cs="Arial"/>
          <w:sz w:val="20"/>
          <w:szCs w:val="20"/>
          <w:lang w:eastAsia="en-US"/>
        </w:rPr>
        <w:t>. člen)</w:t>
      </w:r>
      <w:r w:rsidRPr="002F30DF">
        <w:rPr>
          <w:rFonts w:cs="Arial"/>
          <w:sz w:val="20"/>
          <w:szCs w:val="20"/>
          <w:lang w:eastAsia="en-US"/>
        </w:rPr>
        <w:t>.</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b) Način reševanja: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eastAsia="Calibri" w:cs="Arial"/>
          <w:b/>
          <w:sz w:val="20"/>
          <w:szCs w:val="20"/>
          <w:lang w:eastAsia="en-US"/>
        </w:rPr>
      </w:pPr>
      <w:r w:rsidRPr="002F30DF">
        <w:rPr>
          <w:rFonts w:eastAsia="Calibri" w:cs="Arial"/>
          <w:sz w:val="20"/>
          <w:szCs w:val="20"/>
          <w:u w:val="single"/>
          <w:lang w:eastAsia="en-US"/>
        </w:rPr>
        <w:t>vprašanja, ki se bodo urejala s predlaganim zakonom,</w:t>
      </w:r>
    </w:p>
    <w:p w:rsidR="00AC6E15" w:rsidRPr="002F30DF" w:rsidRDefault="00AC6E15" w:rsidP="00AC6E15">
      <w:pPr>
        <w:overflowPunct/>
        <w:autoSpaceDE/>
        <w:autoSpaceDN/>
        <w:adjustRightInd/>
        <w:spacing w:line="276" w:lineRule="auto"/>
        <w:textAlignment w:val="auto"/>
        <w:rPr>
          <w:rFonts w:cs="Arial"/>
          <w:sz w:val="20"/>
          <w:szCs w:val="20"/>
          <w:lang w:eastAsia="en-US"/>
        </w:rPr>
      </w:pPr>
    </w:p>
    <w:p w:rsidR="00AC6E15" w:rsidRPr="002F30DF" w:rsidRDefault="00AC6E15" w:rsidP="00AC6E15">
      <w:pPr>
        <w:overflowPunct/>
        <w:autoSpaceDE/>
        <w:autoSpaceDN/>
        <w:adjustRightInd/>
        <w:spacing w:line="276" w:lineRule="auto"/>
        <w:textAlignment w:val="auto"/>
        <w:rPr>
          <w:rFonts w:cs="Arial"/>
          <w:sz w:val="20"/>
          <w:szCs w:val="20"/>
          <w:lang w:eastAsia="en-US"/>
        </w:rPr>
      </w:pPr>
      <w:r w:rsidRPr="002F30DF">
        <w:rPr>
          <w:rFonts w:cs="Arial"/>
          <w:sz w:val="20"/>
          <w:szCs w:val="20"/>
          <w:lang w:eastAsia="en-US"/>
        </w:rPr>
        <w:t>S predlogom zakona se določa, da je agencija pristojna za nadzor in administrativno sankcioniranje kršitev določb zakona ali 101. ali 102. člena PDEU, ohranja se prepoved omejevalnih ravnanj, presoja koncentracij, ureja se postopek odločanja agencije, določajo se nekatere izjeme v postopku sodnega varstva</w:t>
      </w:r>
      <w:r w:rsidR="00FA4652" w:rsidRPr="002F30DF">
        <w:rPr>
          <w:rFonts w:cs="Arial"/>
          <w:sz w:val="20"/>
          <w:szCs w:val="20"/>
          <w:lang w:eastAsia="en-US"/>
        </w:rPr>
        <w:t xml:space="preserve"> ter</w:t>
      </w:r>
      <w:r w:rsidRPr="002F30DF">
        <w:rPr>
          <w:rFonts w:cs="Arial"/>
          <w:sz w:val="20"/>
          <w:szCs w:val="20"/>
          <w:lang w:eastAsia="en-US"/>
        </w:rPr>
        <w:t xml:space="preserve"> posamezna materialnopravna in procesnopravna pravila glede uveljavljanja odškodninskih zahtevkov zaradi kršitev konkurenčnega prava.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eastAsia="Calibri" w:cs="Arial"/>
          <w:sz w:val="20"/>
          <w:szCs w:val="20"/>
          <w:u w:val="single"/>
          <w:lang w:eastAsia="en-US"/>
        </w:rPr>
      </w:pPr>
      <w:r w:rsidRPr="002F30DF">
        <w:rPr>
          <w:rFonts w:eastAsia="Calibri" w:cs="Arial"/>
          <w:sz w:val="20"/>
          <w:szCs w:val="20"/>
          <w:u w:val="single"/>
          <w:lang w:eastAsia="en-US"/>
        </w:rPr>
        <w:t>vprašanja, ki se bodo urejala z izvršilnimi predpisi, in seznam izvršilnih predpisov, ki bodo prenehali veljati,</w:t>
      </w:r>
    </w:p>
    <w:p w:rsidR="00AC6E15" w:rsidRPr="002F30DF" w:rsidRDefault="00AC6E15" w:rsidP="00AC6E15">
      <w:pPr>
        <w:overflowPunct/>
        <w:autoSpaceDE/>
        <w:autoSpaceDN/>
        <w:adjustRightInd/>
        <w:spacing w:line="260" w:lineRule="exact"/>
        <w:ind w:firstLine="567"/>
        <w:textAlignment w:val="auto"/>
        <w:rPr>
          <w:rFonts w:eastAsia="Calibri" w:cs="Arial"/>
          <w:b/>
          <w:sz w:val="20"/>
          <w:szCs w:val="20"/>
          <w:lang w:eastAsia="en-US"/>
        </w:rPr>
      </w:pPr>
    </w:p>
    <w:p w:rsidR="008B7903" w:rsidRPr="002F30DF" w:rsidRDefault="00AC6E15" w:rsidP="00AC6E15">
      <w:pPr>
        <w:overflowPunct/>
        <w:autoSpaceDE/>
        <w:autoSpaceDN/>
        <w:adjustRightInd/>
        <w:spacing w:line="276" w:lineRule="auto"/>
        <w:textAlignment w:val="auto"/>
        <w:rPr>
          <w:rFonts w:cs="Arial"/>
          <w:sz w:val="20"/>
          <w:szCs w:val="20"/>
          <w:lang w:eastAsia="en-US"/>
        </w:rPr>
      </w:pPr>
      <w:r w:rsidRPr="002F30DF">
        <w:rPr>
          <w:rFonts w:cs="Arial"/>
          <w:sz w:val="20"/>
          <w:szCs w:val="20"/>
          <w:lang w:eastAsia="en-US"/>
        </w:rPr>
        <w:t>Z uredbami, ki jih bo sprejela Vlada Republike Slovenije na podlagi tega zakona, se bodo uredila vprašanja glede vsebine obrazca za priglasitev koncentracij podjetij</w:t>
      </w:r>
      <w:r w:rsidR="00BA403B" w:rsidRPr="002F30DF">
        <w:rPr>
          <w:rFonts w:cs="Arial"/>
          <w:sz w:val="20"/>
          <w:szCs w:val="20"/>
          <w:lang w:eastAsia="en-US"/>
        </w:rPr>
        <w:t xml:space="preserve"> ter</w:t>
      </w:r>
      <w:r w:rsidRPr="002F30DF">
        <w:rPr>
          <w:rFonts w:cs="Arial"/>
          <w:sz w:val="20"/>
          <w:szCs w:val="20"/>
          <w:lang w:eastAsia="en-US"/>
        </w:rPr>
        <w:t xml:space="preserve"> postopek odpustitve in znižanja administrativne sankcije in globe storilcem, ki so udeleženi v kartelih</w:t>
      </w:r>
      <w:r w:rsidR="008B7903" w:rsidRPr="002F30DF">
        <w:rPr>
          <w:rFonts w:cs="Arial"/>
          <w:sz w:val="20"/>
          <w:szCs w:val="20"/>
          <w:lang w:eastAsia="en-US"/>
        </w:rPr>
        <w:t>.</w:t>
      </w:r>
      <w:r w:rsidRPr="002F30DF">
        <w:rPr>
          <w:rFonts w:cs="Arial"/>
          <w:sz w:val="20"/>
          <w:szCs w:val="20"/>
          <w:lang w:eastAsia="en-US"/>
        </w:rPr>
        <w:t xml:space="preserve"> </w:t>
      </w:r>
    </w:p>
    <w:p w:rsidR="008B7903" w:rsidRPr="002F30DF" w:rsidRDefault="008B7903" w:rsidP="00AC6E15">
      <w:pPr>
        <w:overflowPunct/>
        <w:autoSpaceDE/>
        <w:autoSpaceDN/>
        <w:adjustRightInd/>
        <w:spacing w:line="276" w:lineRule="auto"/>
        <w:textAlignment w:val="auto"/>
        <w:rPr>
          <w:rFonts w:cs="Arial"/>
          <w:sz w:val="20"/>
          <w:szCs w:val="20"/>
          <w:lang w:eastAsia="en-US"/>
        </w:rPr>
      </w:pPr>
    </w:p>
    <w:p w:rsidR="00AC6E15" w:rsidRPr="002F30DF" w:rsidRDefault="00AC6E15" w:rsidP="00AC6E15">
      <w:pPr>
        <w:overflowPunct/>
        <w:autoSpaceDE/>
        <w:autoSpaceDN/>
        <w:adjustRightInd/>
        <w:spacing w:line="276" w:lineRule="auto"/>
        <w:textAlignment w:val="auto"/>
        <w:rPr>
          <w:rFonts w:cs="Arial"/>
          <w:sz w:val="20"/>
          <w:szCs w:val="20"/>
          <w:lang w:eastAsia="en-US"/>
        </w:rPr>
      </w:pPr>
      <w:r w:rsidRPr="002F30DF">
        <w:rPr>
          <w:rFonts w:cs="Arial"/>
          <w:sz w:val="20"/>
          <w:szCs w:val="20"/>
          <w:lang w:eastAsia="en-US"/>
        </w:rPr>
        <w:t>Ministrstvo za gospodarski razvoj in tehnologijo bo izdalo pravilnik, v katerem se bo uredila oblika službene izkaznice in postopek za njeno izdajo.</w:t>
      </w:r>
    </w:p>
    <w:p w:rsidR="00C27FF8" w:rsidRPr="002F30DF" w:rsidRDefault="00C27FF8" w:rsidP="00AC6E15">
      <w:pPr>
        <w:overflowPunct/>
        <w:autoSpaceDE/>
        <w:autoSpaceDN/>
        <w:adjustRightInd/>
        <w:spacing w:line="276" w:lineRule="auto"/>
        <w:textAlignment w:val="auto"/>
        <w:rPr>
          <w:rFonts w:cs="Arial"/>
          <w:sz w:val="20"/>
          <w:szCs w:val="20"/>
          <w:lang w:eastAsia="en-US"/>
        </w:rPr>
      </w:pPr>
    </w:p>
    <w:p w:rsidR="00C27FF8" w:rsidRPr="002F30DF" w:rsidRDefault="00C27FF8" w:rsidP="00C27FF8">
      <w:pPr>
        <w:pStyle w:val="Alineazaodstavkom"/>
        <w:numPr>
          <w:ilvl w:val="0"/>
          <w:numId w:val="0"/>
        </w:numPr>
        <w:spacing w:line="260" w:lineRule="atLeast"/>
        <w:rPr>
          <w:rFonts w:eastAsia="Calibri"/>
          <w:sz w:val="20"/>
          <w:szCs w:val="20"/>
          <w:lang w:eastAsia="en-US"/>
        </w:rPr>
      </w:pPr>
      <w:r w:rsidRPr="002F30DF">
        <w:rPr>
          <w:rFonts w:eastAsia="Calibri"/>
          <w:sz w:val="20"/>
          <w:szCs w:val="20"/>
          <w:lang w:eastAsia="en-US"/>
        </w:rPr>
        <w:t>Z začetkom uporabe tega zakona bo prenehal veljati:</w:t>
      </w:r>
    </w:p>
    <w:p w:rsidR="00C27FF8" w:rsidRPr="002F30DF" w:rsidRDefault="00C27FF8" w:rsidP="00431BAA">
      <w:pPr>
        <w:pStyle w:val="Alineazaodstavkom"/>
        <w:numPr>
          <w:ilvl w:val="0"/>
          <w:numId w:val="38"/>
        </w:numPr>
        <w:spacing w:line="260" w:lineRule="atLeast"/>
        <w:ind w:left="284" w:hanging="284"/>
        <w:rPr>
          <w:sz w:val="20"/>
          <w:szCs w:val="20"/>
        </w:rPr>
      </w:pPr>
      <w:r w:rsidRPr="002F30DF">
        <w:rPr>
          <w:sz w:val="20"/>
          <w:szCs w:val="20"/>
        </w:rPr>
        <w:t xml:space="preserve">Pravilnik o službeni izkaznici pooblaščene uradne osebe Javne agencije Republike Slovenije za varstvo konkurence (Uradni list RS, št. </w:t>
      </w:r>
      <w:hyperlink r:id="rId20" w:tgtFrame="_blank" w:tooltip="Pravilnik o službeni izkaznici pooblaščene uradne osebe Javne agencije Republike Slovenije za varstvo konkurence" w:history="1">
        <w:r w:rsidRPr="002F30DF">
          <w:rPr>
            <w:sz w:val="20"/>
            <w:szCs w:val="20"/>
          </w:rPr>
          <w:t>101/13</w:t>
        </w:r>
      </w:hyperlink>
      <w:r w:rsidRPr="002F30DF">
        <w:rPr>
          <w:sz w:val="20"/>
          <w:szCs w:val="20"/>
        </w:rPr>
        <w:t>)</w:t>
      </w:r>
      <w:r w:rsidR="0003280D" w:rsidRPr="002F30DF">
        <w:rPr>
          <w:sz w:val="20"/>
          <w:szCs w:val="20"/>
        </w:rPr>
        <w:t>,</w:t>
      </w:r>
    </w:p>
    <w:p w:rsidR="00C27FF8" w:rsidRPr="002F30DF" w:rsidRDefault="00C27FF8" w:rsidP="00431BAA">
      <w:pPr>
        <w:pStyle w:val="Alineazaodstavkom"/>
        <w:numPr>
          <w:ilvl w:val="0"/>
          <w:numId w:val="38"/>
        </w:numPr>
        <w:spacing w:line="260" w:lineRule="atLeast"/>
        <w:ind w:left="284" w:hanging="284"/>
        <w:rPr>
          <w:sz w:val="20"/>
          <w:szCs w:val="20"/>
        </w:rPr>
      </w:pPr>
      <w:r w:rsidRPr="002F30DF">
        <w:rPr>
          <w:sz w:val="20"/>
          <w:szCs w:val="20"/>
        </w:rPr>
        <w:lastRenderedPageBreak/>
        <w:t xml:space="preserve">Uredba o vsebini obrazca za priglasitev koncentracije podjetij (Uradni list RS, št. </w:t>
      </w:r>
      <w:hyperlink r:id="rId21" w:tgtFrame="_blank" w:tooltip="Uredba o vsebini obrazca za priglasitev koncentracije podjetij" w:history="1">
        <w:r w:rsidRPr="002F30DF">
          <w:rPr>
            <w:sz w:val="20"/>
            <w:szCs w:val="20"/>
          </w:rPr>
          <w:t>36/09</w:t>
        </w:r>
      </w:hyperlink>
      <w:r w:rsidRPr="002F30DF">
        <w:rPr>
          <w:sz w:val="20"/>
          <w:szCs w:val="20"/>
        </w:rPr>
        <w:t xml:space="preserve"> in </w:t>
      </w:r>
      <w:hyperlink r:id="rId22" w:tgtFrame="_blank" w:tooltip="Uredba o spremembah in dopolnitvah Uredbe o vsebini obrazca za priglasitev koncentracije podjetij" w:history="1">
        <w:r w:rsidRPr="002F30DF">
          <w:rPr>
            <w:sz w:val="20"/>
            <w:szCs w:val="20"/>
          </w:rPr>
          <w:t>3/14</w:t>
        </w:r>
      </w:hyperlink>
      <w:r w:rsidRPr="002F30DF">
        <w:rPr>
          <w:sz w:val="20"/>
          <w:szCs w:val="20"/>
        </w:rPr>
        <w:t>) in</w:t>
      </w:r>
    </w:p>
    <w:p w:rsidR="00AC6E15" w:rsidRPr="002F30DF" w:rsidRDefault="00C27FF8" w:rsidP="00431BAA">
      <w:pPr>
        <w:pStyle w:val="Alineazaodstavkom"/>
        <w:numPr>
          <w:ilvl w:val="0"/>
          <w:numId w:val="38"/>
        </w:numPr>
        <w:spacing w:line="260" w:lineRule="atLeast"/>
        <w:ind w:left="284" w:hanging="284"/>
        <w:rPr>
          <w:sz w:val="20"/>
          <w:szCs w:val="20"/>
        </w:rPr>
      </w:pPr>
      <w:r w:rsidRPr="002F30DF">
        <w:rPr>
          <w:sz w:val="20"/>
          <w:szCs w:val="20"/>
        </w:rPr>
        <w:t xml:space="preserve">Uredba o postopku odpustitve in znižanja globe storilcem, ki so udeleženi v kartelih (Uradni list RS, št. </w:t>
      </w:r>
      <w:hyperlink r:id="rId23" w:tgtFrame="_blank" w:tooltip="Uredba o postopku odpustitve in znižanja globe storilcem, ki so udeleženi v kartelih" w:history="1">
        <w:r w:rsidRPr="002F30DF">
          <w:rPr>
            <w:sz w:val="20"/>
            <w:szCs w:val="20"/>
          </w:rPr>
          <w:t>112/09</w:t>
        </w:r>
      </w:hyperlink>
      <w:r w:rsidRPr="002F30DF">
        <w:rPr>
          <w:sz w:val="20"/>
          <w:szCs w:val="20"/>
        </w:rPr>
        <w:t xml:space="preserve"> in </w:t>
      </w:r>
      <w:hyperlink r:id="rId24" w:tgtFrame="_blank" w:tooltip="Uredba o spremembah Uredbe o postopku odpustitve in znižanja globe storilcem, ki so udeleženi v kartelih" w:history="1">
        <w:r w:rsidRPr="002F30DF">
          <w:rPr>
            <w:sz w:val="20"/>
            <w:szCs w:val="20"/>
          </w:rPr>
          <w:t>2/14</w:t>
        </w:r>
      </w:hyperlink>
      <w:r w:rsidRPr="002F30DF">
        <w:rPr>
          <w:sz w:val="20"/>
          <w:szCs w:val="20"/>
        </w:rPr>
        <w:t>).</w:t>
      </w:r>
    </w:p>
    <w:p w:rsidR="00FA4652" w:rsidRPr="002F30DF" w:rsidRDefault="00FA4652"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c) Normativna usklajenost predloga zakona: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eastAsia="Calibri" w:cs="Arial"/>
          <w:b/>
          <w:sz w:val="20"/>
          <w:szCs w:val="20"/>
          <w:lang w:eastAsia="en-US"/>
        </w:rPr>
      </w:pPr>
      <w:r w:rsidRPr="002F30DF">
        <w:rPr>
          <w:rFonts w:cs="Arial"/>
          <w:sz w:val="20"/>
          <w:szCs w:val="20"/>
          <w:u w:val="single"/>
          <w:lang w:eastAsia="en-US"/>
        </w:rPr>
        <w:t xml:space="preserve">z </w:t>
      </w:r>
      <w:r w:rsidRPr="002F30DF">
        <w:rPr>
          <w:rFonts w:eastAsia="Calibri" w:cs="Arial"/>
          <w:sz w:val="20"/>
          <w:szCs w:val="20"/>
          <w:u w:val="single"/>
          <w:lang w:eastAsia="en-US"/>
        </w:rPr>
        <w:t>veljavnim</w:t>
      </w:r>
      <w:r w:rsidRPr="002F30DF">
        <w:rPr>
          <w:rFonts w:cs="Arial"/>
          <w:sz w:val="20"/>
          <w:szCs w:val="20"/>
          <w:u w:val="single"/>
          <w:lang w:eastAsia="en-US"/>
        </w:rPr>
        <w:t xml:space="preserve"> pravnim redom</w:t>
      </w:r>
      <w:r w:rsidRPr="002F30DF">
        <w:rPr>
          <w:rFonts w:eastAsia="Calibri" w:cs="Arial"/>
          <w:sz w:val="20"/>
          <w:szCs w:val="20"/>
          <w:u w:val="single"/>
          <w:lang w:eastAsia="en-US"/>
        </w:rPr>
        <w:t>:</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Predlog zakona v delu, ki se nanaša na administrativno sankcioniranje, predstavlja odstop od sistemske zakonodaje. </w:t>
      </w:r>
      <w:r w:rsidR="007D4C8F" w:rsidRPr="002F30DF">
        <w:rPr>
          <w:rFonts w:eastAsia="Calibri" w:cs="Arial"/>
          <w:sz w:val="20"/>
          <w:szCs w:val="20"/>
          <w:lang w:eastAsia="en-US"/>
        </w:rPr>
        <w:t xml:space="preserve">Možnost uvedbe </w:t>
      </w:r>
      <w:r w:rsidRPr="002F30DF">
        <w:rPr>
          <w:rFonts w:eastAsia="Calibri" w:cs="Arial"/>
          <w:sz w:val="20"/>
          <w:szCs w:val="20"/>
          <w:lang w:eastAsia="en-US"/>
        </w:rPr>
        <w:t xml:space="preserve">takšnega načina sankcioniranja </w:t>
      </w:r>
      <w:r w:rsidR="00FA4652" w:rsidRPr="002F30DF">
        <w:rPr>
          <w:rFonts w:eastAsia="Calibri" w:cs="Arial"/>
          <w:sz w:val="20"/>
          <w:szCs w:val="20"/>
          <w:lang w:eastAsia="en-US"/>
        </w:rPr>
        <w:t>je predvidel že</w:t>
      </w:r>
      <w:r w:rsidRPr="002F30DF">
        <w:rPr>
          <w:rFonts w:eastAsia="Calibri" w:cs="Arial"/>
          <w:sz w:val="20"/>
          <w:szCs w:val="20"/>
          <w:lang w:eastAsia="en-US"/>
        </w:rPr>
        <w:t xml:space="preserve"> Zakon o prekrških (Uradni list RS, št. </w:t>
      </w:r>
      <w:hyperlink r:id="rId25" w:tgtFrame="_blank" w:tooltip="Zakon o prekrških (uradno prečiščeno besedilo)" w:history="1">
        <w:r w:rsidRPr="002F30DF">
          <w:rPr>
            <w:rFonts w:eastAsia="Calibri" w:cs="Arial"/>
            <w:sz w:val="20"/>
            <w:szCs w:val="20"/>
            <w:lang w:eastAsia="en-US"/>
          </w:rPr>
          <w:t>29/11</w:t>
        </w:r>
      </w:hyperlink>
      <w:r w:rsidRPr="002F30DF">
        <w:rPr>
          <w:rFonts w:eastAsia="Calibri" w:cs="Arial"/>
          <w:sz w:val="20"/>
          <w:szCs w:val="20"/>
          <w:lang w:eastAsia="en-US"/>
        </w:rPr>
        <w:t xml:space="preserve"> – uradno prečiščeno besedilo, </w:t>
      </w:r>
      <w:hyperlink r:id="rId26" w:tgtFrame="_blank" w:tooltip="Zakon o spremembah in dopolnitvah Zakona o prekrških" w:history="1">
        <w:r w:rsidRPr="002F30DF">
          <w:rPr>
            <w:rFonts w:eastAsia="Calibri" w:cs="Arial"/>
            <w:sz w:val="20"/>
            <w:szCs w:val="20"/>
            <w:lang w:eastAsia="en-US"/>
          </w:rPr>
          <w:t>21/13</w:t>
        </w:r>
      </w:hyperlink>
      <w:r w:rsidRPr="002F30DF">
        <w:rPr>
          <w:rFonts w:eastAsia="Calibri" w:cs="Arial"/>
          <w:sz w:val="20"/>
          <w:szCs w:val="20"/>
          <w:lang w:eastAsia="en-US"/>
        </w:rPr>
        <w:t xml:space="preserve">, </w:t>
      </w:r>
      <w:hyperlink r:id="rId27" w:tgtFrame="_blank" w:tooltip="Zakon o spremembah in dopolnitvah Zakona o prekrških" w:history="1">
        <w:r w:rsidRPr="002F30DF">
          <w:rPr>
            <w:rFonts w:eastAsia="Calibri" w:cs="Arial"/>
            <w:sz w:val="20"/>
            <w:szCs w:val="20"/>
            <w:lang w:eastAsia="en-US"/>
          </w:rPr>
          <w:t>111/13</w:t>
        </w:r>
      </w:hyperlink>
      <w:r w:rsidRPr="002F30DF">
        <w:rPr>
          <w:rFonts w:eastAsia="Calibri" w:cs="Arial"/>
          <w:sz w:val="20"/>
          <w:szCs w:val="20"/>
          <w:lang w:eastAsia="en-US"/>
        </w:rPr>
        <w:t xml:space="preserve">, </w:t>
      </w:r>
      <w:hyperlink r:id="rId28" w:tgtFrame="_blank" w:tooltip="Odločba o ugotovitvi, da je prvi stavek prvega odstavka 193. člena Zakona o prekrških v neskladju z Ustavo" w:history="1">
        <w:r w:rsidRPr="002F30DF">
          <w:rPr>
            <w:rFonts w:eastAsia="Calibri" w:cs="Arial"/>
            <w:sz w:val="20"/>
            <w:szCs w:val="20"/>
            <w:lang w:eastAsia="en-US"/>
          </w:rPr>
          <w:t>74/14</w:t>
        </w:r>
      </w:hyperlink>
      <w:r w:rsidRPr="002F30DF">
        <w:rPr>
          <w:rFonts w:eastAsia="Calibri" w:cs="Arial"/>
          <w:sz w:val="20"/>
          <w:szCs w:val="20"/>
          <w:lang w:eastAsia="en-US"/>
        </w:rPr>
        <w:t xml:space="preserve"> – odl. US, </w:t>
      </w:r>
      <w:hyperlink r:id="rId29" w:tgtFrame="_blank" w:tooltip="Odločba o razveljavitvi prvega, drugega, tretjega in četrtega odstavka 19. člena, sedmega odstavka 19. člena, kolikor se nanaša na izvršitev uklonilnega zapora, ter 202.b člena Zakona o prekrških" w:history="1">
        <w:r w:rsidRPr="002F30DF">
          <w:rPr>
            <w:rFonts w:eastAsia="Calibri" w:cs="Arial"/>
            <w:sz w:val="20"/>
            <w:szCs w:val="20"/>
            <w:lang w:eastAsia="en-US"/>
          </w:rPr>
          <w:t>92/14</w:t>
        </w:r>
      </w:hyperlink>
      <w:r w:rsidRPr="002F30DF">
        <w:rPr>
          <w:rFonts w:eastAsia="Calibri" w:cs="Arial"/>
          <w:sz w:val="20"/>
          <w:szCs w:val="20"/>
          <w:lang w:eastAsia="en-US"/>
        </w:rPr>
        <w:t xml:space="preserve"> – odl. US, </w:t>
      </w:r>
      <w:hyperlink r:id="rId30" w:tgtFrame="_blank" w:tooltip="Zakon o spremembah in dopolnitvah Zakona o prekrških" w:history="1">
        <w:r w:rsidRPr="002F30DF">
          <w:rPr>
            <w:rFonts w:eastAsia="Calibri" w:cs="Arial"/>
            <w:sz w:val="20"/>
            <w:szCs w:val="20"/>
            <w:lang w:eastAsia="en-US"/>
          </w:rPr>
          <w:t>32/16</w:t>
        </w:r>
      </w:hyperlink>
      <w:r w:rsidRPr="002F30DF">
        <w:rPr>
          <w:rFonts w:eastAsia="Calibri" w:cs="Arial"/>
          <w:sz w:val="20"/>
          <w:szCs w:val="20"/>
          <w:lang w:eastAsia="en-US"/>
        </w:rPr>
        <w:t xml:space="preserve"> in </w:t>
      </w:r>
      <w:hyperlink r:id="rId31" w:tgtFrame="_blank" w:tooltip="Odločba o razveljavitvi tretjega odstavka 61. člena Zakona o prekrških" w:history="1">
        <w:r w:rsidRPr="002F30DF">
          <w:rPr>
            <w:rFonts w:eastAsia="Calibri" w:cs="Arial"/>
            <w:sz w:val="20"/>
            <w:szCs w:val="20"/>
            <w:lang w:eastAsia="en-US"/>
          </w:rPr>
          <w:t>15/17</w:t>
        </w:r>
      </w:hyperlink>
      <w:r w:rsidRPr="002F30DF">
        <w:rPr>
          <w:rFonts w:eastAsia="Calibri" w:cs="Arial"/>
          <w:sz w:val="20"/>
          <w:szCs w:val="20"/>
          <w:lang w:eastAsia="en-US"/>
        </w:rPr>
        <w:t xml:space="preserve"> – odl. US</w:t>
      </w:r>
      <w:r w:rsidR="003D6986" w:rsidRPr="002F30DF">
        <w:rPr>
          <w:rFonts w:eastAsia="Calibri" w:cs="Arial"/>
          <w:sz w:val="20"/>
          <w:szCs w:val="20"/>
          <w:lang w:eastAsia="en-US"/>
        </w:rPr>
        <w:t xml:space="preserve">, </w:t>
      </w:r>
      <w:hyperlink r:id="rId32" w:tgtFrame="_blank" w:tooltip="Odločba o ugotovitvi protiustavnosti Zakona o prekrških" w:history="1">
        <w:r w:rsidR="003D6986" w:rsidRPr="002F30DF">
          <w:rPr>
            <w:rStyle w:val="Hiperpovezava"/>
            <w:rFonts w:cs="Arial"/>
            <w:b w:val="0"/>
            <w:bCs/>
            <w:color w:val="auto"/>
            <w:sz w:val="20"/>
            <w:szCs w:val="20"/>
            <w:shd w:val="clear" w:color="auto" w:fill="FFFFFF"/>
          </w:rPr>
          <w:t>73/19</w:t>
        </w:r>
      </w:hyperlink>
      <w:r w:rsidR="003D6986" w:rsidRPr="002F30DF">
        <w:rPr>
          <w:rFonts w:cs="Arial"/>
          <w:bCs/>
          <w:sz w:val="20"/>
          <w:szCs w:val="20"/>
          <w:shd w:val="clear" w:color="auto" w:fill="FFFFFF"/>
        </w:rPr>
        <w:t> – odl. US, </w:t>
      </w:r>
      <w:hyperlink r:id="rId33" w:tgtFrame="_blank" w:tooltip="Zakon o interventnih ukrepih za omilitev posledic drugega vala epidemije COVID-19" w:history="1">
        <w:r w:rsidR="003D6986" w:rsidRPr="002F30DF">
          <w:rPr>
            <w:rStyle w:val="Hiperpovezava"/>
            <w:rFonts w:cs="Arial"/>
            <w:b w:val="0"/>
            <w:bCs/>
            <w:color w:val="auto"/>
            <w:sz w:val="20"/>
            <w:szCs w:val="20"/>
            <w:shd w:val="clear" w:color="auto" w:fill="FFFFFF"/>
          </w:rPr>
          <w:t>175/20</w:t>
        </w:r>
      </w:hyperlink>
      <w:r w:rsidR="003D6986" w:rsidRPr="002F30DF">
        <w:rPr>
          <w:rFonts w:cs="Arial"/>
          <w:bCs/>
          <w:sz w:val="20"/>
          <w:szCs w:val="20"/>
          <w:shd w:val="clear" w:color="auto" w:fill="FFFFFF"/>
        </w:rPr>
        <w:t> – ZIUOPDVE in </w:t>
      </w:r>
      <w:hyperlink r:id="rId34" w:tgtFrame="_blank" w:tooltip="Odločba o ugotovitvi, da je drugi odstavek 66. člena Zakona o prekrških v neskladju z ustavo in sklep o zavrženju ustavne pritožbe" w:history="1">
        <w:r w:rsidR="003D6986" w:rsidRPr="002F30DF">
          <w:rPr>
            <w:rStyle w:val="Hiperpovezava"/>
            <w:rFonts w:cs="Arial"/>
            <w:b w:val="0"/>
            <w:bCs/>
            <w:color w:val="auto"/>
            <w:sz w:val="20"/>
            <w:szCs w:val="20"/>
            <w:shd w:val="clear" w:color="auto" w:fill="FFFFFF"/>
          </w:rPr>
          <w:t>5/21</w:t>
        </w:r>
      </w:hyperlink>
      <w:r w:rsidR="003D6986" w:rsidRPr="002F30DF">
        <w:rPr>
          <w:rFonts w:cs="Arial"/>
          <w:bCs/>
          <w:sz w:val="20"/>
          <w:szCs w:val="20"/>
          <w:shd w:val="clear" w:color="auto" w:fill="FFFFFF"/>
        </w:rPr>
        <w:t> – odl. US</w:t>
      </w:r>
      <w:r w:rsidRPr="002F30DF">
        <w:rPr>
          <w:rFonts w:eastAsia="Calibri" w:cs="Arial"/>
          <w:sz w:val="20"/>
          <w:szCs w:val="20"/>
          <w:lang w:eastAsia="en-US"/>
        </w:rPr>
        <w:t xml:space="preserve">), ki </w:t>
      </w:r>
      <w:r w:rsidR="00FA4652" w:rsidRPr="002F30DF">
        <w:rPr>
          <w:rFonts w:eastAsia="Calibri" w:cs="Arial"/>
          <w:sz w:val="20"/>
          <w:szCs w:val="20"/>
          <w:lang w:eastAsia="en-US"/>
        </w:rPr>
        <w:t xml:space="preserve">v četrtem odstavku 1. člena </w:t>
      </w:r>
      <w:r w:rsidRPr="002F30DF">
        <w:rPr>
          <w:rFonts w:eastAsia="Calibri" w:cs="Arial"/>
          <w:sz w:val="20"/>
          <w:szCs w:val="20"/>
          <w:lang w:eastAsia="en-US"/>
        </w:rPr>
        <w:t xml:space="preserve">določa, da se določbe </w:t>
      </w:r>
      <w:r w:rsidR="00FA4652" w:rsidRPr="002F30DF">
        <w:rPr>
          <w:rFonts w:eastAsia="Calibri" w:cs="Arial"/>
          <w:sz w:val="20"/>
          <w:szCs w:val="20"/>
          <w:lang w:eastAsia="en-US"/>
        </w:rPr>
        <w:t>Zakona o prekrških</w:t>
      </w:r>
      <w:r w:rsidRPr="002F30DF">
        <w:rPr>
          <w:rFonts w:eastAsia="Calibri" w:cs="Arial"/>
          <w:sz w:val="20"/>
          <w:szCs w:val="20"/>
          <w:lang w:eastAsia="en-US"/>
        </w:rPr>
        <w:t xml:space="preserve"> ne uporabljajo za administrativno sankcioniranje pravnih oseb v skladu s predpisi, ki urejajo varstvo konkurence, zavarovalni nadzor, trg vrednostnih papirjev, preprečevanje pranja denarja in predpisi, ki jih izvaja Banka Slovenije.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textAlignment w:val="auto"/>
        <w:rPr>
          <w:rFonts w:eastAsia="Calibri" w:cs="Arial"/>
          <w:b/>
          <w:sz w:val="20"/>
          <w:szCs w:val="20"/>
          <w:lang w:eastAsia="en-US"/>
        </w:rPr>
      </w:pPr>
      <w:r w:rsidRPr="002F30DF">
        <w:rPr>
          <w:rFonts w:cs="Arial"/>
          <w:sz w:val="20"/>
          <w:szCs w:val="20"/>
          <w:u w:val="single"/>
          <w:lang w:eastAsia="en-US"/>
        </w:rPr>
        <w:t xml:space="preserve">s splošno </w:t>
      </w:r>
      <w:r w:rsidRPr="002F30DF">
        <w:rPr>
          <w:rFonts w:eastAsia="Calibri" w:cs="Arial"/>
          <w:sz w:val="20"/>
          <w:szCs w:val="20"/>
          <w:u w:val="single"/>
          <w:lang w:eastAsia="en-US"/>
        </w:rPr>
        <w:t>veljavnimi</w:t>
      </w:r>
      <w:r w:rsidRPr="002F30DF">
        <w:rPr>
          <w:rFonts w:cs="Arial"/>
          <w:sz w:val="20"/>
          <w:szCs w:val="20"/>
          <w:u w:val="single"/>
          <w:lang w:eastAsia="en-US"/>
        </w:rPr>
        <w:t xml:space="preserve"> načeli mednarodnega prava in mednarodnimi pogodbami, ki zavezujejo Republiko Slovenijo:</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je usklajen s splošno veljavnimi načeli mednarodnega prava ter mednarodnimi pogodbami, ki obvezujejo Republiko Slovenijo.</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 xml:space="preserve">s predpisi, </w:t>
      </w:r>
      <w:r w:rsidRPr="002F30DF">
        <w:rPr>
          <w:rFonts w:eastAsia="Calibri" w:cs="Arial"/>
          <w:sz w:val="20"/>
          <w:szCs w:val="20"/>
          <w:u w:val="single"/>
          <w:lang w:eastAsia="en-US"/>
        </w:rPr>
        <w:t>ki</w:t>
      </w:r>
      <w:r w:rsidRPr="002F30DF">
        <w:rPr>
          <w:rFonts w:cs="Arial"/>
          <w:sz w:val="20"/>
          <w:szCs w:val="20"/>
          <w:u w:val="single"/>
          <w:lang w:eastAsia="en-US"/>
        </w:rPr>
        <w:t xml:space="preserve"> jih je tudi treba sprejeti oziroma spremeniti in »paketno« obravnavati:</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Zaradi predloga tega zakona ni treba sprejeti oziroma spremeniti in »paketno« obravnavati drugih predpisov. </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 xml:space="preserve">č) Usklajenost predloga zakona: </w:t>
      </w:r>
    </w:p>
    <w:p w:rsidR="00BD130C" w:rsidRPr="002F30DF" w:rsidRDefault="00BD130C"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eastAsia="Calibri" w:cs="Arial"/>
          <w:b/>
          <w:sz w:val="20"/>
          <w:szCs w:val="20"/>
          <w:lang w:eastAsia="en-US"/>
        </w:rPr>
      </w:pPr>
      <w:r w:rsidRPr="002F30DF">
        <w:rPr>
          <w:rFonts w:cs="Arial"/>
          <w:sz w:val="20"/>
          <w:szCs w:val="20"/>
          <w:u w:val="single"/>
          <w:lang w:eastAsia="en-US"/>
        </w:rPr>
        <w:t xml:space="preserve">s </w:t>
      </w:r>
      <w:r w:rsidRPr="002F30DF">
        <w:rPr>
          <w:rFonts w:eastAsia="Calibri" w:cs="Arial"/>
          <w:sz w:val="20"/>
          <w:szCs w:val="20"/>
          <w:u w:val="single"/>
          <w:lang w:eastAsia="en-US"/>
        </w:rPr>
        <w:t>samoupravnimi</w:t>
      </w:r>
      <w:r w:rsidRPr="002F30DF">
        <w:rPr>
          <w:rFonts w:cs="Arial"/>
          <w:sz w:val="20"/>
          <w:szCs w:val="20"/>
          <w:u w:val="single"/>
          <w:lang w:eastAsia="en-US"/>
        </w:rPr>
        <w:t xml:space="preserve"> lokalnimi skupnostmi:</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lastRenderedPageBreak/>
        <w:t>Predlog zakona ne posega v področje lokalne samouprave, zato usklajevanje ni bilo potrebno.</w:t>
      </w:r>
    </w:p>
    <w:p w:rsidR="00072317" w:rsidRPr="002F30DF" w:rsidRDefault="00072317" w:rsidP="00AC6E15">
      <w:pPr>
        <w:overflowPunct/>
        <w:autoSpaceDE/>
        <w:autoSpaceDN/>
        <w:adjustRightInd/>
        <w:spacing w:line="260" w:lineRule="exact"/>
        <w:textAlignment w:val="auto"/>
        <w:rPr>
          <w:rFonts w:eastAsia="Calibri" w:cs="Arial"/>
          <w:b/>
          <w:sz w:val="20"/>
          <w:szCs w:val="20"/>
          <w:lang w:eastAsia="en-US"/>
        </w:rPr>
      </w:pPr>
    </w:p>
    <w:p w:rsidR="00CB5E87" w:rsidRPr="002F30DF" w:rsidRDefault="00AC6E15" w:rsidP="00CB5E87">
      <w:pPr>
        <w:numPr>
          <w:ilvl w:val="1"/>
          <w:numId w:val="86"/>
        </w:numPr>
        <w:overflowPunct/>
        <w:autoSpaceDE/>
        <w:autoSpaceDN/>
        <w:adjustRightInd/>
        <w:spacing w:line="260" w:lineRule="exact"/>
        <w:ind w:left="284" w:hanging="284"/>
        <w:textAlignment w:val="auto"/>
        <w:rPr>
          <w:rFonts w:cs="Arial"/>
          <w:sz w:val="20"/>
          <w:szCs w:val="20"/>
          <w:u w:val="single"/>
          <w:lang w:eastAsia="en-US"/>
        </w:rPr>
      </w:pPr>
      <w:r w:rsidRPr="002F30DF">
        <w:rPr>
          <w:rFonts w:cs="Arial"/>
          <w:sz w:val="20"/>
          <w:szCs w:val="20"/>
          <w:u w:val="single"/>
          <w:lang w:eastAsia="en-US"/>
        </w:rPr>
        <w:t xml:space="preserve">s civilno družbo oziroma ciljnimi skupinami, na katere se predlog zakona nanaša (navedba </w:t>
      </w:r>
      <w:r w:rsidRPr="002F30DF">
        <w:rPr>
          <w:rFonts w:eastAsia="Calibri" w:cs="Arial"/>
          <w:sz w:val="20"/>
          <w:szCs w:val="20"/>
          <w:u w:val="single"/>
          <w:lang w:eastAsia="en-US"/>
        </w:rPr>
        <w:t>neusklajenih</w:t>
      </w:r>
      <w:r w:rsidRPr="002F30DF">
        <w:rPr>
          <w:rFonts w:cs="Arial"/>
          <w:sz w:val="20"/>
          <w:szCs w:val="20"/>
          <w:u w:val="single"/>
          <w:lang w:eastAsia="en-US"/>
        </w:rPr>
        <w:t xml:space="preserve"> vprašanj):</w:t>
      </w:r>
    </w:p>
    <w:p w:rsidR="00CB5E87" w:rsidRPr="002F30DF" w:rsidRDefault="00CB5E87" w:rsidP="00CA5D13">
      <w:pPr>
        <w:widowControl w:val="0"/>
        <w:overflowPunct/>
        <w:autoSpaceDE/>
        <w:autoSpaceDN/>
        <w:adjustRightInd/>
        <w:spacing w:line="260" w:lineRule="exact"/>
        <w:jc w:val="left"/>
        <w:textAlignment w:val="auto"/>
        <w:rPr>
          <w:rFonts w:cs="Arial"/>
          <w:sz w:val="20"/>
          <w:szCs w:val="20"/>
          <w:u w:val="single"/>
          <w:lang w:eastAsia="en-US"/>
        </w:rPr>
      </w:pPr>
    </w:p>
    <w:p w:rsidR="0072362E" w:rsidRPr="002F30DF" w:rsidRDefault="00CB5E87" w:rsidP="00F009A5">
      <w:pPr>
        <w:widowControl w:val="0"/>
        <w:overflowPunct/>
        <w:autoSpaceDE/>
        <w:autoSpaceDN/>
        <w:adjustRightInd/>
        <w:spacing w:line="260" w:lineRule="exact"/>
        <w:textAlignment w:val="auto"/>
        <w:rPr>
          <w:rFonts w:cs="Arial"/>
          <w:iCs/>
          <w:sz w:val="20"/>
          <w:szCs w:val="20"/>
        </w:rPr>
      </w:pPr>
      <w:r w:rsidRPr="002F30DF">
        <w:rPr>
          <w:rFonts w:cs="Arial"/>
          <w:iCs/>
          <w:sz w:val="20"/>
          <w:szCs w:val="20"/>
        </w:rPr>
        <w:t>Gradivo je bilo v javni obravnavi objavljeno v nekoliko drugačni vsebini, saj je manjkala večina določb, ki urejajo agencijo. Razlog temu je, da je bil istočasno v obravnavi v državnem zboru predlog Zakona o Javni agenciji Republike Slovenije za trg, varnost prometa in potrošnike, katera bi bila pristojna tudi za področje konkurence. Prejšnji členi od 11. do 18. so nadomeščeni z novimi čle</w:t>
      </w:r>
      <w:r w:rsidR="001F16F6" w:rsidRPr="002F30DF">
        <w:rPr>
          <w:rFonts w:cs="Arial"/>
          <w:iCs/>
          <w:sz w:val="20"/>
          <w:szCs w:val="20"/>
        </w:rPr>
        <w:t>ni od 11. do 35</w:t>
      </w:r>
      <w:r w:rsidR="0072362E" w:rsidRPr="002F30DF">
        <w:rPr>
          <w:rFonts w:cs="Arial"/>
          <w:iCs/>
          <w:sz w:val="20"/>
          <w:szCs w:val="20"/>
        </w:rPr>
        <w:t xml:space="preserve">, </w:t>
      </w:r>
      <w:r w:rsidR="00AC76F8" w:rsidRPr="002F30DF">
        <w:rPr>
          <w:rFonts w:cs="Arial"/>
          <w:iCs/>
          <w:sz w:val="20"/>
          <w:szCs w:val="20"/>
        </w:rPr>
        <w:t>črtan je bil</w:t>
      </w:r>
      <w:r w:rsidR="0072362E" w:rsidRPr="002F30DF">
        <w:rPr>
          <w:rFonts w:cs="Arial"/>
          <w:iCs/>
          <w:sz w:val="20"/>
          <w:szCs w:val="20"/>
        </w:rPr>
        <w:t xml:space="preserve"> 95. člen (pravica do povrnitve škode) in kasneje še 47. člen (ustna obravnava), zato so sedaj členi preštevilčeni</w:t>
      </w:r>
      <w:r w:rsidR="001F16F6" w:rsidRPr="002F30DF">
        <w:rPr>
          <w:rFonts w:cs="Arial"/>
          <w:iCs/>
          <w:sz w:val="20"/>
          <w:szCs w:val="20"/>
        </w:rPr>
        <w:t xml:space="preserve">. </w:t>
      </w:r>
    </w:p>
    <w:p w:rsidR="0072362E" w:rsidRPr="002F30DF" w:rsidRDefault="0072362E" w:rsidP="00F009A5">
      <w:pPr>
        <w:widowControl w:val="0"/>
        <w:overflowPunct/>
        <w:autoSpaceDE/>
        <w:autoSpaceDN/>
        <w:adjustRightInd/>
        <w:spacing w:line="260" w:lineRule="exact"/>
        <w:textAlignment w:val="auto"/>
        <w:rPr>
          <w:rFonts w:cs="Arial"/>
          <w:iCs/>
          <w:sz w:val="20"/>
          <w:szCs w:val="20"/>
        </w:rPr>
      </w:pPr>
    </w:p>
    <w:p w:rsidR="00CB5E87" w:rsidRPr="002F30DF" w:rsidRDefault="00CB5E87" w:rsidP="00F009A5">
      <w:pPr>
        <w:widowControl w:val="0"/>
        <w:overflowPunct/>
        <w:autoSpaceDE/>
        <w:autoSpaceDN/>
        <w:adjustRightInd/>
        <w:spacing w:line="260" w:lineRule="exact"/>
        <w:textAlignment w:val="auto"/>
        <w:rPr>
          <w:rFonts w:cs="Arial"/>
          <w:iCs/>
          <w:sz w:val="20"/>
          <w:szCs w:val="20"/>
        </w:rPr>
      </w:pPr>
      <w:r w:rsidRPr="002F30DF">
        <w:rPr>
          <w:rFonts w:cs="Arial"/>
          <w:iCs/>
          <w:sz w:val="20"/>
          <w:szCs w:val="20"/>
        </w:rPr>
        <w:t>Nekatere pripombe iz javne obravnave se tako nanašajo na določbe, ki jih v novem predlogu ni več</w:t>
      </w:r>
      <w:r w:rsidR="0072362E" w:rsidRPr="002F30DF">
        <w:rPr>
          <w:rFonts w:cs="Arial"/>
          <w:iCs/>
          <w:sz w:val="20"/>
          <w:szCs w:val="20"/>
        </w:rPr>
        <w:t xml:space="preserve"> ali pa so sedaj preštevilčene</w:t>
      </w:r>
      <w:r w:rsidRPr="002F30DF">
        <w:rPr>
          <w:rFonts w:cs="Arial"/>
          <w:iCs/>
          <w:sz w:val="20"/>
          <w:szCs w:val="20"/>
        </w:rPr>
        <w:t>.</w:t>
      </w:r>
    </w:p>
    <w:p w:rsidR="00AC6E15" w:rsidRPr="002F30DF" w:rsidRDefault="00AC6E15" w:rsidP="00AC6E15">
      <w:pPr>
        <w:overflowPunct/>
        <w:autoSpaceDE/>
        <w:autoSpaceDN/>
        <w:adjustRightInd/>
        <w:spacing w:line="260" w:lineRule="exact"/>
        <w:textAlignment w:val="auto"/>
        <w:rPr>
          <w:rFonts w:cs="Arial"/>
          <w:sz w:val="20"/>
          <w:szCs w:val="20"/>
          <w:u w:val="single"/>
          <w:lang w:eastAsia="en-US"/>
        </w:rPr>
      </w:pPr>
    </w:p>
    <w:p w:rsidR="00E430C7" w:rsidRPr="002F30DF" w:rsidRDefault="00E430C7" w:rsidP="00E430C7">
      <w:pPr>
        <w:widowControl w:val="0"/>
        <w:overflowPunct/>
        <w:autoSpaceDE/>
        <w:autoSpaceDN/>
        <w:adjustRightInd/>
        <w:spacing w:line="260" w:lineRule="exact"/>
        <w:textAlignment w:val="auto"/>
        <w:rPr>
          <w:rFonts w:cs="Arial"/>
          <w:iCs/>
          <w:sz w:val="20"/>
          <w:szCs w:val="20"/>
        </w:rPr>
      </w:pPr>
      <w:r w:rsidRPr="002F30DF">
        <w:rPr>
          <w:rFonts w:cs="Arial"/>
          <w:b/>
          <w:iCs/>
          <w:sz w:val="20"/>
          <w:szCs w:val="20"/>
        </w:rPr>
        <w:t>Upravno sodišče Republike Slovenije</w:t>
      </w:r>
      <w:r w:rsidRPr="002F30DF">
        <w:rPr>
          <w:rFonts w:cs="Arial"/>
          <w:iCs/>
          <w:sz w:val="20"/>
          <w:szCs w:val="20"/>
        </w:rPr>
        <w:t xml:space="preserve"> ocenjuje, da ureditev ustne obravnave (30.člen) ni ustrezno urejena in predlaga določitev, da je pred vsebinsko odločitvijo izvedba ustne obravnave pred agencijo obvezna. Predlaga tudi dopolnitev določbe o sodnem varstvu (96. člen) z določitvijo možnosti omejitve števila obsega vlog v sodnem postopku. Glede določitve meje preizkusa (98. člen) meni, da je neustrezna in predlaga, da se ta člen v celoti črta.</w:t>
      </w:r>
    </w:p>
    <w:p w:rsidR="00E430C7" w:rsidRPr="002F30DF" w:rsidRDefault="00E430C7" w:rsidP="00E430C7">
      <w:pPr>
        <w:widowControl w:val="0"/>
        <w:overflowPunct/>
        <w:autoSpaceDE/>
        <w:autoSpaceDN/>
        <w:adjustRightInd/>
        <w:spacing w:line="260" w:lineRule="exact"/>
        <w:jc w:val="left"/>
        <w:textAlignment w:val="auto"/>
        <w:rPr>
          <w:rFonts w:cs="Arial"/>
          <w:iCs/>
          <w:sz w:val="20"/>
          <w:szCs w:val="20"/>
        </w:rPr>
      </w:pPr>
    </w:p>
    <w:p w:rsidR="00E430C7" w:rsidRPr="002F30DF" w:rsidRDefault="00E430C7" w:rsidP="00E430C7">
      <w:pPr>
        <w:widowControl w:val="0"/>
        <w:overflowPunct/>
        <w:autoSpaceDE/>
        <w:autoSpaceDN/>
        <w:adjustRightInd/>
        <w:spacing w:line="260" w:lineRule="exact"/>
        <w:textAlignment w:val="auto"/>
        <w:rPr>
          <w:rFonts w:cs="Arial"/>
          <w:iCs/>
          <w:sz w:val="20"/>
          <w:szCs w:val="20"/>
        </w:rPr>
      </w:pPr>
      <w:r w:rsidRPr="002F30DF">
        <w:rPr>
          <w:rFonts w:cs="Arial"/>
          <w:b/>
          <w:iCs/>
          <w:sz w:val="20"/>
          <w:szCs w:val="20"/>
        </w:rPr>
        <w:t>Vrhovno sodišče Republike Slovenije</w:t>
      </w:r>
      <w:r w:rsidRPr="002F30DF">
        <w:rPr>
          <w:rFonts w:cs="Arial"/>
          <w:iCs/>
          <w:sz w:val="20"/>
          <w:szCs w:val="20"/>
        </w:rPr>
        <w:t xml:space="preserve"> se je v celoti pridružilo stališču Upravnega sodišča Republike Slovenije. Poleg tega izpostavlja, da določitev pritožbe zoper zavrnilni sklep o uvedbi preiskave, o kateri naj bi odločal senat treh sodnikov Okrožnega sodišča v Ljubljani prinaša sodišču dodatno pristojnosti in večji obseg dela.</w:t>
      </w:r>
    </w:p>
    <w:p w:rsidR="00E430C7" w:rsidRPr="002F30DF" w:rsidRDefault="00E430C7" w:rsidP="00E430C7">
      <w:pPr>
        <w:widowControl w:val="0"/>
        <w:overflowPunct/>
        <w:autoSpaceDE/>
        <w:autoSpaceDN/>
        <w:adjustRightInd/>
        <w:spacing w:line="260" w:lineRule="exact"/>
        <w:jc w:val="left"/>
        <w:textAlignment w:val="auto"/>
        <w:rPr>
          <w:rFonts w:cs="Arial"/>
          <w:iCs/>
          <w:sz w:val="20"/>
          <w:szCs w:val="20"/>
        </w:rPr>
      </w:pPr>
    </w:p>
    <w:p w:rsidR="00E430C7" w:rsidRPr="002F30DF" w:rsidRDefault="00E430C7" w:rsidP="00E430C7">
      <w:pPr>
        <w:spacing w:line="260" w:lineRule="atLeast"/>
        <w:rPr>
          <w:rFonts w:cs="Arial"/>
          <w:sz w:val="20"/>
          <w:szCs w:val="20"/>
        </w:rPr>
      </w:pPr>
      <w:r w:rsidRPr="002F30DF">
        <w:rPr>
          <w:rFonts w:cs="Arial"/>
          <w:b/>
          <w:iCs/>
          <w:sz w:val="20"/>
          <w:szCs w:val="20"/>
        </w:rPr>
        <w:t>Odvetniška zbornica Slovenije</w:t>
      </w:r>
      <w:r w:rsidRPr="002F30DF">
        <w:rPr>
          <w:rFonts w:cs="Arial"/>
          <w:iCs/>
          <w:sz w:val="20"/>
          <w:szCs w:val="20"/>
        </w:rPr>
        <w:t xml:space="preserve"> je glede 3. člena predlagala dopolnitev definicije »letni promet v koncentraciji udeleženih podjetij skupaj z drugimi podjetji v skupini«. V zvezi z 11. členom (naloge in pristojnosti agencije) pa je predlagala, da se</w:t>
      </w:r>
      <w:r w:rsidRPr="002F30DF">
        <w:rPr>
          <w:rFonts w:cs="Arial"/>
          <w:sz w:val="20"/>
          <w:szCs w:val="20"/>
        </w:rPr>
        <w:t xml:space="preserve"> četrti odstavek dopolni tako, da agencija določa svoje prednostne naloge, ki jih letno javni objavi.</w:t>
      </w:r>
      <w:r w:rsidRPr="002F30DF">
        <w:rPr>
          <w:rFonts w:cs="Arial"/>
          <w:iCs/>
          <w:sz w:val="20"/>
          <w:szCs w:val="20"/>
        </w:rPr>
        <w:t xml:space="preserve"> </w:t>
      </w:r>
      <w:r w:rsidRPr="002F30DF">
        <w:rPr>
          <w:rFonts w:cs="Arial"/>
          <w:sz w:val="20"/>
          <w:szCs w:val="20"/>
        </w:rPr>
        <w:t xml:space="preserve">V zvezi z neodvisnostjo agencije in prihodki za delo predlagajo dopolnitev z vključitvijo zakonskih zahtev za zagotovitev nepristranskosti, objektivnosti, neodvisnosti in odsotnosti nasprotja interesov članov organov vodenja </w:t>
      </w:r>
      <w:r w:rsidRPr="002F30DF">
        <w:rPr>
          <w:rFonts w:cs="Arial"/>
          <w:sz w:val="20"/>
          <w:szCs w:val="20"/>
        </w:rPr>
        <w:lastRenderedPageBreak/>
        <w:t>agencije in oseb v organih odločanja agencije (med mandatom oziroma zaposlitvijo ter najmanj še eno leto po prenehanju). Glede omejitev uporabe podatkov iz izjav zaradi prizanesljivosti (43. člen) predlaga, da se poleg izjave o prizanesljivosti omogoča omejitve glede uporabe podatkov tudi za vloge za poravnavo v vseh treh odstavkih člena. V zvezi s povzetkom relevantnih dejstev (48. člen) predlaga črtanje glede neupoštevanja izjav o povzetku relevantnih dejstev, prejetih po poteku roka. Nadalje predlaga, da se kot rok za posredovanje izjave o povzetku relevantnih dejstev določi najmanj 45 dnevni rok. Predlaga tudi ureditev izmenjave mnenj med agencijo in strankami postopka, tako imenovani  »state of play« sestanke, po vzoru postopka pred Evropsko komisijo. V zvezi z zahtevo za posredovanjem podatkov (54. člen) menijo, da ni jasno kdaj oziroma v kakšnih primerih lahko agencija izda neformalno oziroma formalno zahtevo za posredovanje podatkov, saj sta po vsebini enaki, razlikujejo pa se glede predlagane sankcije. Ne strinja se s predlagano določbo glede zbiranja informacij (55. člen), se pa načeloma strinja s tem, da bi bilo treba sedanjo ureditev spremeniti oziroma dopolniti tako, da bi bila agencija pri tem čim manj ovirana, vendar ne na račun oženja pravic strank v postopkih pred agencijo. Glede določbe o uvedbi preiskave in glede preiskave meni, da bila smiselna določba o obvezni prisotnosti odvetnika med opravljanjem preiskave po vzoru ZKP, zlasti ko pooblaščene oseba agencije med opravljanjem preiskave od predstavnikov podjetja ali zaposlenih v podjetju zahtevajo ustna pooblastila glede dejstev ali dokumentov, ki se nanašajo na predmet ali namen preiskave. Glede preiskave (57. člen) pa meni, da drugi odstavek neutemeljeno širi obseg pooblastil glede prostorov, ki so lahko predmet preiskave s strani agencije. Glede privilegirane komunikacije (60. člen) meni, da bi morala biti podjetju zagotovljena možnost, da uveljavlja obstoj privilegirane komunikacije v roku v katerem se lahko stranke izjavijo o povzetku relevantnih dejstev. Predlagajo tudi dopolnitev določbe o zapisniku (61. člen) tako, da se podjetjem zagotovi ustrezen rok za podajo pripomb na zapisnik o preiskavi po vzoru ureditve poročila iz preiskave po vzoru ZPOmK-1. V povezavi s postopkom presoje koncentracije predlaga dopolnitev le tega z uvedbo poenostavljenega postopka presoje koncentracije ter znižanje oziroma prilagoditev pragov, ki so določeni za nastanek obveznosti priglasitve koncentracije ali pa uvedbo dodatnega sklopa pragov nižjih prihodkovnih pragov, ki bi veljali v primeru prevzema podjetja ali sredstev v strateških in vnaprej določenih gospodarskih sektorjih (npr. v okviru digitalnih trgov in platform). V zvezi z določbo o začetku postopka presoje koncentracije (71. člen) se ji zastavlja vprašanje glede medsebojnega odnosa dveh institutov zadržanja izvrševanja koncentracije, to je zadrževanje koncentracije po samem zakonu (prvi od</w:t>
      </w:r>
      <w:r w:rsidRPr="002F30DF">
        <w:rPr>
          <w:rFonts w:cs="Arial"/>
          <w:sz w:val="20"/>
          <w:szCs w:val="20"/>
        </w:rPr>
        <w:lastRenderedPageBreak/>
        <w:t xml:space="preserve">stavek 70. člena) in po uradni dolžnosti (peti odstavek 70. člena) ter kdaj je agencija sploh upravičena prepovedati izvrševanje koncentracije še z odločbo, izdano po uradni dolžnosti, zato predlaga, da se predvidi možnost, da agencija po uradni dolžnosti izda odločbo, s katero ugotovi, da je podjetju na podlagi prvega odstavka 70. člena predloga zakona prepovedano uresničevanje pravic in obveznosti, ki izhajajo iz koncentracije, za katero obstaja obveznost priglasitve, do izdaje odločbe o skladnosti koncentracije s pravili konkurence. Odvetniška zbornica tudi predlaga preoblikovanje drugega odstavka 81. člena po vzoru drugega odstavka 11.a člena Zakona o prekrških. Glede opredelitve pojma naklep in malomarnost (83. člen) meni, da predlagana opredelitev ni dovolj določna ter tudi neutemeljeno odstopa od ureditve v drugih postopkih kaznovalne narave. V zvezi z opredelitvijo administrativne sankcije (85. člen) meni, da pojem podjetja ni zadosti določen in da bi bilo treba pojem storilca natančno opredeliti, predlaga spremembo prve alineje drugega odstavka 68. člena, in sicer da kot ravnanja, za katere je mogoče izreči administrativno sankcijo, niso predvidene tudi procesne kršitve ter da se druga alineja četrtega odstavka omeji, tako da obsega zgolj udeležbo na povabilo po 57. členu. Glede sodelovanja v šestem odstavku 68. člena pa meni, da ni jasno določeno, kakšna vrsta sodelovanja je mišljena. Glede odgovornosti matične družbe (86. člen) meni, da je potrebna natančnejša opredelitev, za katere primere je člen uporaben, saj meni, da je mogoče prevladujoč vpliv izvrševati tudi v primeru, ko podjetji nista lastniško povezani. Ne strinja se z ureditvijo pravnega in gospodarskega nasledstva in predlaga njegovo spremembo po vzoru Zakona o odgovornosti pravnih oseb za kazniva dejanja. Glede ureditve zastaranja administrativnega sankcioniranja (90. člen) izpostavlja, da po njihovem mnenju ni jasen učinek zadržanja zastaranja ter predlagajo, da se zastaranje pregona oziroma postopka opredeli na način in z vsebino, kot izhaja iz določb Zakona o prekrških. Glede določbe o odmeri in plačilu administrativne sankcije (91. člen) navaja, da ni pojasnjen pojem reprezentativnega obdobja, ter ni jasno katere druge okoliščine primera lahko agencija pri določitvi višine administrativne sankcije upošteva. Nejasna naj bi bila tudi določba glede znižanja oziroma odpusta administrativne sankcije, ki naj bi po njihovem mnenju omogočila arbitrarno razlago s strani agencije. Pomisleke ima tudi glede določbe o povrnitvi škode, saj naj bi bil po njihovem mnenju člen nedoločen, saj ni razumljivo kateri predmeti so tu relevantni. Glede dokončanja postopkov, začetih pred uporabo tega zakona (140. člen) meni, da četrti odstavek ni skladen z ustavnopravni izhodišči in posega v ustavne pravice podjetij, saj se z uvedbo odgovornosti za administrativni prestopek matične družbe v odprtih postopkih pred agencijo krši načelo zakonitosti iz 28. člena Ustave. </w:t>
      </w:r>
    </w:p>
    <w:p w:rsidR="00E430C7" w:rsidRPr="002F30DF" w:rsidRDefault="00E430C7" w:rsidP="00E430C7">
      <w:pPr>
        <w:spacing w:line="260" w:lineRule="atLeast"/>
        <w:rPr>
          <w:rFonts w:cs="Arial"/>
          <w:sz w:val="20"/>
          <w:szCs w:val="20"/>
        </w:rPr>
      </w:pPr>
      <w:r w:rsidRPr="002F30DF">
        <w:rPr>
          <w:rFonts w:cs="Arial"/>
          <w:sz w:val="20"/>
          <w:szCs w:val="20"/>
        </w:rPr>
        <w:t xml:space="preserve"> </w:t>
      </w:r>
    </w:p>
    <w:p w:rsidR="00E430C7" w:rsidRPr="002F30DF" w:rsidRDefault="00E430C7" w:rsidP="00E430C7">
      <w:pPr>
        <w:widowControl w:val="0"/>
        <w:overflowPunct/>
        <w:autoSpaceDE/>
        <w:autoSpaceDN/>
        <w:adjustRightInd/>
        <w:spacing w:line="260" w:lineRule="exact"/>
        <w:textAlignment w:val="auto"/>
        <w:rPr>
          <w:rFonts w:cs="Arial"/>
          <w:sz w:val="20"/>
          <w:szCs w:val="20"/>
        </w:rPr>
      </w:pPr>
      <w:r w:rsidRPr="002F30DF">
        <w:rPr>
          <w:rFonts w:cs="Arial"/>
          <w:b/>
          <w:sz w:val="20"/>
          <w:szCs w:val="20"/>
        </w:rPr>
        <w:lastRenderedPageBreak/>
        <w:t>Petrol, Slovenska energetska družba, d.d., Ljubljana in Trgovinska zbornica Slovenije</w:t>
      </w:r>
      <w:r w:rsidRPr="002F30DF">
        <w:rPr>
          <w:rFonts w:cs="Arial"/>
          <w:sz w:val="20"/>
          <w:szCs w:val="20"/>
        </w:rPr>
        <w:t xml:space="preserve"> predlagata dopolnitev določbe o ustni obravnavi (47. člen) z možnostjo uvedbe ustne obravnave na zahtevo stranke ter spremembo tretjega odstavka 68. člena, ki je po njunem mnenju nejasen, saj stranke, ki ne presegajo pragov iz prvega odstavka 58. člena niso dolžne obveščati AVK o koncentraciji, poleg tega ni določeno koliko časa po izvedbi koncentracije lahko AVK stranke pozove na priglasitev. V zvezi z določbo glede izreka administrativne sankcije (88. člen) predlagata črtanje četrtega in petega odstavka.</w:t>
      </w:r>
    </w:p>
    <w:p w:rsidR="00E430C7" w:rsidRPr="002F30DF" w:rsidRDefault="00E430C7" w:rsidP="00E430C7">
      <w:pPr>
        <w:widowControl w:val="0"/>
        <w:overflowPunct/>
        <w:autoSpaceDE/>
        <w:autoSpaceDN/>
        <w:adjustRightInd/>
        <w:spacing w:line="260" w:lineRule="exact"/>
        <w:textAlignment w:val="auto"/>
        <w:rPr>
          <w:rFonts w:cs="Arial"/>
          <w:iCs/>
          <w:sz w:val="20"/>
          <w:szCs w:val="20"/>
        </w:rPr>
      </w:pPr>
    </w:p>
    <w:p w:rsidR="003300E3" w:rsidRPr="002F30DF" w:rsidRDefault="003300E3" w:rsidP="003300E3">
      <w:pPr>
        <w:widowControl w:val="0"/>
        <w:overflowPunct/>
        <w:autoSpaceDE/>
        <w:autoSpaceDN/>
        <w:adjustRightInd/>
        <w:spacing w:line="260" w:lineRule="exact"/>
        <w:textAlignment w:val="auto"/>
        <w:rPr>
          <w:rFonts w:cs="Arial"/>
          <w:sz w:val="20"/>
          <w:szCs w:val="20"/>
        </w:rPr>
      </w:pPr>
      <w:r w:rsidRPr="002F30DF">
        <w:rPr>
          <w:rFonts w:cs="Arial"/>
          <w:b/>
          <w:iCs/>
          <w:sz w:val="20"/>
          <w:szCs w:val="20"/>
        </w:rPr>
        <w:t>Javna agencija Republike Slovenija za varstvo konkurence</w:t>
      </w:r>
      <w:r w:rsidRPr="002F30DF">
        <w:rPr>
          <w:rFonts w:cs="Arial"/>
          <w:iCs/>
          <w:sz w:val="20"/>
          <w:szCs w:val="20"/>
        </w:rPr>
        <w:t xml:space="preserve"> glede nalog in pristojnosti agencije (11. člen) meni, da je četrti odstavek nejasen in predlaga črtanje odstavka »na področju varstva konkurence«. Glede neodvisnosti izpostavlja, da predlog zakona ne</w:t>
      </w:r>
      <w:r w:rsidRPr="002F30DF">
        <w:rPr>
          <w:rFonts w:cs="Arial"/>
          <w:sz w:val="20"/>
          <w:szCs w:val="20"/>
        </w:rPr>
        <w:t xml:space="preserve"> ureja nezdružljivosti funkcij za člane odločevalnega organa agencije, ki odloča o načinu uveljavljanja prava varstva konkurence, (to je za zaposlene, ki sedaj sestavljajo senat). Ne strinja se, da so zaposleni tudi člani senata, ter izpostavlja razlikovanje med zaposlenimi na področju varstva konkurence in na drugih področjih delovanja agencije ter izpostavlja vprašanje glede pravne veljave kodeksa. Glede omejitve nadzora pristojnega ministrstva pa navaja, da je v predlogu zakona le pavšalno navedeno, da nadzor nad delom ne pomeni pravice vpogleda v posamezne obravnavane zadeve ter predlaga določitev kaj naj ta nadzor predstavlja, njegov temelj, namen in posledice. Glede financiranja predlaga določitev, da je agencija neposredni proračunski uporabnik. Glede opredelitve organa postopka  meni, da ni jasno ali je lahko član senata tudi oseba, ki opravlja dejanja v postopku. Določba po nepotrebnem izpostavlja predsednika senata, saj je tudi predsednik član senata. </w:t>
      </w:r>
      <w:r w:rsidRPr="002F30DF">
        <w:rPr>
          <w:rFonts w:cs="Arial"/>
          <w:iCs/>
          <w:sz w:val="20"/>
          <w:szCs w:val="20"/>
        </w:rPr>
        <w:t xml:space="preserve">Glede pravice strank do pregleda dokumentov zadeve (42. člen) predlaga nekatere dopolnitve, kot na primer vključitev, da se način pregleda podatkov v informacijskem sistemu uredi v poslovniku agencije, da se omogoči izvedencu ali odvetniku stranke preglede nezaupne različice dokumenta zaradi določitve relevantnih podatkov ter da se glede razkritja dokazov smiselno uporablja določbe o načinu razkritja zaupnih podatkov, kot predlog zakona določa v sodnih postopkih za uveljavljanje odškodnine. Predlaga spremembo določbe o ustni obravnavi, saj meni, da je izvedba ustne obravnave smiselna zgolj, ko z izvedbo vseh navedenih preiskovalnih dejanj dejansko stanje ni dovolj razčiščeno. Glede povzetka relevantnih dejstev predlaga določitev pravne posledice, če stranka ne predloži nezaupne različice v določenem roku. V zvezi z določbo glede odločbe in sklepov (49. člen) predlaga, da se spremeni na način, da bo </w:t>
      </w:r>
      <w:r w:rsidRPr="002F30DF">
        <w:rPr>
          <w:rFonts w:cs="Arial"/>
          <w:sz w:val="20"/>
          <w:szCs w:val="20"/>
        </w:rPr>
        <w:t xml:space="preserve">podjetju, na katerega je s sklepom naslovljena zahteva za posredovanje podatkov </w:t>
      </w:r>
      <w:r w:rsidRPr="002F30DF">
        <w:rPr>
          <w:rFonts w:cs="Arial"/>
          <w:sz w:val="20"/>
          <w:szCs w:val="20"/>
        </w:rPr>
        <w:lastRenderedPageBreak/>
        <w:t>iz 54. člena, omogočena takojšnja vložitev tožbe in npr. začasne odredbe, ter dopolnitev tega člena z možnostjo, da agencija po lastni presoji zakrije zaupne podatke, če stranka tega ne stori v roku.</w:t>
      </w:r>
    </w:p>
    <w:p w:rsidR="004C5C27" w:rsidRPr="002F30DF" w:rsidRDefault="004C5C27" w:rsidP="003300E3">
      <w:pPr>
        <w:widowControl w:val="0"/>
        <w:overflowPunct/>
        <w:autoSpaceDE/>
        <w:autoSpaceDN/>
        <w:adjustRightInd/>
        <w:spacing w:line="260" w:lineRule="exact"/>
        <w:textAlignment w:val="auto"/>
        <w:rPr>
          <w:rFonts w:cs="Arial"/>
          <w:iCs/>
          <w:sz w:val="20"/>
          <w:szCs w:val="20"/>
        </w:rPr>
      </w:pPr>
    </w:p>
    <w:p w:rsidR="003300E3" w:rsidRPr="002F30DF" w:rsidRDefault="003300E3" w:rsidP="003300E3">
      <w:pPr>
        <w:spacing w:line="260" w:lineRule="atLeast"/>
        <w:rPr>
          <w:rFonts w:cs="Arial"/>
          <w:iCs/>
          <w:sz w:val="20"/>
          <w:szCs w:val="20"/>
        </w:rPr>
      </w:pPr>
      <w:r w:rsidRPr="002F30DF">
        <w:rPr>
          <w:rFonts w:cs="Arial"/>
          <w:iCs/>
          <w:sz w:val="20"/>
          <w:szCs w:val="20"/>
        </w:rPr>
        <w:t xml:space="preserve">V zvezi s sklepom o uvedbi postopka predlaga, da se razširi še na spremembo sklepa ter da lahko agencija o spremembi ali razrešitvi odloči tudi s povzetkom relevantnih dejstev. Glede predloga določbe o zbiranju informacij predlaga dopolnitev le-te z vključitvijo možnosti, da bi lahko agencija zbirala informacije v prostorih podjetja, kjer podjetje sprejema svoje stranke ali so dostopni javnosti, ali pred prostori podjetja. Glede uvedbe preiskave (56. člen) predlaga </w:t>
      </w:r>
      <w:r w:rsidRPr="002F30DF">
        <w:rPr>
          <w:rFonts w:cs="Arial"/>
          <w:sz w:val="20"/>
          <w:szCs w:val="20"/>
        </w:rPr>
        <w:t>podaljšanje roka, v katerem mora sodnik Okrožnega sodišča v Ljubljani odločiti o predlogu odredbe za preiskavo. Predlaga, da prisotnost prič ne bi bila več potrebna, če bi se preiskava npr. audio-video dokumentirala, ali če je pri njeni izvedbi prisoten pooblaščen predstavnik sodišča, ki je odobril izvedbo preiskave, ali če je prisoten odvetnik preiskovanca. Predlaga dopolnitev določbe glede zasega predmetov, poslovnih knjig in druge dokumentacije. V zvezi z določbo o privilegirani komunikaciji (60. člen) predlaga dopolnitev z možnostjo, da agencija lahko v primeru zasega poslovnih knjig in druge dokumentacije pozove podjetje, da v določenem roku navede kateri dokumenti spadajo med privilegirano dokumentacijo. Predlaga tudi dopolnitev določbe o zavezah (65. člen) tako, da se časovno omeji možnost za predlaganje zavez. V povezavi s postopkom presoje koncentracij predlaga uvedbo poenostavljenega postopka presoje koncentracij, možnost zbiranja informacij, dopolnitev pravil, ki se nanašajo na obveznost izdati odločbo v določenem roku, določitev roka za predložitev korektivnih ukrepov, s katerimi se odpravi resen sum o skladnosti koncentracije s pravili konkurence.</w:t>
      </w:r>
      <w:r w:rsidRPr="002F30DF">
        <w:rPr>
          <w:rFonts w:cs="Arial"/>
          <w:iCs/>
          <w:sz w:val="20"/>
          <w:szCs w:val="20"/>
        </w:rPr>
        <w:t xml:space="preserve"> Predlaga tudi možnost izreka kazni, če podjetje v posebnem obrazcu za priglasitev koncentracije navede nepravilne ali zavajajoče podatke. Predlaga uvedbo vloge za poravnavo na podlagi katere bi agencija lahko podjetju znižala administrativno sankcijo.</w:t>
      </w:r>
    </w:p>
    <w:p w:rsidR="006B64A1" w:rsidRPr="002F30DF" w:rsidRDefault="006B64A1" w:rsidP="006B64A1">
      <w:pPr>
        <w:spacing w:line="260" w:lineRule="atLeast"/>
        <w:rPr>
          <w:rFonts w:cs="Arial"/>
          <w:iCs/>
          <w:sz w:val="20"/>
          <w:szCs w:val="20"/>
        </w:rPr>
      </w:pPr>
    </w:p>
    <w:p w:rsidR="00AC6E15" w:rsidRPr="002F30DF" w:rsidRDefault="006B64A1" w:rsidP="001F16F6">
      <w:pPr>
        <w:widowControl w:val="0"/>
        <w:overflowPunct/>
        <w:autoSpaceDE/>
        <w:autoSpaceDN/>
        <w:adjustRightInd/>
        <w:spacing w:line="260" w:lineRule="exact"/>
        <w:textAlignment w:val="auto"/>
        <w:rPr>
          <w:rFonts w:cs="Arial"/>
          <w:iCs/>
          <w:sz w:val="20"/>
          <w:szCs w:val="20"/>
        </w:rPr>
      </w:pPr>
      <w:r w:rsidRPr="002F30DF">
        <w:rPr>
          <w:rFonts w:cs="Arial"/>
          <w:iCs/>
          <w:sz w:val="20"/>
          <w:szCs w:val="20"/>
        </w:rPr>
        <w:t xml:space="preserve">Glavni razlog za pripravo novega zakona je bila implementacija- prenos </w:t>
      </w:r>
      <w:r w:rsidRPr="002F30DF">
        <w:rPr>
          <w:rFonts w:eastAsia="Calibri" w:cs="Arial"/>
          <w:iCs/>
          <w:sz w:val="20"/>
          <w:szCs w:val="20"/>
          <w:lang w:eastAsia="en-US"/>
        </w:rPr>
        <w:t xml:space="preserve">Direktive (EU) 2019/1 ter uvedba enotnega (administrativnega postopka). Zaradi zamude pri prenosu direktive (rok je potekel 4. 2. 2021, zaradi česar Sloveniji že grozijo sankcije), se je predlagatelj odločil, da ne bo posegal v druge določbe zakona, katerih sprememba ni nujno potrebna, saj bi to dodatno zavrlo nujno potreben prenos direktive. </w:t>
      </w:r>
      <w:r w:rsidR="003300E3" w:rsidRPr="002F30DF">
        <w:rPr>
          <w:rFonts w:eastAsia="Calibri" w:cs="Arial"/>
          <w:iCs/>
          <w:sz w:val="20"/>
          <w:szCs w:val="20"/>
          <w:lang w:eastAsia="en-US"/>
        </w:rPr>
        <w:t xml:space="preserve">Predlagatelj zato večino pripomb, ki so se nanašale na določbe, ki jih vsebuje že obstoječi Zakon o preprečevanju omejevanja konkurence ni upošteval. </w:t>
      </w:r>
      <w:r w:rsidRPr="002F30DF">
        <w:rPr>
          <w:rFonts w:eastAsia="Calibri" w:cs="Arial"/>
          <w:iCs/>
          <w:sz w:val="20"/>
          <w:szCs w:val="20"/>
          <w:lang w:eastAsia="en-US"/>
        </w:rPr>
        <w:t>Morebitne druge spremembe bodo predmet popravkov pri kateri od novel zakona.</w:t>
      </w:r>
    </w:p>
    <w:p w:rsidR="00AC6E15" w:rsidRPr="002F30DF" w:rsidRDefault="00AC6E15" w:rsidP="00AC6E15">
      <w:pPr>
        <w:overflowPunct/>
        <w:autoSpaceDE/>
        <w:autoSpaceDN/>
        <w:adjustRightInd/>
        <w:spacing w:line="260" w:lineRule="exact"/>
        <w:ind w:left="284"/>
        <w:textAlignment w:val="auto"/>
        <w:rPr>
          <w:rFonts w:cs="Arial"/>
          <w:sz w:val="20"/>
          <w:szCs w:val="20"/>
          <w:u w:val="single"/>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s subjekti, ki so na poziv predlagatelja neposredno sodelovali pri pripravi predloga zakona oziroma so dali mnenje (znanstvene in strokovne institucije, nevladne organizacije in posamezni strokovnjaki ter predstavniki zainteresirane javnosti).</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tbl>
      <w:tblPr>
        <w:tblW w:w="0" w:type="auto"/>
        <w:tblLook w:val="04A0" w:firstRow="1" w:lastRow="0" w:firstColumn="1" w:lastColumn="0" w:noHBand="0" w:noVBand="1"/>
      </w:tblPr>
      <w:tblGrid>
        <w:gridCol w:w="9039"/>
      </w:tblGrid>
      <w:tr w:rsidR="00AC6E15" w:rsidRPr="002F30DF" w:rsidTr="00C438A8">
        <w:tc>
          <w:tcPr>
            <w:tcW w:w="9039" w:type="dxa"/>
          </w:tcPr>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3. OCENA FINANČNIH POSLEDIC PREDLOGA ZAKONA ZA DRŽAVNI PRORAČUN IN DRUGA JAVNA FINANČNA SREDSTVA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tc>
      </w:tr>
      <w:tr w:rsidR="00AC6E15" w:rsidRPr="002F30DF" w:rsidTr="00C438A8">
        <w:tc>
          <w:tcPr>
            <w:tcW w:w="9039" w:type="dxa"/>
          </w:tcPr>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ocena finančnih sredstev za državni proračun:</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412EA0">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ne bo imel finančnih posledic za državni proračun in druga javno finančna sredstva saj agencija</w:t>
            </w:r>
            <w:r w:rsidR="00412EA0" w:rsidRPr="002F30DF">
              <w:rPr>
                <w:rFonts w:eastAsia="Calibri" w:cs="Arial"/>
                <w:sz w:val="20"/>
                <w:szCs w:val="20"/>
                <w:lang w:eastAsia="en-US"/>
              </w:rPr>
              <w:t>, ki je pristojna za področje varstva konkurence,</w:t>
            </w:r>
            <w:r w:rsidRPr="002F30DF">
              <w:rPr>
                <w:rFonts w:eastAsia="Calibri" w:cs="Arial"/>
                <w:sz w:val="20"/>
                <w:szCs w:val="20"/>
                <w:lang w:eastAsia="en-US"/>
              </w:rPr>
              <w:t xml:space="preserve"> že obstaja in je že sedaj proračunski uporabnik.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ocena drugih javnih finančnih sredstev:</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ne bo imel posledic za druga javno finančna sredstva.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Predvideno povečanje ali zmanjšanje prihodkov državnega proračuna: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Zaradi predloga zakona ni predvideno povečanje ali zmanjšanje prihodkov državnega proračuna – sredstva so že zagotovljena (naslednja točka).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 xml:space="preserve">predvideno povečanje ali zmanjšanje obveznosti za druga javna finančna sredstva: </w:t>
            </w:r>
          </w:p>
          <w:p w:rsidR="00AC6E15" w:rsidRPr="002F30DF" w:rsidRDefault="00AC6E15" w:rsidP="00AC6E15">
            <w:pPr>
              <w:overflowPunct/>
              <w:textAlignment w:val="auto"/>
              <w:rPr>
                <w:rFonts w:eastAsia="Calibri" w:cs="Arial"/>
                <w:color w:val="000000"/>
                <w:sz w:val="20"/>
                <w:szCs w:val="20"/>
              </w:rPr>
            </w:pPr>
          </w:p>
          <w:p w:rsidR="00AC6E15" w:rsidRPr="002F30DF" w:rsidRDefault="00AC6E15" w:rsidP="00AC6E15">
            <w:pPr>
              <w:overflowPunct/>
              <w:textAlignment w:val="auto"/>
              <w:rPr>
                <w:rFonts w:eastAsia="Calibri" w:cs="Arial"/>
                <w:color w:val="000000"/>
                <w:sz w:val="20"/>
                <w:szCs w:val="20"/>
              </w:rPr>
            </w:pPr>
            <w:r w:rsidRPr="002F30DF">
              <w:rPr>
                <w:rFonts w:eastAsia="Calibri" w:cs="Arial"/>
                <w:color w:val="000000"/>
                <w:sz w:val="20"/>
                <w:szCs w:val="20"/>
              </w:rPr>
              <w:t xml:space="preserve">Zaradi predloga zakona ni predvideno povečanje ali zmanjšanje obveznosti za druga javna finančna sredstva. </w:t>
            </w:r>
          </w:p>
          <w:p w:rsidR="00AC6E15" w:rsidRPr="002F30DF" w:rsidRDefault="00AC6E15" w:rsidP="00AC6E15">
            <w:pPr>
              <w:overflowPunct/>
              <w:textAlignment w:val="auto"/>
              <w:rPr>
                <w:rFonts w:eastAsia="Calibri" w:cs="Arial"/>
                <w:color w:val="000000"/>
                <w:sz w:val="20"/>
                <w:szCs w:val="20"/>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 xml:space="preserve">predvideni prihranki za državni proračun in druga javna finančna sredstva; </w:t>
            </w:r>
          </w:p>
          <w:p w:rsidR="00AC6E15" w:rsidRPr="002F30DF" w:rsidRDefault="00AC6E15" w:rsidP="00AC6E15">
            <w:pPr>
              <w:overflowPunct/>
              <w:textAlignment w:val="auto"/>
              <w:rPr>
                <w:rFonts w:eastAsia="Calibri" w:cs="Arial"/>
                <w:color w:val="000000"/>
                <w:sz w:val="20"/>
                <w:szCs w:val="20"/>
              </w:rPr>
            </w:pPr>
          </w:p>
          <w:p w:rsidR="00AC6E15" w:rsidRPr="002F30DF" w:rsidRDefault="00AC6E15" w:rsidP="00AC6E15">
            <w:pPr>
              <w:overflowPunct/>
              <w:textAlignment w:val="auto"/>
              <w:rPr>
                <w:rFonts w:eastAsia="Calibri" w:cs="Arial"/>
                <w:color w:val="000000"/>
                <w:sz w:val="20"/>
                <w:szCs w:val="20"/>
              </w:rPr>
            </w:pPr>
            <w:r w:rsidRPr="002F30DF">
              <w:rPr>
                <w:rFonts w:eastAsia="Calibri" w:cs="Arial"/>
                <w:color w:val="000000"/>
                <w:sz w:val="20"/>
                <w:szCs w:val="20"/>
              </w:rPr>
              <w:t xml:space="preserve">Prihranki za državni proračun in druga javna finančna sredstva niso predvideni. </w:t>
            </w:r>
          </w:p>
          <w:p w:rsidR="00AC6E15" w:rsidRPr="002F30DF" w:rsidRDefault="00AC6E15" w:rsidP="00AC6E15">
            <w:pPr>
              <w:overflowPunct/>
              <w:textAlignment w:val="auto"/>
              <w:rPr>
                <w:rFonts w:eastAsia="Calibri" w:cs="Arial"/>
                <w:b/>
                <w:bCs/>
                <w:color w:val="000000"/>
                <w:sz w:val="20"/>
                <w:szCs w:val="20"/>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 xml:space="preserve">sredstva bodo zagotovljena z zadolževanjem (poroštva):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cs="Arial"/>
                <w:sz w:val="20"/>
                <w:szCs w:val="20"/>
                <w:lang w:eastAsia="en-US"/>
              </w:rPr>
              <w:t>Zaradi predloga zakona ni potrebno zadolževanje.</w:t>
            </w:r>
          </w:p>
          <w:p w:rsidR="00AC6E15" w:rsidRPr="002F30DF" w:rsidRDefault="00AC6E15" w:rsidP="00AC6E15">
            <w:pPr>
              <w:overflowPunct/>
              <w:textAlignment w:val="auto"/>
              <w:rPr>
                <w:rFonts w:eastAsia="Calibri" w:cs="Arial"/>
                <w:color w:val="000000"/>
                <w:sz w:val="20"/>
                <w:szCs w:val="20"/>
              </w:rPr>
            </w:pPr>
          </w:p>
          <w:p w:rsidR="00AC6E15" w:rsidRPr="002F30DF" w:rsidRDefault="00AC6E15" w:rsidP="00431BAA">
            <w:pPr>
              <w:numPr>
                <w:ilvl w:val="1"/>
                <w:numId w:val="86"/>
              </w:numPr>
              <w:overflowPunct/>
              <w:autoSpaceDE/>
              <w:autoSpaceDN/>
              <w:adjustRightInd/>
              <w:spacing w:line="260" w:lineRule="exact"/>
              <w:ind w:left="284" w:hanging="284"/>
              <w:jc w:val="left"/>
              <w:textAlignment w:val="auto"/>
              <w:rPr>
                <w:rFonts w:cs="Arial"/>
                <w:sz w:val="20"/>
                <w:szCs w:val="20"/>
                <w:u w:val="single"/>
                <w:lang w:eastAsia="en-US"/>
              </w:rPr>
            </w:pPr>
            <w:r w:rsidRPr="002F30DF">
              <w:rPr>
                <w:rFonts w:cs="Arial"/>
                <w:sz w:val="20"/>
                <w:szCs w:val="20"/>
                <w:u w:val="single"/>
                <w:lang w:eastAsia="en-US"/>
              </w:rPr>
              <w:t xml:space="preserve">v naslednjem proračunskem obdobju bodo sredstva zagotovljena: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cs="Arial"/>
                <w:sz w:val="20"/>
                <w:szCs w:val="20"/>
                <w:lang w:eastAsia="en-US"/>
              </w:rPr>
              <w:t>V naslednjem proračunskem obdobju dodatnih sredstev zaradi predloga zakona ni treba zagotavljati izven že predhodno dodeljenih sredstev v naslednji točki.</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tc>
      </w:tr>
      <w:tr w:rsidR="00AC6E15" w:rsidRPr="002F30DF" w:rsidTr="00C438A8">
        <w:trPr>
          <w:trHeight w:val="993"/>
        </w:trPr>
        <w:tc>
          <w:tcPr>
            <w:tcW w:w="9039" w:type="dxa"/>
          </w:tcPr>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4. NAVEDBA, DA SO SREDSTVA ZA IZVAJANJE ZAKONA V DRŽAVNEM PRORAČUNU ZAGOTOVLJENA, ČE PREDLOG ZAKONA PREDVIDEVA PORABO PRORAČUNSKIH SREDSTEV V OBDOBJU, ZA KATERO JE BIL DRŽAVNI PRORAČUN ŽE SPREJET</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Za izvajanje zakona so že zagotovljena sredstva v sprejetem državnem proračunu</w:t>
            </w:r>
            <w:r w:rsidR="00313017" w:rsidRPr="002F30DF">
              <w:rPr>
                <w:rFonts w:eastAsia="Calibri" w:cs="Arial"/>
                <w:sz w:val="20"/>
                <w:szCs w:val="20"/>
                <w:lang w:eastAsia="en-US"/>
              </w:rPr>
              <w:t>,</w:t>
            </w:r>
            <w:r w:rsidRPr="002F30DF">
              <w:rPr>
                <w:rFonts w:eastAsia="Calibri" w:cs="Arial"/>
                <w:sz w:val="20"/>
                <w:szCs w:val="20"/>
                <w:lang w:eastAsia="en-US"/>
              </w:rPr>
              <w:t xml:space="preserve"> in sicer na proračunski postavki </w:t>
            </w:r>
            <w:r w:rsidR="002840BB" w:rsidRPr="002F30DF">
              <w:rPr>
                <w:rFonts w:eastAsia="Calibri" w:cs="Arial"/>
                <w:color w:val="000000"/>
                <w:sz w:val="20"/>
                <w:szCs w:val="20"/>
              </w:rPr>
              <w:t>PP 131044 – Javna agencija Republike Slovenije za varstvo konkurence</w:t>
            </w:r>
            <w:r w:rsidRPr="002F30DF">
              <w:rPr>
                <w:rFonts w:eastAsia="Calibri" w:cs="Arial"/>
                <w:sz w:val="20"/>
                <w:szCs w:val="20"/>
                <w:lang w:eastAsia="en-US"/>
              </w:rPr>
              <w:t>.</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5. PRIKAZ UREDITVE V DRUGIH PRAVNIH SISTEMIH IN PRILAGOJENOSTI PREDLAGANE UREDITVE PRAVU EVROPSKE UNIJE</w:t>
            </w:r>
          </w:p>
          <w:p w:rsidR="00AC6E15" w:rsidRPr="002F30DF" w:rsidRDefault="00AC6E15" w:rsidP="00333B34">
            <w:pPr>
              <w:overflowPunct/>
              <w:autoSpaceDE/>
              <w:autoSpaceDN/>
              <w:adjustRightInd/>
              <w:spacing w:line="260" w:lineRule="exact"/>
              <w:textAlignment w:val="auto"/>
              <w:rPr>
                <w:rFonts w:eastAsia="Calibri" w:cs="Arial"/>
                <w:b/>
                <w:sz w:val="20"/>
                <w:szCs w:val="20"/>
                <w:lang w:eastAsia="en-US"/>
              </w:rPr>
            </w:pPr>
          </w:p>
        </w:tc>
      </w:tr>
    </w:tbl>
    <w:p w:rsidR="00AC6E15" w:rsidRPr="002F30DF" w:rsidRDefault="00AC6E15" w:rsidP="00431BAA">
      <w:pPr>
        <w:numPr>
          <w:ilvl w:val="1"/>
          <w:numId w:val="89"/>
        </w:num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Postopek sprejemanja odločitev zaradi kršitev pravil konkurenčnega prava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tbl>
      <w:tblPr>
        <w:tblW w:w="0" w:type="auto"/>
        <w:tblInd w:w="-34" w:type="dxa"/>
        <w:tblLook w:val="04A0" w:firstRow="1" w:lastRow="0" w:firstColumn="1" w:lastColumn="0" w:noHBand="0" w:noVBand="1"/>
      </w:tblPr>
      <w:tblGrid>
        <w:gridCol w:w="9105"/>
      </w:tblGrid>
      <w:tr w:rsidR="00AC6E15" w:rsidRPr="002F30DF" w:rsidTr="00AC6E15">
        <w:tc>
          <w:tcPr>
            <w:tcW w:w="9180" w:type="dxa"/>
          </w:tcPr>
          <w:p w:rsidR="00AC6E15" w:rsidRPr="002F30DF" w:rsidRDefault="00AC6E15" w:rsidP="00AC6E15">
            <w:pPr>
              <w:overflowPunct/>
              <w:autoSpaceDE/>
              <w:autoSpaceDN/>
              <w:adjustRightInd/>
              <w:spacing w:line="260" w:lineRule="exact"/>
              <w:textAlignment w:val="auto"/>
              <w:rPr>
                <w:rFonts w:cs="Arial"/>
                <w:b/>
                <w:i/>
                <w:sz w:val="20"/>
                <w:szCs w:val="20"/>
                <w:u w:val="single"/>
                <w:lang w:eastAsia="en-US"/>
              </w:rPr>
            </w:pPr>
            <w:r w:rsidRPr="002F30DF">
              <w:rPr>
                <w:rFonts w:cs="Arial"/>
                <w:b/>
                <w:i/>
                <w:sz w:val="20"/>
                <w:szCs w:val="20"/>
                <w:u w:val="single"/>
                <w:lang w:eastAsia="en-US"/>
              </w:rPr>
              <w:lastRenderedPageBreak/>
              <w:t>Primerljivost pravnih sistemov</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suppressAutoHyphens/>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Nadzor nad konkurenčnim pravom na ravni Evropske unije izvaja Evropska komisija, ki nadzira ali podjetja spoštujejo </w:t>
            </w:r>
            <w:r w:rsidRPr="002F30DF">
              <w:rPr>
                <w:rFonts w:cs="Arial"/>
                <w:sz w:val="20"/>
                <w:szCs w:val="20"/>
                <w:lang w:eastAsia="ar-SA"/>
              </w:rPr>
              <w:t>konkurenčno</w:t>
            </w:r>
            <w:r w:rsidRPr="002F30DF">
              <w:rPr>
                <w:rFonts w:cs="Arial"/>
                <w:sz w:val="20"/>
                <w:szCs w:val="20"/>
                <w:lang w:eastAsia="en-US"/>
              </w:rPr>
              <w:t xml:space="preserve"> pravo Evropske unije. S sprejemom Uredbe 1/2003 so organi, pristojni za varstvo konkurence držav članic, če za zadevo ni pristojna Evropska komisija, postali pristojni za neposredno izvrševanje nadzora nad uporabo določb 101. in 102. člena PDEU. Materialno pravne določbe in razlaga teh določb s strani Sodišča EU pa je v skladu z načelom supremacije prava EU postala zavezujoča tudi za države članice.</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suppressAutoHyphens/>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Glede na to posebno ureditev konkurenčnega prava so številne države članice pri urejanju nacionalnih procesnih določb, kot nacionalnih materialno pravnih določb, sledile ureditvi, ki izhaja iz prava EU.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b/>
                <w:i/>
                <w:sz w:val="20"/>
                <w:szCs w:val="20"/>
                <w:u w:val="single"/>
                <w:lang w:eastAsia="en-US"/>
              </w:rPr>
            </w:pPr>
            <w:r w:rsidRPr="002F30DF">
              <w:rPr>
                <w:rFonts w:cs="Arial"/>
                <w:b/>
                <w:i/>
                <w:sz w:val="20"/>
                <w:szCs w:val="20"/>
                <w:u w:val="single"/>
                <w:lang w:eastAsia="en-US"/>
              </w:rPr>
              <w:t>Podrobnejši prikaz ureditve v postopku pred Evropsko komisijo in nekaterih državah članicah Evropske unije</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color w:val="0070C0"/>
                <w:sz w:val="20"/>
                <w:szCs w:val="20"/>
                <w:lang w:eastAsia="en-US"/>
              </w:rPr>
            </w:pPr>
            <w:r w:rsidRPr="002F30DF">
              <w:rPr>
                <w:rFonts w:cs="Arial"/>
                <w:color w:val="0070C0"/>
                <w:sz w:val="20"/>
                <w:szCs w:val="20"/>
                <w:lang w:eastAsia="en-US"/>
              </w:rPr>
              <w:t>Postopek pred Evropsko komisijo</w:t>
            </w:r>
          </w:p>
          <w:p w:rsidR="00AC6E15" w:rsidRPr="002F30DF" w:rsidRDefault="00AC6E15" w:rsidP="00AC6E15">
            <w:pPr>
              <w:overflowPunct/>
              <w:autoSpaceDE/>
              <w:autoSpaceDN/>
              <w:adjustRightInd/>
              <w:spacing w:line="260" w:lineRule="exact"/>
              <w:textAlignment w:val="auto"/>
              <w:rPr>
                <w:rFonts w:cs="Arial"/>
                <w:color w:val="0070C0"/>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V skladu z evropskim pravom se za ugotavljanje, odpravo in sankcioniranje kršitev, ki predstavljajo omejevalna ravnanja (101. in 102. člen PDEU), izvede en postopek, ki ga vodi Evropska komisija kot izvršilni organ Evropske Unije.</w:t>
            </w:r>
            <w:r w:rsidRPr="002F30DF">
              <w:rPr>
                <w:rFonts w:cs="Arial"/>
                <w:sz w:val="20"/>
                <w:szCs w:val="20"/>
                <w:vertAlign w:val="superscript"/>
                <w:lang w:eastAsia="en-US"/>
              </w:rPr>
              <w:footnoteReference w:id="1"/>
            </w:r>
            <w:r w:rsidRPr="002F30DF">
              <w:rPr>
                <w:rFonts w:cs="Arial"/>
                <w:sz w:val="20"/>
                <w:szCs w:val="20"/>
                <w:lang w:eastAsia="en-US"/>
              </w:rPr>
              <w:t xml:space="preserve"> Postopek, ki ga vodi Evropska komisija, ureja Uredba 1/2003. Evropska komisija izda odločbo, s katero ugotovi kršitev, prepove nadaljnje kršitve in naloži ukrepe potrebne za odpravo posledic kršitve ali preprečitev nadaljnjih učinkov kršitve ter naloži plačilo denarne kazni za izvršeno kršitev.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Zoper odločbo Evropske komisije je v skladu z 256. členom PDEU možno vložiti ničnostno tožbo na Splošno sodišče, zoper to sodbo pa zaradi kršitev prava, v skladu z 261. ali 263. členom PDEU, pritožbo na Sodišče EU.</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Iz navedenega izhaja, da gre za monistični administrativen postopek, v katerem Evropska komisija kot administrativni organ, ugotovi kršitev in izreče sankcijo.</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Postopek pred Evropsko komisijo se v grobem deli na dve fazi: predhodno preiskovalno fazo in kontradiktorno fazo.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Postopek se ne uvede formalno s kakšnim posebnim procesnim aktom. V skladu z Uredbo 1/2003 se preiskava opravi na podlagi pisne zahteve ali odločbe Evropske komisije. V prvem primeru podjetje lahko zavrne izvedbo preiskave, v drugem primeru se zavrnitev preiskave šteje za oviranje preiskave, za kar se lahko podjetje sankcionira z enkratno denarno kaznijo, ki lahko znaša 1 procent letnega prometa (točka (c) prvega odstavka 23. člena) ali s periodično denarno kaznijo, ki znaša do 5 odstotkov povprečnega dnevnega prometa podjetja (točka (e) prvega odstavka 24. člena).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V vsakem primeru (torej ne glede na to, ali se preiskava izvaja na podlagi pisne zahteve ali odločbe) pa mora preiskovano podjetje na zahtevo pooblaščenih oseb izročiti zahtevane poslovne knjige ali drugo poslovno dokumentacijo in odgovarjati na vprašanja Evropske komisije. Če podjetje ne predloži zahtevanih podatkov ali so podatki nepopolni ali poda netočne ali zavajajoče odgovore, lahko Evropska komisija naloži enkratno denarno kazen iz (c) in (d) točke 23. člena, ki znaša največ 1 odstotek letnega prometa.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V zvezi z obsegom potrebnega ugotavljanja ravnanj, ki konstituirajo kršitev in odgovornosti, se je že izreklo Sodišče EU. Tako za dokazovanje naklepa in malomarnosti Evropski komisiji ni potrebno identificiranja konkretnih oseb znotraj podjetja, ki so ravnale protipravno ali ki so odgovorne za neustrezno organizacijo podjetja, torej ni treba dokazati individualne odgovornosti posameznih članov teh organov (sodba Sodišča EU C-338/00 P Volkswagen AG/Komisija, EU:C:2003:473, točka 98).</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lastRenderedPageBreak/>
              <w:t>V Sodbi Schenker in drugi proti Komisiji, C-681/11, EU:C:2013:404</w:t>
            </w:r>
            <w:r w:rsidRPr="002F30DF">
              <w:rPr>
                <w:rFonts w:cs="Arial"/>
                <w:sz w:val="20"/>
                <w:szCs w:val="20"/>
                <w:vertAlign w:val="superscript"/>
                <w:lang w:eastAsia="en-US"/>
              </w:rPr>
              <w:footnoteReference w:id="2"/>
            </w:r>
            <w:r w:rsidRPr="002F30DF">
              <w:rPr>
                <w:rFonts w:cs="Arial"/>
                <w:sz w:val="20"/>
                <w:szCs w:val="20"/>
                <w:lang w:eastAsia="en-US"/>
              </w:rPr>
              <w:t xml:space="preserve">, je Sodišče EU na predložitveno vprašanje »ali je treba 101. člen PDEU razlagati tako, da se lahko podjetje, ki je to določbo kršilo, izogne naložitvi globe, če je do kršitve prišlo, ker je bilo v zmoti glede zakonitosti svojega ravnanja zaradi pravnega nasveta odvetnika ali odločitve nacionalnega organa, pristojnega za konkurenco« (33. točka) pojasnilo, da Evropska komisija naloži denarno kazen, kadar podjetja ali podjetniška združenja »naklepno ali iz malomarnosti« kršijo določbe 101. člena PDEU ali 102. PDEU (točka 34). V primeru, ko takšne kršitve ugotovijo nacionalni organi, pristojni za varstvo konkurence, pa pravo EU določa, da mora organ izreči denarno kazen, pri tem pa ne določa pogoja, kot to velja za Evropsko komisijo, da mora izrek te kazni temeljiti na subjektivnem elementu (35. točka). Po drugi strani pa sodišče dodaja, da države članice lahko vzpostavijo subjektivno odgovornost podjetij zaradi enotne uporabe 101. in 102. člena PDEU. Vendar mora biti ta odgovornost oblikovana najmanj tako strogo kot to velja v pravu EU (36. točka).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V zvezi z vsebino naklepa in malomarnosti pa je sodišče navedlo, da je naklep ali malomarnost podjetja podana, »če zadevno podjetje ne more prezreti, da je njegovo ravnanje protikonkurenčno, ne glede na to, ali se zaveda, da je kršilo pravila o konkurenci iz Pogodbe« (točka 37).</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Sodišče tako zaključuje, da napačna pravna opredelitev ravnanja s strani podjetja, na katerem temelji ugotovitev kršitve, tega podjetja ne more oprostiti naložitve globe, če to podjetje ne more prezreti protikonkurenčnosti navedenega ravnanja (točka 38).</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color w:val="0070C0"/>
                <w:sz w:val="20"/>
                <w:szCs w:val="20"/>
                <w:lang w:eastAsia="en-US"/>
              </w:rPr>
            </w:pPr>
            <w:r w:rsidRPr="002F30DF">
              <w:rPr>
                <w:rFonts w:cs="Arial"/>
                <w:color w:val="0070C0"/>
                <w:sz w:val="20"/>
                <w:szCs w:val="20"/>
                <w:lang w:eastAsia="en-US"/>
              </w:rPr>
              <w:t>Hrvaška</w:t>
            </w:r>
          </w:p>
          <w:p w:rsidR="00AC6E15" w:rsidRPr="002F30DF" w:rsidRDefault="00AC6E15" w:rsidP="00AC6E15">
            <w:pPr>
              <w:overflowPunct/>
              <w:autoSpaceDE/>
              <w:autoSpaceDN/>
              <w:adjustRightInd/>
              <w:spacing w:line="260" w:lineRule="exact"/>
              <w:textAlignment w:val="auto"/>
              <w:rPr>
                <w:rFonts w:cs="Arial"/>
                <w:b/>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Hrvaška je z vstopom v Evropsko unijo svojo zakonodajo zelo približala zakonodaji Evropske unije in določbe zakona, ki ureja področje varstva konkurence, v veliki meri prilagodila določbam Evropske unije. Zakonodajni okvir predstavlja Zakon o zaštiti tržišnog natjecanja ("Narodne Novine", broj 79/09 in 80/2013)</w:t>
            </w:r>
            <w:r w:rsidRPr="002F30DF">
              <w:rPr>
                <w:rFonts w:cs="Arial"/>
                <w:sz w:val="20"/>
                <w:szCs w:val="20"/>
                <w:vertAlign w:val="superscript"/>
                <w:lang w:eastAsia="en-US"/>
              </w:rPr>
              <w:footnoteReference w:id="3"/>
            </w:r>
            <w:r w:rsidRPr="002F30DF">
              <w:rPr>
                <w:rFonts w:cs="Arial"/>
                <w:sz w:val="20"/>
                <w:szCs w:val="20"/>
                <w:lang w:eastAsia="en-US"/>
              </w:rPr>
              <w:t xml:space="preserve">, s 24. 4. 2021 pa so začele veljati spremembe, ki so bile prenešene v zakon zaradi prenosa Direktive 2019/1. </w:t>
            </w:r>
            <w:hyperlink r:id="rId35" w:history="1">
              <w:r w:rsidRPr="002F30DF">
                <w:rPr>
                  <w:rFonts w:eastAsia="Calibri" w:cs="Arial"/>
                  <w:color w:val="000000"/>
                  <w:sz w:val="20"/>
                  <w:szCs w:val="20"/>
                </w:rPr>
                <w:t>Zakon o izmjenama i dopunama Zakona o zaštiti tržišnog natjecan</w:t>
              </w:r>
              <w:r w:rsidRPr="002F30DF">
                <w:rPr>
                  <w:rFonts w:eastAsia="Calibri" w:cs="Arial"/>
                  <w:color w:val="000000"/>
                  <w:sz w:val="20"/>
                  <w:szCs w:val="20"/>
                  <w:u w:val="single"/>
                </w:rPr>
                <w:t>j</w:t>
              </w:r>
            </w:hyperlink>
            <w:r w:rsidRPr="002F30DF">
              <w:rPr>
                <w:rFonts w:eastAsia="Calibri" w:cs="Arial"/>
                <w:iCs/>
                <w:color w:val="000000"/>
                <w:sz w:val="20"/>
                <w:szCs w:val="20"/>
              </w:rPr>
              <w:t>u</w:t>
            </w:r>
            <w:r w:rsidRPr="002F30DF">
              <w:rPr>
                <w:rFonts w:eastAsia="Calibri" w:cs="Arial"/>
                <w:i/>
                <w:iCs/>
                <w:color w:val="000000"/>
                <w:sz w:val="20"/>
                <w:szCs w:val="20"/>
              </w:rPr>
              <w:t xml:space="preserve"> </w:t>
            </w:r>
            <w:r w:rsidRPr="002F30DF">
              <w:rPr>
                <w:rFonts w:eastAsia="Calibri" w:cs="Arial"/>
                <w:iCs/>
                <w:color w:val="000000"/>
                <w:sz w:val="20"/>
                <w:szCs w:val="20"/>
              </w:rPr>
              <w:t>(»Narodne Novine«, broj 41/21; v nadaljevanju: zakon).</w:t>
            </w: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Čeprav je hrvaška nacionalna zakonodaja na področju varstva konkurence že v veliki meri usklajena s pravnim redom EU s sprejemom Zakona o zaštiti tržišnog natjecanja ter 11 podzakonskih aktov (odlokov), je z zakonom hrvaška zakonodaja na področju varstva trga v celoti skladna s pravnim redom EU.</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Zakon zagotavlja višjo stopnjo neodvisnosti agencije kot nacionalnega organa, pristojnega za varstvo konkurence v Republiki Hrvaški, zadostna sredstva za izvajanje pooblastil, uvaja nova pooblastila, ki jih morajo imeti v skladu z Direktivo 2019/1, med drugim kazni ali dnevne globe za ugotovljene kršitve, vse z namenom enotne in učinkovite uporabe členov 101 ali 102 PDEU. Agencija je s tem zakonom določena kot splošni nacionalni regulativni organ, pristojen za varstvo konkurence na vseh trgih.</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Nadalje zakon opredeljuje pogosto uporabljene izraze, na primer: kartel, skrivni kartel, program prizanesljivosti, izjava podjetnika zaradi prizanesljivosti, organ prosilec, predvsem pa v definiciji podjetnika. ureja, kako se podjetniško združenje šteje tudi za podjetje in ureja pojem "podjetja v postopkih presoje združitev".</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Ta zakon omogoča agenciji, da določi ukrep spremljanja poslovanja in/ali ukrepe, ki so sorazmerni s storjeno kršitvijo in potrebni za uspešno odpravo prepovedanega sporazuma kot ukrepa za odpravo škodljivih učinkov prepovedanega sporazuma. </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V zvezi z začasnimi ukrepi ta zakon določa, da začasni ukrep praviloma ne sme biti daljši od 12 mesecev in da bo agencija obvestila Evropsko mrežo tržne konkurence.</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lastRenderedPageBreak/>
              <w:t>Zahteve, ki jih agencija naslovi na stranke v postopku in druge osebe, morajo biti sorazmerne in ne smejo prisiliti strank v postopku ter drugih pravnih in fizičnih oseb, da priznajo kršitev in 101. in 102. člena PDEU.</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Poleg tega ta zakon uvaja nove pravne institute, na primer: »Obvezne pogovore«, »Dnevne globe«, »Enotni instrument«, »Poravnave v postopkih ugotavljanja kartelov« ter dodatno izpopolnjuje pravni institut »Vpogled v izjave zaradi prizanesljivosti in predloge«. </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Ker Direktiva 2019/1 posebej ureja pogoje, pod katerimi sedanji in nekdanji direktorji, menedžerji in drugi zaposleni pri podjetnikih, ki so zaprosili za oprostitev glob v okviru kazenskega programa, ne bodo kaznovani v upravnih postopkih in upravnih sporih, in za te iste kategorije oseb in pod enakimi pogoji, zakon predpisuje, da odločitev o uvedbi kazenskega postopka zoper te osebe sprejme državni odvetnik v skladu s predpisi kazenske zakonodaje Republike Hrvaške. Državni odvetnik se lahko odloči, da ne bo sprožil kazenskega postopka ali pa pristojnemu sodišču predlaga omilitev sankcije, ki bi se morala izreči v kazenskem postopku, če meni, da prispevek osebe pri odkrivanju kartela presega interes pregona ali sankcioniranje teh oseb.</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Zakon nadalje določa, da so za reševanje sporov pristojni organi države članice EU, iz katere je organ prosilec in zanje velja pravo te države članice, če se nanašajo na zakonitost odločitev organa prosilca. </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D93182" w:rsidRPr="002F30DF" w:rsidRDefault="00D93182" w:rsidP="00D93182">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Ukinja se institut »Obveščanje o ugotovljenih dejstvih«. Strankam v postopku se namreč vroči obvestilo o predhodno ugotovljenih dejstvih v postopku (pred dokončno odločitvijo), o katerem imajo stranke pravico pisno komentirati in komentirati ter predlagati dodatne dokaze in priče, če jih imajo. S tem je strankam nedvomno zagotovljena pravica do obrambe do sklepa o ustavitvi postopka. To je v skladu s prakso organov za konkurenco držav članic Evropske unije in same Evropske komisije.</w:t>
            </w:r>
          </w:p>
          <w:p w:rsidR="00D93182" w:rsidRPr="002F30DF" w:rsidRDefault="00D93182" w:rsidP="00D93182">
            <w:pPr>
              <w:overflowPunct/>
              <w:autoSpaceDE/>
              <w:autoSpaceDN/>
              <w:adjustRightInd/>
              <w:spacing w:line="260" w:lineRule="exact"/>
              <w:textAlignment w:val="auto"/>
              <w:rPr>
                <w:rFonts w:cs="Arial"/>
                <w:sz w:val="20"/>
                <w:szCs w:val="20"/>
                <w:lang w:eastAsia="en-US"/>
              </w:rPr>
            </w:pPr>
          </w:p>
          <w:p w:rsidR="00AC6E15" w:rsidRPr="002F30DF" w:rsidRDefault="00D93182"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Prav tako zakon ureja zastaranje izreka in izvrševanja glob ali dnevnih glob v primeru postopkov pred organi za konkurenco drugih držav članic EU ali pred Evropsko komisijo v zvezi s kršitvijo v zvezi z enakim ravnanjem podjetja ali podjetniškega združenja. </w:t>
            </w:r>
          </w:p>
          <w:p w:rsidR="00CA7E6D" w:rsidRPr="002F30DF" w:rsidRDefault="00CA7E6D" w:rsidP="00AC6E15">
            <w:pPr>
              <w:overflowPunct/>
              <w:autoSpaceDE/>
              <w:autoSpaceDN/>
              <w:adjustRightInd/>
              <w:spacing w:line="260" w:lineRule="exact"/>
              <w:textAlignment w:val="auto"/>
              <w:rPr>
                <w:rFonts w:cs="Arial"/>
                <w:b/>
                <w:sz w:val="20"/>
                <w:szCs w:val="20"/>
                <w:lang w:eastAsia="en-US"/>
              </w:rPr>
            </w:pPr>
          </w:p>
          <w:p w:rsidR="00AC6E15" w:rsidRPr="002F30DF" w:rsidRDefault="00AC6E15" w:rsidP="00AC6E15">
            <w:pPr>
              <w:overflowPunct/>
              <w:autoSpaceDE/>
              <w:autoSpaceDN/>
              <w:adjustRightInd/>
              <w:spacing w:line="260" w:lineRule="exact"/>
              <w:textAlignment w:val="auto"/>
              <w:rPr>
                <w:rFonts w:cs="Arial"/>
                <w:color w:val="0070C0"/>
                <w:sz w:val="20"/>
                <w:szCs w:val="20"/>
                <w:lang w:eastAsia="en-US"/>
              </w:rPr>
            </w:pPr>
            <w:r w:rsidRPr="002F30DF">
              <w:rPr>
                <w:rFonts w:cs="Arial"/>
                <w:color w:val="0070C0"/>
                <w:sz w:val="20"/>
                <w:szCs w:val="20"/>
                <w:lang w:eastAsia="en-US"/>
              </w:rPr>
              <w:t xml:space="preserve">Madžarska </w:t>
            </w:r>
          </w:p>
          <w:p w:rsidR="00AC6E15" w:rsidRPr="002F30DF" w:rsidRDefault="00AC6E15" w:rsidP="00AC6E15">
            <w:pPr>
              <w:overflowPunct/>
              <w:autoSpaceDE/>
              <w:autoSpaceDN/>
              <w:adjustRightInd/>
              <w:spacing w:line="260" w:lineRule="exact"/>
              <w:textAlignment w:val="auto"/>
              <w:rPr>
                <w:rFonts w:cs="Arial"/>
                <w:b/>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Na Madžarskem ureja postopek ugotavljanja omejevalnih ravnanj Zakon LVII iz 1996 Zakonu o prepovedi nepoštenih in omejevalnih tržnih ravnanj (A tisztességtelen piaci magatartás és a versenykorlátozás tilalmáról szóló 1996. évi LVII. Törvény; v nadaljevanju: Madžarski zakon). Leta 2014 je bil zakon pomembneje spremenjen, saj je bila dodana ali spremenjena skoraj polovica zakonskega besedila</w:t>
            </w:r>
            <w:r w:rsidR="00F41451" w:rsidRPr="002F30DF">
              <w:rPr>
                <w:rFonts w:cs="Arial"/>
                <w:sz w:val="20"/>
                <w:szCs w:val="20"/>
                <w:lang w:eastAsia="en-US"/>
              </w:rPr>
              <w:t xml:space="preserve">, s 1.1.2021 pa so začele veljati spremembe, ki so bile prenešene v Madžarski zakon zaradi </w:t>
            </w:r>
            <w:r w:rsidR="009C72B2" w:rsidRPr="002F30DF">
              <w:rPr>
                <w:rFonts w:cs="Arial"/>
                <w:sz w:val="20"/>
                <w:szCs w:val="20"/>
                <w:lang w:eastAsia="en-US"/>
              </w:rPr>
              <w:t>prenosa</w:t>
            </w:r>
            <w:r w:rsidR="00F41451" w:rsidRPr="002F30DF">
              <w:rPr>
                <w:rFonts w:cs="Arial"/>
                <w:sz w:val="20"/>
                <w:szCs w:val="20"/>
                <w:lang w:eastAsia="en-US"/>
              </w:rPr>
              <w:t xml:space="preserve"> Direktive 2019/1</w:t>
            </w:r>
            <w:r w:rsidRPr="002F30DF">
              <w:rPr>
                <w:rFonts w:cs="Arial"/>
                <w:sz w:val="20"/>
                <w:szCs w:val="20"/>
                <w:lang w:eastAsia="en-US"/>
              </w:rPr>
              <w:t>.</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Postopek ugotavljanja kršitev je ločen na fazo preiskave in fazo odločanja o obstoju kršitve. </w:t>
            </w:r>
            <w:r w:rsidRPr="002F30DF">
              <w:rPr>
                <w:rFonts w:eastAsia="TimesNewRoman" w:cs="Arial"/>
                <w:sz w:val="20"/>
                <w:szCs w:val="20"/>
              </w:rPr>
              <w:t xml:space="preserve">Madžarski </w:t>
            </w:r>
            <w:r w:rsidRPr="002F30DF">
              <w:rPr>
                <w:rFonts w:eastAsia="Calibri" w:cs="Arial"/>
                <w:sz w:val="20"/>
                <w:szCs w:val="20"/>
                <w:lang w:eastAsia="en-US"/>
              </w:rPr>
              <w:t xml:space="preserve">konkurenčni organ »Gazdasagi Veresenyhivatal« (v nadaljnjem besedilu: GVH) </w:t>
            </w:r>
            <w:r w:rsidRPr="002F30DF">
              <w:rPr>
                <w:rFonts w:cs="Arial"/>
                <w:sz w:val="20"/>
                <w:szCs w:val="20"/>
                <w:lang w:eastAsia="en-US"/>
              </w:rPr>
              <w:t>je pristojen izvajati nadzor nad stanjem konkurence v vseh primerih, v katerih ni pristojno sodišče. </w:t>
            </w:r>
            <w:r w:rsidRPr="002F30DF">
              <w:rPr>
                <w:rFonts w:cs="Arial"/>
                <w:bCs/>
                <w:sz w:val="20"/>
                <w:szCs w:val="20"/>
                <w:lang w:eastAsia="en-US"/>
              </w:rPr>
              <w:t>Faze postopka nadzora konkurence</w:t>
            </w:r>
            <w:r w:rsidRPr="002F30DF">
              <w:rPr>
                <w:rFonts w:cs="Arial"/>
                <w:b/>
                <w:bCs/>
                <w:sz w:val="20"/>
                <w:szCs w:val="20"/>
                <w:lang w:eastAsia="en-US"/>
              </w:rPr>
              <w:t> </w:t>
            </w:r>
            <w:r w:rsidRPr="002F30DF">
              <w:rPr>
                <w:rFonts w:cs="Arial"/>
                <w:sz w:val="20"/>
                <w:szCs w:val="20"/>
                <w:lang w:eastAsia="en-US"/>
              </w:rPr>
              <w:t>so:</w:t>
            </w: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1. postopek, ki ga vodi preiskovalec (preiskovalni postopek),</w:t>
            </w: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2. postopek, ki ga vodi Svet,</w:t>
            </w: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3. postopek po zaključku postopka in</w:t>
            </w: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4. izvršba.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Med postopkom lahko preiskovalec in Svet izdajata začasne odredbe, vendar vsebinsko o stvari odloča zgolj Svet v sestavi 3 ali 5 članov.</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Zakon ureja postopek ugotavljanja kršitev. Če kakšno pravilo ni urejeno, se subsidiarno uporablja zakon, ki ureja upravni postopek.</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Splošni postopek nadzora se začne s sklepom o uvedbi postopka na podlagi predloga (zgolj v postopkih pri koncentracijah in pred obvestilom o povišanju cen v primeru zlorabe prevladujočega položaja) ali po uradni dolžnosti (ko GVH izda sklep o uvedbi postopka). Pred GVH se lahko vloži formalne ali neformalne prijave, kar pa ne vpliva na postopek nadzora GVH, ki se začne po uradni dolžnosti. Zoper odločitev o prijavi je možen upravni spor. Upravno sodišče lahko v primeru neupravičene zavrnitve prijave naloži GVH, da ponovno odloči.</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Zakon določa tudi obveznost za posredovanje podatkov. Stranke postopka so na zahtevo preiskovalca ali Sveta dolžne predložiti podatke (tudi osebne podatke), ki so potrebni za odločitev. Stranke niso dolžne priznati kršitve zakona, ne smejo pa zavrniti predložitve obremenilnih dokazov. Podatke se lahko zbira tudi od nosilcev javnih oblasti, ki zahteve, če ne obstaja drug prevladujoč zakonski razlog za varstvo teh podatkov, ne smejo zavrniti. Podatke se lahko zahteva tudi od drugih oseb ali organizacij, ki niso stranke postopka. Kot zbiranje podatkov iz prejšnjega stavka se šteje tudi zaslišanje prič. GVH pa lahko zahteva tudi izročitev podatkov, kar se nanaša tudi na elektronske podatke, in jih zaseže, tudi tako, da izdela forenzične kopije.</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Med postopkom, začetim po uradni dolžnosti glede kršitev določb zakona ali PDEU o omejevalnih ravnanjih, lahko preiskovalec preišče in vstopi v vse poslovne prostore tudi proti volji lastnika. Za izvajanje preiskovalnih ukrepov v poslovnih in zasebnih prostorih je potrebno pridobiti predhodno odobritev sodišča. Predlog za odobritev obravnava Okrožno sodišče v Budimpešti v roku 72 ur od prejema predloga. Zoper to odločitev ni pritožbe. Sodišče odobri preiskovalne ukrepe, če GVH dokaže, da ostali preiskovalni ukrepi ne bi bili učinkoviti in obstaja utemeljen razlog, da se vir podatkov o določeni kršitvi nahaja v nekem prostoru in ta vir ne bo predložen prostovoljno ali pa bo uničen. Sodišče lahko omeji obseg preiskave tako, da specificira obseg ciljnih oseb in vrsto dopustnih preiskovalnih ukrepov.</w:t>
            </w:r>
          </w:p>
          <w:p w:rsidR="009C72B2" w:rsidRPr="002F30DF" w:rsidRDefault="009C72B2" w:rsidP="00AC6E15">
            <w:pPr>
              <w:overflowPunct/>
              <w:autoSpaceDE/>
              <w:autoSpaceDN/>
              <w:adjustRightInd/>
              <w:spacing w:line="260" w:lineRule="exact"/>
              <w:textAlignment w:val="auto"/>
              <w:rPr>
                <w:rFonts w:cs="Arial"/>
                <w:sz w:val="20"/>
                <w:szCs w:val="20"/>
                <w:lang w:eastAsia="en-US"/>
              </w:rPr>
            </w:pPr>
          </w:p>
          <w:p w:rsidR="00AC6E15" w:rsidRPr="002F30DF" w:rsidRDefault="009C72B2"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S spremembo zakona zaradi prenosa Direktive 2019/1 je GVH pridobil več preiskovalnih pristojnosti. Na podlagi prejšnjih pravil je lahko namreč GVH opravil inšpekcijski pregled zasebnih prostorov, nepremičnin in premičnin le, če so bile le te neposredno povezane s stranko postopka. Po spremembi  pa lahko GVH opravi inšpekcijski pregled vseh zasebnih prostorov, nepremičnin in premičnin. Vseeno pa še vedno velja zahteva, da se inšpekcijske preglede lahko opravi le s predhodnim dovoljenjem sodišča. Poleg tega sprememba izrecno dovoljuje tudi uporabo tajnih (prikritih) posnetkov kot dokazov, pod pogojem, da niso edini dokaz kršitve.</w:t>
            </w:r>
          </w:p>
          <w:p w:rsidR="009C72B2" w:rsidRPr="002F30DF" w:rsidRDefault="009C72B2"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Preiskovalni ukrepi se izvedejo v roku treh mesecev od izdaje odobritve sodišča. Stranka mora biti o odločitvi obveščena. Ukrepi se ustno naznanijo zadevni osebi in se izvajajo v njeni prisotnosti, pred začetkom izvajanja ukrepov pa jo je potrebno obvestiti tudi o odločitvi sodišča in o namenu preiskave. Če preiskovana oseba ni prisotna, je potrebno zagotoviti prisotnost uradne priče. GVH lahko pri preiskavi nudi pomoč policija, ki lahko uporabi prisilo. Preiskovalec lahko naredi kopije ali zaseže tudi dokaze, ki niso povezani s predmetom preiskave in za njih ni podana odobritev s strani sodišča, če ti kažejo na kršitev določb zakona ali Pogodbe o omejevalnih ravnanjih. V tem primeru se odobritev sodišča pridobi naknadno, saj v nasprotnem primeru dokazov ni možno uporabiti. Predlog za odobritev je potrebno predložiti v roku 60 dni po izvedbi zadnjega ukrepa.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Po zaključenem preiskovalnem postopku preiskovalec pripravi </w:t>
            </w:r>
            <w:r w:rsidRPr="002F30DF">
              <w:rPr>
                <w:rFonts w:cs="Arial"/>
                <w:bCs/>
                <w:sz w:val="20"/>
                <w:szCs w:val="20"/>
                <w:lang w:eastAsia="en-US"/>
              </w:rPr>
              <w:t>poročilo</w:t>
            </w:r>
            <w:r w:rsidRPr="002F30DF">
              <w:rPr>
                <w:rFonts w:cs="Arial"/>
                <w:sz w:val="20"/>
                <w:szCs w:val="20"/>
                <w:lang w:eastAsia="en-US"/>
              </w:rPr>
              <w:t>, ki ga skupaj z dokumenti predloži Svetu. Poročilo mora vsebovati: predmet preiskave, dejstva ugotovljena med postopkom, dokaze ter predloge preiskovalca glede nadaljnjega postopka in začasnih ukrepov, kjer je to potrebno. Kjer razlogi, ki so bili podlaga za uvedbo postopka, ne obstojijo ali podatki, pridobljeni med postopkom, kažejo na to, da kršitev ni podana, preiskovalec postopek, začet po uradni dolžnosti, ustavi.</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Po prejemu poročila preiskovalca lahko </w:t>
            </w:r>
            <w:r w:rsidRPr="002F30DF">
              <w:rPr>
                <w:rFonts w:cs="Arial"/>
                <w:bCs/>
                <w:sz w:val="20"/>
                <w:szCs w:val="20"/>
                <w:lang w:eastAsia="en-US"/>
              </w:rPr>
              <w:t>Svet</w:t>
            </w:r>
            <w:r w:rsidRPr="002F30DF">
              <w:rPr>
                <w:rFonts w:cs="Arial"/>
                <w:sz w:val="20"/>
                <w:szCs w:val="20"/>
                <w:lang w:eastAsia="en-US"/>
              </w:rPr>
              <w:t>:</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ustavi postopek (iz istih razlogov, kot ga lahko ustavi preiskovalec),</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vrne spis preiskovalcu (če je potrebno nadaljevati preiskovalni postopek, zaradi razširitve postopka ali vstopa nove stranke v postopek) ali</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prepove nadaljevanje prepovedanega ravnanja z izdajo začasne odredbe (izdajo le-te lahko zahteva tudi stranka).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Če ni potrebno, da Svet postopek ustavi oziroma vrne spis preiskovalcu, pošlje svoje trenutno stališče, dejstva in okoliščine, ugotovljene med postopkom, dokaze, oceno dokazov in svoje ugotovitve stranki. Pred tem lahko stranki posreduje tudi poročilo preiskovalca. Če je postopek začet na podlagi zahteve, </w:t>
            </w:r>
            <w:r w:rsidRPr="002F30DF">
              <w:rPr>
                <w:rFonts w:cs="Arial"/>
                <w:bCs/>
                <w:sz w:val="20"/>
                <w:szCs w:val="20"/>
                <w:lang w:eastAsia="en-US"/>
              </w:rPr>
              <w:t xml:space="preserve">predhodne odločitve </w:t>
            </w:r>
            <w:r w:rsidRPr="002F30DF">
              <w:rPr>
                <w:rFonts w:cs="Arial"/>
                <w:sz w:val="20"/>
                <w:szCs w:val="20"/>
                <w:lang w:eastAsia="en-US"/>
              </w:rPr>
              <w:t>ni potrebno pripraviti. Stranka lahko na poročilo preiskovalca, če je bilo posredovano, in ugotovitve sveta odgovori v roku, ki ga določi svet in ne presega 30 dni.</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lastRenderedPageBreak/>
              <w:t>Svet lahko izvede tudi </w:t>
            </w:r>
            <w:r w:rsidRPr="002F30DF">
              <w:rPr>
                <w:rFonts w:cs="Arial"/>
                <w:bCs/>
                <w:sz w:val="20"/>
                <w:szCs w:val="20"/>
                <w:lang w:eastAsia="en-US"/>
              </w:rPr>
              <w:t>glavno obravnavo</w:t>
            </w:r>
            <w:r w:rsidRPr="002F30DF">
              <w:rPr>
                <w:rFonts w:cs="Arial"/>
                <w:sz w:val="20"/>
                <w:szCs w:val="20"/>
                <w:lang w:eastAsia="en-US"/>
              </w:rPr>
              <w:t>, če tako zahteva stranka ali če je to v določenem primeru potrebno. Ko pošlje svojo predhodno odločitev stranki, ji hkrati naroči, da se izjavi glede glavne obravnave. Stranka mora imeti na voljo dovolj časa, da se pripravi na glavno obravnavo. Glavna obravnava je javna, javnost pa se lahko tudi izključi zaradi varovanja skrivnosti. Na glavni obravnavi lahko Svet ustavi postopek.</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V postopku začetem po uradni dolžnosti zaradi ugotavljanja omejevalnih ravnanj lahko urad predlaga sklenitev poravnave. Poravnavo je možno skleniti za katerokoli kršitev, ki predstavlja omejevalno ravnanje. Svet povabi stranko k poravnavi, če oceni, da je hiter in učinkovit zaključek postopka ustrezen.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V postopku začetem po uradni dolžnosti lahko stranke predlagajo </w:t>
            </w:r>
            <w:r w:rsidRPr="002F30DF">
              <w:rPr>
                <w:rFonts w:cs="Arial"/>
                <w:bCs/>
                <w:sz w:val="20"/>
                <w:szCs w:val="20"/>
                <w:lang w:eastAsia="en-US"/>
              </w:rPr>
              <w:t>zaveze</w:t>
            </w:r>
            <w:r w:rsidRPr="002F30DF">
              <w:rPr>
                <w:rFonts w:cs="Arial"/>
                <w:sz w:val="20"/>
                <w:szCs w:val="20"/>
                <w:lang w:eastAsia="en-US"/>
              </w:rPr>
              <w:t>, da se zagotovi skladnost z zakonom ali PDEU. Če se na ta način lahko zagotovi učinkovito varstvo javnega interesa, lahko Svet te zaveze spremeni v zavezujoče za stranke, hkrati pa s tem zaključi postopek, brez ugotovitve, ali je prišlo do kršitve zakona. Zoper zaveze se lahko vloži pravno sredstvo. Če se spremenijo okoliščine ali če je odločitev temeljila na zavajajočih informacijah, lahko GVH začne nov postopek.</w:t>
            </w:r>
          </w:p>
          <w:p w:rsidR="00F45AF8" w:rsidRPr="002F30DF" w:rsidRDefault="00F45AF8" w:rsidP="00AC6E15">
            <w:pPr>
              <w:overflowPunct/>
              <w:autoSpaceDE/>
              <w:autoSpaceDN/>
              <w:adjustRightInd/>
              <w:spacing w:line="260" w:lineRule="exact"/>
              <w:textAlignment w:val="auto"/>
              <w:rPr>
                <w:rFonts w:cs="Arial"/>
                <w:sz w:val="20"/>
                <w:szCs w:val="20"/>
                <w:lang w:eastAsia="en-US"/>
              </w:rPr>
            </w:pPr>
          </w:p>
          <w:p w:rsidR="00AC6E15" w:rsidRPr="002F30DF" w:rsidRDefault="00F45AF8"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Sprememba zakona na podlagi Direktive 2019/1 vključuje tudi nova pravila glede zavez. Če GV</w:t>
            </w:r>
            <w:r w:rsidR="00AC66D3" w:rsidRPr="002F30DF">
              <w:rPr>
                <w:rFonts w:cs="Arial"/>
                <w:sz w:val="20"/>
                <w:szCs w:val="20"/>
                <w:lang w:eastAsia="en-US"/>
              </w:rPr>
              <w:t>H</w:t>
            </w:r>
            <w:r w:rsidRPr="002F30DF">
              <w:rPr>
                <w:rFonts w:cs="Arial"/>
                <w:sz w:val="20"/>
                <w:szCs w:val="20"/>
                <w:lang w:eastAsia="en-US"/>
              </w:rPr>
              <w:t xml:space="preserve"> začne postopek za uveljavljanje pravil konkurence na podlagi kršitev določb 101.  in 102. člen PDEU, mora pred odobritvijo zaveze pridobiti mnenje drugih udeležencev na trgu. Nadalje lahko GV</w:t>
            </w:r>
            <w:r w:rsidR="00AC66D3" w:rsidRPr="002F30DF">
              <w:rPr>
                <w:rFonts w:cs="Arial"/>
                <w:sz w:val="20"/>
                <w:szCs w:val="20"/>
                <w:lang w:eastAsia="en-US"/>
              </w:rPr>
              <w:t>H</w:t>
            </w:r>
            <w:r w:rsidRPr="002F30DF">
              <w:rPr>
                <w:rFonts w:cs="Arial"/>
                <w:sz w:val="20"/>
                <w:szCs w:val="20"/>
                <w:lang w:eastAsia="en-US"/>
              </w:rPr>
              <w:t xml:space="preserve"> razveljavi odločbo o odobritvi zaveze, če je bila zaveza odobrena na podlagi nepopolnih, nepravilnih ali zavajajočih podatkih, ki so jih posredovale stranke.</w:t>
            </w:r>
          </w:p>
          <w:p w:rsidR="00F45AF8" w:rsidRPr="002F30DF" w:rsidRDefault="00F45AF8"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Svet lahko izda naslednje odločbe, ki se nanašajo na omejevalna ravnanja:</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naloži izpolnitev zavez;</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ugotovi, da ugodnost skupinske izjeme za določen sporazum ne velja;</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ugotovi nezakonitost ravnanj;</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naloži obveznost prenehanja s kršitvijo zakona;</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prepove nadaljevanje ravnanj, ki pomenijo kršitev;</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v primeru, da ugotovi, da gre za pravno kršitev, naloži obveznosti, ki vključujejo zlasti dolžnost, da se izpolni pogodba, kjer se neupravičeno zavrača vzpostavitev ali vzdrževanje poslovnega sodelovanja;</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odloči, da ravnanje ni nezakonito;</w:t>
            </w: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naloži denarno kazen;</w:t>
            </w:r>
          </w:p>
          <w:p w:rsidR="00AC6E15" w:rsidRPr="002F30DF" w:rsidRDefault="00AC6E15" w:rsidP="007B15B0">
            <w:pPr>
              <w:numPr>
                <w:ilvl w:val="1"/>
                <w:numId w:val="87"/>
              </w:numPr>
              <w:overflowPunct/>
              <w:autoSpaceDE/>
              <w:autoSpaceDN/>
              <w:adjustRightInd/>
              <w:spacing w:line="260" w:lineRule="exact"/>
              <w:jc w:val="left"/>
              <w:textAlignment w:val="auto"/>
              <w:rPr>
                <w:rFonts w:cs="Arial"/>
                <w:sz w:val="20"/>
                <w:szCs w:val="20"/>
                <w:lang w:eastAsia="en-US"/>
              </w:rPr>
            </w:pPr>
            <w:r w:rsidRPr="002F30DF">
              <w:rPr>
                <w:rFonts w:eastAsia="Calibri" w:cs="Arial"/>
                <w:sz w:val="20"/>
                <w:szCs w:val="20"/>
                <w:lang w:eastAsia="en-US"/>
              </w:rPr>
              <w:t>opozori in naloži podjetju, da vzpostavi notranja pravila, ki bodo zagotovila skladnost poslovanja s konkurenčnim pravom</w:t>
            </w:r>
            <w:r w:rsidRPr="002F30DF">
              <w:rPr>
                <w:rFonts w:cs="Arial"/>
                <w:sz w:val="20"/>
                <w:szCs w:val="20"/>
                <w:lang w:eastAsia="en-US"/>
              </w:rPr>
              <w:t>.</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Zakon izrecno predvideva tudi naknaden ugotovitveni postopek, namenjen ugotovitvi, ali podjetje spoštuje izvršljive odločbe.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Zoper nepravilnosti v preiskovalnem postopku lahko stranka v roku 3 dni od dneva, ko se je nepravilnost zgodila, vloži pisno pritožbo. O pritožbenih razlogih se preiskovalec ali Svet izjavita v poročilu oziroma sklepu o ustavitvi postopka.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Zoper odločitve, ki sta jih med postopkom sprejela preiskovalec (te pritožbe presoja Svet, ki odloča o zadevi v ločenem postopku) ali Svet (te pritožbe presoja Okrožno sodišče Budimpešte v upravnem postopku), je dovoljeno pravno sredstvo, ki nima suspenzivnega učinka, le v primerih predvidenih z zakonom. Pritožbo lahko vloži stranka ali oseba, na katero se odločitev nanaša, v roku 8 dni od odločitve.</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Tožbo zoper odločbo se vloži pri Svetu v roku 30 dni od izdaje odločbe ali pošlje priporočeno po pošti. Svet pošlje tožbo in vse dokumente ter odgovor na tožbo sodišču v roku 30 dni od prejema tožbe (če gre za zahtevek, ki zadrži izvršitev odločbe, se dokumenti posredujejo sodišču v roku 15 dni). Sodišče lahko odločitev GVH razveljavi. Za postopek pred sodiščem se uporabljajo določbe Zakona o pravdnem postopku.</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Če zoper odločbe GVH ni vloženo nobeno pravno sredstvo, so te dokončne. Dokončne odločbe se lahko izvršijo, če v roku, ki je določen, ne pride do uskladitve ravnanja z odločbo.</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lastRenderedPageBreak/>
              <w:t>V primeru, da stranka ne ravna v skladu z odločbo GVH, lahko GVH naloži denarno kazen. Ta se lahko naloži tako podjetju, kot tudi odgovorni osebi. Rok za prostovoljno izpolnitev se na prošnjo stranke lahko podaljša, vendar samo enkrat. Če denarna kazen ni plačana v določenem roku, pride do izterjave.</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Oseba, katere pravice so z izvršitvijo odločitve GVH prizadete, lahko vloži pritožbo predsedniku Sveta v roku 3 dni, ko je izvedela za kršitev. Predsednik Sveta odloči o pritožbi v roku 8 dni od prejema. Zoper to odločitev ni pravnega sredstva.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Kršitve materialnih določb zakona, ki se nanašajo na omejevalna ravnanja, predstavljajo ravnanje, za katerega se lahko naloži denarna kazen. Prikrojevanje razpisnih ponudb v javnih naročilih (bid rigging) pa predstavlja kaznivo dejanje, za katero je možno fizični osebi izreči pet letno zaporno kazen.</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bCs/>
                <w:sz w:val="20"/>
                <w:szCs w:val="20"/>
                <w:lang w:eastAsia="en-US"/>
              </w:rPr>
              <w:t>Maksimalna globa, </w:t>
            </w:r>
            <w:r w:rsidRPr="002F30DF">
              <w:rPr>
                <w:rFonts w:cs="Arial"/>
                <w:sz w:val="20"/>
                <w:szCs w:val="20"/>
                <w:lang w:eastAsia="en-US"/>
              </w:rPr>
              <w:t>ki se lahko naloži podjetju, ne sme preseči </w:t>
            </w:r>
            <w:r w:rsidRPr="002F30DF">
              <w:rPr>
                <w:rFonts w:cs="Arial"/>
                <w:bCs/>
                <w:sz w:val="20"/>
                <w:szCs w:val="20"/>
                <w:lang w:eastAsia="en-US"/>
              </w:rPr>
              <w:t>10</w:t>
            </w:r>
            <w:r w:rsidR="00F45AF8" w:rsidRPr="002F30DF">
              <w:rPr>
                <w:rFonts w:cs="Arial"/>
                <w:bCs/>
                <w:sz w:val="20"/>
                <w:szCs w:val="20"/>
                <w:lang w:eastAsia="en-US"/>
              </w:rPr>
              <w:t xml:space="preserve"> </w:t>
            </w:r>
            <w:r w:rsidRPr="002F30DF">
              <w:rPr>
                <w:rFonts w:cs="Arial"/>
                <w:bCs/>
                <w:sz w:val="20"/>
                <w:szCs w:val="20"/>
                <w:lang w:eastAsia="en-US"/>
              </w:rPr>
              <w:t>% neto prometa podjetja v preteklem poslovnem letu</w:t>
            </w:r>
            <w:r w:rsidRPr="002F30DF">
              <w:rPr>
                <w:rFonts w:cs="Arial"/>
                <w:sz w:val="20"/>
                <w:szCs w:val="20"/>
                <w:lang w:eastAsia="en-US"/>
              </w:rPr>
              <w:t xml:space="preserve"> (t.j. leto pred tistim, v katerem je bila sprejeta odločitev, ki je vzpostavila kršitev). Če tako ni mogoče določiti prometa, predstavlja osnovo za odmero zneska globe zadnje poslovno leto, za katerega so na voljo avtentične informacije o prometu.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Znesek globe se določi ob upoštevanju vseh okoliščin primera, zlasti teže in trajanja kršitve, koristi pridobljene s kršitvijo, tržnega položaja kršitelja, odgovornosti za ravnanje, sodelovanja podjetja v postopku in povratništva. Pri ocenjevanju teže kršitve se upošteva zlasti obseg grožnje, ki ga ravnanje predstavlja, procesu tržnega boja in širino in obseg škode, povzročene interesom končnih trgovinskih partnerjev.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Zakon predvideva tudi solidarno odgovornost članov podjetja (enotni gospodarski subjekt) za plačilo globe, ki ga ni možno izterjati od posameznega člana podjetja.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Podjetniškemu združenju se denarna kazen naloži glede na promet njegovih članov. Če združenje ne more poravnati kazni, je izterjava možna od članov združenja. </w:t>
            </w:r>
          </w:p>
          <w:p w:rsidR="00F45AF8" w:rsidRPr="002F30DF" w:rsidRDefault="00F45AF8" w:rsidP="00AC6E15">
            <w:pPr>
              <w:overflowPunct/>
              <w:autoSpaceDE/>
              <w:autoSpaceDN/>
              <w:adjustRightInd/>
              <w:spacing w:line="260" w:lineRule="exact"/>
              <w:textAlignment w:val="auto"/>
              <w:rPr>
                <w:rFonts w:cs="Arial"/>
                <w:sz w:val="20"/>
                <w:szCs w:val="20"/>
                <w:lang w:eastAsia="en-US"/>
              </w:rPr>
            </w:pPr>
          </w:p>
          <w:p w:rsidR="00F45AF8" w:rsidRPr="002F30DF" w:rsidRDefault="00F45AF8" w:rsidP="00F45AF8">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V skladu s spremembami na podlagi Direktive 2019/1 se določa podroben način izterjave administrativnih sankcij. Najprej mora GVA poskusiti izvršiti sankcijo od podjetniškega združenja. Če to ne razpolaga z zadostnimi denarnimi sredstvi za plačilo administrativne sankcije, pozove svoje člane, da zagotovijo denarna sredstva za plačilo. Če prispevki članov ne zadostujejo za poplačilo sankcije, lahko GVA zahteva plačilo sankcije neposredno od katerega koli člana podjetniškega združenje, katerega predstavniki so bili člani organov odločanja tega združenja. Če sankcija še vedno ni v celoti plačana, lahko GVA zahteva plačilo preostanka od katerega koli člana združenja, ki je bil dejaven na trgu, na katerem je prišlo do kršitve. Vendar so člani, ki dokažejo, da kršitve niso izvajali bodisi ker niso vedeli za njen obstoj ali so se od kršitve distancirali še pred začetkom preiskave, oproščeni plačila. </w:t>
            </w:r>
          </w:p>
          <w:p w:rsidR="00F45AF8" w:rsidRPr="002F30DF" w:rsidRDefault="00F45AF8" w:rsidP="00F45AF8">
            <w:pPr>
              <w:overflowPunct/>
              <w:autoSpaceDE/>
              <w:autoSpaceDN/>
              <w:adjustRightInd/>
              <w:spacing w:line="260" w:lineRule="exact"/>
              <w:textAlignment w:val="auto"/>
              <w:rPr>
                <w:rFonts w:cs="Arial"/>
                <w:sz w:val="20"/>
                <w:szCs w:val="20"/>
                <w:lang w:eastAsia="en-US"/>
              </w:rPr>
            </w:pPr>
          </w:p>
          <w:p w:rsidR="00AC6E15" w:rsidRPr="002F30DF" w:rsidRDefault="00F45AF8" w:rsidP="00F45AF8">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Hkrati sprememba določa, da kadar se kršitev podjetniškega združenja nanaša na dejavnost njegovih članov, najvišji znesek globe ne znaša manj kot 10 % vsote skupnega prometa vsakega posameznega člana, dejavnega na trgu, ki ga je kršitev združenja prizadela.</w:t>
            </w:r>
          </w:p>
          <w:p w:rsidR="00F45AF8" w:rsidRPr="002F30DF" w:rsidRDefault="00F45AF8" w:rsidP="00F45AF8">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Solidarna odgovornost in plačilo globe, ki se naloži podjetniškemu združenju, je urejeno primerljivo evropski ureditvi in predlogu novele. V obeh primerih svet izda posebno odločbo, zoper katero je možna pritožba.</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AC6E15">
            <w:pPr>
              <w:overflowPunct/>
              <w:autoSpaceDE/>
              <w:autoSpaceDN/>
              <w:adjustRightInd/>
              <w:spacing w:line="260" w:lineRule="exact"/>
              <w:textAlignment w:val="auto"/>
              <w:rPr>
                <w:rFonts w:cs="Arial"/>
                <w:sz w:val="20"/>
                <w:szCs w:val="20"/>
                <w:lang w:eastAsia="en-US"/>
              </w:rPr>
            </w:pPr>
            <w:r w:rsidRPr="002F30DF">
              <w:rPr>
                <w:rFonts w:cs="Arial"/>
                <w:sz w:val="20"/>
                <w:szCs w:val="20"/>
                <w:lang w:eastAsia="en-US"/>
              </w:rPr>
              <w:t xml:space="preserve">Tožba, vložena zoper odločbo GVH, s katero se naloži globa, ni suspenzivna. Stranka lahko zaprosi za suspenzivnost, kar pa mora skrbno utemeljiti. </w:t>
            </w:r>
          </w:p>
          <w:p w:rsidR="00AC6E15" w:rsidRPr="002F30DF" w:rsidRDefault="00AC6E15" w:rsidP="00AC6E15">
            <w:pPr>
              <w:overflowPunct/>
              <w:autoSpaceDE/>
              <w:autoSpaceDN/>
              <w:adjustRightInd/>
              <w:spacing w:line="260" w:lineRule="exact"/>
              <w:textAlignment w:val="auto"/>
              <w:rPr>
                <w:rFonts w:cs="Arial"/>
                <w:sz w:val="20"/>
                <w:szCs w:val="20"/>
                <w:lang w:eastAsia="en-US"/>
              </w:rPr>
            </w:pPr>
          </w:p>
          <w:p w:rsidR="00AC6E15" w:rsidRPr="002F30DF" w:rsidRDefault="00AC6E15" w:rsidP="007B15B0">
            <w:pPr>
              <w:numPr>
                <w:ilvl w:val="2"/>
                <w:numId w:val="87"/>
              </w:numPr>
              <w:overflowPunct/>
              <w:autoSpaceDE/>
              <w:autoSpaceDN/>
              <w:adjustRightInd/>
              <w:spacing w:line="260" w:lineRule="exact"/>
              <w:jc w:val="left"/>
              <w:textAlignment w:val="auto"/>
              <w:rPr>
                <w:rFonts w:cs="Arial"/>
                <w:sz w:val="20"/>
                <w:szCs w:val="20"/>
                <w:u w:val="single"/>
                <w:lang w:eastAsia="en-US"/>
              </w:rPr>
            </w:pPr>
            <w:r w:rsidRPr="002F30DF">
              <w:rPr>
                <w:rFonts w:cs="Arial"/>
                <w:sz w:val="20"/>
                <w:szCs w:val="20"/>
                <w:u w:val="single"/>
                <w:lang w:eastAsia="en-US"/>
              </w:rPr>
              <w:t>izjava o skladnosti predloga zakona s pravnimi akti EU in korelacijska tabela pri prenosu direktiv.</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Izjava o skladnosti (oblika pdf) – izvoz iz baze RPS</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Korelacijska tabela (</w:t>
            </w:r>
            <w:r w:rsidR="00BD130C" w:rsidRPr="002F30DF">
              <w:rPr>
                <w:rFonts w:eastAsia="Calibri" w:cs="Arial"/>
                <w:b/>
                <w:sz w:val="20"/>
                <w:szCs w:val="20"/>
                <w:lang w:eastAsia="en-US"/>
              </w:rPr>
              <w:t>oblika pdf) – izvoz iz baze RPS</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6. PRESOJA POSLEDIC, KI JIH BO IMEL SPREJEM ZAKONA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 xml:space="preserve">6.1 Presoja administrativnih posledic </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 xml:space="preserve">a) v postopkih oziroma poslovanju javne uprave ali pravosodnih organov: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Naložitev administrativne sankcije v upravnem postopku pomeni, da agencija za kršitve določb predloga zakona ali 101. ali 102. člena PDEU, ki jih bodo izvršila podjetja, ne bo več vodila prekrškovnih postopkov, zaradi česar bodo prekrškovna sodišča razbremenjena. </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b) pri obveznostih strank do javne uprave ali pravosodnih organov:</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bo zmanjšal administrativne obveznosti strank do javne uprave ali pravosodnih organov, saj bo agencija vodila le en postopek</w:t>
            </w:r>
            <w:r w:rsidR="003A18EB" w:rsidRPr="002F30DF">
              <w:rPr>
                <w:rFonts w:eastAsia="Calibri" w:cs="Arial"/>
                <w:sz w:val="20"/>
                <w:szCs w:val="20"/>
                <w:lang w:eastAsia="en-US"/>
              </w:rPr>
              <w:t>, to je</w:t>
            </w:r>
            <w:r w:rsidR="00477400" w:rsidRPr="002F30DF">
              <w:rPr>
                <w:rFonts w:eastAsia="Calibri" w:cs="Arial"/>
                <w:sz w:val="20"/>
                <w:szCs w:val="20"/>
                <w:lang w:eastAsia="en-US"/>
              </w:rPr>
              <w:t xml:space="preserve"> upravni postopek</w:t>
            </w:r>
            <w:r w:rsidRPr="002F30DF">
              <w:rPr>
                <w:rFonts w:eastAsia="Calibri" w:cs="Arial"/>
                <w:sz w:val="20"/>
                <w:szCs w:val="20"/>
                <w:lang w:eastAsia="en-US"/>
              </w:rPr>
              <w:t xml:space="preserve">, v katerem bo ugotavljala obstoj kršitve določb </w:t>
            </w:r>
            <w:r w:rsidR="00390924" w:rsidRPr="002F30DF">
              <w:rPr>
                <w:rFonts w:eastAsia="Calibri" w:cs="Arial"/>
                <w:sz w:val="20"/>
                <w:szCs w:val="20"/>
                <w:lang w:eastAsia="en-US"/>
              </w:rPr>
              <w:t xml:space="preserve">predloga </w:t>
            </w:r>
            <w:r w:rsidRPr="002F30DF">
              <w:rPr>
                <w:rFonts w:eastAsia="Calibri" w:cs="Arial"/>
                <w:sz w:val="20"/>
                <w:szCs w:val="20"/>
                <w:lang w:eastAsia="en-US"/>
              </w:rPr>
              <w:t xml:space="preserve">zakona ali 101. ali 102. člena PDEU in v primeru ugotovitve obstoja kršitve v istem postopku bo stranki tudi naložila plačilo administrativne sankcije. Ker bo agencija zoper stranko vodila le en postopek, bo stranka v primeru ne strinjanja z odločitvijo agencije vložila pravno sredstvo zoper eno odločbo. </w:t>
            </w:r>
          </w:p>
          <w:p w:rsidR="0056019D" w:rsidRPr="002F30DF" w:rsidRDefault="0056019D"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3015A9" w:rsidP="003015A9">
            <w:p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 xml:space="preserve">6.2. </w:t>
            </w:r>
            <w:r w:rsidR="00AC6E15" w:rsidRPr="002F30DF">
              <w:rPr>
                <w:rFonts w:eastAsia="Calibri" w:cs="Arial"/>
                <w:b/>
                <w:sz w:val="20"/>
                <w:szCs w:val="20"/>
                <w:lang w:eastAsia="en-US"/>
              </w:rPr>
              <w:t>Presoja posledic za okolje, vključno s prostorskimi in varstvenimi vidiki, in sicer za: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ne bo povzročil posledic za okolje.</w:t>
            </w:r>
          </w:p>
          <w:p w:rsidR="003015A9" w:rsidRPr="002F30DF" w:rsidRDefault="003015A9"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3015A9" w:rsidP="003015A9">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6.3. P</w:t>
            </w:r>
            <w:r w:rsidR="00AC6E15" w:rsidRPr="002F30DF">
              <w:rPr>
                <w:rFonts w:eastAsia="Calibri" w:cs="Arial"/>
                <w:b/>
                <w:sz w:val="20"/>
                <w:szCs w:val="20"/>
                <w:lang w:eastAsia="en-US"/>
              </w:rPr>
              <w:t>resoja posledic za gospodarstvo, in sicer za: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bo ugodno vplival na gospodarstvo, saj bodo podjetja imel</w:t>
            </w:r>
            <w:r w:rsidR="002C5FAE" w:rsidRPr="002F30DF">
              <w:rPr>
                <w:rFonts w:eastAsia="Calibri" w:cs="Arial"/>
                <w:sz w:val="20"/>
                <w:szCs w:val="20"/>
                <w:lang w:eastAsia="en-US"/>
              </w:rPr>
              <w:t>a</w:t>
            </w:r>
            <w:r w:rsidRPr="002F30DF">
              <w:rPr>
                <w:rFonts w:eastAsia="Calibri" w:cs="Arial"/>
                <w:sz w:val="20"/>
                <w:szCs w:val="20"/>
                <w:lang w:eastAsia="en-US"/>
              </w:rPr>
              <w:t xml:space="preserve"> nižje stroške s postopkom pred agencijo in s pravnimi sredstvi, saj bo agencija zoper podjetja, ki bodo </w:t>
            </w:r>
            <w:r w:rsidR="00A70EF4" w:rsidRPr="002F30DF">
              <w:rPr>
                <w:rFonts w:eastAsia="Calibri" w:cs="Arial"/>
                <w:sz w:val="20"/>
                <w:szCs w:val="20"/>
                <w:lang w:eastAsia="en-US"/>
              </w:rPr>
              <w:t xml:space="preserve">kršila </w:t>
            </w:r>
            <w:r w:rsidRPr="002F30DF">
              <w:rPr>
                <w:rFonts w:eastAsia="Calibri" w:cs="Arial"/>
                <w:sz w:val="20"/>
                <w:szCs w:val="20"/>
                <w:lang w:eastAsia="en-US"/>
              </w:rPr>
              <w:t xml:space="preserve">konkurenčno pravo, vodila le en postopek, podjetja pa bodo zoper odločbo agencije </w:t>
            </w:r>
            <w:r w:rsidR="00390924" w:rsidRPr="002F30DF">
              <w:rPr>
                <w:rFonts w:eastAsia="Calibri" w:cs="Arial"/>
                <w:sz w:val="20"/>
                <w:szCs w:val="20"/>
                <w:lang w:eastAsia="en-US"/>
              </w:rPr>
              <w:t xml:space="preserve">vložila </w:t>
            </w:r>
            <w:r w:rsidRPr="002F30DF">
              <w:rPr>
                <w:rFonts w:eastAsia="Calibri" w:cs="Arial"/>
                <w:sz w:val="20"/>
                <w:szCs w:val="20"/>
                <w:lang w:eastAsia="en-US"/>
              </w:rPr>
              <w:t>le eno pravno sredstvo. Predlog zakona ne določa dodatnih obveznosti za gospodarstvo.</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3015A9" w:rsidP="003015A9">
            <w:p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 xml:space="preserve">6.4. </w:t>
            </w:r>
            <w:r w:rsidR="00AC6E15" w:rsidRPr="002F30DF">
              <w:rPr>
                <w:rFonts w:eastAsia="Calibri" w:cs="Arial"/>
                <w:b/>
                <w:sz w:val="20"/>
                <w:szCs w:val="20"/>
                <w:lang w:eastAsia="en-US"/>
              </w:rPr>
              <w:t>Presoja posledic za socialno področje, in sicer za:</w:t>
            </w:r>
            <w:r w:rsidR="00AC6E15" w:rsidRPr="002F30DF">
              <w:rPr>
                <w:rFonts w:eastAsia="Calibri" w:cs="Arial"/>
                <w:sz w:val="20"/>
                <w:szCs w:val="20"/>
                <w:lang w:eastAsia="en-US"/>
              </w:rPr>
              <w:t xml:space="preserve"> </w:t>
            </w:r>
          </w:p>
          <w:p w:rsidR="00AC6E15" w:rsidRPr="002F30DF" w:rsidRDefault="00AC6E15" w:rsidP="00AC6E15">
            <w:pPr>
              <w:overflowPunct/>
              <w:autoSpaceDE/>
              <w:autoSpaceDN/>
              <w:adjustRightInd/>
              <w:spacing w:line="260" w:lineRule="exact"/>
              <w:jc w:val="lef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jc w:val="left"/>
              <w:textAlignment w:val="auto"/>
              <w:rPr>
                <w:rFonts w:eastAsia="Calibri" w:cs="Arial"/>
                <w:sz w:val="20"/>
                <w:szCs w:val="20"/>
                <w:lang w:eastAsia="en-US"/>
              </w:rPr>
            </w:pPr>
            <w:r w:rsidRPr="002F30DF">
              <w:rPr>
                <w:rFonts w:eastAsia="Calibri" w:cs="Arial"/>
                <w:sz w:val="20"/>
                <w:szCs w:val="20"/>
                <w:lang w:eastAsia="en-US"/>
              </w:rPr>
              <w:t>Predlog zakona ne bo vplival na socialno področje.</w:t>
            </w:r>
          </w:p>
          <w:p w:rsidR="0056019D" w:rsidRPr="002F30DF" w:rsidRDefault="0056019D" w:rsidP="00AC6E15">
            <w:pPr>
              <w:overflowPunct/>
              <w:autoSpaceDE/>
              <w:autoSpaceDN/>
              <w:adjustRightInd/>
              <w:spacing w:line="260" w:lineRule="exact"/>
              <w:jc w:val="left"/>
              <w:textAlignment w:val="auto"/>
              <w:rPr>
                <w:rFonts w:eastAsia="Calibri" w:cs="Arial"/>
                <w:sz w:val="20"/>
                <w:szCs w:val="20"/>
                <w:lang w:eastAsia="en-US"/>
              </w:rPr>
            </w:pPr>
          </w:p>
          <w:p w:rsidR="00AC6E15" w:rsidRPr="002F30DF" w:rsidRDefault="003015A9" w:rsidP="003015A9">
            <w:p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 xml:space="preserve">6.5. </w:t>
            </w:r>
            <w:r w:rsidR="00AC6E15" w:rsidRPr="002F30DF">
              <w:rPr>
                <w:rFonts w:eastAsia="Calibri" w:cs="Arial"/>
                <w:b/>
                <w:sz w:val="20"/>
                <w:szCs w:val="20"/>
                <w:lang w:eastAsia="en-US"/>
              </w:rPr>
              <w:t>Presoja posledic za dokumente razvojnega načrtovanja, in sicer za: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ne bo povzročil posledic za dokumente razvojnega načrtovanja.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6.6 Presoja posledic za druga področja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Predlog zakona ne bo povzročil posledic na drugih področjih.</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3015A9" w:rsidP="003015A9">
            <w:p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 xml:space="preserve">6.7.  </w:t>
            </w:r>
            <w:r w:rsidR="00AC6E15" w:rsidRPr="002F30DF">
              <w:rPr>
                <w:rFonts w:eastAsia="Calibri" w:cs="Arial"/>
                <w:b/>
                <w:sz w:val="20"/>
                <w:szCs w:val="20"/>
                <w:lang w:eastAsia="en-US"/>
              </w:rPr>
              <w:t>Izvajanje sprejetega predpisa: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7B15B0">
            <w:pPr>
              <w:numPr>
                <w:ilvl w:val="0"/>
                <w:numId w:val="87"/>
              </w:num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Predstavitev sprejetega zakona: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u w:val="single"/>
                <w:lang w:eastAsia="en-US"/>
              </w:rPr>
            </w:pPr>
            <w:r w:rsidRPr="002F30DF">
              <w:rPr>
                <w:rFonts w:eastAsia="Calibri" w:cs="Arial"/>
                <w:sz w:val="20"/>
                <w:szCs w:val="20"/>
                <w:u w:val="single"/>
                <w:lang w:eastAsia="en-US"/>
              </w:rPr>
              <w:t>ciljnim skupinam (seminarji, delavnice):</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Predlagatelj zakona ne predvideva, da bi organiziral delavnico oziroma seminar.</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u w:val="single"/>
                <w:lang w:eastAsia="en-US"/>
              </w:rPr>
            </w:pPr>
            <w:r w:rsidRPr="002F30DF">
              <w:rPr>
                <w:rFonts w:eastAsia="Calibri" w:cs="Arial"/>
                <w:sz w:val="20"/>
                <w:szCs w:val="20"/>
                <w:u w:val="single"/>
                <w:lang w:eastAsia="en-US"/>
              </w:rPr>
              <w:t>širši javnosti (mediji, javne predstavitve, spletne predstavitve):</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Predlagatelj bo vsebino sprejetega zakona predstavil pisno na svoji spletni strani in s sporočilom za javnost.</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7B15B0">
            <w:pPr>
              <w:numPr>
                <w:ilvl w:val="0"/>
                <w:numId w:val="87"/>
              </w:num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Spremljanje izvajanja sprejetega predpisa:</w:t>
            </w: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 xml:space="preserve">Predlagatelj bo spremljal sodno prakso v zvezi z izvajanjem določb predlaganega zakona. </w:t>
            </w:r>
          </w:p>
          <w:p w:rsidR="00BD130C" w:rsidRPr="002F30DF" w:rsidRDefault="00BD130C"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3015A9" w:rsidP="003015A9">
            <w:pPr>
              <w:overflowPunct/>
              <w:autoSpaceDE/>
              <w:autoSpaceDN/>
              <w:adjustRightInd/>
              <w:spacing w:line="260" w:lineRule="exact"/>
              <w:jc w:val="left"/>
              <w:textAlignment w:val="auto"/>
              <w:rPr>
                <w:rFonts w:eastAsia="Calibri" w:cs="Arial"/>
                <w:b/>
                <w:sz w:val="20"/>
                <w:szCs w:val="20"/>
                <w:lang w:eastAsia="en-US"/>
              </w:rPr>
            </w:pPr>
            <w:r w:rsidRPr="002F30DF">
              <w:rPr>
                <w:rFonts w:eastAsia="Calibri" w:cs="Arial"/>
                <w:b/>
                <w:sz w:val="20"/>
                <w:szCs w:val="20"/>
                <w:lang w:eastAsia="en-US"/>
              </w:rPr>
              <w:t xml:space="preserve">6.8. </w:t>
            </w:r>
            <w:r w:rsidR="00AC6E15" w:rsidRPr="002F30DF">
              <w:rPr>
                <w:rFonts w:eastAsia="Calibri" w:cs="Arial"/>
                <w:b/>
                <w:sz w:val="20"/>
                <w:szCs w:val="20"/>
                <w:lang w:eastAsia="en-US"/>
              </w:rPr>
              <w:t>Druge pomembne okoliščine v zvezi z vprašanji, ki jih ureja predlog zakona: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lastRenderedPageBreak/>
              <w:t xml:space="preserve">Pri </w:t>
            </w:r>
            <w:r w:rsidR="00D0675F" w:rsidRPr="002F30DF">
              <w:rPr>
                <w:rFonts w:eastAsia="Calibri" w:cs="Arial"/>
                <w:iCs/>
                <w:sz w:val="20"/>
                <w:szCs w:val="20"/>
                <w:lang w:eastAsia="en-US"/>
              </w:rPr>
              <w:t>oblikovanju administrativnega sankcioniranja</w:t>
            </w:r>
            <w:r w:rsidRPr="002F30DF">
              <w:rPr>
                <w:rFonts w:eastAsia="Calibri" w:cs="Arial"/>
                <w:iCs/>
                <w:sz w:val="20"/>
                <w:szCs w:val="20"/>
                <w:lang w:eastAsia="en-US"/>
              </w:rPr>
              <w:t xml:space="preserve"> je sodelovala Javna agencija Republike Slovenije za varstvo konkurence. </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7. Prikaz sodelovanja javnosti pri pripravi predloga zakona:</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u w:val="single"/>
                <w:lang w:eastAsia="en-US"/>
              </w:rPr>
            </w:pPr>
            <w:r w:rsidRPr="002F30DF">
              <w:rPr>
                <w:rFonts w:eastAsia="Calibri" w:cs="Arial"/>
                <w:sz w:val="20"/>
                <w:szCs w:val="20"/>
                <w:u w:val="single"/>
                <w:lang w:eastAsia="en-US"/>
              </w:rPr>
              <w:t xml:space="preserve">spletni naslov, na katerem je bil predpis objavljen: </w:t>
            </w:r>
          </w:p>
          <w:p w:rsidR="00AC6E15" w:rsidRPr="002F30DF" w:rsidRDefault="00AC6E15" w:rsidP="00AC6E15">
            <w:pPr>
              <w:overflowPunct/>
              <w:autoSpaceDE/>
              <w:autoSpaceDN/>
              <w:adjustRightInd/>
              <w:spacing w:line="260" w:lineRule="exact"/>
              <w:textAlignment w:val="auto"/>
              <w:rPr>
                <w:rFonts w:eastAsia="Calibri" w:cs="Arial"/>
                <w:sz w:val="20"/>
                <w:szCs w:val="20"/>
                <w:u w:val="single"/>
                <w:lang w:eastAsia="en-US"/>
              </w:rPr>
            </w:pPr>
          </w:p>
          <w:p w:rsidR="0003280D" w:rsidRPr="002F30DF" w:rsidRDefault="0003280D" w:rsidP="00AC6E15">
            <w:pPr>
              <w:overflowPunct/>
              <w:autoSpaceDE/>
              <w:autoSpaceDN/>
              <w:adjustRightInd/>
              <w:spacing w:line="260" w:lineRule="exact"/>
              <w:textAlignment w:val="auto"/>
              <w:rPr>
                <w:rFonts w:eastAsia="Calibri" w:cs="Arial"/>
                <w:b/>
                <w:sz w:val="20"/>
                <w:szCs w:val="20"/>
                <w:u w:val="single"/>
                <w:lang w:eastAsia="en-US"/>
              </w:rPr>
            </w:pPr>
            <w:r w:rsidRPr="002F30DF">
              <w:rPr>
                <w:rFonts w:eastAsia="Calibri" w:cs="Arial"/>
                <w:sz w:val="20"/>
                <w:szCs w:val="20"/>
                <w:lang w:eastAsia="en-US"/>
              </w:rPr>
              <w:t>Osnutek predloga zakona je bil objavljen na spletni strani E-demokracije:</w:t>
            </w:r>
            <w:r w:rsidRPr="002F30DF">
              <w:rPr>
                <w:rFonts w:eastAsia="Calibri" w:cs="Arial"/>
                <w:b/>
                <w:sz w:val="20"/>
                <w:szCs w:val="20"/>
                <w:lang w:eastAsia="en-US"/>
              </w:rPr>
              <w:t xml:space="preserve"> </w:t>
            </w:r>
            <w:hyperlink r:id="rId36" w:history="1">
              <w:r w:rsidRPr="002F30DF">
                <w:rPr>
                  <w:rStyle w:val="Hiperpovezava"/>
                  <w:rFonts w:eastAsia="Calibri" w:cs="Arial"/>
                  <w:b w:val="0"/>
                  <w:color w:val="auto"/>
                  <w:sz w:val="20"/>
                  <w:szCs w:val="20"/>
                  <w:lang w:eastAsia="en-US"/>
                </w:rPr>
                <w:t>https://e-uprava.gov.si/drzava-in-druzba/e-demokracija/predlogi-predpisov/predlog-predpisa.html?id=11614</w:t>
              </w:r>
            </w:hyperlink>
            <w:r w:rsidRPr="002F30DF">
              <w:rPr>
                <w:rFonts w:eastAsia="Calibri" w:cs="Arial"/>
                <w:sz w:val="20"/>
                <w:szCs w:val="20"/>
                <w:lang w:eastAsia="en-US"/>
              </w:rPr>
              <w:t>.</w:t>
            </w:r>
          </w:p>
          <w:p w:rsidR="0003280D" w:rsidRPr="002F30DF" w:rsidRDefault="0003280D" w:rsidP="00AC6E15">
            <w:pPr>
              <w:overflowPunct/>
              <w:autoSpaceDE/>
              <w:autoSpaceDN/>
              <w:adjustRightInd/>
              <w:spacing w:line="260" w:lineRule="exact"/>
              <w:textAlignment w:val="auto"/>
              <w:rPr>
                <w:rFonts w:eastAsia="Calibri" w:cs="Arial"/>
                <w:sz w:val="20"/>
                <w:szCs w:val="20"/>
                <w:u w:val="single"/>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u w:val="single"/>
                <w:lang w:eastAsia="en-US"/>
              </w:rPr>
            </w:pPr>
            <w:r w:rsidRPr="002F30DF">
              <w:rPr>
                <w:rFonts w:eastAsia="Calibri" w:cs="Arial"/>
                <w:sz w:val="20"/>
                <w:szCs w:val="20"/>
                <w:u w:val="single"/>
                <w:lang w:eastAsia="en-US"/>
              </w:rPr>
              <w:t>čas trajanja javne predstavitve, v katerem je bilo mogoče sporočiti mnenja, predloga in pripombe:</w:t>
            </w: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iCs/>
                <w:sz w:val="20"/>
                <w:szCs w:val="20"/>
                <w:lang w:eastAsia="en-US"/>
              </w:rPr>
            </w:pPr>
            <w:r w:rsidRPr="002F30DF">
              <w:rPr>
                <w:rFonts w:eastAsia="Calibri" w:cs="Arial"/>
                <w:iCs/>
                <w:sz w:val="20"/>
                <w:szCs w:val="20"/>
                <w:lang w:eastAsia="en-US"/>
              </w:rPr>
              <w:t xml:space="preserve">Predlog zakona je bil v javni obravnavi od </w:t>
            </w:r>
            <w:r w:rsidR="00BA59F1" w:rsidRPr="002F30DF">
              <w:rPr>
                <w:rFonts w:eastAsia="Calibri" w:cs="Arial"/>
                <w:iCs/>
                <w:sz w:val="20"/>
                <w:szCs w:val="20"/>
                <w:lang w:eastAsia="en-US"/>
              </w:rPr>
              <w:t>3. 2. do 5. 3. 2021.</w:t>
            </w:r>
            <w:r w:rsidRPr="002F30DF">
              <w:rPr>
                <w:rFonts w:eastAsia="Calibri" w:cs="Arial"/>
                <w:iCs/>
                <w:sz w:val="20"/>
                <w:szCs w:val="20"/>
                <w:lang w:eastAsia="en-US"/>
              </w:rPr>
              <w:t xml:space="preserve"> </w:t>
            </w:r>
          </w:p>
          <w:p w:rsidR="00AC6E15" w:rsidRPr="002F30DF" w:rsidRDefault="00AC6E15" w:rsidP="00AC6E15">
            <w:pPr>
              <w:overflowPunct/>
              <w:autoSpaceDE/>
              <w:autoSpaceDN/>
              <w:adjustRightInd/>
              <w:spacing w:line="260" w:lineRule="exact"/>
              <w:textAlignment w:val="auto"/>
              <w:rPr>
                <w:rFonts w:eastAsia="Calibri" w:cs="Arial"/>
                <w:sz w:val="20"/>
                <w:szCs w:val="20"/>
                <w:u w:val="single"/>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u w:val="single"/>
                <w:lang w:eastAsia="en-US"/>
              </w:rPr>
            </w:pPr>
            <w:r w:rsidRPr="002F30DF">
              <w:rPr>
                <w:rFonts w:eastAsia="Calibri" w:cs="Arial"/>
                <w:sz w:val="20"/>
                <w:szCs w:val="20"/>
                <w:u w:val="single"/>
                <w:lang w:eastAsia="en-US"/>
              </w:rPr>
              <w:t>datum in kraj morebitne javne obravnave in druge oblike sodelovanja:</w:t>
            </w:r>
          </w:p>
          <w:p w:rsidR="00AC6E15" w:rsidRPr="002F30DF" w:rsidRDefault="00AC6E15" w:rsidP="00AC6E15">
            <w:pPr>
              <w:overflowPunct/>
              <w:autoSpaceDE/>
              <w:autoSpaceDN/>
              <w:adjustRightInd/>
              <w:spacing w:line="260" w:lineRule="exact"/>
              <w:textAlignment w:val="auto"/>
              <w:rPr>
                <w:rFonts w:eastAsia="Calibri" w:cs="Arial"/>
                <w:sz w:val="20"/>
                <w:szCs w:val="20"/>
                <w:u w:val="single"/>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cs="Arial"/>
                <w:iCs/>
                <w:sz w:val="20"/>
                <w:szCs w:val="20"/>
              </w:rPr>
            </w:pPr>
            <w:r w:rsidRPr="002F30DF">
              <w:rPr>
                <w:rFonts w:eastAsia="Calibri" w:cs="Arial"/>
                <w:sz w:val="20"/>
                <w:szCs w:val="20"/>
                <w:u w:val="single"/>
                <w:lang w:eastAsia="en-US"/>
              </w:rPr>
              <w:t>seznam subjektov, ki so sodelovali (imen in priimkov fizičnih oseb, ki niso poslovni subjekti, ne navajajte):</w:t>
            </w:r>
            <w:r w:rsidRPr="002F30DF">
              <w:rPr>
                <w:rFonts w:eastAsia="Calibri" w:cs="Arial"/>
                <w:sz w:val="20"/>
                <w:szCs w:val="20"/>
                <w:lang w:eastAsia="en-US"/>
              </w:rPr>
              <w:t xml:space="preserve"> </w:t>
            </w:r>
          </w:p>
          <w:p w:rsidR="00AC6E15" w:rsidRPr="002F30DF" w:rsidRDefault="00AC6E15" w:rsidP="00AC6E15">
            <w:pPr>
              <w:overflowPunct/>
              <w:autoSpaceDE/>
              <w:autoSpaceDN/>
              <w:adjustRightInd/>
              <w:spacing w:line="260" w:lineRule="exact"/>
              <w:textAlignment w:val="auto"/>
              <w:rPr>
                <w:rFonts w:eastAsia="Calibri" w:cs="Arial"/>
                <w:sz w:val="20"/>
                <w:szCs w:val="20"/>
                <w:u w:val="single"/>
                <w:lang w:eastAsia="en-US"/>
              </w:rPr>
            </w:pPr>
          </w:p>
          <w:p w:rsidR="00A70EF4" w:rsidRPr="002F30DF" w:rsidRDefault="00A70EF4" w:rsidP="00AC6E15">
            <w:pPr>
              <w:overflowPunct/>
              <w:autoSpaceDE/>
              <w:autoSpaceDN/>
              <w:adjustRightInd/>
              <w:spacing w:line="260" w:lineRule="exact"/>
              <w:textAlignment w:val="auto"/>
              <w:rPr>
                <w:rFonts w:eastAsia="Calibri" w:cs="Arial"/>
                <w:sz w:val="20"/>
                <w:szCs w:val="20"/>
                <w:u w:val="single"/>
                <w:lang w:eastAsia="en-US"/>
              </w:rPr>
            </w:pPr>
            <w:r w:rsidRPr="002F30DF">
              <w:rPr>
                <w:rFonts w:eastAsia="Calibri" w:cs="Arial"/>
                <w:sz w:val="20"/>
                <w:szCs w:val="20"/>
                <w:u w:val="single"/>
                <w:lang w:eastAsia="en-US"/>
              </w:rPr>
              <w:t>V javni obravnavi so posredovali pripombe Upravno sodišče Republike Slovenije, Vrhovno sodišče Republike Slovenije, Odvetniška zbornica Slovenija, Petrol d.d., Trgovinska zbornica Slovenije in Javna agencija Republike Slovenije za varstvo konkurence.</w:t>
            </w:r>
          </w:p>
          <w:p w:rsidR="00A70EF4" w:rsidRPr="002F30DF" w:rsidRDefault="00A70EF4" w:rsidP="00AC6E15">
            <w:pPr>
              <w:overflowPunct/>
              <w:autoSpaceDE/>
              <w:autoSpaceDN/>
              <w:adjustRightInd/>
              <w:spacing w:line="260" w:lineRule="exact"/>
              <w:textAlignment w:val="auto"/>
              <w:rPr>
                <w:rFonts w:eastAsia="Calibri" w:cs="Arial"/>
                <w:sz w:val="20"/>
                <w:szCs w:val="20"/>
                <w:u w:val="single"/>
                <w:lang w:eastAsia="en-US"/>
              </w:rPr>
            </w:pPr>
          </w:p>
          <w:p w:rsidR="00AC6E15" w:rsidRPr="002F30DF" w:rsidRDefault="00AC6E15" w:rsidP="007B15B0">
            <w:pPr>
              <w:numPr>
                <w:ilvl w:val="1"/>
                <w:numId w:val="87"/>
              </w:numPr>
              <w:overflowPunct/>
              <w:autoSpaceDE/>
              <w:autoSpaceDN/>
              <w:adjustRightInd/>
              <w:spacing w:line="260" w:lineRule="exact"/>
              <w:jc w:val="left"/>
              <w:textAlignment w:val="auto"/>
              <w:rPr>
                <w:rFonts w:eastAsia="Calibri" w:cs="Arial"/>
                <w:sz w:val="20"/>
                <w:szCs w:val="20"/>
                <w:u w:val="single"/>
                <w:lang w:eastAsia="en-US"/>
              </w:rPr>
            </w:pPr>
            <w:r w:rsidRPr="002F30DF">
              <w:rPr>
                <w:rFonts w:eastAsia="Calibri" w:cs="Arial"/>
                <w:sz w:val="20"/>
                <w:szCs w:val="20"/>
                <w:u w:val="single"/>
                <w:lang w:eastAsia="en-US"/>
              </w:rPr>
              <w:t>bistvena mnenja, predloge in pripombe javnosti:</w:t>
            </w:r>
          </w:p>
          <w:p w:rsidR="008F2B08" w:rsidRPr="002F30DF" w:rsidRDefault="008F2B08" w:rsidP="00AC6E15">
            <w:pPr>
              <w:overflowPunct/>
              <w:autoSpaceDE/>
              <w:autoSpaceDN/>
              <w:adjustRightInd/>
              <w:spacing w:line="260" w:lineRule="exact"/>
              <w:textAlignment w:val="auto"/>
              <w:rPr>
                <w:rFonts w:eastAsia="Calibri" w:cs="Arial"/>
                <w:sz w:val="20"/>
                <w:szCs w:val="20"/>
                <w:lang w:eastAsia="en-US"/>
              </w:rPr>
            </w:pPr>
          </w:p>
          <w:p w:rsidR="006A235C" w:rsidRPr="002F30DF" w:rsidRDefault="00CB5E87" w:rsidP="006A235C">
            <w:pPr>
              <w:widowControl w:val="0"/>
              <w:overflowPunct/>
              <w:autoSpaceDE/>
              <w:autoSpaceDN/>
              <w:adjustRightInd/>
              <w:spacing w:line="260" w:lineRule="exact"/>
              <w:textAlignment w:val="auto"/>
              <w:rPr>
                <w:rFonts w:cs="Arial"/>
                <w:iCs/>
                <w:sz w:val="20"/>
                <w:szCs w:val="20"/>
              </w:rPr>
            </w:pPr>
            <w:r w:rsidRPr="002F30DF">
              <w:rPr>
                <w:rFonts w:cs="Arial"/>
                <w:iCs/>
                <w:sz w:val="20"/>
                <w:szCs w:val="20"/>
              </w:rPr>
              <w:t xml:space="preserve">Gradivo je bilo v javni obravnavi objavljeno v nekoliko drugačni vsebini, saj je manjkala večina določb, ki urejajo agencijo. Razlog temu je, da je bil istočasno v obravnavi v državnem zboru predlog Zakona o Javni agenciji Republike Slovenije za trg, varnost prometa in potrošnike, katera bi bila pristojna tudi za področje konkurence. </w:t>
            </w:r>
            <w:r w:rsidR="006A235C" w:rsidRPr="002F30DF">
              <w:rPr>
                <w:rFonts w:cs="Arial"/>
                <w:iCs/>
                <w:sz w:val="20"/>
                <w:szCs w:val="20"/>
              </w:rPr>
              <w:t xml:space="preserve">Prejšnji členi od 11. do 18. so nadomeščeni z novimi členi od 11. do 35, črtan je bil 95. člen (pravica do povrnitve škode) in kasneje še 47. člen (ustna obravnava), zato so sedaj členi preštevilčeni. </w:t>
            </w:r>
          </w:p>
          <w:p w:rsidR="006A235C" w:rsidRPr="002F30DF" w:rsidRDefault="006A235C" w:rsidP="006A235C">
            <w:pPr>
              <w:widowControl w:val="0"/>
              <w:overflowPunct/>
              <w:autoSpaceDE/>
              <w:autoSpaceDN/>
              <w:adjustRightInd/>
              <w:spacing w:line="260" w:lineRule="exact"/>
              <w:textAlignment w:val="auto"/>
              <w:rPr>
                <w:rFonts w:cs="Arial"/>
                <w:iCs/>
                <w:sz w:val="20"/>
                <w:szCs w:val="20"/>
              </w:rPr>
            </w:pPr>
            <w:r w:rsidRPr="002F30DF">
              <w:rPr>
                <w:rFonts w:cs="Arial"/>
                <w:iCs/>
                <w:sz w:val="20"/>
                <w:szCs w:val="20"/>
              </w:rPr>
              <w:t>Nekatere pripombe iz javne obravnave se tako nanašajo na določbe, ki jih v novem predlogu ni več ali pa so sedaj preštevilčene.</w:t>
            </w:r>
          </w:p>
          <w:p w:rsidR="00CB5E87" w:rsidRPr="002F30DF" w:rsidRDefault="00CB5E87" w:rsidP="00AC6E15">
            <w:pPr>
              <w:overflowPunct/>
              <w:autoSpaceDE/>
              <w:autoSpaceDN/>
              <w:adjustRightInd/>
              <w:spacing w:line="260" w:lineRule="exact"/>
              <w:textAlignment w:val="auto"/>
              <w:rPr>
                <w:rFonts w:eastAsia="Calibri" w:cs="Arial"/>
                <w:sz w:val="20"/>
                <w:szCs w:val="20"/>
                <w:lang w:eastAsia="en-US"/>
              </w:rPr>
            </w:pPr>
          </w:p>
          <w:p w:rsidR="00E430C7" w:rsidRPr="002F30DF" w:rsidRDefault="00E430C7" w:rsidP="00E430C7">
            <w:pPr>
              <w:widowControl w:val="0"/>
              <w:overflowPunct/>
              <w:autoSpaceDE/>
              <w:autoSpaceDN/>
              <w:adjustRightInd/>
              <w:spacing w:line="260" w:lineRule="exact"/>
              <w:textAlignment w:val="auto"/>
              <w:rPr>
                <w:rFonts w:cs="Arial"/>
                <w:iCs/>
                <w:sz w:val="20"/>
                <w:szCs w:val="20"/>
              </w:rPr>
            </w:pPr>
            <w:r w:rsidRPr="002F30DF">
              <w:rPr>
                <w:rFonts w:cs="Arial"/>
                <w:b/>
                <w:iCs/>
                <w:sz w:val="20"/>
                <w:szCs w:val="20"/>
              </w:rPr>
              <w:t>Upravno sodišče Republike Slovenije</w:t>
            </w:r>
            <w:r w:rsidRPr="002F30DF">
              <w:rPr>
                <w:rFonts w:cs="Arial"/>
                <w:iCs/>
                <w:sz w:val="20"/>
                <w:szCs w:val="20"/>
              </w:rPr>
              <w:t xml:space="preserve"> ocenjuje, da ureditev ustne obravnave (30.člen) ni ustrezno urejena in predlaga določitev, da je pred vsebinsko odločitvijo izvedba ustne obravnave pred agencijo obvezna. Predlaga tudi dopolnitev določbe o sodnem varstvu (9</w:t>
            </w:r>
            <w:r w:rsidR="00A106CC" w:rsidRPr="002F30DF">
              <w:rPr>
                <w:rFonts w:cs="Arial"/>
                <w:iCs/>
                <w:sz w:val="20"/>
                <w:szCs w:val="20"/>
              </w:rPr>
              <w:t>5</w:t>
            </w:r>
            <w:r w:rsidRPr="002F30DF">
              <w:rPr>
                <w:rFonts w:cs="Arial"/>
                <w:iCs/>
                <w:sz w:val="20"/>
                <w:szCs w:val="20"/>
              </w:rPr>
              <w:t>. člen) z določitvijo možnosti omejitve števila obsega vlog v sodnem postopku. Glede določitve meje preizkusa (98. člen) meni, da je neustrezna in predlaga, da se ta člen v celoti črta.</w:t>
            </w:r>
          </w:p>
          <w:p w:rsidR="00E430C7" w:rsidRPr="002F30DF" w:rsidRDefault="00E430C7" w:rsidP="00E430C7">
            <w:pPr>
              <w:widowControl w:val="0"/>
              <w:overflowPunct/>
              <w:autoSpaceDE/>
              <w:autoSpaceDN/>
              <w:adjustRightInd/>
              <w:spacing w:line="260" w:lineRule="exact"/>
              <w:jc w:val="left"/>
              <w:textAlignment w:val="auto"/>
              <w:rPr>
                <w:rFonts w:cs="Arial"/>
                <w:iCs/>
                <w:sz w:val="20"/>
                <w:szCs w:val="20"/>
              </w:rPr>
            </w:pPr>
          </w:p>
          <w:p w:rsidR="00E430C7" w:rsidRPr="002F30DF" w:rsidRDefault="00E430C7" w:rsidP="00E430C7">
            <w:pPr>
              <w:widowControl w:val="0"/>
              <w:overflowPunct/>
              <w:autoSpaceDE/>
              <w:autoSpaceDN/>
              <w:adjustRightInd/>
              <w:spacing w:line="260" w:lineRule="exact"/>
              <w:textAlignment w:val="auto"/>
              <w:rPr>
                <w:rFonts w:cs="Arial"/>
                <w:iCs/>
                <w:sz w:val="20"/>
                <w:szCs w:val="20"/>
              </w:rPr>
            </w:pPr>
            <w:r w:rsidRPr="002F30DF">
              <w:rPr>
                <w:rFonts w:cs="Arial"/>
                <w:b/>
                <w:iCs/>
                <w:sz w:val="20"/>
                <w:szCs w:val="20"/>
              </w:rPr>
              <w:t>Vrhovno sodišče Republike Slovenije</w:t>
            </w:r>
            <w:r w:rsidRPr="002F30DF">
              <w:rPr>
                <w:rFonts w:cs="Arial"/>
                <w:iCs/>
                <w:sz w:val="20"/>
                <w:szCs w:val="20"/>
              </w:rPr>
              <w:t xml:space="preserve"> se je v celoti pridružilo stališču Upravnega sodišča Republike Slovenije. Poleg tega izpostavlja, da določitev pritožbe zoper zavrnilni sklep o uvedbi preiskave, o kateri naj bi odločal senat treh sodnikov Okrožnega sodišča v Ljubljani prinaša sodišču dodatno pristojnosti in večji obseg dela.</w:t>
            </w:r>
          </w:p>
          <w:p w:rsidR="00E430C7" w:rsidRPr="002F30DF" w:rsidRDefault="00E430C7" w:rsidP="00E430C7">
            <w:pPr>
              <w:widowControl w:val="0"/>
              <w:overflowPunct/>
              <w:autoSpaceDE/>
              <w:autoSpaceDN/>
              <w:adjustRightInd/>
              <w:spacing w:line="260" w:lineRule="exact"/>
              <w:jc w:val="left"/>
              <w:textAlignment w:val="auto"/>
              <w:rPr>
                <w:rFonts w:cs="Arial"/>
                <w:iCs/>
                <w:sz w:val="20"/>
                <w:szCs w:val="20"/>
              </w:rPr>
            </w:pPr>
          </w:p>
          <w:p w:rsidR="00E430C7" w:rsidRPr="002F30DF" w:rsidRDefault="00E430C7" w:rsidP="00E430C7">
            <w:pPr>
              <w:spacing w:line="260" w:lineRule="atLeast"/>
              <w:rPr>
                <w:rFonts w:cs="Arial"/>
                <w:sz w:val="20"/>
                <w:szCs w:val="20"/>
              </w:rPr>
            </w:pPr>
            <w:r w:rsidRPr="002F30DF">
              <w:rPr>
                <w:rFonts w:cs="Arial"/>
                <w:b/>
                <w:iCs/>
                <w:sz w:val="20"/>
                <w:szCs w:val="20"/>
              </w:rPr>
              <w:t>Odvetniška zbornica Slovenije</w:t>
            </w:r>
            <w:r w:rsidRPr="002F30DF">
              <w:rPr>
                <w:rFonts w:cs="Arial"/>
                <w:iCs/>
                <w:sz w:val="20"/>
                <w:szCs w:val="20"/>
              </w:rPr>
              <w:t xml:space="preserve"> je glede 3. člena predlagala dopolnitev definicije »letni promet v koncentraciji udeleženih podjetij skupaj z drugimi podjetji v skupini«. V zvezi z 11. členom (naloge in pristojnosti agencije) pa je predlagala, da se</w:t>
            </w:r>
            <w:r w:rsidRPr="002F30DF">
              <w:rPr>
                <w:rFonts w:cs="Arial"/>
                <w:sz w:val="20"/>
                <w:szCs w:val="20"/>
              </w:rPr>
              <w:t xml:space="preserve"> četrti odstavek dopolni tako, da agencija določa svoje prednostne naloge, ki jih letno javni objavi.</w:t>
            </w:r>
            <w:r w:rsidRPr="002F30DF">
              <w:rPr>
                <w:rFonts w:cs="Arial"/>
                <w:iCs/>
                <w:sz w:val="20"/>
                <w:szCs w:val="20"/>
              </w:rPr>
              <w:t xml:space="preserve"> </w:t>
            </w:r>
            <w:r w:rsidRPr="002F30DF">
              <w:rPr>
                <w:rFonts w:cs="Arial"/>
                <w:sz w:val="20"/>
                <w:szCs w:val="20"/>
              </w:rPr>
              <w:t xml:space="preserve">V zvezi z neodvisnostjo in prihodki za delo predlagajo dopolnitev z vključitvijo zakonskih zahtev za zagotovitev nepristranskosti, objektivnosti, neodvisnosti in odsotnosti nasprotja interesov članov organov vodenja agencije in oseb v organih odločanja agencije (med mandatom oziroma zaposlitvijo ter najmanj še eno leto po prenehanju). Glede omejitev uporabe podatkov iz izjav zaradi prizanesljivosti (43. člen) predlaga, da se poleg izjave o prizanesljivosti omogoča omejitve glede uporabe podatkov tudi za vloge za poravnavo v vseh treh odstavkih člena. V zvezi s povzetkom relevantnih dejstev (48. člen) predlaga črtanje glede neupoštevanja izjav o povzetku relevantnih dejstev, prejetih po poteku roka. Nadalje predlaga, da se kot rok za posredovanje izjave o povzetku relevantnih dejstev določi najmanj 45 dnevni rok. Predlaga tudi ureditev izmenjave mnenj med agencijo in strankami postopka, tako imenovani  »state of play« sestanke, po vzoru postopka pred Evropsko komisijo. V zvezi z zahtevo za posredovanjem podatkov </w:t>
            </w:r>
            <w:r w:rsidRPr="002F30DF">
              <w:rPr>
                <w:rFonts w:cs="Arial"/>
                <w:sz w:val="20"/>
                <w:szCs w:val="20"/>
              </w:rPr>
              <w:lastRenderedPageBreak/>
              <w:t xml:space="preserve">(54. člen) menijo, da ni jasno kdaj oziroma v kakšnih primerih lahko agencija izda neformalno oziroma formalno zahtevo za posredovanje podatkov, saj sta po vsebini enaki, razlikujejo pa se glede predlagane sankcije. Ne strinja se s predlagano določbo glede zbiranja informacij (55. člen), se pa načeloma strinja s tem, da bi bilo treba sedanjo ureditev spremeniti oziroma dopolniti tako, da bi bila agencija pri tem čim manj ovirana, vendar ne na račun oženja pravic strank v postopkih pred agencijo. Glede določbe o uvedbi preiskave in glede preiskave meni, da bila smiselna določba o obvezni prisotnosti odvetnika med opravljanjem preiskave po vzoru ZKP, zlasti ko pooblaščene oseba agencije med opravljanjem preiskave od predstavnikov podjetja ali zaposlenih v podjetju zahtevajo ustna pooblastila glede dejstev ali dokumentov, ki se nanašajo na predmet ali namen preiskave. Glede preiskave (57. člen) pa meni, da drugi odstavek neutemeljeno širi obseg pooblastil glede prostorov, ki so lahko predmet preiskave s strani agencije. Glede privilegirane komunikacije (60. člen) meni, da bi morala biti podjetju zagotovljena možnost, da uveljavlja obstoj privilegirane komunikacije v roku v katerem se lahko stranke izjavijo o povzetku relevantnih dejstev. Predlagajo tudi dopolnitev določbe o zapisniku (61. člen) tako, da se podjetjem zagotovi ustrezen rok za podajo pripomb na zapisnik o preiskavi po vzoru ureditve poročila iz preiskave po vzoru ZPOmK-1. V povezavi s postopkom presoje koncentracije predlaga dopolnitev le tega z uvedbo poenostavljenega postopka presoje koncentracije ter znižanje oziroma prilagoditev pragov, ki so določeni za nastanek obveznosti priglasitve koncentracije ali pa uvedbo dodatnega sklopa pragov nižjih prihodkovnih pragov, ki bi veljali v primeru prevzema podjetja ali sredstev v strateških in vnaprej določenih gospodarskih sektorjih (npr. v okviru digitalnih trgov in platform). V zvezi z določbo o začetku postopka presoje koncentracije (71. člen) se ji zastavlja vprašanje glede medsebojnega odnosa dveh institutov zadržanja izvrševanja koncentracije, to je zadrževanje koncentracije po samem zakonu (prvi odstavek 70. člena) in po uradni dolžnosti (peti odstavek 70. člena) ter kdaj je agencija sploh upravičena prepovedati izvrševanje koncentracije še z odločbo, izdano po uradni dolžnosti, zato predlaga, da se predvidi možnost, da agencija po uradni dolžnosti izda odločbo, s katero ugotovi, da je podjetju na podlagi prvega odstavka 70. člena predloga zakona prepovedano uresničevanje pravic in obveznosti, ki izhajajo iz koncentracije, za katero obstaja obveznost priglasitve, do izdaje odločbe o skladnosti koncentracije s pravili konkurence. Odvetniška zbornica tudi predlaga preoblikovanje drugega odstavka 81. člena po vzoru drugega odstavka 11.a člena Zakona o prekrških. Glede opredelitve pojma naklep in malomarnost (83. člen) meni, da predlagana opredelitev ni dovolj določna ter tudi neutemeljeno odstopa od ureditve v drugih postopkih kaznovalne narave. V zvezi z opredelitvijo administrativne sankcije (85. člen) meni, da pojem podjetja ni zadosti določen in da bi bilo treba pojem storilca natančno opredeliti, predlaga spremembo prve alineje drugega odstavka 68. člena, in sicer da kot ravnanja, za katere je mogoče izreči administrativno sankcijo, niso predvidene tudi procesne kršitve ter da se druga alineja četrtega odstavka omeji, tako da obsega zgolj udeležbo na povabilo po 57. členu. Glede sodelovanja v šestem odstavku 68. člena pa meni, da ni jasno določeno, kakšna vrsta sodelovanja je mišljena. Glede odgovornosti matične družbe (86. člen) meni, da je potrebna natančnejša opredelitev, za katere primere je člen uporaben, saj meni, da je mogoče prevladujoč vpliv izvrševati tudi v primeru, ko podjetji nista lastniško povezani. Ne strinja se z ureditvijo pravnega in gospodarskega nasledstva in predlaga njegovo spremembo po vzoru Zakona o odgovornosti pravnih oseb za kazniva dejanja. Glede ureditve zastaranja administrativnega sankcioniranja (90. člen) izpostavlja, da po njihovem mnenju ni jasen učinek zadržanja zastaranja ter predlagajo, da se zastaranje pregona oziroma postopka opredeli na način in z vsebino, kot izhaja iz določb Zakona o prekrških. Glede določbe o odmeri in plačilu administrativne sankcije (91. člen) navaja, da ni pojasnjen pojem reprezentativnega obdobja, ter ni jasno katere druge okoliščine primera lahko agencija pri določitvi višine administrativne sankcije upošteva. Nejasna naj bi bila tudi določba glede znižanja oziroma odpusta administrativne sankcije, ki naj bi po njihovem mnenju omogočila arbitrarno razlago s strani agencije. Pomisleke ima tudi glede določbe o povrnitvi škode, saj naj bi bil po njihovem mnenju člen nedoločen, saj ni razumljivo kateri predmeti so tu relevantni. Glede dokončanja postopkov, začetih pred uporabo tega zakona (140. člen) meni, da četrti odstavek ni skladen z ustavnopravni izhodišči in posega v ustavne pravice podjetij, saj se z uvedbo odgovornosti za administrativni prestopek matične družbe v odprtih postopkih pred agencijo krši načelo zakonitosti iz 28. člena Ustave. </w:t>
            </w:r>
          </w:p>
          <w:p w:rsidR="00E430C7" w:rsidRPr="002F30DF" w:rsidRDefault="00E430C7" w:rsidP="00E430C7">
            <w:pPr>
              <w:spacing w:line="260" w:lineRule="atLeast"/>
              <w:rPr>
                <w:rFonts w:cs="Arial"/>
                <w:sz w:val="20"/>
                <w:szCs w:val="20"/>
              </w:rPr>
            </w:pPr>
            <w:r w:rsidRPr="002F30DF">
              <w:rPr>
                <w:rFonts w:cs="Arial"/>
                <w:sz w:val="20"/>
                <w:szCs w:val="20"/>
              </w:rPr>
              <w:t xml:space="preserve"> </w:t>
            </w:r>
          </w:p>
          <w:p w:rsidR="00E430C7" w:rsidRPr="002F30DF" w:rsidRDefault="00E430C7" w:rsidP="00E430C7">
            <w:pPr>
              <w:widowControl w:val="0"/>
              <w:overflowPunct/>
              <w:autoSpaceDE/>
              <w:autoSpaceDN/>
              <w:adjustRightInd/>
              <w:spacing w:line="260" w:lineRule="exact"/>
              <w:textAlignment w:val="auto"/>
              <w:rPr>
                <w:rFonts w:cs="Arial"/>
                <w:sz w:val="20"/>
                <w:szCs w:val="20"/>
              </w:rPr>
            </w:pPr>
            <w:r w:rsidRPr="002F30DF">
              <w:rPr>
                <w:rFonts w:cs="Arial"/>
                <w:b/>
                <w:sz w:val="20"/>
                <w:szCs w:val="20"/>
              </w:rPr>
              <w:t>Petrol, Slovenska energetska družba, d.d., Ljubljana in Trgovinska zbornica Slovenije</w:t>
            </w:r>
            <w:r w:rsidRPr="002F30DF">
              <w:rPr>
                <w:rFonts w:cs="Arial"/>
                <w:sz w:val="20"/>
                <w:szCs w:val="20"/>
              </w:rPr>
              <w:t xml:space="preserve"> predlagata dopolnitev določbe o ustni obravnavi (47. člen) z možnostjo uvedbe ustne obravnave na zahtevo stranke ter spremembo tretjega odstavka 68. člena, ki je po njunem mnenju nejasen, saj stranke, ki ne presegajo pragov iz prvega odstavka 58. člena niso dolžne obveščati AVK o koncentraciji, poleg tega ni določeno koliko časa po izvedbi koncentracije lahko AVK stranke pozove na priglasitev. V zvezi z določbo glede izreka administrativne sankcije (88. člen) predlagata črtanje četrtega in petega odstavka.</w:t>
            </w:r>
          </w:p>
          <w:p w:rsidR="00E430C7" w:rsidRPr="002F30DF" w:rsidRDefault="00E430C7" w:rsidP="00E430C7">
            <w:pPr>
              <w:widowControl w:val="0"/>
              <w:overflowPunct/>
              <w:autoSpaceDE/>
              <w:autoSpaceDN/>
              <w:adjustRightInd/>
              <w:spacing w:line="260" w:lineRule="exact"/>
              <w:textAlignment w:val="auto"/>
              <w:rPr>
                <w:rFonts w:cs="Arial"/>
                <w:iCs/>
                <w:sz w:val="20"/>
                <w:szCs w:val="20"/>
              </w:rPr>
            </w:pPr>
          </w:p>
          <w:p w:rsidR="003300E3" w:rsidRPr="002F30DF" w:rsidRDefault="003300E3" w:rsidP="003300E3">
            <w:pPr>
              <w:widowControl w:val="0"/>
              <w:overflowPunct/>
              <w:autoSpaceDE/>
              <w:autoSpaceDN/>
              <w:adjustRightInd/>
              <w:spacing w:line="260" w:lineRule="exact"/>
              <w:textAlignment w:val="auto"/>
              <w:rPr>
                <w:rFonts w:cs="Arial"/>
                <w:sz w:val="20"/>
                <w:szCs w:val="20"/>
              </w:rPr>
            </w:pPr>
            <w:r w:rsidRPr="002F30DF">
              <w:rPr>
                <w:rFonts w:cs="Arial"/>
                <w:b/>
                <w:iCs/>
                <w:sz w:val="20"/>
                <w:szCs w:val="20"/>
              </w:rPr>
              <w:t>Javna agencija Republike Slovenija za varstvo konkurence</w:t>
            </w:r>
            <w:r w:rsidRPr="002F30DF">
              <w:rPr>
                <w:rFonts w:cs="Arial"/>
                <w:iCs/>
                <w:sz w:val="20"/>
                <w:szCs w:val="20"/>
              </w:rPr>
              <w:t xml:space="preserve"> glede nalog in pristojnosti agencije (11. člen) meni, da je četrti odstavek nejasen in predlaga črtanje odstavka »na področju varstva konkurence«. Glede neodvisnosti izpostavlja, da predlog zakona ne</w:t>
            </w:r>
            <w:r w:rsidRPr="002F30DF">
              <w:rPr>
                <w:rFonts w:cs="Arial"/>
                <w:sz w:val="20"/>
                <w:szCs w:val="20"/>
              </w:rPr>
              <w:t xml:space="preserve"> ureja nezdružljivosti funkcij za člane odločevalnega organa agencije, ki odloča o načinu uveljavljanja prava varstva konkurence, (to je za zaposlene, ki sedaj sestavljajo senat). Ne strinja se, da so zaposleni tudi člani senata, ter izpostavlja razlikovanje med zaposlenimi na področju varstva konkurence in na drugih področjih delovanja agencije ter izpostavlja vprašanje glede pravne veljave kodeksa. Glede omejitve nadzora pristojnega ministrstva pa navaja, da je v predlogu zakona le pavšalno navedeno, da nadzor nad delom ne pomeni pravice vpogleda v posamezne obravnavane zadeve ter predlaga določitev kaj naj ta nadzor predstavlja, njegov temelj, namen in posledice. Glede financiranja predlaga določitev, da je agencija neposredni proračunski uporabnik. Glede opredelitve organa postopka  meni, da ni jasno ali je lahko član senata tudi oseba, ki opravlja dejanja v postopku. Določba po nepotrebnem izpostavlja predsednika senata, saj je tudi predsednik član senata. </w:t>
            </w:r>
            <w:r w:rsidRPr="002F30DF">
              <w:rPr>
                <w:rFonts w:cs="Arial"/>
                <w:iCs/>
                <w:sz w:val="20"/>
                <w:szCs w:val="20"/>
              </w:rPr>
              <w:t xml:space="preserve">Glede pravice strank do pregleda dokumentov zadeve (42. člen) predlaga nekatere dopolnitve, kot na primer vključitev, da se način pregleda podatkov v informacijskem sistemu uredi v poslovniku agencije, da se omogoči izvedencu ali odvetniku stranke preglede nezaupne različice dokumenta zaradi določitve relevantnih podatkov ter da se glede razkritja dokazov smiselno uporablja določbe o načinu razkritja zaupnih podatkov, kot predlog zakona določa v sodnih postopkih za uveljavljanje odškodnine. Predlaga spremembo določbe o ustni obravnavi, saj meni, da je izvedba ustne obravnave smiselna zgolj, ko z izvedbo vseh navedenih preiskovalnih dejanj dejansko stanje ni dovolj razčiščeno. Glede povzetka relevantnih dejstev predlaga določitev pravne posledice, če stranka ne predloži nezaupne različice v določenem roku. V zvezi z določbo glede odločbe in sklepov (49. člen) predlaga, da se spremeni na način, da bo </w:t>
            </w:r>
            <w:r w:rsidRPr="002F30DF">
              <w:rPr>
                <w:rFonts w:cs="Arial"/>
                <w:sz w:val="20"/>
                <w:szCs w:val="20"/>
              </w:rPr>
              <w:t>podjetju, na katerega je s sklepom naslovljena zahteva za posredovanje podatkov iz 54. člena, omogočena takojšnja vložitev tožbe in npr. začasne odredbe, ter dopolnitev tega člena z možnostjo, da agencija po lastni presoji zakrije zaupne podatke, če stranka tega ne stori v roku.</w:t>
            </w:r>
          </w:p>
          <w:p w:rsidR="00E35D8D" w:rsidRPr="002F30DF" w:rsidRDefault="00E35D8D" w:rsidP="003300E3">
            <w:pPr>
              <w:widowControl w:val="0"/>
              <w:overflowPunct/>
              <w:autoSpaceDE/>
              <w:autoSpaceDN/>
              <w:adjustRightInd/>
              <w:spacing w:line="260" w:lineRule="exact"/>
              <w:textAlignment w:val="auto"/>
              <w:rPr>
                <w:rFonts w:cs="Arial"/>
                <w:iCs/>
                <w:sz w:val="20"/>
                <w:szCs w:val="20"/>
              </w:rPr>
            </w:pPr>
          </w:p>
          <w:p w:rsidR="00E430C7" w:rsidRPr="002F30DF" w:rsidRDefault="003300E3" w:rsidP="00E430C7">
            <w:pPr>
              <w:spacing w:line="260" w:lineRule="atLeast"/>
              <w:rPr>
                <w:rFonts w:cs="Arial"/>
                <w:iCs/>
                <w:sz w:val="20"/>
                <w:szCs w:val="20"/>
              </w:rPr>
            </w:pPr>
            <w:r w:rsidRPr="002F30DF">
              <w:rPr>
                <w:rFonts w:cs="Arial"/>
                <w:iCs/>
                <w:sz w:val="20"/>
                <w:szCs w:val="20"/>
              </w:rPr>
              <w:t xml:space="preserve">V zvezi s sklepom o uvedbi postopka predlaga, da se razširi še na spremembo sklepa ter da lahko agencija o spremembi ali razrešitvi odloči tudi s povzetkom relevantnih dejstev. Glede predloga določbe o zbiranju informacij predlaga dopolnitev le-te z vključitvijo možnosti, da bi lahko agencija zbirala informacije v prostorih podjetja, kjer podjetje sprejema svoje stranke ali so dostopni javnosti, ali pred prostori podjetja. Glede uvedbe preiskave (56. člen) predlaga </w:t>
            </w:r>
            <w:r w:rsidRPr="002F30DF">
              <w:rPr>
                <w:rFonts w:cs="Arial"/>
                <w:sz w:val="20"/>
                <w:szCs w:val="20"/>
              </w:rPr>
              <w:t>podaljšanje roka, v katerem mora sodnik Okrožnega sodišča v Ljubljani odločiti o predlogu odredbe za preiskavo. Predlaga, da prisotnost prič ne bi bila več potrebna, če bi se preiskava npr. audio-video dokumentirala, ali če je pri njeni izvedbi prisoten pooblaščen predstavnik sodišča, ki je odobril izvedbo preiskave, ali če je prisoten odvetnik preiskovanca. Predlaga dopolnitev določbe glede zasega predmetov, poslovnih knjig in druge dokumentacije. V zvezi z določbo o privilegirani komunikaciji (60. člen) predlaga dopolnitev z možnostjo, da agencija lahko v primeru zasega poslovnih knjig in druge dokumentacije pozove podjetje, da v določenem roku navede kateri dokumenti spadajo med privilegirano dokumentacijo. Predlaga tudi dopolnitev določbe o zavezah (65. člen) tako, da se časovno omeji možnost za predlaganje zavez. V povezavi s postopkom presoje koncentracij predlaga uvedbo poenostavljenega postopka presoje koncentracij, možnost zbiranja informacij, dopolnitev pravil, ki se nanašajo na obveznost izdati odločbo v določenem roku, določitev roka za predložitev korektivnih ukrepov, s katerimi se odpravi resen sum o skladnosti koncentracije s pravili konkurence.</w:t>
            </w:r>
            <w:r w:rsidRPr="002F30DF">
              <w:rPr>
                <w:rFonts w:cs="Arial"/>
                <w:iCs/>
                <w:sz w:val="20"/>
                <w:szCs w:val="20"/>
              </w:rPr>
              <w:t xml:space="preserve"> Predlaga tudi možnost izreka kazni, če podjetje v posebnem obrazcu za priglasitev koncentracije navede nepravilne ali zavajajoče podatke. Predlaga uvedbo vloge za poravnavo na podlagi katere bi agencija lahko podjetju znižala administrativno sankcijo.</w:t>
            </w:r>
          </w:p>
          <w:p w:rsidR="008F2B08" w:rsidRPr="002F30DF" w:rsidRDefault="008F2B08" w:rsidP="00AC6E15">
            <w:pPr>
              <w:overflowPunct/>
              <w:autoSpaceDE/>
              <w:autoSpaceDN/>
              <w:adjustRightInd/>
              <w:spacing w:line="260" w:lineRule="exact"/>
              <w:textAlignment w:val="auto"/>
              <w:rPr>
                <w:rFonts w:eastAsia="Calibri" w:cs="Arial"/>
                <w:sz w:val="20"/>
                <w:szCs w:val="20"/>
                <w:lang w:eastAsia="en-US"/>
              </w:rPr>
            </w:pPr>
          </w:p>
          <w:p w:rsidR="00AC6E15" w:rsidRPr="002F30DF" w:rsidRDefault="00AC6E15" w:rsidP="007B15B0">
            <w:pPr>
              <w:numPr>
                <w:ilvl w:val="1"/>
                <w:numId w:val="87"/>
              </w:numPr>
              <w:overflowPunct/>
              <w:autoSpaceDE/>
              <w:autoSpaceDN/>
              <w:adjustRightInd/>
              <w:spacing w:line="260" w:lineRule="exact"/>
              <w:textAlignment w:val="auto"/>
              <w:rPr>
                <w:rFonts w:eastAsia="Calibri" w:cs="Arial"/>
                <w:sz w:val="20"/>
                <w:szCs w:val="20"/>
                <w:u w:val="single"/>
                <w:lang w:eastAsia="en-US"/>
              </w:rPr>
            </w:pPr>
            <w:r w:rsidRPr="002F30DF">
              <w:rPr>
                <w:rFonts w:eastAsia="Calibri" w:cs="Arial"/>
                <w:sz w:val="20"/>
                <w:szCs w:val="20"/>
                <w:u w:val="single"/>
                <w:lang w:eastAsia="en-US"/>
              </w:rPr>
              <w:t>bistvena mnenja, predloge in pripombe javnosti, ki niso bili upoštevani, in razlogi za neupoštevanje:</w:t>
            </w:r>
          </w:p>
          <w:p w:rsidR="00AC6E15" w:rsidRPr="002F30DF" w:rsidRDefault="00AC6E15" w:rsidP="00AC6E15">
            <w:pPr>
              <w:overflowPunct/>
              <w:autoSpaceDE/>
              <w:autoSpaceDN/>
              <w:adjustRightInd/>
              <w:spacing w:line="260" w:lineRule="exact"/>
              <w:textAlignment w:val="auto"/>
              <w:rPr>
                <w:rFonts w:eastAsia="Calibri" w:cs="Arial"/>
                <w:sz w:val="20"/>
                <w:szCs w:val="20"/>
                <w:u w:val="single"/>
                <w:lang w:eastAsia="en-US"/>
              </w:rPr>
            </w:pPr>
          </w:p>
          <w:p w:rsidR="003300E3" w:rsidRPr="002F30DF" w:rsidRDefault="003300E3" w:rsidP="003300E3">
            <w:pPr>
              <w:widowControl w:val="0"/>
              <w:overflowPunct/>
              <w:autoSpaceDE/>
              <w:autoSpaceDN/>
              <w:adjustRightInd/>
              <w:spacing w:line="260" w:lineRule="exact"/>
              <w:textAlignment w:val="auto"/>
              <w:rPr>
                <w:rFonts w:cs="Arial"/>
                <w:iCs/>
                <w:sz w:val="20"/>
                <w:szCs w:val="20"/>
              </w:rPr>
            </w:pPr>
            <w:r w:rsidRPr="002F30DF">
              <w:rPr>
                <w:rFonts w:cs="Arial"/>
                <w:iCs/>
                <w:sz w:val="20"/>
                <w:szCs w:val="20"/>
              </w:rPr>
              <w:t xml:space="preserve">Glavni razlog za pripravo novega zakona je bila implementacija- prenos </w:t>
            </w:r>
            <w:r w:rsidRPr="002F30DF">
              <w:rPr>
                <w:rFonts w:eastAsia="Calibri" w:cs="Arial"/>
                <w:iCs/>
                <w:sz w:val="20"/>
                <w:szCs w:val="20"/>
                <w:lang w:eastAsia="en-US"/>
              </w:rPr>
              <w:t xml:space="preserve">Direktive (EU) 2019/1 ter uvedba enotnega (administrativnega postopka). Zaradi zamude pri prenosu direktive (rok je potekel 4. 2. 2021, zaradi česar Sloveniji že grozijo sankcije), se je predlagatelj odločil, da ne bo posegal v druge določbe zakona, katerih sprememba ni nujno potrebna, saj bi to dodatno zavrlo nujno potreben prenos direktive. Predlagatelj zato večino pripomb, ki so se nanašale na določbe, ki jih vsebuje že obstoječi Zakon o preprečevanju omejevanja konkurence ni upošteval. Morebitne druge spremembe bodo predmet popravkov pri </w:t>
            </w:r>
            <w:r w:rsidR="00170A7C" w:rsidRPr="002F30DF">
              <w:rPr>
                <w:rFonts w:eastAsia="Calibri" w:cs="Arial"/>
                <w:iCs/>
                <w:sz w:val="20"/>
                <w:szCs w:val="20"/>
                <w:lang w:eastAsia="en-US"/>
              </w:rPr>
              <w:t>kateri od novel Zakona o preprečevanju omejevanja konkurence (Uradni list RS, št. 36/08, 40/09, 26/11, 87/11, 57/12, 39/13 – odl. US, 63/13 – ZS-K, 33/14, 76/15 in 23/17).</w:t>
            </w:r>
          </w:p>
          <w:p w:rsidR="00AC6E15" w:rsidRPr="002F30DF" w:rsidRDefault="00AC6E15" w:rsidP="00AC6E15">
            <w:pPr>
              <w:overflowPunct/>
              <w:autoSpaceDE/>
              <w:autoSpaceDN/>
              <w:adjustRightInd/>
              <w:spacing w:line="260" w:lineRule="exact"/>
              <w:textAlignment w:val="auto"/>
              <w:rPr>
                <w:rFonts w:eastAsia="Calibri" w:cs="Arial"/>
                <w:sz w:val="20"/>
                <w:szCs w:val="20"/>
                <w:u w:val="single"/>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lastRenderedPageBreak/>
              <w:t>8. Podatek</w:t>
            </w:r>
            <w:r w:rsidR="00AE0150" w:rsidRPr="002F30DF">
              <w:rPr>
                <w:rFonts w:eastAsia="Calibri" w:cs="Arial"/>
                <w:b/>
                <w:sz w:val="20"/>
                <w:szCs w:val="20"/>
                <w:lang w:eastAsia="en-US"/>
              </w:rPr>
              <w:t xml:space="preserve"> o</w:t>
            </w:r>
            <w:r w:rsidRPr="002F30DF">
              <w:rPr>
                <w:rFonts w:eastAsia="Calibri" w:cs="Arial"/>
                <w:b/>
                <w:sz w:val="20"/>
                <w:szCs w:val="20"/>
                <w:lang w:eastAsia="en-US"/>
              </w:rPr>
              <w:t xml:space="preserve"> zunanjem strokovnjaku oziroma pravno osebi, ki je sodelovala pri pripravi predloga zakona, in znesku plačila za ta namen:</w:t>
            </w: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sz w:val="20"/>
                <w:szCs w:val="20"/>
                <w:lang w:eastAsia="en-US"/>
              </w:rPr>
            </w:pPr>
            <w:r w:rsidRPr="002F30DF">
              <w:rPr>
                <w:rFonts w:eastAsia="Calibri" w:cs="Arial"/>
                <w:sz w:val="20"/>
                <w:szCs w:val="20"/>
                <w:lang w:eastAsia="en-US"/>
              </w:rPr>
              <w:t>Glede določb administrativnega sankcioniranja, spremembe preiskave ter novega preiskovalnega orodja zbiranje informacij je bilo naročeno pravno mnenje, ki ga je pripravil Inštitut za primerjalno pravo pri Pravni fakulteti. Cena mnenja je znašala 11.895,00 EUR z vključenim DDV.</w:t>
            </w:r>
          </w:p>
          <w:p w:rsidR="00D41723" w:rsidRPr="002F30DF" w:rsidRDefault="00D41723" w:rsidP="00AC6E15">
            <w:pPr>
              <w:overflowPunct/>
              <w:autoSpaceDE/>
              <w:autoSpaceDN/>
              <w:adjustRightInd/>
              <w:spacing w:line="260" w:lineRule="exact"/>
              <w:textAlignment w:val="auto"/>
              <w:rPr>
                <w:rFonts w:eastAsia="Calibri" w:cs="Arial"/>
                <w:b/>
                <w:sz w:val="20"/>
                <w:szCs w:val="20"/>
                <w:lang w:eastAsia="en-US"/>
              </w:rPr>
            </w:pPr>
          </w:p>
          <w:p w:rsidR="00AC6E15" w:rsidRPr="002F30DF" w:rsidRDefault="00AC6E15" w:rsidP="00AC6E15">
            <w:pPr>
              <w:overflowPunct/>
              <w:autoSpaceDE/>
              <w:autoSpaceDN/>
              <w:adjustRightInd/>
              <w:spacing w:line="260" w:lineRule="exact"/>
              <w:textAlignment w:val="auto"/>
              <w:rPr>
                <w:rFonts w:eastAsia="Calibri" w:cs="Arial"/>
                <w:b/>
                <w:sz w:val="20"/>
                <w:szCs w:val="20"/>
                <w:lang w:eastAsia="en-US"/>
              </w:rPr>
            </w:pPr>
            <w:r w:rsidRPr="002F30DF">
              <w:rPr>
                <w:rFonts w:eastAsia="Calibri" w:cs="Arial"/>
                <w:b/>
                <w:sz w:val="20"/>
                <w:szCs w:val="20"/>
                <w:lang w:eastAsia="en-US"/>
              </w:rPr>
              <w:t>9. Navedba, kateri predstavniki predlagatelja bodo sodelovali pri delu državnega zbora in delovnih teles</w:t>
            </w:r>
          </w:p>
          <w:p w:rsidR="007B15B0" w:rsidRPr="002F30DF" w:rsidRDefault="007B15B0" w:rsidP="007B15B0">
            <w:pPr>
              <w:pStyle w:val="Neotevilenodstavek"/>
              <w:numPr>
                <w:ilvl w:val="0"/>
                <w:numId w:val="87"/>
              </w:numPr>
              <w:spacing w:before="0" w:after="0" w:line="260" w:lineRule="exact"/>
              <w:rPr>
                <w:rFonts w:cs="Arial"/>
                <w:iCs/>
              </w:rPr>
            </w:pPr>
            <w:r w:rsidRPr="002F30DF">
              <w:rPr>
                <w:rFonts w:cs="Arial"/>
                <w:iCs/>
              </w:rPr>
              <w:t xml:space="preserve">Zdravko Počivalšek, minister za gospodarski razvoj in tehnologijo, </w:t>
            </w:r>
          </w:p>
          <w:p w:rsidR="007B15B0" w:rsidRDefault="007B15B0" w:rsidP="007B15B0">
            <w:pPr>
              <w:pStyle w:val="Neotevilenodstavek"/>
              <w:numPr>
                <w:ilvl w:val="0"/>
                <w:numId w:val="87"/>
              </w:numPr>
              <w:spacing w:before="0" w:after="0" w:line="260" w:lineRule="exact"/>
              <w:rPr>
                <w:rFonts w:cs="Arial"/>
                <w:iCs/>
              </w:rPr>
            </w:pPr>
            <w:r w:rsidRPr="002F30DF">
              <w:rPr>
                <w:rFonts w:cs="Arial"/>
                <w:iCs/>
              </w:rPr>
              <w:t>Simon Zajc, državni sekretar,</w:t>
            </w:r>
          </w:p>
          <w:p w:rsidR="007B15B0" w:rsidRPr="002F30DF" w:rsidRDefault="007B15B0" w:rsidP="007B15B0">
            <w:pPr>
              <w:pStyle w:val="Neotevilenodstavek"/>
              <w:numPr>
                <w:ilvl w:val="0"/>
                <w:numId w:val="87"/>
              </w:numPr>
              <w:spacing w:before="0" w:after="0" w:line="260" w:lineRule="exact"/>
              <w:rPr>
                <w:rFonts w:cs="Arial"/>
                <w:iCs/>
              </w:rPr>
            </w:pPr>
            <w:r>
              <w:rPr>
                <w:rFonts w:cs="Arial"/>
                <w:iCs/>
              </w:rPr>
              <w:t xml:space="preserve">Andrej Čuš, </w:t>
            </w:r>
            <w:r w:rsidRPr="002F30DF">
              <w:rPr>
                <w:rFonts w:cs="Arial"/>
                <w:iCs/>
              </w:rPr>
              <w:t>državni sekretar</w:t>
            </w:r>
            <w:r>
              <w:rPr>
                <w:rFonts w:cs="Arial"/>
                <w:iCs/>
              </w:rPr>
              <w:t>,</w:t>
            </w:r>
          </w:p>
          <w:p w:rsidR="007B15B0" w:rsidRPr="002F30DF" w:rsidRDefault="007B15B0" w:rsidP="007B15B0">
            <w:pPr>
              <w:pStyle w:val="Neotevilenodstavek"/>
              <w:numPr>
                <w:ilvl w:val="0"/>
                <w:numId w:val="87"/>
              </w:numPr>
              <w:spacing w:before="0" w:after="0" w:line="260" w:lineRule="exact"/>
              <w:rPr>
                <w:rFonts w:cs="Arial"/>
                <w:iCs/>
              </w:rPr>
            </w:pPr>
            <w:r w:rsidRPr="002F30DF">
              <w:rPr>
                <w:rFonts w:cs="Arial"/>
                <w:iCs/>
              </w:rPr>
              <w:t>mag. Karla Pinter, generalna direktorica Direktorata za notranji trg,</w:t>
            </w:r>
          </w:p>
          <w:p w:rsidR="007B15B0" w:rsidRPr="002F30DF" w:rsidRDefault="007B15B0" w:rsidP="007B15B0">
            <w:pPr>
              <w:pStyle w:val="Neotevilenodstavek"/>
              <w:numPr>
                <w:ilvl w:val="0"/>
                <w:numId w:val="87"/>
              </w:numPr>
              <w:spacing w:before="0" w:after="0" w:line="260" w:lineRule="exact"/>
              <w:rPr>
                <w:rFonts w:cs="Arial"/>
                <w:iCs/>
              </w:rPr>
            </w:pPr>
            <w:r w:rsidRPr="002F30DF">
              <w:rPr>
                <w:rFonts w:cs="Arial"/>
                <w:iCs/>
              </w:rPr>
              <w:t>Luka Omerzel</w:t>
            </w:r>
            <w:r w:rsidRPr="002F30DF">
              <w:rPr>
                <w:rFonts w:cs="Arial"/>
              </w:rPr>
              <w:t>, sekretar, vodja Sektorja za varstvo potrošnikov in konkurence</w:t>
            </w:r>
          </w:p>
          <w:p w:rsidR="007B15B0" w:rsidRPr="002F30DF" w:rsidRDefault="007B15B0" w:rsidP="007B15B0">
            <w:pPr>
              <w:pStyle w:val="Neotevilenodstavek"/>
              <w:numPr>
                <w:ilvl w:val="0"/>
                <w:numId w:val="87"/>
              </w:numPr>
              <w:spacing w:before="0" w:after="0" w:line="260" w:lineRule="exact"/>
              <w:rPr>
                <w:rFonts w:cs="Arial"/>
                <w:iCs/>
              </w:rPr>
            </w:pPr>
            <w:r w:rsidRPr="002F30DF">
              <w:rPr>
                <w:rFonts w:cs="Arial"/>
                <w:iCs/>
              </w:rPr>
              <w:t>Mark Heler, sekretar, Pravna služba</w:t>
            </w:r>
          </w:p>
          <w:p w:rsidR="00AC6E15" w:rsidRPr="00A32301" w:rsidRDefault="007B15B0" w:rsidP="007B15B0">
            <w:pPr>
              <w:numPr>
                <w:ilvl w:val="0"/>
                <w:numId w:val="87"/>
              </w:numPr>
              <w:overflowPunct/>
              <w:autoSpaceDE/>
              <w:autoSpaceDN/>
              <w:adjustRightInd/>
              <w:spacing w:line="260" w:lineRule="exact"/>
              <w:jc w:val="left"/>
              <w:textAlignment w:val="auto"/>
              <w:rPr>
                <w:rFonts w:eastAsia="Calibri" w:cs="Arial"/>
                <w:b/>
                <w:sz w:val="20"/>
                <w:szCs w:val="20"/>
                <w:lang w:eastAsia="en-US"/>
              </w:rPr>
            </w:pPr>
            <w:r w:rsidRPr="00A32301">
              <w:rPr>
                <w:rFonts w:cs="Arial"/>
                <w:iCs/>
                <w:sz w:val="20"/>
                <w:szCs w:val="20"/>
              </w:rPr>
              <w:t>Silvana Perkovič Nose, podsekretarka v</w:t>
            </w:r>
            <w:r w:rsidRPr="00A32301">
              <w:rPr>
                <w:rFonts w:cs="Arial"/>
                <w:sz w:val="20"/>
                <w:szCs w:val="20"/>
              </w:rPr>
              <w:t xml:space="preserve"> Sektorju za varstvo potrošnikov in konkurence</w:t>
            </w:r>
          </w:p>
        </w:tc>
      </w:tr>
      <w:bookmarkEnd w:id="0"/>
    </w:tbl>
    <w:p w:rsidR="00AC6E15" w:rsidRPr="002F30DF" w:rsidRDefault="00AC6E15" w:rsidP="00AC6E15">
      <w:pPr>
        <w:overflowPunct/>
        <w:autoSpaceDE/>
        <w:autoSpaceDN/>
        <w:adjustRightInd/>
        <w:spacing w:line="260" w:lineRule="exact"/>
        <w:jc w:val="left"/>
        <w:textAlignment w:val="auto"/>
        <w:rPr>
          <w:rFonts w:cs="Arial"/>
          <w:sz w:val="20"/>
          <w:szCs w:val="20"/>
          <w:lang w:eastAsia="en-US"/>
        </w:rPr>
      </w:pPr>
    </w:p>
    <w:p w:rsidR="00AC6E15" w:rsidRPr="002F30DF" w:rsidRDefault="00AC6E15">
      <w:pPr>
        <w:overflowPunct/>
        <w:autoSpaceDE/>
        <w:autoSpaceDN/>
        <w:adjustRightInd/>
        <w:jc w:val="left"/>
        <w:textAlignment w:val="auto"/>
        <w:rPr>
          <w:rFonts w:cs="Arial"/>
          <w:b/>
          <w:bCs/>
          <w:spacing w:val="40"/>
          <w:sz w:val="20"/>
          <w:szCs w:val="20"/>
        </w:rPr>
      </w:pPr>
      <w:r w:rsidRPr="002F30DF">
        <w:rPr>
          <w:rFonts w:cs="Arial"/>
          <w:sz w:val="20"/>
          <w:szCs w:val="20"/>
        </w:rPr>
        <w:br w:type="page"/>
      </w:r>
    </w:p>
    <w:p w:rsidR="00E57787" w:rsidRPr="002F30DF" w:rsidRDefault="00A45607" w:rsidP="00431BAA">
      <w:pPr>
        <w:pStyle w:val="Vrstapredpisa"/>
        <w:numPr>
          <w:ilvl w:val="0"/>
          <w:numId w:val="91"/>
        </w:numPr>
        <w:spacing w:before="0" w:line="260" w:lineRule="atLeast"/>
        <w:ind w:left="426" w:hanging="425"/>
        <w:jc w:val="both"/>
        <w:rPr>
          <w:bCs w:val="0"/>
          <w:color w:val="auto"/>
          <w:spacing w:val="0"/>
          <w:sz w:val="20"/>
          <w:szCs w:val="20"/>
        </w:rPr>
      </w:pPr>
      <w:r w:rsidRPr="002F30DF">
        <w:rPr>
          <w:bCs w:val="0"/>
          <w:color w:val="auto"/>
          <w:spacing w:val="0"/>
          <w:sz w:val="20"/>
          <w:szCs w:val="20"/>
        </w:rPr>
        <w:lastRenderedPageBreak/>
        <w:t>BESEDILO ČLENOV</w:t>
      </w:r>
    </w:p>
    <w:p w:rsidR="00126F4C" w:rsidRPr="002F30DF" w:rsidRDefault="00126F4C" w:rsidP="008A7536">
      <w:pPr>
        <w:pStyle w:val="Vrstapredpisa"/>
        <w:spacing w:before="0" w:line="260" w:lineRule="atLeast"/>
        <w:jc w:val="both"/>
        <w:rPr>
          <w:bCs w:val="0"/>
          <w:color w:val="auto"/>
          <w:spacing w:val="0"/>
          <w:sz w:val="20"/>
          <w:szCs w:val="20"/>
        </w:rPr>
      </w:pPr>
    </w:p>
    <w:p w:rsidR="00126F4C" w:rsidRPr="002F30DF" w:rsidRDefault="00126F4C" w:rsidP="00126F4C">
      <w:pPr>
        <w:pStyle w:val="Del"/>
        <w:spacing w:before="0" w:line="260" w:lineRule="atLeast"/>
        <w:rPr>
          <w:sz w:val="20"/>
          <w:szCs w:val="20"/>
        </w:rPr>
      </w:pPr>
      <w:r w:rsidRPr="002F30DF">
        <w:rPr>
          <w:sz w:val="20"/>
          <w:szCs w:val="20"/>
        </w:rPr>
        <w:t>I. DEL</w:t>
      </w:r>
      <w:r w:rsidRPr="002F30DF">
        <w:rPr>
          <w:sz w:val="20"/>
          <w:szCs w:val="20"/>
        </w:rPr>
        <w:br/>
        <w:t>SPLOŠNE DOLOČBE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člen</w:t>
      </w:r>
    </w:p>
    <w:p w:rsidR="00126F4C" w:rsidRPr="002F30DF" w:rsidRDefault="00126F4C" w:rsidP="00126F4C">
      <w:pPr>
        <w:pStyle w:val="lennaslov"/>
        <w:spacing w:line="260" w:lineRule="atLeast"/>
        <w:ind w:firstLine="284"/>
        <w:rPr>
          <w:sz w:val="20"/>
          <w:szCs w:val="20"/>
        </w:rPr>
      </w:pPr>
      <w:r w:rsidRPr="002F30DF">
        <w:rPr>
          <w:sz w:val="20"/>
          <w:szCs w:val="20"/>
        </w:rPr>
        <w:t>(vsebina)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Ta zakon ureja omejevalna ravnanja, koncentracije podjetij, nelojalno konkurenco, oblastna omejevanja konkurence in ukrepe za preprečitev omejevalnih ravnanj in koncentracij, ki bistveno omejujejo učinkovito konkurenco, kadar povzročijo ali lahko povzročijo učinke na ozemlju Republike Slovenije, in določa posamezna pravila glede povrnitve škode zaradi kršitev konkurenčnega prava.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Ta zakon določa tudi pristojnosti Javne agencije Republike Slovenije za varstvo konkurence (v nadaljnjem besedilu: agencija) in postopke pred njo.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(prenos in izvajanje predpisov Evropske unije)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Ta zakon ureja postopek in pristojnost za izvajanje:</w:t>
      </w:r>
    </w:p>
    <w:p w:rsidR="00126F4C" w:rsidRPr="002F30DF" w:rsidRDefault="00126F4C" w:rsidP="00126F4C">
      <w:pPr>
        <w:pStyle w:val="Odstavek"/>
        <w:numPr>
          <w:ilvl w:val="0"/>
          <w:numId w:val="45"/>
        </w:numPr>
        <w:spacing w:before="0" w:line="260" w:lineRule="atLeast"/>
        <w:rPr>
          <w:sz w:val="20"/>
          <w:szCs w:val="20"/>
        </w:rPr>
      </w:pPr>
      <w:r w:rsidRPr="002F30DF">
        <w:rPr>
          <w:sz w:val="20"/>
          <w:szCs w:val="20"/>
        </w:rPr>
        <w:t>Uredbe Sveta (ES) št. 1/2003 z dne 16. 12. 2002 o izvajanju pravil konkurence iz členov 81 in 82 Pogodbe (UL L št. 1 z dne 4. 1. 2003, str. 1), zadnjič spremenjene z Uredbo Sveta (ES) št. 487/2009 z dne 25. 5. 2009 o uporabi člena 81(3) Pogodbe za nekatere kategorije sporazumov in usklajenih ravnanj v sektorju zračnega prevoza (Kodificirana različica) (UL L št. 148 z dne 11. 6. 2009, str. 1)</w:t>
      </w:r>
      <w:r w:rsidR="0023547F">
        <w:rPr>
          <w:sz w:val="20"/>
          <w:szCs w:val="20"/>
        </w:rPr>
        <w:t>,</w:t>
      </w:r>
      <w:r w:rsidRPr="002F30DF">
        <w:rPr>
          <w:sz w:val="20"/>
          <w:szCs w:val="20"/>
        </w:rPr>
        <w:t xml:space="preserve"> (v nadaljnjem besedilu: Uredba 1/2003/ES) in </w:t>
      </w:r>
    </w:p>
    <w:p w:rsidR="00126F4C" w:rsidRPr="002F30DF" w:rsidRDefault="00126F4C" w:rsidP="00126F4C">
      <w:pPr>
        <w:pStyle w:val="Odstavek"/>
        <w:numPr>
          <w:ilvl w:val="0"/>
          <w:numId w:val="45"/>
        </w:numPr>
        <w:spacing w:before="0" w:line="260" w:lineRule="atLeast"/>
        <w:rPr>
          <w:sz w:val="20"/>
          <w:szCs w:val="20"/>
        </w:rPr>
      </w:pPr>
      <w:r w:rsidRPr="002F30DF">
        <w:rPr>
          <w:sz w:val="20"/>
          <w:szCs w:val="20"/>
        </w:rPr>
        <w:t>Uredbe Sveta (ES) št. 139/2004 z dne 20. 1. 2004 o nadzoru koncentracij podjetij (UL L št. 24 z dne 29. 1. 2004, str. 1, v nadaljnjem besedilu: Uredba 139/2004/ES).</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 tem zakonom se prenašata naslednji direktivi Evropske unije:</w:t>
      </w:r>
    </w:p>
    <w:p w:rsidR="00126F4C" w:rsidRPr="002F30DF" w:rsidRDefault="00126F4C" w:rsidP="00126F4C">
      <w:pPr>
        <w:pStyle w:val="Odstavek"/>
        <w:numPr>
          <w:ilvl w:val="0"/>
          <w:numId w:val="39"/>
        </w:numPr>
        <w:spacing w:before="0" w:line="260" w:lineRule="atLeast"/>
        <w:rPr>
          <w:sz w:val="20"/>
          <w:szCs w:val="20"/>
        </w:rPr>
      </w:pPr>
      <w:r w:rsidRPr="002F30DF">
        <w:rPr>
          <w:sz w:val="20"/>
          <w:szCs w:val="20"/>
        </w:rPr>
        <w:t>Direktiva 2014/104/EU Evropskega parlamenta in Sveta z dne 26. 11. 2014 o nekaterih pravilih, ki urejajo odškodninske tožbe po nacionalnem pravu za kršitve določb konkurenčnega prava držav članic in Evropske unije (UL L št. 349 z dne 5. 12. 2014, str. 1) in</w:t>
      </w:r>
    </w:p>
    <w:p w:rsidR="00126F4C" w:rsidRPr="002F30DF" w:rsidRDefault="00126F4C" w:rsidP="00126F4C">
      <w:pPr>
        <w:pStyle w:val="Odstavek"/>
        <w:numPr>
          <w:ilvl w:val="0"/>
          <w:numId w:val="39"/>
        </w:numPr>
        <w:spacing w:before="0" w:line="260" w:lineRule="atLeast"/>
        <w:rPr>
          <w:sz w:val="20"/>
          <w:szCs w:val="20"/>
        </w:rPr>
      </w:pPr>
      <w:r w:rsidRPr="002F30DF">
        <w:rPr>
          <w:sz w:val="20"/>
          <w:szCs w:val="20"/>
        </w:rPr>
        <w:lastRenderedPageBreak/>
        <w:t>Direktiva (EU) 2019/1 Evropskega parlamenta in Sveta z dne 11. 12. 2018 o krepitvi vloge organov držav članic, pristojnih za konkurenco, da bodo učinkoviteje uveljavljali pravila konkurence, in o zagotavljanju pravilnega delovanja notranjega trga (UL L št. 11 z dne 14. 1. 2019, str. 3).</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(pomen izrazov)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Izrazi, uporabljeni v tem zakonu, pomenijo:</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»podjetje« je subjekt, ki opravlja gospodarsko dejavnost, ne glede na njegovo pravnoorganizacijsko obliko in lastninsko pripadnost. Podjetje je tudi podjetniško združenje, ki neposredno ne opravlja gospodarske dejavnosti, vendar vpliva ali bi lahko vplivalo na ravnanje podjetij iz prvega stavka te točke na trgu;</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»gospodarska dejavnost« je vsaka dejavnost, ki se opravlja proti plačilu na trgu;</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»gospodujoče podjetje« je podjetje, ki ima neposredno ali posredno:</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851"/>
        <w:rPr>
          <w:sz w:val="20"/>
          <w:szCs w:val="20"/>
        </w:rPr>
      </w:pPr>
      <w:r w:rsidRPr="002F30DF">
        <w:rPr>
          <w:sz w:val="20"/>
          <w:szCs w:val="20"/>
        </w:rPr>
        <w:t>več kot polovico kapitalskih ali poslovnih deležev v drugem podjetju,</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851"/>
        <w:rPr>
          <w:sz w:val="20"/>
          <w:szCs w:val="20"/>
        </w:rPr>
      </w:pPr>
      <w:r w:rsidRPr="002F30DF">
        <w:rPr>
          <w:sz w:val="20"/>
          <w:szCs w:val="20"/>
        </w:rPr>
        <w:t>večino glasovalnih pravic v drugem podjetju,</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pravico imenovati ali odpoklicati večino članov poslovodstva ali nadzornega sveta drugega podjetja ali</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pravico voditi posle drugega podjetja na podlagi podjetniške pogodbe ali drugega pravnega posla;</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»odvisno podjetje« je podjetje, v katerem ima drugo podjetje pravice ali vpliv iz prejšnje točke;</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»podjetja v skupini« so podjetja, ki so:</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v sporazumu ali koncentraciji udeležena podjetja,</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njihova odvisna podjetja,</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njihova gospodujoča podjetja,</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odvisna podjetja podjetij iz prejšnje alineje in</w:t>
      </w:r>
    </w:p>
    <w:p w:rsidR="00126F4C" w:rsidRPr="002F30DF" w:rsidRDefault="00126F4C" w:rsidP="00126F4C">
      <w:pPr>
        <w:pStyle w:val="Alineazatevilnotoko"/>
        <w:numPr>
          <w:ilvl w:val="0"/>
          <w:numId w:val="42"/>
        </w:numPr>
        <w:tabs>
          <w:tab w:val="clear" w:pos="425"/>
          <w:tab w:val="clear" w:pos="567"/>
          <w:tab w:val="left" w:pos="709"/>
        </w:tabs>
        <w:spacing w:line="260" w:lineRule="atLeast"/>
        <w:ind w:left="709" w:hanging="283"/>
        <w:rPr>
          <w:sz w:val="20"/>
          <w:szCs w:val="20"/>
        </w:rPr>
      </w:pPr>
      <w:r w:rsidRPr="002F30DF">
        <w:rPr>
          <w:sz w:val="20"/>
          <w:szCs w:val="20"/>
        </w:rPr>
        <w:t>podjetja, v katerih ima eno ali več podjetij iz prejšnjih alinej skupaj ali skupaj z enim ali več drugimi podjetji pravice ali vpliv iz 3. točke tega odstavka;</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»upoštevni trg« je trg, ki ga določata upoštevni proizvodni ali storitveni trg in upoštevni geografski trg;</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»upoštevni proizvodni ali storitveni trg« je trg, ki praviloma vključuje vse tiste proizvode ali storitve, ki jih potrošnik ali uporabnik šteje za zamenljive ali nadomestljive glede na njihove lastnosti, ceno ali namen uporabe;</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lastRenderedPageBreak/>
        <w:t>»upoštevni geografski trg« je trg, ki praviloma vključuje območje, na katerem si konkurenti na upoštevnem proizvodnem ali storitvenem trgu medsebojno konkurirajo pri prodaji ali nakupu proizvodov ali storitev, na katerem so pogoji konkurence dovolj homogeni in ki ga je mogoče razlikovati od sosednjih območij, ker so pogoji konkurence na njih občutno drugačni;</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»v koncentraciji udeležena podjetja« so podjetja, ki se združujejo, podjetja, ki pridobijo kontrolo nad drugim podjetjem, prevzeta podjetja in podjetja, ki ustanavljajo skupno podjetje;</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»letni promet« so čisti prihodki od prodaje, ki jih je podjetje ustvarilo v poslovnem letu s prodajo proizvodov in opravljanjem storitev iz rednega delovanja;</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»letni promet v koncentraciji udeleženih podjetij skupaj z drugimi podjetji v skupini« je letni promet, ki so ga ustvarila v koncentraciji udeležena podjetja skupaj z drugimi podjetji v skupini ter ne obsega čistih prihodkov od prodaje proizvodov in opravljanja storitev med podjetji v skupini. Kadar koncentracija nastane s pridobitvijo kontrole nad delom enega ali več podjetij, ne glede na to, ali imajo ti deli lastnost pravne osebe ali ne, se pri prodajalcu ali prodajalcih upošteva letni promet, ki se nanaša na dele, ki so predmet koncentracije. Dve ali več transakcij v smislu prejšnjega stavka, ki jih v obdobju dveh let opravijo iste osebe ali podjetja, štejejo kot ena koncentracija, ki nastane na dan zadnje transakcije. Če imajo podjetja v skupini skupno ali skupaj s tretjimi podjetji pravice iz 3. točke tega odstavka, se letni promet skupnega podjetja enakomerno porazdeli med njimi;</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»letni promet na trgu Republike Slovenije« so čisti prihodki od prodaje proizvodov in opravljanja storitev na območju Republike Slovenije;</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»letni promet kreditnih in finančnih institucij« so finančni prihodki iz deležev, finančni prihodki iz danih posojil in finančni prihodki iz poslovnih terjatev. Pojma »kreditna institucija« in »finančna institucija«, uporabljena v tem zakonu, imata enak pomen kot v zakonu, ki ureja bančništvo;</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»letni promet zavarovalnic« je znesek kosmatih obračunanih zavarovalnih premij, ki obsega vse prihodke in terjatve iz zavarovalnih pogodb, vključno z izplačanimi premijami pozavarovanja, zmanjšan za davke ali prispevke, povezanimi z zavarovalnimi premijami;</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»podatki« so vsi podatki, vključno z zaupnimi podatki, ne glede na nosilec, na katerem so zapisani ali shranjeni;</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lastRenderedPageBreak/>
        <w:t>»zaupni podatki« so poslovne skrivnosti ter osebni podatki in vsi drugi podatki, za katere so s tem zakonom ali drugimi predpisi določeni posebni režimi njihovega varstva in posebni pogoji za dostop do njih. Za zaupne podatke ne štejejo podatki, ki so javno dostopni;</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»poslovna skrivnost« so podatki in poslovna korespondenca, ki se nanašajo na gospodarsko dejavnost podjetja, ali drugi zaščite vredni podatki, če je z njimi seznanjeno omejeno število ljudi, če njihovo razkritje škodi osebi, ki jih da na voljo, ali tretjim osebam in če so interesi, ki so z razkritjem podatkov lahko prizadeti, objektivno vredni zaščite;</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»skupinske izjeme« so skupine sporazumov, ki ustrezajo pogojem iz tretjega odstavka 5. člena tega zakona ali tretjega odstavka 101. člena Pogodbe o delovanju Evropske unije (Prečiščena različica Pogodbe o delovanju Evropske unije, UL C št. 202 z dne 7. 6. 2016, str. 47; v nadaljnjem besedilu: Pogodba o delovanju Evropske unije);</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»omejevalna ravnanja« so omejevalni sporazumi in zlorabe prevladujočega položaja;</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»kartel« je sporazum ali usklajeno ravnanje dveh ali več podjetij, katerega namen je usklajevanje njihovega konkurenčnega ravnanja na trgu ali vplivanje na relevantne dejavnike konkurence s praksami, kot so določanje ali usklajevanje nakupnih ali prodajnih cen ali drugih pogojev trgovanja, vključno s pravicami intelektualne lastnine, razdelitev proizvodnih ali prodajnih kvot, delitev trgov in kupcev, dogovorjeno oddajanje ponudb, omejitve pri uvozu ali izvozu ali protikonkurenčni ukrepi zoper druga konkurenčna podjetja;</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»država članica« je država članica Evropske unije ali država podpisnica Sporazuma o ustanovitvi Evropskega gospodarskega prostora (UL L št. 1 z dne 3. 1. 1994, str. 3);</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»organ, pristojen za varstvo konkurence« je Evropska komisija, agencija ali organ, pristojen za varstvo konkurence druge države članice;</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»Evropska mreža za konkurenco« je forum za razprave in sodelovanje, ki ga sestavljajo Evropska komisija, agencija ter organi, pristojni za varstvo konkurence drugih držav članic, kjer se razpravlja in sodeluje zlasti v zvezi z uporabo in uveljavljanjem 101. ali 102. člena Pogodbe o delovanju Evropske unije in v drugih primerih, ki jih določajo predpisi Evropske unije;</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»postopek za uveljavljanje pravil konkurence« je postopek, ki teče pred organom, pristojnim za varstvo konkurence, in traja, dokler ta organ postopka ne konča z izdajo odločbe, s katero se ugotovi kršitev konkurenčnega prava, ali sprejme zaveze, ali izreče sankcijo, ali dokler organ, pristojen za varstvo konkurence, ne ugotovi, da ni nobenega razloga za njegovo nadaljnje ukrepanje;</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lastRenderedPageBreak/>
        <w:t>»vloga za poravnavo« je poročilo, ki ga podjetje ali od njega pooblaščena oseba prostovoljno predstavi organu, pristojnemu za varstvo konkurence druge države članice, in v katerem opiše sodelovanje pri kršitvi konkurenčnega prava ter prevzame odgovornost za to kršitev konkurenčnega prava ali se odpove ugovarjanju glede svojega sodelovanja in odgovornosti, ter je pripravljeno z namenom, da organ, pristojen za varstvo konkurence, lahko hitreje odloči o zadevi;</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»program prizanesljivosti« je program, povezan z uporabo 5. člena tega zakona oziroma 101. člena Pogodbe o delovanju Evropske unije, v katerem udeleženec v kartelu neodvisno od drugih podjetij v kartelu sodeluje v postopku preiskovalnega organa ali organa, pristojnega za varstvo konkurence, tako da prostovoljno razkrije informacije o kartelu in svojo vlogo v njem, za kar se mu z odločbo ali ustavitvijo postopka odpusti ali zniža denarna sankcija;</w:t>
      </w:r>
      <w:r w:rsidRPr="002F30DF" w:rsidDel="00604ACB">
        <w:rPr>
          <w:rFonts w:cs="Arial"/>
          <w:sz w:val="20"/>
          <w:szCs w:val="20"/>
        </w:rPr>
        <w:t xml:space="preserve"> </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»izjava zaradi prizanesljivosti« je ustna ali pisna vloga, ki jo podjetje ali od njega pooblaščena oseba prostovoljno predloži organu, pristojnemu za varstvo konkurence, in v kateri podjetje ali fizična oseba navede podatke o kartelu, s katerimi je seznanjena, ter opiše njegovo ali njeno vlogo v njem, pripravljena pa je bila posebej za organ, pristojen za varstvo konkurence, z namenom odpustitve ali znižanja denarne sankcije v okviru programa prizanesljivosti, in ne vključuje predhodnih informacij;</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»predhodne informacije« so informacije ali podatki, ki obstajajo neodvisno od postopka za uveljavljanje pravil konkurence, ne glede na to, ali spis organa, pristojnega za varstvo konkurence, te informacije ali podatke vsebuje ali ne;</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»oseba, ki ji je odpuščena sankcija« je podjetje ali njegova odgovorna oseba, ki mu ali ji je organ, pristojen za varstvo konkurence, odpustil administrativno sankcijo ali globo v okviru programa prizanesljivosti;</w:t>
      </w:r>
    </w:p>
    <w:p w:rsidR="00126F4C" w:rsidRPr="002F30DF" w:rsidRDefault="00126F4C" w:rsidP="00126F4C">
      <w:pPr>
        <w:pStyle w:val="tevilnatoka"/>
        <w:tabs>
          <w:tab w:val="clear" w:pos="5954"/>
        </w:tabs>
        <w:spacing w:line="260" w:lineRule="atLeast"/>
        <w:ind w:left="426"/>
        <w:rPr>
          <w:rFonts w:cs="Arial"/>
          <w:sz w:val="20"/>
          <w:szCs w:val="20"/>
        </w:rPr>
      </w:pPr>
      <w:r w:rsidRPr="002F30DF">
        <w:rPr>
          <w:rFonts w:cs="Arial"/>
          <w:sz w:val="20"/>
          <w:szCs w:val="20"/>
        </w:rPr>
        <w:t>»organ prosilec« je organ, pristojen za varstvo konkurence druge države članice, ki zaprosi za mednarodno pomoč.</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Posamezni izrazi, uporabljeni v VIII. delu tega zakona, pomenijo:</w:t>
      </w:r>
    </w:p>
    <w:p w:rsidR="00126F4C" w:rsidRPr="002F30DF" w:rsidRDefault="00126F4C" w:rsidP="00126F4C">
      <w:pPr>
        <w:pStyle w:val="tevilnatoka"/>
        <w:numPr>
          <w:ilvl w:val="0"/>
          <w:numId w:val="18"/>
        </w:numPr>
        <w:tabs>
          <w:tab w:val="num" w:pos="0"/>
        </w:tabs>
        <w:spacing w:line="260" w:lineRule="atLeast"/>
        <w:ind w:left="426"/>
        <w:rPr>
          <w:rFonts w:cs="Arial"/>
          <w:sz w:val="20"/>
          <w:szCs w:val="20"/>
        </w:rPr>
      </w:pPr>
      <w:r w:rsidRPr="002F30DF">
        <w:rPr>
          <w:rFonts w:cs="Arial"/>
          <w:sz w:val="20"/>
          <w:szCs w:val="20"/>
        </w:rPr>
        <w:t>»kršitev konkurenčnega prava« je kršitev 5. ali 8. člena tega zakona oziroma 101. ali 102. člena Pogodbe o delovanju Evropske unije oziroma določb države članice, ki določajo prepoved omejevalnih sporazumov ali prepoved zlorabe prevladujočega položaja v smislu 101. ali 102. člena Pogodbe o delovanju Evropske unije;</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»kršitelj« je podjetje, ki je kršilo konkurenčno pravo;</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 xml:space="preserve">»odločba o kršitvi« je odločba organa, pristojnega za varstvo konkurence, o ugotovitvi kršitev konkurenčnega prava, ali sodišča, ki je na podlagi rednega </w:t>
      </w:r>
      <w:r w:rsidRPr="002F30DF">
        <w:rPr>
          <w:rFonts w:cs="Arial"/>
          <w:sz w:val="20"/>
          <w:szCs w:val="20"/>
        </w:rPr>
        <w:lastRenderedPageBreak/>
        <w:t>pravnega sredstva pristojno za presojo odločb agencije ali organa, pristojnega za varstvo konkurence druge države članice;</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»sporazumno reševanje sporov« je vsak mehanizem, ki strankam omogoči, da dosežejo izvensodno rešitev spora v zvezi z odškodninskim zahtevkom;</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»poravnava« je sporazum ali odločitev, dosežena v postopku sporazumne rešitve spora;</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»neposredni kupec« je fizična ali pravna oseba, ki neposredno od kršitelja kupi izdelke ali storitve, ki so bile predmet kršitve konkurenčnega prava;</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»posredni kupec« je fizična ali pravna oseba, ki kupi izdelke ali storitve, ki so predmet kršitve konkurenčnega prava, ali izdelke ali storitve, ki izhajajo iz takšnega blaga ali storitev, od neposrednega kupca ali nadaljnjega kupca;</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»dokazi« so vsa sredstva in predmeti, s katerimi je dopustno dokazovati dejstva v skladu z zakonom, ki ureja pravdni postopek, kot na primer listine in drugi nosilci podatkov, na katerih so podatki shranjeni;</w:t>
      </w:r>
    </w:p>
    <w:p w:rsidR="00126F4C" w:rsidRPr="002F30DF" w:rsidRDefault="00126F4C" w:rsidP="00126F4C">
      <w:pPr>
        <w:pStyle w:val="tevilnatoka"/>
        <w:tabs>
          <w:tab w:val="num" w:pos="0"/>
        </w:tabs>
        <w:spacing w:line="260" w:lineRule="atLeast"/>
        <w:ind w:left="426"/>
        <w:rPr>
          <w:rFonts w:cs="Arial"/>
          <w:sz w:val="20"/>
          <w:szCs w:val="20"/>
        </w:rPr>
      </w:pPr>
      <w:r w:rsidRPr="002F30DF">
        <w:rPr>
          <w:rFonts w:cs="Arial"/>
          <w:sz w:val="20"/>
          <w:szCs w:val="20"/>
        </w:rPr>
        <w:t>»tretja oseba« je fizična oseba, podjetje, državni organ ali nosilec javnega pooblastila; razen sodišča.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(uporaba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Ta zakon se uporablja za podjetja.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Ta zakon se v skladu z Uredbo 1/2003/ES uporablja tudi za kršitve 101. in 102. člena Pogodbe o delovanju Evropske unije.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Ta zakon ne posega v razmerja med delodajalci in delavci.</w:t>
      </w:r>
    </w:p>
    <w:p w:rsidR="00126F4C" w:rsidRPr="002F30DF" w:rsidRDefault="00126F4C" w:rsidP="00126F4C">
      <w:pPr>
        <w:pStyle w:val="len"/>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II. DEL</w:t>
      </w:r>
      <w:r w:rsidRPr="002F30DF">
        <w:rPr>
          <w:sz w:val="20"/>
          <w:szCs w:val="20"/>
        </w:rPr>
        <w:br/>
        <w:t>OMEJEVALNA RAVNANJA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(prepoved omejevalnih sporazumov)</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Prepovedani in nični so sporazumi med podjetji, sklepi podjetniških združenj in usklajena ravnanja podjetij (v nadaljnjem besedilu: sporazumi), katerih cilj ali učinek je preprečevati, omejevati ali izkrivljati konkurenco na ozemlju Republike Slovenije.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Prepovedano je zlasti:</w:t>
      </w:r>
    </w:p>
    <w:p w:rsidR="00126F4C" w:rsidRPr="002F30DF" w:rsidRDefault="00126F4C" w:rsidP="00126F4C">
      <w:pPr>
        <w:pStyle w:val="Alineazaodstavkom"/>
        <w:numPr>
          <w:ilvl w:val="0"/>
          <w:numId w:val="28"/>
        </w:numPr>
        <w:spacing w:line="260" w:lineRule="atLeast"/>
        <w:rPr>
          <w:sz w:val="20"/>
          <w:szCs w:val="20"/>
        </w:rPr>
      </w:pPr>
      <w:r w:rsidRPr="002F30DF">
        <w:rPr>
          <w:sz w:val="20"/>
          <w:szCs w:val="20"/>
        </w:rPr>
        <w:t>neposredno ali posredno določati nakupne ali prodajne cene ali druge poslovne pogoje,</w:t>
      </w:r>
    </w:p>
    <w:p w:rsidR="00126F4C" w:rsidRPr="002F30DF" w:rsidRDefault="00126F4C" w:rsidP="00126F4C">
      <w:pPr>
        <w:pStyle w:val="Alineazaodstavkom"/>
        <w:numPr>
          <w:ilvl w:val="0"/>
          <w:numId w:val="28"/>
        </w:numPr>
        <w:spacing w:line="260" w:lineRule="atLeast"/>
        <w:rPr>
          <w:sz w:val="20"/>
          <w:szCs w:val="20"/>
        </w:rPr>
      </w:pPr>
      <w:r w:rsidRPr="002F30DF">
        <w:rPr>
          <w:sz w:val="20"/>
          <w:szCs w:val="20"/>
        </w:rPr>
        <w:t>omejevati ali nadzirati proizvodnjo, prodajo, tehnični napredek ali naložbe,</w:t>
      </w:r>
    </w:p>
    <w:p w:rsidR="00126F4C" w:rsidRPr="002F30DF" w:rsidRDefault="00126F4C" w:rsidP="00126F4C">
      <w:pPr>
        <w:pStyle w:val="Alineazaodstavkom"/>
        <w:numPr>
          <w:ilvl w:val="0"/>
          <w:numId w:val="28"/>
        </w:numPr>
        <w:spacing w:line="260" w:lineRule="atLeast"/>
        <w:rPr>
          <w:sz w:val="20"/>
          <w:szCs w:val="20"/>
        </w:rPr>
      </w:pPr>
      <w:r w:rsidRPr="002F30DF">
        <w:rPr>
          <w:sz w:val="20"/>
          <w:szCs w:val="20"/>
        </w:rPr>
        <w:t>določati v razmerjih z drugimi sopogodbeniki neenake pogoje za primerljive posle, če je s tem sopogodbenik postavljen v konkurenčno slabši položaj,</w:t>
      </w:r>
    </w:p>
    <w:p w:rsidR="00126F4C" w:rsidRPr="002F30DF" w:rsidRDefault="00126F4C" w:rsidP="00126F4C">
      <w:pPr>
        <w:pStyle w:val="Alineazaodstavkom"/>
        <w:numPr>
          <w:ilvl w:val="0"/>
          <w:numId w:val="28"/>
        </w:numPr>
        <w:spacing w:line="260" w:lineRule="atLeast"/>
        <w:rPr>
          <w:sz w:val="20"/>
          <w:szCs w:val="20"/>
        </w:rPr>
      </w:pPr>
      <w:r w:rsidRPr="002F30DF">
        <w:rPr>
          <w:sz w:val="20"/>
          <w:szCs w:val="20"/>
        </w:rPr>
        <w:t>za sklenitev pogodbe zahtevati, da sopogodbeniki sprejmejo še dodatne obveznosti, ki po svoji naravi ali glede na trgovinske običaje niso povezane s predmetom te pogodbe,</w:t>
      </w:r>
    </w:p>
    <w:p w:rsidR="00126F4C" w:rsidRPr="002F30DF" w:rsidRDefault="00126F4C" w:rsidP="00126F4C">
      <w:pPr>
        <w:pStyle w:val="Alineazaodstavkom"/>
        <w:numPr>
          <w:ilvl w:val="0"/>
          <w:numId w:val="28"/>
        </w:numPr>
        <w:spacing w:line="260" w:lineRule="atLeast"/>
        <w:rPr>
          <w:sz w:val="20"/>
          <w:szCs w:val="20"/>
        </w:rPr>
      </w:pPr>
      <w:r w:rsidRPr="002F30DF">
        <w:rPr>
          <w:sz w:val="20"/>
          <w:szCs w:val="20"/>
        </w:rPr>
        <w:t>razdeliti trg ali vire nabave med udeleženci.</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Prvi odstavek tega člena se ne uporablja za sporazume, ki prispevajo k izboljšanju proizvodnje ali razdelitve dobrin ali ki pospešujejo tehnični in gospodarski razvoj, pri tem pa zagotavljajo potrošnikom in potrošnicam (v nadaljnjem besedilu: potrošnik) pravičen delež doseženih koristi. Toda ti sporazumi ne smejo:</w:t>
      </w:r>
    </w:p>
    <w:p w:rsidR="00126F4C" w:rsidRPr="002F30DF" w:rsidRDefault="00126F4C" w:rsidP="00126F4C">
      <w:pPr>
        <w:pStyle w:val="Alineazaodstavkom"/>
        <w:numPr>
          <w:ilvl w:val="0"/>
          <w:numId w:val="27"/>
        </w:numPr>
        <w:spacing w:line="260" w:lineRule="atLeast"/>
        <w:rPr>
          <w:sz w:val="20"/>
          <w:szCs w:val="20"/>
        </w:rPr>
      </w:pPr>
      <w:r w:rsidRPr="002F30DF">
        <w:rPr>
          <w:sz w:val="20"/>
          <w:szCs w:val="20"/>
        </w:rPr>
        <w:t>udeleženim podjetjem nalagati omejitev, ki niso nujne za doseganje navedenih ciljev, in</w:t>
      </w:r>
    </w:p>
    <w:p w:rsidR="00126F4C" w:rsidRPr="002F30DF" w:rsidRDefault="00126F4C" w:rsidP="00126F4C">
      <w:pPr>
        <w:pStyle w:val="Alineazaodstavkom"/>
        <w:numPr>
          <w:ilvl w:val="0"/>
          <w:numId w:val="27"/>
        </w:numPr>
        <w:spacing w:line="260" w:lineRule="atLeast"/>
        <w:rPr>
          <w:sz w:val="20"/>
          <w:szCs w:val="20"/>
        </w:rPr>
      </w:pPr>
      <w:r w:rsidRPr="002F30DF">
        <w:rPr>
          <w:sz w:val="20"/>
          <w:szCs w:val="20"/>
        </w:rPr>
        <w:t>udeleženim podjetjem dajati možnosti, da bi izključila konkurenco glede znatnega dela proizvodov ali storitev, ki so predmet sporazuma.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Podjetje, ki se sklicuje na prejšnji odstavek, nosi dokazno breme, da so pogoji iz prejšnjega odstavka izpolnjeni.</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(omejitve majhnega pomena)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Prvi odstavek prejšnjega člena se ne uporablja za sporazume majhnega pomena.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sporazume majhnega pomena se štejejo sporazumi med podjetji, katerih skupni tržni delež na nobenem od upoštevnih trgov na ozemlju Republike Slovenije, na katere se sporazum nanaša, skupaj z drugimi podjetji v skupini ne presega:</w:t>
      </w:r>
    </w:p>
    <w:p w:rsidR="00126F4C" w:rsidRPr="002F30DF" w:rsidRDefault="00126F4C" w:rsidP="00126F4C">
      <w:pPr>
        <w:pStyle w:val="Alineazaodstavkom"/>
        <w:numPr>
          <w:ilvl w:val="0"/>
          <w:numId w:val="29"/>
        </w:numPr>
        <w:spacing w:line="260" w:lineRule="atLeast"/>
        <w:rPr>
          <w:sz w:val="20"/>
          <w:szCs w:val="20"/>
        </w:rPr>
      </w:pPr>
      <w:r w:rsidRPr="002F30DF">
        <w:rPr>
          <w:sz w:val="20"/>
          <w:szCs w:val="20"/>
        </w:rPr>
        <w:t>10 odstotkov, kadar gre za podjetja, ki delujejo na isti stopnji proizvodnje ali trgovine (horizontalni sporazumi),</w:t>
      </w:r>
    </w:p>
    <w:p w:rsidR="00126F4C" w:rsidRPr="002F30DF" w:rsidRDefault="00126F4C" w:rsidP="00126F4C">
      <w:pPr>
        <w:pStyle w:val="Alineazaodstavkom"/>
        <w:numPr>
          <w:ilvl w:val="0"/>
          <w:numId w:val="29"/>
        </w:numPr>
        <w:spacing w:line="260" w:lineRule="atLeast"/>
        <w:rPr>
          <w:sz w:val="20"/>
          <w:szCs w:val="20"/>
        </w:rPr>
      </w:pPr>
      <w:r w:rsidRPr="002F30DF">
        <w:rPr>
          <w:sz w:val="20"/>
          <w:szCs w:val="20"/>
        </w:rPr>
        <w:lastRenderedPageBreak/>
        <w:t>15 odstotkov, kadar gre za podjetja, ki delujejo na različnih stopnjah proizvodnje ali trgovine (vertikalni sporazumi),</w:t>
      </w:r>
    </w:p>
    <w:p w:rsidR="00126F4C" w:rsidRPr="002F30DF" w:rsidRDefault="00126F4C" w:rsidP="00126F4C">
      <w:pPr>
        <w:pStyle w:val="Alineazaodstavkom"/>
        <w:numPr>
          <w:ilvl w:val="0"/>
          <w:numId w:val="29"/>
        </w:numPr>
        <w:spacing w:line="260" w:lineRule="atLeast"/>
        <w:rPr>
          <w:sz w:val="20"/>
          <w:szCs w:val="20"/>
        </w:rPr>
      </w:pPr>
      <w:r w:rsidRPr="002F30DF">
        <w:rPr>
          <w:sz w:val="20"/>
          <w:szCs w:val="20"/>
        </w:rPr>
        <w:t>10 odstotkov, kadar gre za mešane horizontalno-vertikalne sporazume ali kadar je težko opredeliti, ali gre za horizontalni ali vertikalni sporazum.</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je konkurenca na upoštevnem trgu omejena zaradi kumulativnih učinkov, nastalih zaradi enakih ali podobnih sporazumov drugih podjetij, so pragovi tržnih deležev iz prejšnjega odstavka znižani na 5 odstotkov.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Čeprav pragovi iz drugega ali tretjega odstavka tega člena niso doseženi, se prvi odstavek tega člena ne uporablja za:</w:t>
      </w:r>
    </w:p>
    <w:p w:rsidR="00126F4C" w:rsidRPr="002F30DF" w:rsidRDefault="00126F4C" w:rsidP="00126F4C">
      <w:pPr>
        <w:pStyle w:val="rkovnatokazaodstavkom"/>
        <w:spacing w:line="260" w:lineRule="atLeast"/>
        <w:rPr>
          <w:sz w:val="20"/>
          <w:szCs w:val="20"/>
        </w:rPr>
      </w:pPr>
      <w:r w:rsidRPr="002F30DF">
        <w:rPr>
          <w:sz w:val="20"/>
          <w:szCs w:val="20"/>
        </w:rPr>
        <w:t>horizontalne sporazume, katerih cilj je:</w:t>
      </w:r>
    </w:p>
    <w:p w:rsidR="00126F4C" w:rsidRPr="002F30DF" w:rsidRDefault="00126F4C" w:rsidP="00126F4C">
      <w:pPr>
        <w:pStyle w:val="Alinejazarkovnotoko"/>
        <w:numPr>
          <w:ilvl w:val="0"/>
          <w:numId w:val="30"/>
        </w:numPr>
        <w:spacing w:line="260" w:lineRule="atLeast"/>
        <w:ind w:left="851"/>
        <w:rPr>
          <w:sz w:val="20"/>
          <w:szCs w:val="20"/>
        </w:rPr>
      </w:pPr>
      <w:r w:rsidRPr="002F30DF">
        <w:rPr>
          <w:sz w:val="20"/>
          <w:szCs w:val="20"/>
        </w:rPr>
        <w:t>določanje cen,</w:t>
      </w:r>
    </w:p>
    <w:p w:rsidR="00126F4C" w:rsidRPr="002F30DF" w:rsidRDefault="00126F4C" w:rsidP="00126F4C">
      <w:pPr>
        <w:pStyle w:val="Alinejazarkovnotoko"/>
        <w:numPr>
          <w:ilvl w:val="0"/>
          <w:numId w:val="30"/>
        </w:numPr>
        <w:spacing w:line="260" w:lineRule="atLeast"/>
        <w:ind w:left="851"/>
        <w:rPr>
          <w:sz w:val="20"/>
          <w:szCs w:val="20"/>
        </w:rPr>
      </w:pPr>
      <w:r w:rsidRPr="002F30DF">
        <w:rPr>
          <w:sz w:val="20"/>
          <w:szCs w:val="20"/>
        </w:rPr>
        <w:t>omejitev proizvodnje ali prodaje ali</w:t>
      </w:r>
    </w:p>
    <w:p w:rsidR="00126F4C" w:rsidRPr="002F30DF" w:rsidRDefault="00126F4C" w:rsidP="00126F4C">
      <w:pPr>
        <w:pStyle w:val="Alinejazarkovnotoko"/>
        <w:numPr>
          <w:ilvl w:val="0"/>
          <w:numId w:val="30"/>
        </w:numPr>
        <w:spacing w:line="260" w:lineRule="atLeast"/>
        <w:ind w:left="851"/>
        <w:rPr>
          <w:sz w:val="20"/>
          <w:szCs w:val="20"/>
        </w:rPr>
      </w:pPr>
      <w:r w:rsidRPr="002F30DF">
        <w:rPr>
          <w:sz w:val="20"/>
          <w:szCs w:val="20"/>
        </w:rPr>
        <w:t>razdelitev trga ali virov nabave;</w:t>
      </w:r>
    </w:p>
    <w:p w:rsidR="00126F4C" w:rsidRPr="002F30DF" w:rsidRDefault="00126F4C" w:rsidP="00126F4C">
      <w:pPr>
        <w:pStyle w:val="rkovnatokazaodstavkom"/>
        <w:spacing w:line="260" w:lineRule="atLeast"/>
        <w:rPr>
          <w:sz w:val="20"/>
          <w:szCs w:val="20"/>
        </w:rPr>
      </w:pPr>
      <w:r w:rsidRPr="002F30DF">
        <w:rPr>
          <w:sz w:val="20"/>
          <w:szCs w:val="20"/>
        </w:rPr>
        <w:t>vertikalne sporazume, katerih cilj je:</w:t>
      </w:r>
    </w:p>
    <w:p w:rsidR="00126F4C" w:rsidRPr="002F30DF" w:rsidRDefault="00126F4C" w:rsidP="00126F4C">
      <w:pPr>
        <w:pStyle w:val="Alinejazarkovnotoko"/>
        <w:numPr>
          <w:ilvl w:val="0"/>
          <w:numId w:val="30"/>
        </w:numPr>
        <w:spacing w:line="260" w:lineRule="atLeast"/>
        <w:ind w:left="851"/>
        <w:rPr>
          <w:sz w:val="20"/>
          <w:szCs w:val="20"/>
        </w:rPr>
      </w:pPr>
      <w:r w:rsidRPr="002F30DF">
        <w:rPr>
          <w:sz w:val="20"/>
          <w:szCs w:val="20"/>
        </w:rPr>
        <w:t>določanje maloprodajnih cen ali</w:t>
      </w:r>
    </w:p>
    <w:p w:rsidR="00126F4C" w:rsidRPr="002F30DF" w:rsidRDefault="00126F4C" w:rsidP="00126F4C">
      <w:pPr>
        <w:pStyle w:val="Alinejazarkovnotoko"/>
        <w:numPr>
          <w:ilvl w:val="0"/>
          <w:numId w:val="30"/>
        </w:numPr>
        <w:spacing w:line="260" w:lineRule="atLeast"/>
        <w:ind w:left="851"/>
        <w:rPr>
          <w:sz w:val="20"/>
          <w:szCs w:val="20"/>
        </w:rPr>
      </w:pPr>
      <w:r w:rsidRPr="002F30DF">
        <w:rPr>
          <w:sz w:val="20"/>
          <w:szCs w:val="20"/>
        </w:rPr>
        <w:t>podelitev teritorialne zaščite udeleženim podjetjem ali tretjim osebam.</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(skupinske izjeme)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Za skupine sporazumov, ki ustrezajo pogojem iz tretjega odstavka </w:t>
      </w:r>
      <w:r w:rsidR="00014D09">
        <w:rPr>
          <w:sz w:val="20"/>
          <w:szCs w:val="20"/>
        </w:rPr>
        <w:t>5</w:t>
      </w:r>
      <w:r w:rsidRPr="002F30DF">
        <w:rPr>
          <w:sz w:val="20"/>
          <w:szCs w:val="20"/>
        </w:rPr>
        <w:t>. člena tega zakona, se smiselno uporabljajo določbe uredb Evropske komisije ali Sveta Evropske unije, ki urejajo uporabo tretjega odstavka 101. člena Pogodbe o delovanju Evropske unije, tudi kadar ni izkazan vpliv na trgovanje med državami članicami Evropske unije.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Vlada Republike Slovenije (v nadaljnjem besedilu: vlada) lahko z uredbo določi tudi druge skupine sporazumov, ki ustrezajo pogojem iz tretjega odstavka </w:t>
      </w:r>
      <w:r w:rsidR="00014D09">
        <w:rPr>
          <w:sz w:val="20"/>
          <w:szCs w:val="20"/>
        </w:rPr>
        <w:t>5.</w:t>
      </w:r>
      <w:r w:rsidRPr="002F30DF">
        <w:rPr>
          <w:sz w:val="20"/>
          <w:szCs w:val="20"/>
        </w:rPr>
        <w:t xml:space="preserve">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Agencija lahko odpravi ugodnost skupinske izjeme, če ugotovi, da učinki posameznega sporazuma niso združljivi s tretjim odstavkom </w:t>
      </w:r>
      <w:r w:rsidR="00014D09">
        <w:rPr>
          <w:sz w:val="20"/>
          <w:szCs w:val="20"/>
        </w:rPr>
        <w:t>5.</w:t>
      </w:r>
      <w:r w:rsidRPr="002F30DF">
        <w:rPr>
          <w:sz w:val="20"/>
          <w:szCs w:val="20"/>
        </w:rPr>
        <w:t xml:space="preserve"> člena tega zakona ali tretjim odstavkom 101. člena Pogodbe o delovanju Evropske unije.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lastRenderedPageBreak/>
        <w:t xml:space="preserve">člen </w:t>
      </w:r>
    </w:p>
    <w:p w:rsidR="00126F4C" w:rsidRPr="002F30DF" w:rsidRDefault="00126F4C" w:rsidP="00126F4C">
      <w:pPr>
        <w:pStyle w:val="lennaslov"/>
        <w:spacing w:line="260" w:lineRule="atLeast"/>
        <w:rPr>
          <w:sz w:val="20"/>
          <w:szCs w:val="20"/>
        </w:rPr>
      </w:pPr>
      <w:r w:rsidRPr="002F30DF">
        <w:rPr>
          <w:sz w:val="20"/>
          <w:szCs w:val="20"/>
        </w:rPr>
        <w:t>(prepoved zlorabe prevladujočega položaja)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Prepovedana je zloraba prevladujočega položaja enega ali več podjetij na ozemlju Republike Slovenije ali njegovem znatnem delu.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Podjetje ali več podjetij ima prevladujoč položaj, kadar lahko v znatni meri ravna neodvisno od konkurentov, strank ali potrošnikov.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Agencija pri ugotavljanju prevladujočega položaja upošteva zlasti tržni delež, možnosti za financiranje, pravne ali dejanske vstopne ovire, dostop do dobaviteljev ali trga in obstoječo ali potencialno konkurenco.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Zlorabo prevladujočega položaja pomenijo zlasti:</w:t>
      </w:r>
    </w:p>
    <w:p w:rsidR="00126F4C" w:rsidRPr="002F30DF" w:rsidRDefault="00126F4C" w:rsidP="00126F4C">
      <w:pPr>
        <w:pStyle w:val="Alineazaodstavkom"/>
        <w:numPr>
          <w:ilvl w:val="0"/>
          <w:numId w:val="31"/>
        </w:numPr>
        <w:spacing w:line="260" w:lineRule="atLeast"/>
        <w:rPr>
          <w:sz w:val="20"/>
          <w:szCs w:val="20"/>
        </w:rPr>
      </w:pPr>
      <w:r w:rsidRPr="002F30DF">
        <w:rPr>
          <w:sz w:val="20"/>
          <w:szCs w:val="20"/>
        </w:rPr>
        <w:t>posredno ali neposredno določanje nepoštenih prodajnih ali nakupnih cen ali drugih nepoštenih poslovnih pogojev,</w:t>
      </w:r>
    </w:p>
    <w:p w:rsidR="00126F4C" w:rsidRPr="002F30DF" w:rsidRDefault="00126F4C" w:rsidP="00126F4C">
      <w:pPr>
        <w:pStyle w:val="Alineazaodstavkom"/>
        <w:numPr>
          <w:ilvl w:val="0"/>
          <w:numId w:val="31"/>
        </w:numPr>
        <w:spacing w:line="260" w:lineRule="atLeast"/>
        <w:rPr>
          <w:sz w:val="20"/>
          <w:szCs w:val="20"/>
        </w:rPr>
      </w:pPr>
      <w:r w:rsidRPr="002F30DF">
        <w:rPr>
          <w:sz w:val="20"/>
          <w:szCs w:val="20"/>
        </w:rPr>
        <w:t>omejevanje proizvodnje, trgov ali tehničnega napredka v škodo potrošnikov,</w:t>
      </w:r>
    </w:p>
    <w:p w:rsidR="00126F4C" w:rsidRPr="002F30DF" w:rsidRDefault="00126F4C" w:rsidP="00126F4C">
      <w:pPr>
        <w:pStyle w:val="Alineazaodstavkom"/>
        <w:numPr>
          <w:ilvl w:val="0"/>
          <w:numId w:val="31"/>
        </w:numPr>
        <w:spacing w:line="260" w:lineRule="atLeast"/>
        <w:rPr>
          <w:sz w:val="20"/>
          <w:szCs w:val="20"/>
        </w:rPr>
      </w:pPr>
      <w:r w:rsidRPr="002F30DF">
        <w:rPr>
          <w:sz w:val="20"/>
          <w:szCs w:val="20"/>
        </w:rPr>
        <w:t>uporaba neenakih pogojev za primerljive posle z drugimi sopogodbeniki, če je s tem sopogodbenik postavljen v konkurenčno slabši položaj,</w:t>
      </w:r>
    </w:p>
    <w:p w:rsidR="00126F4C" w:rsidRPr="002F30DF" w:rsidRDefault="00126F4C" w:rsidP="00126F4C">
      <w:pPr>
        <w:pStyle w:val="Alineazaodstavkom"/>
        <w:numPr>
          <w:ilvl w:val="0"/>
          <w:numId w:val="31"/>
        </w:numPr>
        <w:spacing w:line="260" w:lineRule="atLeast"/>
        <w:rPr>
          <w:sz w:val="20"/>
          <w:szCs w:val="20"/>
        </w:rPr>
      </w:pPr>
      <w:r w:rsidRPr="002F30DF">
        <w:rPr>
          <w:sz w:val="20"/>
          <w:szCs w:val="20"/>
        </w:rPr>
        <w:t>zahteva, da se za sklepanje pogodb sprejmejo dodatne obveznosti, ki po svoji naravi ali glede na trgovinske običaje niso povezane s predmetom teh pogodb.</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Šteje se, da ima podjetje prevladujoč položaj, če je njegov tržni delež na upoštevnem trgu večji od 40 odstotkov.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Šteje se, da ima dvoje ali več podjetij prevladujoč položaj, če je njihov tržni delež na upoštevnem trgu večji od 60 odstotkov.</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III. DEL</w:t>
      </w:r>
      <w:r w:rsidRPr="002F30DF">
        <w:rPr>
          <w:sz w:val="20"/>
          <w:szCs w:val="20"/>
        </w:rPr>
        <w:br/>
        <w:t>KONCENTRACIJE PODJETIJ</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(pojem koncentracije)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Za koncentracijo gre pri trajnejših spremembah kontrole nad podjetjem, in sicer:</w:t>
      </w:r>
    </w:p>
    <w:p w:rsidR="00126F4C" w:rsidRPr="002F30DF" w:rsidRDefault="00126F4C" w:rsidP="00126F4C">
      <w:pPr>
        <w:pStyle w:val="Alineazaodstavkom"/>
        <w:numPr>
          <w:ilvl w:val="0"/>
          <w:numId w:val="32"/>
        </w:numPr>
        <w:spacing w:line="260" w:lineRule="atLeast"/>
        <w:rPr>
          <w:sz w:val="20"/>
          <w:szCs w:val="20"/>
        </w:rPr>
      </w:pPr>
      <w:r w:rsidRPr="002F30DF">
        <w:rPr>
          <w:sz w:val="20"/>
          <w:szCs w:val="20"/>
        </w:rPr>
        <w:t>pri združitvi dveh ali več predhodno neodvisnih podjetij ali delov podjetij, ali</w:t>
      </w:r>
    </w:p>
    <w:p w:rsidR="00126F4C" w:rsidRPr="002F30DF" w:rsidRDefault="00126F4C" w:rsidP="00126F4C">
      <w:pPr>
        <w:pStyle w:val="Alineazaodstavkom"/>
        <w:numPr>
          <w:ilvl w:val="0"/>
          <w:numId w:val="32"/>
        </w:numPr>
        <w:spacing w:line="260" w:lineRule="atLeast"/>
        <w:rPr>
          <w:sz w:val="20"/>
          <w:szCs w:val="20"/>
        </w:rPr>
      </w:pPr>
      <w:r w:rsidRPr="002F30DF">
        <w:rPr>
          <w:sz w:val="20"/>
          <w:szCs w:val="20"/>
        </w:rPr>
        <w:lastRenderedPageBreak/>
        <w:t>kadar ena ali več fizičnih oseb, ki že obvladuje najmanj eno podjetje, ali kadar eno ali več podjetij z nakupom vrednostnih papirjev ali premoženja, s pogodbo ali kako drugače pridobi neposredno ali posredno kontrolo nad celoto ali deli enega ali več podjetij, ali</w:t>
      </w:r>
    </w:p>
    <w:p w:rsidR="00126F4C" w:rsidRPr="002F30DF" w:rsidRDefault="00126F4C" w:rsidP="00126F4C">
      <w:pPr>
        <w:pStyle w:val="Alineazaodstavkom"/>
        <w:numPr>
          <w:ilvl w:val="0"/>
          <w:numId w:val="32"/>
        </w:numPr>
        <w:spacing w:line="260" w:lineRule="atLeast"/>
        <w:rPr>
          <w:sz w:val="20"/>
          <w:szCs w:val="20"/>
        </w:rPr>
      </w:pPr>
      <w:r w:rsidRPr="002F30DF">
        <w:rPr>
          <w:sz w:val="20"/>
          <w:szCs w:val="20"/>
        </w:rPr>
        <w:t>kadar dve ali več neodvisnih podjetij ustanovi skupno podjetje, ki opravlja vse funkcije samostojnega podjetja z daljšim trajanjem.</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Kontrolo nad podjetjem ali njegovim delom v smislu prejšnjega odstavka pomenijo pravice, pogodbe ali druga sredstva, ki ločeno ali skupaj in ob upoštevanju okoliščin ali predpisov omogočajo izvajanje odločilnega vpliva nad tem podjetjem ali delom podjetja, in sicer zlasti:</w:t>
      </w:r>
    </w:p>
    <w:p w:rsidR="00126F4C" w:rsidRPr="002F30DF" w:rsidRDefault="00126F4C" w:rsidP="00126F4C">
      <w:pPr>
        <w:pStyle w:val="Alineazaodstavkom"/>
        <w:numPr>
          <w:ilvl w:val="0"/>
          <w:numId w:val="33"/>
        </w:numPr>
        <w:spacing w:line="260" w:lineRule="atLeast"/>
        <w:rPr>
          <w:sz w:val="20"/>
          <w:szCs w:val="20"/>
        </w:rPr>
      </w:pPr>
      <w:r w:rsidRPr="002F30DF">
        <w:rPr>
          <w:sz w:val="20"/>
          <w:szCs w:val="20"/>
        </w:rPr>
        <w:t>lastništvo ali pravice do uporabe celotnega ali dela premoženja podjetja,</w:t>
      </w:r>
    </w:p>
    <w:p w:rsidR="00126F4C" w:rsidRPr="002F30DF" w:rsidRDefault="00126F4C" w:rsidP="00126F4C">
      <w:pPr>
        <w:pStyle w:val="Alineazaodstavkom"/>
        <w:numPr>
          <w:ilvl w:val="0"/>
          <w:numId w:val="33"/>
        </w:numPr>
        <w:spacing w:line="260" w:lineRule="atLeast"/>
        <w:rPr>
          <w:sz w:val="20"/>
          <w:szCs w:val="20"/>
        </w:rPr>
      </w:pPr>
      <w:r w:rsidRPr="002F30DF">
        <w:rPr>
          <w:sz w:val="20"/>
          <w:szCs w:val="20"/>
        </w:rPr>
        <w:t>pravice ali pogodbe, ki zagotavljajo odločilen vpliv na sestavo, glasovanje ali sklepe organov podjetja.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Kontrolo pridobijo osebe ali podjetja, ki:</w:t>
      </w:r>
    </w:p>
    <w:p w:rsidR="00126F4C" w:rsidRPr="002F30DF" w:rsidRDefault="00126F4C" w:rsidP="00126F4C">
      <w:pPr>
        <w:pStyle w:val="Alineazaodstavkom"/>
        <w:numPr>
          <w:ilvl w:val="0"/>
          <w:numId w:val="34"/>
        </w:numPr>
        <w:spacing w:line="260" w:lineRule="atLeast"/>
        <w:rPr>
          <w:sz w:val="20"/>
          <w:szCs w:val="20"/>
        </w:rPr>
      </w:pPr>
      <w:r w:rsidRPr="002F30DF">
        <w:rPr>
          <w:sz w:val="20"/>
          <w:szCs w:val="20"/>
        </w:rPr>
        <w:t>so nosilci pravic ali so upravičeni do njih na podlagi pogodb ali</w:t>
      </w:r>
    </w:p>
    <w:p w:rsidR="00126F4C" w:rsidRPr="002F30DF" w:rsidRDefault="00126F4C" w:rsidP="00126F4C">
      <w:pPr>
        <w:pStyle w:val="Alineazaodstavkom"/>
        <w:numPr>
          <w:ilvl w:val="0"/>
          <w:numId w:val="34"/>
        </w:numPr>
        <w:spacing w:line="260" w:lineRule="atLeast"/>
        <w:rPr>
          <w:sz w:val="20"/>
          <w:szCs w:val="20"/>
        </w:rPr>
      </w:pPr>
      <w:r w:rsidRPr="002F30DF">
        <w:rPr>
          <w:sz w:val="20"/>
          <w:szCs w:val="20"/>
        </w:rPr>
        <w:t>imajo možnost uveljavljanja pravic, ki izhajajo iz pogodb, čeprav niso nosilci pravic ali upravičenci do njih na podlagi pogodb.</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Šteje se, da ne gre za koncentracijo, kadar banke, zavarovalnice, hranilnice ali druge finančne družbe, katerih običajne dejavnosti vključujejo trgovanje z vrednostnimi papirji za svoj račun ali za račun drugih, začasno pridobijo poslovne deleže v podjetju zaradi njihove nadaljnje prodaje, pod pogojem ne uveljavljajo glasovalnih pravic, ki izhajajo iz teh poslovnih deležev, zato da bi vplivale na konkurenčno ravnanje tega podjetja, ali da uveljavljajo navedene glasovalne pravice samo zato, da bi pripravile prodajo teh poslovnih deležev in se taka prodaja opravi v enem letu od pridobitve poslovnih deležev. Enoletni rok lahko agencija na zahtevo podjetja s sklepom podaljša, kadar podjetje izkaže, da prodaje ni bilo mogoče ustrezno izpeljati v predpisanem roku. Zoper sklep ni sodnega varstva.</w:t>
      </w:r>
    </w:p>
    <w:p w:rsidR="00126F4C" w:rsidRPr="002F30DF" w:rsidRDefault="00126F4C" w:rsidP="00126F4C">
      <w:pPr>
        <w:pStyle w:val="Odstavek"/>
        <w:spacing w:before="0" w:line="260" w:lineRule="atLeast"/>
        <w:ind w:left="720"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(presoja koncentracije)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Prepovedane so koncentracije, ki bistveno omejujejo učinkovito konkurenco na ozemlju Republike Slovenije ali njegovem znatnem delu, zlasti kot posledica ustvarjanja ali krepitve prevladujočega položaja.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presoja koncentracije zlasti glede na tržni položaj v koncentraciji udeleženih podjetij, njihovo možnost za financiranje, strukturo trga, izbiro, ki jo imajo na voljo dobavitelji in uporabniki, ter njihov dostop do virov ponudbe ali do trga, obstoj morebitnih pravnih ali dejanskih vstopnih ovir, gibanje ponudbe in povpraševanja na upoštevnih trgih, koristi vmesnih in končnih uporabnikov ter glede na tehnični in gospodarski razvoj, če je to v korist potrošnikom in ne ovira konkurence.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Če je cilj ali učinek ustanovitve skupnega podjetja v smislu tretje alineje prvega odstavka prejšnjega člena usklajevanje konkurenčnega ravnanja podjetij, ki ostanejo medsebojno neodvisna, se to usklajevanje presoja po merilih iz </w:t>
      </w:r>
      <w:r w:rsidR="00014D09">
        <w:rPr>
          <w:sz w:val="20"/>
          <w:szCs w:val="20"/>
        </w:rPr>
        <w:t xml:space="preserve">5. </w:t>
      </w:r>
      <w:r w:rsidRPr="002F30DF">
        <w:rPr>
          <w:sz w:val="20"/>
          <w:szCs w:val="20"/>
        </w:rPr>
        <w:t xml:space="preserve">člena tega zakona. Če agencija ugotovi, da niso izpolnjeni pogoji iz tretjega odstavka </w:t>
      </w:r>
      <w:r w:rsidR="00014D09">
        <w:rPr>
          <w:sz w:val="20"/>
          <w:szCs w:val="20"/>
        </w:rPr>
        <w:t>5.</w:t>
      </w:r>
      <w:r w:rsidRPr="002F30DF">
        <w:rPr>
          <w:sz w:val="20"/>
          <w:szCs w:val="20"/>
        </w:rPr>
        <w:t xml:space="preserve"> člena tega zakona, izda odločbo o neskladnosti koncentracije s pravili konkurence in koncentracijo prepove.</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IV. DEL</w:t>
      </w:r>
    </w:p>
    <w:p w:rsidR="00126F4C" w:rsidRPr="002F30DF" w:rsidRDefault="00126F4C" w:rsidP="00126F4C">
      <w:pPr>
        <w:pStyle w:val="Del"/>
        <w:spacing w:before="0" w:line="260" w:lineRule="atLeast"/>
        <w:rPr>
          <w:sz w:val="20"/>
          <w:szCs w:val="20"/>
        </w:rPr>
      </w:pPr>
      <w:r w:rsidRPr="002F30DF">
        <w:rPr>
          <w:sz w:val="20"/>
          <w:szCs w:val="20"/>
        </w:rPr>
        <w:t>JAVNA AGENCIJA REPUBLIKE SLOVENIJE ZA VARSTVO KONKURENCE</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spacing w:before="0" w:line="260" w:lineRule="atLeast"/>
        <w:rPr>
          <w:b w:val="0"/>
          <w:sz w:val="20"/>
          <w:szCs w:val="20"/>
        </w:rPr>
      </w:pPr>
      <w:r w:rsidRPr="002F30DF">
        <w:rPr>
          <w:b w:val="0"/>
          <w:sz w:val="20"/>
          <w:szCs w:val="20"/>
        </w:rPr>
        <w:t>1. Splošno</w:t>
      </w:r>
    </w:p>
    <w:p w:rsidR="00126F4C" w:rsidRPr="002F30DF" w:rsidRDefault="00126F4C" w:rsidP="00126F4C">
      <w:pPr>
        <w:pStyle w:val="len"/>
        <w:numPr>
          <w:ilvl w:val="0"/>
          <w:numId w:val="20"/>
        </w:numPr>
        <w:spacing w:before="0" w:line="260" w:lineRule="atLeast"/>
        <w:ind w:left="426"/>
        <w:rPr>
          <w:sz w:val="20"/>
          <w:szCs w:val="20"/>
        </w:rPr>
      </w:pPr>
      <w:r w:rsidRPr="002F30DF">
        <w:rPr>
          <w:sz w:val="20"/>
          <w:szCs w:val="20"/>
        </w:rPr>
        <w:t xml:space="preserve">člen </w:t>
      </w:r>
    </w:p>
    <w:p w:rsidR="00126F4C" w:rsidRPr="002F30DF" w:rsidRDefault="00126F4C" w:rsidP="00126F4C">
      <w:pPr>
        <w:shd w:val="clear" w:color="auto" w:fill="FFFFFF"/>
        <w:overflowPunct/>
        <w:autoSpaceDE/>
        <w:autoSpaceDN/>
        <w:adjustRightInd/>
        <w:jc w:val="center"/>
        <w:textAlignment w:val="auto"/>
        <w:rPr>
          <w:rFonts w:cs="Arial"/>
          <w:b/>
          <w:bCs/>
          <w:sz w:val="20"/>
          <w:szCs w:val="20"/>
        </w:rPr>
      </w:pPr>
      <w:r w:rsidRPr="002F30DF">
        <w:rPr>
          <w:rFonts w:cs="Arial"/>
          <w:b/>
          <w:bCs/>
          <w:sz w:val="20"/>
          <w:szCs w:val="20"/>
        </w:rPr>
        <w:t>(Javna agencija Republike Slovenije za varstvo konkurence)</w:t>
      </w:r>
    </w:p>
    <w:p w:rsidR="00126F4C" w:rsidRPr="002F30DF" w:rsidRDefault="00126F4C" w:rsidP="00126F4C">
      <w:pPr>
        <w:shd w:val="clear" w:color="auto" w:fill="FFFFFF"/>
        <w:overflowPunct/>
        <w:autoSpaceDE/>
        <w:autoSpaceDN/>
        <w:adjustRightInd/>
        <w:spacing w:before="240"/>
        <w:textAlignment w:val="auto"/>
        <w:rPr>
          <w:rFonts w:cs="Arial"/>
          <w:sz w:val="20"/>
          <w:szCs w:val="20"/>
        </w:rPr>
      </w:pPr>
      <w:r w:rsidRPr="002F30DF">
        <w:rPr>
          <w:rFonts w:cs="Arial"/>
          <w:sz w:val="20"/>
          <w:szCs w:val="20"/>
        </w:rPr>
        <w:t>(1) Za izvajanje nalog in pristojnosti po tem zakonu je pristojna Javna agencija Republike Slovenije za varstvo konkurence (v nadaljnjem besedilu: agencija). Vlada uresničuje ustanoviteljske pravice in obveznosti.</w:t>
      </w:r>
    </w:p>
    <w:p w:rsidR="00126F4C" w:rsidRPr="002F30DF" w:rsidRDefault="00126F4C" w:rsidP="00126F4C">
      <w:pPr>
        <w:shd w:val="clear" w:color="auto" w:fill="FFFFFF"/>
        <w:overflowPunct/>
        <w:autoSpaceDE/>
        <w:autoSpaceDN/>
        <w:adjustRightInd/>
        <w:spacing w:before="240"/>
        <w:textAlignment w:val="auto"/>
        <w:rPr>
          <w:rFonts w:cs="Arial"/>
          <w:sz w:val="20"/>
          <w:szCs w:val="20"/>
        </w:rPr>
      </w:pPr>
      <w:r w:rsidRPr="002F30DF">
        <w:rPr>
          <w:rFonts w:cs="Arial"/>
          <w:sz w:val="20"/>
          <w:szCs w:val="20"/>
        </w:rPr>
        <w:t>(2) Glede vprašanj organizacije in delovanja agencije, ki s tem zakonom niso urejena, se uporablja zakon, ki ureja javne agencije.</w:t>
      </w:r>
    </w:p>
    <w:p w:rsidR="00126F4C" w:rsidRPr="002F30DF" w:rsidRDefault="00126F4C" w:rsidP="00126F4C">
      <w:pPr>
        <w:shd w:val="clear" w:color="auto" w:fill="FFFFFF"/>
        <w:overflowPunct/>
        <w:autoSpaceDE/>
        <w:autoSpaceDN/>
        <w:adjustRightInd/>
        <w:spacing w:before="240"/>
        <w:textAlignment w:val="auto"/>
        <w:rPr>
          <w:rFonts w:cs="Arial"/>
          <w:sz w:val="20"/>
          <w:szCs w:val="20"/>
        </w:rPr>
      </w:pPr>
      <w:r w:rsidRPr="002F30DF">
        <w:rPr>
          <w:rFonts w:cs="Arial"/>
          <w:sz w:val="20"/>
          <w:szCs w:val="20"/>
        </w:rPr>
        <w:t>(3) Agencija je pravna oseba javnega prava s pravicami, obveznostmi in odgovornostmi, ki jih določata ta zakon in zakon, ki ureja javne agencije.</w:t>
      </w:r>
    </w:p>
    <w:p w:rsidR="00126F4C" w:rsidRPr="002F30DF" w:rsidRDefault="00126F4C" w:rsidP="00126F4C">
      <w:pPr>
        <w:shd w:val="clear" w:color="auto" w:fill="FFFFFF"/>
        <w:overflowPunct/>
        <w:autoSpaceDE/>
        <w:autoSpaceDN/>
        <w:adjustRightInd/>
        <w:spacing w:before="240"/>
        <w:textAlignment w:val="auto"/>
        <w:rPr>
          <w:rFonts w:cs="Arial"/>
          <w:sz w:val="20"/>
          <w:szCs w:val="20"/>
        </w:rPr>
      </w:pPr>
      <w:r w:rsidRPr="002F30DF">
        <w:rPr>
          <w:rFonts w:cs="Arial"/>
          <w:sz w:val="20"/>
          <w:szCs w:val="20"/>
        </w:rPr>
        <w:t>(4) Agencija ima poslovnik in druge splošne akte, ki določajo njeno podrobnejšo notranjo organizacijo in poslovanje.</w:t>
      </w:r>
    </w:p>
    <w:p w:rsidR="00126F4C" w:rsidRPr="002F30DF" w:rsidRDefault="00126F4C" w:rsidP="00126F4C">
      <w:pPr>
        <w:shd w:val="clear" w:color="auto" w:fill="FFFFFF"/>
        <w:overflowPunct/>
        <w:autoSpaceDE/>
        <w:autoSpaceDN/>
        <w:adjustRightInd/>
        <w:spacing w:before="240"/>
        <w:textAlignment w:val="auto"/>
        <w:rPr>
          <w:rFonts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ind w:left="3196"/>
        <w:jc w:val="both"/>
        <w:rPr>
          <w:sz w:val="20"/>
          <w:szCs w:val="20"/>
        </w:rPr>
      </w:pPr>
      <w:r w:rsidRPr="002F30DF">
        <w:rPr>
          <w:sz w:val="20"/>
          <w:szCs w:val="20"/>
        </w:rPr>
        <w:t>(naloge in pristojnosti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(1) Agencija je pristojna za nadzor nad izvajanjem in administrativno sankcioniranje kršitev tega zakona. Poleg tega spremlja in analizira razmere na trgu, če so pomembne za razvijanje učinkovite konkurence, vodi postopke in izdaja odločbe v skladu z zakonom ter daje Državnemu zboru Republike Slovenije (v nadaljnjem besedilu: državni zbor) in vladi mnenja o splošnih vprašanjih iz svoje pristojnosti.</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Agencija odloča kot prekrškovni organ o prekrških odgovornih oseb zaradi kršitve določb tega zakona ter 101. in 102. člena Pogodbe o delovanju Evropske unije v skladu z zakonom, ki ureja prekrške, če ta zakon ne določa drugače.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Ne glede na prvi in drugi odstavek tega člena agencija ni pristojna za nadzor nad izvajanjem 130. in 131.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r w:rsidRPr="002F30DF">
        <w:rPr>
          <w:rFonts w:ascii="Arial" w:hAnsi="Arial" w:cs="Arial"/>
          <w:sz w:val="20"/>
          <w:szCs w:val="20"/>
        </w:rPr>
        <w:t>(4) Agencija samostojno določa svoje prednostne naloge ter v ta namen lahko prijave ali druge predloge za uvedbo postopka po tem ali drugem zakonu ali 101. ali 102. členu Pogodbe o delovanju Evropske unije ne sprejme v obravnavo tudi zato, ker njihova obravnava ni uvrščena med prednostne naloge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Agencija lahko pred pristojnim sodiščem vloži tožbo za ugotovitev ničnosti v primerih iz prvega odstavka 5. člena in tretjega odstavka 69. člena tega zakona.</w:t>
      </w:r>
    </w:p>
    <w:p w:rsidR="00126F4C" w:rsidRPr="002F30DF" w:rsidRDefault="00126F4C" w:rsidP="00126F4C">
      <w:pPr>
        <w:overflowPunct/>
        <w:autoSpaceDE/>
        <w:autoSpaceDN/>
        <w:adjustRightInd/>
        <w:spacing w:line="260" w:lineRule="atLeast"/>
        <w:jc w:val="center"/>
        <w:textAlignment w:val="auto"/>
        <w:rPr>
          <w:rFonts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odstavek0"/>
        <w:spacing w:before="0" w:beforeAutospacing="0" w:after="0" w:afterAutospacing="0" w:line="260" w:lineRule="atLeast"/>
        <w:jc w:val="center"/>
        <w:rPr>
          <w:rFonts w:ascii="Arial" w:hAnsi="Arial" w:cs="Arial"/>
          <w:b/>
          <w:sz w:val="20"/>
          <w:szCs w:val="20"/>
        </w:rPr>
      </w:pPr>
      <w:r w:rsidRPr="002F30DF">
        <w:rPr>
          <w:rFonts w:ascii="Arial" w:hAnsi="Arial" w:cs="Arial"/>
          <w:b/>
          <w:sz w:val="20"/>
          <w:szCs w:val="20"/>
        </w:rPr>
        <w:t>(neodvisnost)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je pri izvajanju svojih nalog in pristojnosti neodvisna in samostojna ter opravlja svoje naloge in izvaja pooblastila nepristransko ter v interesu učinkovite in enotne uporabe določb tega zakona ali 101. ali 102. člena Pogodbe o delovanju Evropske unije. Agencija pri vodenju postopkov in odločanju o posamičnih zadevah skladno s pristojnostmi iz tega ali drugega zakona ni vezana na usmeritve in navodila državnih ali drugih organov ali tretjih oseb. Vlada lahko sprejme politiko za izvajanje pravil varstva konkurence, ki je splošne narave, ne posega v vodenje postopkov oziroma odločanje o posamičnih zadevah in ni povezana s sektorskimi raziskavami.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Člani organov upravljanja agencije in javni uslužbenci, zaposleni v agenciji, morajo svoje delo opravljati strokovno, nepristransko, objektivno ter neodvisno od </w:t>
      </w:r>
      <w:r w:rsidRPr="002F30DF">
        <w:rPr>
          <w:sz w:val="20"/>
          <w:szCs w:val="20"/>
        </w:rPr>
        <w:lastRenderedPageBreak/>
        <w:t xml:space="preserve">političnih in drugih zunanjih vplivov ter ne smejo zahtevati ali sprejemati navodil od vlade ali katerega drugega javnega ali zasebnega subjekta.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0"/>
        <w:spacing w:before="0" w:beforeAutospacing="0" w:after="0" w:afterAutospacing="0" w:line="260" w:lineRule="atLeast"/>
        <w:jc w:val="both"/>
        <w:rPr>
          <w:rFonts w:ascii="Arial" w:hAnsi="Arial" w:cs="Arial"/>
          <w:strike/>
          <w:sz w:val="20"/>
          <w:szCs w:val="20"/>
        </w:rPr>
      </w:pPr>
      <w:r w:rsidRPr="002F30DF">
        <w:rPr>
          <w:rFonts w:ascii="Arial" w:hAnsi="Arial" w:cs="Arial"/>
          <w:sz w:val="20"/>
          <w:szCs w:val="20"/>
        </w:rPr>
        <w:t>(3) Člani organov upravljanja agencije in javni uslužbenci, zaposleni v agenciji, ki odločajo v postopkih o posamičnih zadevah, za katere je pristojna agencija po tem zakonu, se vzdržijo vsakršnega ravnanja, ki je nezdružljivo z opravljanjem njihovih nalog ali izvajanjem njihovih pooblastil za uporabo določb tega zakona ali 101. ali 102. člena Pogodbe o delovanju Evropske unije ter ne smejo odločati v postopku, v katerem je stranka postopka podjetje, v katerem so bili razumen čas pred nastopom mandata oziroma zaposlitve zaposleni ali so z njim kako drugače sodelovali, niti opravljati posameznih dejanj v takem postopku.</w:t>
      </w: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r w:rsidRPr="002F30DF">
        <w:rPr>
          <w:rFonts w:ascii="Arial" w:hAnsi="Arial" w:cs="Arial"/>
          <w:sz w:val="20"/>
          <w:szCs w:val="20"/>
        </w:rPr>
        <w:t xml:space="preserve">(4) Člani organov upravljanja agencije in javni uslužbenci, zaposleni v agenciji, ki so v času zaposlitve v agenciji odločali v postopkih o posamičnih zadevah po tem zakonu, ne smejo v okviru nove zaposlitve razumen čas po prenehanju mandata ali zaposlitve sodelovati v postopkih, v katerih so bili vključeni v času trajanja mandata ali zaposlitve v agenciji. </w:t>
      </w: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(5) Agencija sprejme in objavi kodeks, v katerem podrobneje opredeli pravila glede strokovnosti, nepristranskosti, objektivnosti in neodvisnosti delovanja agencije na področju varstva konkurence ter glede nasprotja interesov med trajanjem in po prenehanju mandata ali zaposlitve članov organa vodenja in javnih uslužbencev, zaposlenih v agenciji. </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(sredstva za delo, tarifa in poročanje agencije)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Prihodki za delo agencije so:</w:t>
      </w:r>
    </w:p>
    <w:p w:rsidR="00126F4C" w:rsidRPr="002F30DF" w:rsidRDefault="00126F4C" w:rsidP="00126F4C">
      <w:pPr>
        <w:pStyle w:val="Alineazaodstavkom"/>
        <w:numPr>
          <w:ilvl w:val="0"/>
          <w:numId w:val="33"/>
        </w:numPr>
        <w:spacing w:line="260" w:lineRule="atLeast"/>
        <w:rPr>
          <w:sz w:val="20"/>
          <w:szCs w:val="20"/>
        </w:rPr>
      </w:pPr>
      <w:r w:rsidRPr="002F30DF">
        <w:rPr>
          <w:sz w:val="20"/>
          <w:szCs w:val="20"/>
        </w:rPr>
        <w:t xml:space="preserve">sredstva državnega proračuna, ki jih državni zbor določi na predlog agencije, in </w:t>
      </w:r>
    </w:p>
    <w:p w:rsidR="00126F4C" w:rsidRPr="002F30DF" w:rsidRDefault="00126F4C" w:rsidP="00126F4C">
      <w:pPr>
        <w:pStyle w:val="Alineazaodstavkom"/>
        <w:numPr>
          <w:ilvl w:val="0"/>
          <w:numId w:val="33"/>
        </w:numPr>
        <w:spacing w:line="260" w:lineRule="atLeast"/>
        <w:rPr>
          <w:sz w:val="20"/>
          <w:szCs w:val="20"/>
        </w:rPr>
      </w:pPr>
      <w:r w:rsidRPr="002F30DF">
        <w:rPr>
          <w:sz w:val="20"/>
          <w:szCs w:val="20"/>
        </w:rPr>
        <w:t xml:space="preserve">nadomestila stroškov.       </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Sredstva za delo zagotavljajo agenciji dovolj usposobljenega osebja ter ustrezne finančne, tehnične in tehnološke vire, ki so potrebni za učinkovito opravljanje nalog in pristojnosti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Agencija samostojno odloča o porabi sredstev.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Agencija glede na razpoložljiva sredstva in v okviru finančnega načrta za tekoče leto sama določi število zaposlenih</w:t>
      </w:r>
      <w:r w:rsidRPr="002F30DF">
        <w:rPr>
          <w:sz w:val="20"/>
          <w:szCs w:val="20"/>
        </w:rPr>
        <w:softHyphen/>
        <w:t xml:space="preserve">. </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rPr>
        <w:t xml:space="preserve">(5) </w:t>
      </w:r>
      <w:r w:rsidRPr="002F30DF">
        <w:rPr>
          <w:rFonts w:cs="Arial"/>
          <w:sz w:val="20"/>
          <w:szCs w:val="20"/>
          <w:lang w:eastAsia="en-GB"/>
        </w:rPr>
        <w:t>Agencija izda tarifo, v kateri določi višino plačil za storitve, ki jih opravlja, zlasti nadomestila stroškov, ki ji nastanejo med postopki ali zaradi postopkov, in nadomestila za opravljanje drugih nalog, ki jih izvaja po tem ali drugem zakonu.</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(6) Tarifa agencije in njene zadevne spremembe se objavijo v Uradnem listu Republike Slovenije. Agencija mora pred objavo pridobiti soglasje vlade.</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(7) Agencija o svojem delu enkrat letno poroča državnemu zboru, in to do 28. februarja za preteklo leto. Letno poročilo vsebuje tudi informacije o imenovanjih in razrešitvah članov organov upravljanja agencije ter oseb, ki odločajo v senatih, znesku dodeljenih sredstev in vseh spremembah tega zneska glede na prejšnja leta. Agencija letno poročilo objavi na svoji spletni strani.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(nadzor nad delom in poslovanjem)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Nadzor nad delom in poslovanjem agencije, ki ga opravlja ministrstvo, pristojno za varstvo konkurence, skladno z zakonom, ki ureja javne agencije, ne pomeni pravice vpogleda v posamezne obravnavane zadeve.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(sodelovanje agencije pri oblikovanju politike konkurence in v mednarodnih odnosih)</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sodeluje pri oblikovanju politike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color w:val="000000"/>
          <w:sz w:val="20"/>
          <w:szCs w:val="20"/>
          <w:shd w:val="clear" w:color="auto" w:fill="FFFFFF"/>
        </w:rPr>
      </w:pPr>
      <w:r w:rsidRPr="002F30DF">
        <w:rPr>
          <w:sz w:val="20"/>
          <w:szCs w:val="20"/>
        </w:rPr>
        <w:t xml:space="preserve">(2) Agencija sodeluje v dvostranskih odnosih in mednarodnih organizacijah s področja varstva konkurence. </w:t>
      </w:r>
      <w:r w:rsidRPr="002F30DF">
        <w:rPr>
          <w:color w:val="000000"/>
          <w:sz w:val="20"/>
          <w:szCs w:val="20"/>
          <w:shd w:val="clear" w:color="auto" w:fill="FFFFFF"/>
        </w:rPr>
        <w:t xml:space="preserve">O sodelovanju na področju varstva konkurence v Evropski uniji direktor </w:t>
      </w:r>
      <w:r w:rsidRPr="002F30DF">
        <w:rPr>
          <w:sz w:val="20"/>
          <w:szCs w:val="20"/>
        </w:rPr>
        <w:t>agencije (v nadaljnjem besedilu: direktor)</w:t>
      </w:r>
      <w:r w:rsidRPr="002F30DF">
        <w:rPr>
          <w:color w:val="000000"/>
          <w:sz w:val="20"/>
          <w:szCs w:val="20"/>
          <w:shd w:val="clear" w:color="auto" w:fill="FFFFFF"/>
        </w:rPr>
        <w:t xml:space="preserve"> tekoče obvešča svet agencije (v nadaljnjem besedilu: svet) in ministrstvo, pristojno za varstvo konkurence.</w:t>
      </w:r>
    </w:p>
    <w:p w:rsidR="00126F4C" w:rsidRPr="002F30DF" w:rsidRDefault="00126F4C" w:rsidP="00126F4C">
      <w:pPr>
        <w:pStyle w:val="Odstavek"/>
        <w:spacing w:before="0" w:line="260" w:lineRule="atLeast"/>
        <w:ind w:firstLine="0"/>
        <w:rPr>
          <w:color w:val="000000"/>
          <w:sz w:val="20"/>
          <w:szCs w:val="20"/>
          <w:shd w:val="clear" w:color="auto" w:fill="FFFFFF"/>
        </w:rPr>
      </w:pPr>
    </w:p>
    <w:p w:rsidR="00126F4C" w:rsidRPr="002F30DF" w:rsidRDefault="00126F4C" w:rsidP="00126F4C">
      <w:pPr>
        <w:pStyle w:val="Odstavek"/>
        <w:spacing w:before="0" w:line="260" w:lineRule="atLeast"/>
        <w:ind w:firstLine="0"/>
        <w:rPr>
          <w:color w:val="000000"/>
          <w:sz w:val="20"/>
          <w:szCs w:val="20"/>
          <w:shd w:val="clear" w:color="auto" w:fill="FFFFFF"/>
        </w:rPr>
      </w:pPr>
      <w:r w:rsidRPr="002F30DF">
        <w:rPr>
          <w:color w:val="000000"/>
          <w:sz w:val="20"/>
          <w:szCs w:val="20"/>
          <w:shd w:val="clear" w:color="auto" w:fill="FFFFFF"/>
        </w:rPr>
        <w:lastRenderedPageBreak/>
        <w:t>(3) Agencija tesno sodeluje v okviru Evropske mreže za konkurenco, zlasti da zagotovi učinkovito in enotno uporabo 101. in 102. člena Pogodbe o delovanju Evropske unije.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Odstavek"/>
        <w:spacing w:before="0" w:line="260" w:lineRule="atLeast"/>
        <w:ind w:firstLine="0"/>
        <w:jc w:val="center"/>
        <w:rPr>
          <w:sz w:val="20"/>
          <w:szCs w:val="20"/>
        </w:rPr>
      </w:pPr>
      <w:r w:rsidRPr="002F30DF">
        <w:rPr>
          <w:sz w:val="20"/>
          <w:szCs w:val="20"/>
        </w:rPr>
        <w:t>2. Organa agencije</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odstavek0"/>
        <w:spacing w:before="0" w:beforeAutospacing="0" w:after="0" w:afterAutospacing="0" w:line="260" w:lineRule="atLeast"/>
        <w:jc w:val="center"/>
        <w:rPr>
          <w:rFonts w:ascii="Arial" w:hAnsi="Arial" w:cs="Arial"/>
          <w:b/>
          <w:sz w:val="20"/>
          <w:szCs w:val="20"/>
        </w:rPr>
      </w:pPr>
      <w:r w:rsidRPr="002F30DF">
        <w:rPr>
          <w:rFonts w:ascii="Arial" w:hAnsi="Arial" w:cs="Arial"/>
          <w:b/>
          <w:sz w:val="20"/>
          <w:szCs w:val="20"/>
        </w:rPr>
        <w:t>(organa agencije)</w:t>
      </w:r>
    </w:p>
    <w:p w:rsidR="00126F4C" w:rsidRPr="002F30DF" w:rsidRDefault="00126F4C" w:rsidP="00126F4C">
      <w:pPr>
        <w:pStyle w:val="odstavek0"/>
        <w:spacing w:before="0" w:beforeAutospacing="0" w:after="0" w:afterAutospacing="0" w:line="260" w:lineRule="atLeast"/>
        <w:jc w:val="center"/>
        <w:rPr>
          <w:rFonts w:ascii="Arial" w:hAnsi="Arial" w:cs="Arial"/>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Organa agencije sta svet in direktor. </w:t>
      </w: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p>
    <w:p w:rsidR="00126F4C" w:rsidRPr="002F30DF" w:rsidRDefault="00126F4C" w:rsidP="00126F4C">
      <w:pPr>
        <w:pStyle w:val="odstavek0"/>
        <w:spacing w:before="0" w:beforeAutospacing="0" w:after="0" w:afterAutospacing="0" w:line="260" w:lineRule="atLeast"/>
        <w:jc w:val="center"/>
        <w:rPr>
          <w:rFonts w:ascii="Arial" w:hAnsi="Arial" w:cs="Arial"/>
          <w:sz w:val="20"/>
          <w:szCs w:val="20"/>
        </w:rPr>
      </w:pPr>
      <w:r w:rsidRPr="002F30DF">
        <w:rPr>
          <w:rFonts w:ascii="Arial" w:hAnsi="Arial" w:cs="Arial"/>
          <w:sz w:val="20"/>
          <w:szCs w:val="20"/>
        </w:rPr>
        <w:t>2.1. Svet</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odstavek0"/>
        <w:spacing w:before="0" w:beforeAutospacing="0" w:after="0" w:afterAutospacing="0" w:line="260" w:lineRule="atLeast"/>
        <w:jc w:val="center"/>
        <w:rPr>
          <w:rFonts w:ascii="Arial" w:hAnsi="Arial" w:cs="Arial"/>
          <w:b/>
          <w:sz w:val="20"/>
          <w:szCs w:val="20"/>
        </w:rPr>
      </w:pPr>
      <w:r w:rsidRPr="002F30DF">
        <w:rPr>
          <w:rFonts w:ascii="Arial" w:hAnsi="Arial" w:cs="Arial"/>
          <w:b/>
          <w:sz w:val="20"/>
          <w:szCs w:val="20"/>
        </w:rPr>
        <w:t>(sestava in imenovanje članov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Svet sestavlja pet članov, od katerih je eden predsednik sveta. </w:t>
      </w:r>
    </w:p>
    <w:p w:rsidR="00126F4C" w:rsidRPr="002F30DF" w:rsidRDefault="00126F4C" w:rsidP="00126F4C">
      <w:pPr>
        <w:pStyle w:val="Odstavek"/>
        <w:tabs>
          <w:tab w:val="left" w:pos="1260"/>
        </w:tabs>
        <w:spacing w:before="0" w:line="260" w:lineRule="atLeast"/>
        <w:ind w:firstLine="0"/>
        <w:rPr>
          <w:sz w:val="20"/>
          <w:szCs w:val="20"/>
        </w:rPr>
      </w:pPr>
      <w:r w:rsidRPr="002F30DF">
        <w:rPr>
          <w:sz w:val="20"/>
          <w:szCs w:val="20"/>
        </w:rPr>
        <w:tab/>
      </w:r>
    </w:p>
    <w:p w:rsidR="00126F4C" w:rsidRPr="002F30DF" w:rsidRDefault="00126F4C" w:rsidP="00126F4C">
      <w:pPr>
        <w:pStyle w:val="Odstavek"/>
        <w:spacing w:before="0" w:line="260" w:lineRule="atLeast"/>
        <w:ind w:firstLine="0"/>
        <w:rPr>
          <w:sz w:val="20"/>
          <w:szCs w:val="20"/>
        </w:rPr>
      </w:pPr>
      <w:r w:rsidRPr="002F30DF">
        <w:rPr>
          <w:sz w:val="20"/>
          <w:szCs w:val="20"/>
        </w:rPr>
        <w:t xml:space="preserve">(2) Člane sveta imenuje državni zbor na predlog vlade.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w:t>
      </w:r>
      <w:r w:rsidRPr="002F30DF">
        <w:rPr>
          <w:sz w:val="20"/>
          <w:szCs w:val="20"/>
          <w:shd w:val="clear" w:color="auto" w:fill="FFFFFF" w:themeFill="background1"/>
        </w:rPr>
        <w:t>Direktor je po funkciji tudi predsednik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Vlada pri predlaganju kandidatov za člane sveta uporablja merili strokovnosti in usposobljenosti osebe na področju dela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Državni zbor glasuje o predlaganem kandidatu za člana sveta v 30 dneh po vložitvi predloga. Predlagani kandidat je imenovan, če zanj glasuje večina navzočih poslancev. Če predlagani kandidat za člana sveta ne dobi potrebne večine poslanskih glasov, predsednik državnega zbora o tem obvesti vlado, ki v 14 dneh sporoči predsedniku državnega zbora svojo odločitev o nadaljnjem postopku za izvolitev člana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(mandat in pogoji za člane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Člane sveta se imenuje za pet let in so lahko ponovno imenovani.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člana sveta agencije je lahko imenovana oseba, ki: </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t>je državljan Republike Slovenije,</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lastRenderedPageBreak/>
        <w:t>ima najmanj izobrazbo, pridobljeno po študijskih programih druge stopnje, oziroma raven izobrazbe, ki skladno z zakonom ustreza izobrazbi druge stopnje,</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t>je ustrezno strokovno usposobljena za opravljanje nalog člana sveta,</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t>ima najmanj pet let delovnih izkušenj,</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t>ni v kazenskem postopku zaradi kaznivega dejanja, ki se preganja po uradni dolžnosti, in</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t>ni bila pravnomočno obsojena zaradi kaznivega dejanja, ki se preganja po uradni dolžnosti, na zaporno kazen več kot šest mesecev in izvršitev kazni ni bila pogojno odložena in</w:t>
      </w:r>
    </w:p>
    <w:p w:rsidR="00126F4C" w:rsidRPr="002F30DF" w:rsidRDefault="00126F4C" w:rsidP="00126F4C">
      <w:pPr>
        <w:pStyle w:val="len0"/>
        <w:numPr>
          <w:ilvl w:val="0"/>
          <w:numId w:val="95"/>
        </w:numPr>
        <w:spacing w:before="0" w:beforeAutospacing="0" w:after="0" w:afterAutospacing="0" w:line="260" w:lineRule="atLeast"/>
        <w:ind w:left="360"/>
        <w:jc w:val="both"/>
        <w:rPr>
          <w:rFonts w:ascii="Arial" w:hAnsi="Arial" w:cs="Arial"/>
          <w:sz w:val="20"/>
          <w:szCs w:val="20"/>
        </w:rPr>
      </w:pPr>
      <w:r w:rsidRPr="002F30DF">
        <w:rPr>
          <w:rFonts w:ascii="Arial" w:hAnsi="Arial" w:cs="Arial"/>
          <w:sz w:val="20"/>
          <w:szCs w:val="20"/>
        </w:rPr>
        <w:t>predloži izjavo o interesih in povezavah iz prvega odstavka 20. člena tega zakona.</w:t>
      </w:r>
    </w:p>
    <w:p w:rsidR="00126F4C" w:rsidRPr="002F30DF" w:rsidRDefault="00126F4C" w:rsidP="00126F4C">
      <w:pPr>
        <w:pStyle w:val="Alineazaodstavkom"/>
        <w:numPr>
          <w:ilvl w:val="0"/>
          <w:numId w:val="0"/>
        </w:numPr>
        <w:spacing w:line="260" w:lineRule="atLeast"/>
        <w:rPr>
          <w:sz w:val="20"/>
          <w:szCs w:val="20"/>
        </w:rPr>
      </w:pPr>
    </w:p>
    <w:p w:rsidR="00126F4C" w:rsidRPr="002F30DF" w:rsidRDefault="00126F4C" w:rsidP="00126F4C">
      <w:pPr>
        <w:pStyle w:val="Alineazaodstavkom"/>
        <w:numPr>
          <w:ilvl w:val="0"/>
          <w:numId w:val="0"/>
        </w:numPr>
        <w:spacing w:line="260" w:lineRule="atLeast"/>
        <w:rPr>
          <w:sz w:val="20"/>
          <w:szCs w:val="20"/>
        </w:rPr>
      </w:pPr>
      <w:r w:rsidRPr="002F30DF">
        <w:rPr>
          <w:sz w:val="20"/>
          <w:szCs w:val="20"/>
        </w:rPr>
        <w:t>(3) Za člana sveta je lahko imenovan tudi javni uslužbenec, zaposlen v agenciji.</w:t>
      </w:r>
    </w:p>
    <w:p w:rsidR="00126F4C" w:rsidRPr="002F30DF" w:rsidRDefault="00126F4C" w:rsidP="00126F4C">
      <w:pPr>
        <w:pStyle w:val="Odstavek"/>
        <w:spacing w:before="0" w:line="260" w:lineRule="atLeast"/>
        <w:ind w:firstLine="0"/>
        <w:jc w:val="center"/>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w:t>
      </w:r>
    </w:p>
    <w:p w:rsidR="00126F4C" w:rsidRPr="002F30DF" w:rsidRDefault="00126F4C" w:rsidP="00126F4C">
      <w:pPr>
        <w:pStyle w:val="Odstavek"/>
        <w:spacing w:before="0" w:line="260" w:lineRule="atLeast"/>
        <w:ind w:firstLine="0"/>
        <w:jc w:val="center"/>
        <w:rPr>
          <w:b/>
          <w:sz w:val="20"/>
          <w:szCs w:val="20"/>
        </w:rPr>
      </w:pPr>
      <w:r w:rsidRPr="002F30DF">
        <w:rPr>
          <w:b/>
          <w:sz w:val="20"/>
          <w:szCs w:val="20"/>
        </w:rPr>
        <w:t>(izjava o interesih in povezavah)</w:t>
      </w:r>
    </w:p>
    <w:p w:rsidR="00126F4C" w:rsidRPr="002F30DF" w:rsidRDefault="00126F4C" w:rsidP="00126F4C">
      <w:pPr>
        <w:pStyle w:val="Odstavek"/>
        <w:tabs>
          <w:tab w:val="left" w:pos="2361"/>
        </w:tabs>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Kandidat za člana sveta prijavi priloži tudi izjavo, s katero razkrije svoje interese in povezave, ki jih ima kot samostojni podjetnik posameznik, imetnik lastniškega deleža v gospodarski družbi oziroma član v upravnih ali nadzornih organih družb, ki opravljajo dejavnost na področju, ki ga je pristojna urejati agencija, in razkrije poslovne povezave s temi subjekti. Pri tem razkrije zlasti informacije o statusu samostojnega podjetnika posameznika, o lastniških deležih v gospodarskih družbah in o članstvu v upravnih in nadzornih organih teh družb ter o poslovnih povezavah. Razkrije tudi vse druge okoliščine, ki bi lahko vplivale na objektivno in nepristransko opravljanje nalog člana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Član sveta izjavo iz prejšnjega odstavka v tridesetih dneh po imenovanju predloži svetu in ministrstvu, pristojnemu za varstvo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Ob vsaki spremembi interesov in povezav iz prvega odstavka tega člena mora član sveta agencije v 10 dneh pisno obvestiti agencijo in svet ter prenehati delati v zadevah, v katerih bi ti interesi in povezave lahko vplivali na objektivno in nepristransko opravljanje njegovih nalog.</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(pristojnosti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Svet:</w:t>
      </w:r>
    </w:p>
    <w:p w:rsidR="00126F4C" w:rsidRPr="002F30DF" w:rsidRDefault="00126F4C" w:rsidP="00126F4C">
      <w:pPr>
        <w:pStyle w:val="Alineazaodstavkom"/>
        <w:numPr>
          <w:ilvl w:val="0"/>
          <w:numId w:val="97"/>
        </w:numPr>
        <w:spacing w:line="260" w:lineRule="atLeast"/>
        <w:ind w:left="426"/>
        <w:rPr>
          <w:sz w:val="20"/>
          <w:szCs w:val="20"/>
        </w:rPr>
      </w:pPr>
      <w:r w:rsidRPr="002F30DF">
        <w:rPr>
          <w:sz w:val="20"/>
          <w:szCs w:val="20"/>
        </w:rPr>
        <w:t>sprejema poslovnik, ki podrobneje določa poslovanje agencije in druge splošne akte agencije, kadar tako določa zakon,</w:t>
      </w:r>
    </w:p>
    <w:p w:rsidR="00126F4C" w:rsidRPr="002F30DF" w:rsidRDefault="00126F4C" w:rsidP="00126F4C">
      <w:pPr>
        <w:pStyle w:val="Alineazaodstavkom"/>
        <w:numPr>
          <w:ilvl w:val="0"/>
          <w:numId w:val="97"/>
        </w:numPr>
        <w:spacing w:line="260" w:lineRule="atLeast"/>
        <w:ind w:left="426"/>
        <w:rPr>
          <w:sz w:val="20"/>
          <w:szCs w:val="20"/>
        </w:rPr>
      </w:pPr>
      <w:r w:rsidRPr="002F30DF">
        <w:rPr>
          <w:sz w:val="20"/>
          <w:szCs w:val="20"/>
        </w:rPr>
        <w:t>sprejema letno poročilo o delu agencije, letni program dela, finančni načrt, zaključni račun in druge akte, za katere zakon določa, da jih sprejme agencija,</w:t>
      </w:r>
    </w:p>
    <w:p w:rsidR="00126F4C" w:rsidRPr="002F30DF" w:rsidRDefault="00126F4C" w:rsidP="00126F4C">
      <w:pPr>
        <w:pStyle w:val="Alineazaodstavkom"/>
        <w:numPr>
          <w:ilvl w:val="0"/>
          <w:numId w:val="97"/>
        </w:numPr>
        <w:spacing w:line="260" w:lineRule="atLeast"/>
        <w:ind w:left="426"/>
        <w:rPr>
          <w:sz w:val="20"/>
          <w:szCs w:val="20"/>
        </w:rPr>
      </w:pPr>
      <w:r w:rsidRPr="002F30DF">
        <w:rPr>
          <w:sz w:val="20"/>
          <w:szCs w:val="20"/>
        </w:rPr>
        <w:t>odloča o izločitvi direktorja, predsednika ali člana senata iz postopka o odločanju o posamičnih zadevah,</w:t>
      </w:r>
    </w:p>
    <w:p w:rsidR="00126F4C" w:rsidRPr="002F30DF" w:rsidRDefault="00126F4C" w:rsidP="00126F4C">
      <w:pPr>
        <w:pStyle w:val="Alineazaodstavkom"/>
        <w:numPr>
          <w:ilvl w:val="0"/>
          <w:numId w:val="97"/>
        </w:numPr>
        <w:spacing w:line="260" w:lineRule="atLeast"/>
        <w:ind w:left="426"/>
        <w:rPr>
          <w:sz w:val="20"/>
          <w:szCs w:val="20"/>
        </w:rPr>
      </w:pPr>
      <w:r w:rsidRPr="002F30DF">
        <w:rPr>
          <w:sz w:val="20"/>
          <w:szCs w:val="20"/>
        </w:rPr>
        <w:t>odloča o izločitvi pooblaščene uradne osebe iz postopka vodenja posamične zadeve,</w:t>
      </w:r>
    </w:p>
    <w:p w:rsidR="00126F4C" w:rsidRPr="002F30DF" w:rsidRDefault="00126F4C" w:rsidP="00126F4C">
      <w:pPr>
        <w:pStyle w:val="Alineazaodstavkom"/>
        <w:numPr>
          <w:ilvl w:val="0"/>
          <w:numId w:val="97"/>
        </w:numPr>
        <w:spacing w:line="260" w:lineRule="atLeast"/>
        <w:ind w:left="426"/>
        <w:rPr>
          <w:sz w:val="20"/>
          <w:szCs w:val="20"/>
        </w:rPr>
      </w:pPr>
      <w:r w:rsidRPr="002F30DF">
        <w:rPr>
          <w:sz w:val="20"/>
          <w:szCs w:val="20"/>
        </w:rPr>
        <w:t>izvaja postopke predčasne razrešitve članov sveta in direktorja,</w:t>
      </w:r>
    </w:p>
    <w:p w:rsidR="00126F4C" w:rsidRPr="002F30DF" w:rsidRDefault="00126F4C" w:rsidP="00126F4C">
      <w:pPr>
        <w:pStyle w:val="Alineazaodstavkom"/>
        <w:numPr>
          <w:ilvl w:val="0"/>
          <w:numId w:val="97"/>
        </w:numPr>
        <w:spacing w:line="260" w:lineRule="atLeast"/>
        <w:ind w:left="426"/>
        <w:rPr>
          <w:sz w:val="20"/>
          <w:szCs w:val="20"/>
        </w:rPr>
      </w:pPr>
      <w:r w:rsidRPr="002F30DF">
        <w:rPr>
          <w:sz w:val="20"/>
          <w:szCs w:val="20"/>
        </w:rPr>
        <w:t>opravlja druge naloge iz pristojnosti agencije, če ni v zakonu določeno, da je za to pristojen drug organ agencije.</w:t>
      </w:r>
      <w:r w:rsidRPr="002F30DF" w:rsidDel="00AE04F1">
        <w:rPr>
          <w:sz w:val="20"/>
          <w:szCs w:val="20"/>
        </w:rPr>
        <w:t xml:space="preserv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Direktor, predsednik in član senata ne smejo sodelovati v postopku odločanja o svoji izločitvi in predčasni razrešitvi.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Za postopek odločanja o izločitvi se uporablja zakon, ki ureja splošni upravni postopek.</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(nezdružljivost)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Člani sveta ne morejo biti:</w:t>
      </w:r>
    </w:p>
    <w:p w:rsidR="00126F4C" w:rsidRPr="002F30DF" w:rsidRDefault="00126F4C" w:rsidP="00126F4C">
      <w:pPr>
        <w:pStyle w:val="Alineazaodstavkom"/>
        <w:numPr>
          <w:ilvl w:val="0"/>
          <w:numId w:val="98"/>
        </w:numPr>
        <w:spacing w:line="260" w:lineRule="atLeast"/>
        <w:rPr>
          <w:sz w:val="20"/>
          <w:szCs w:val="20"/>
        </w:rPr>
      </w:pPr>
      <w:r w:rsidRPr="002F30DF">
        <w:rPr>
          <w:sz w:val="20"/>
          <w:szCs w:val="20"/>
        </w:rPr>
        <w:t>funkcionarji v izvršilni veji oblasti,</w:t>
      </w:r>
    </w:p>
    <w:p w:rsidR="00126F4C" w:rsidRPr="002F30DF" w:rsidRDefault="00126F4C" w:rsidP="00126F4C">
      <w:pPr>
        <w:pStyle w:val="Alineazaodstavkom"/>
        <w:numPr>
          <w:ilvl w:val="0"/>
          <w:numId w:val="98"/>
        </w:numPr>
        <w:spacing w:line="260" w:lineRule="atLeast"/>
        <w:rPr>
          <w:sz w:val="20"/>
          <w:szCs w:val="20"/>
        </w:rPr>
      </w:pPr>
      <w:r w:rsidRPr="002F30DF">
        <w:rPr>
          <w:sz w:val="20"/>
          <w:szCs w:val="20"/>
        </w:rPr>
        <w:t>funkcionarji v zakonodajni veji oblasti,</w:t>
      </w:r>
    </w:p>
    <w:p w:rsidR="00126F4C" w:rsidRPr="002F30DF" w:rsidRDefault="00126F4C" w:rsidP="00126F4C">
      <w:pPr>
        <w:pStyle w:val="Alineazaodstavkom"/>
        <w:numPr>
          <w:ilvl w:val="0"/>
          <w:numId w:val="98"/>
        </w:numPr>
        <w:spacing w:line="260" w:lineRule="atLeast"/>
        <w:rPr>
          <w:sz w:val="20"/>
          <w:szCs w:val="20"/>
        </w:rPr>
      </w:pPr>
      <w:r w:rsidRPr="002F30DF">
        <w:rPr>
          <w:sz w:val="20"/>
          <w:szCs w:val="20"/>
        </w:rPr>
        <w:t>funkcionarji v sodni veji oblasti,</w:t>
      </w:r>
    </w:p>
    <w:p w:rsidR="00126F4C" w:rsidRPr="002F30DF" w:rsidRDefault="00126F4C" w:rsidP="00126F4C">
      <w:pPr>
        <w:pStyle w:val="Alineazaodstavkom"/>
        <w:numPr>
          <w:ilvl w:val="0"/>
          <w:numId w:val="98"/>
        </w:numPr>
        <w:spacing w:line="260" w:lineRule="atLeast"/>
        <w:rPr>
          <w:sz w:val="20"/>
          <w:szCs w:val="20"/>
        </w:rPr>
      </w:pPr>
      <w:r w:rsidRPr="002F30DF">
        <w:rPr>
          <w:sz w:val="20"/>
          <w:szCs w:val="20"/>
        </w:rPr>
        <w:t>funkcionarji v drugih državnih organih in lokalnih skupnostih,</w:t>
      </w:r>
    </w:p>
    <w:p w:rsidR="00126F4C" w:rsidRPr="002F30DF" w:rsidRDefault="00126F4C" w:rsidP="00126F4C">
      <w:pPr>
        <w:pStyle w:val="Alineazaodstavkom"/>
        <w:numPr>
          <w:ilvl w:val="0"/>
          <w:numId w:val="98"/>
        </w:numPr>
        <w:spacing w:line="260" w:lineRule="atLeast"/>
        <w:rPr>
          <w:sz w:val="20"/>
          <w:szCs w:val="20"/>
        </w:rPr>
      </w:pPr>
      <w:r w:rsidRPr="002F30DF">
        <w:rPr>
          <w:sz w:val="20"/>
          <w:szCs w:val="20"/>
        </w:rPr>
        <w:t>člani vodstev in organov političnih strank ali</w:t>
      </w:r>
    </w:p>
    <w:p w:rsidR="00126F4C" w:rsidRPr="002F30DF" w:rsidRDefault="00126F4C" w:rsidP="00126F4C">
      <w:pPr>
        <w:pStyle w:val="Alineazaodstavkom"/>
        <w:numPr>
          <w:ilvl w:val="0"/>
          <w:numId w:val="98"/>
        </w:numPr>
        <w:spacing w:line="260" w:lineRule="atLeast"/>
        <w:rPr>
          <w:sz w:val="20"/>
          <w:szCs w:val="20"/>
        </w:rPr>
      </w:pPr>
      <w:r w:rsidRPr="002F30DF">
        <w:rPr>
          <w:sz w:val="20"/>
          <w:szCs w:val="20"/>
        </w:rPr>
        <w:t>osebe, za katere obstaja možnost navzkrižja interesov med njihovimi zasebnimi interesi in javnimi interesi, ki jih uresničuje agencija, ter bi lahko to navzkrižje vplivalo na objektivno in nepristransko opravljanje njegovih nalog.</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Član sveta mora svoj položaj uskladiti s prejšnjim odstavkom v enem mesecu po imenovanju, v nasprotnem primeru s potekom tega roka preneha veljati sklep </w:t>
      </w:r>
      <w:r w:rsidRPr="002F30DF">
        <w:rPr>
          <w:sz w:val="20"/>
          <w:szCs w:val="20"/>
        </w:rPr>
        <w:lastRenderedPageBreak/>
        <w:t>državnega zbora o imenovanju. V tem času član sveta, ki mora uskladiti svoj položaj, nima pravice odločanja kot član sveta.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(predčasna razrešitev)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Člana sveta se predčasno razreši:</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to sam zahteva,</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trajno izgubi delovno zmožnost za opravljanje dela,</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krši obveznost varovanja zaupnih podatkov, določeno v tem ali drugem zakonu,</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huje krši poslovnik agencije,</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se ugotovi, da ne izpolnjuje več z zakonom predpisanih pogojev za imenovanje,</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nastopi položaj nezdružljivosti iz prvega odstavka prejšnjega člena ali</w:t>
      </w:r>
    </w:p>
    <w:p w:rsidR="00126F4C" w:rsidRPr="002F30DF" w:rsidRDefault="00126F4C" w:rsidP="00126F4C">
      <w:pPr>
        <w:pStyle w:val="Alineazaodstavkom"/>
        <w:numPr>
          <w:ilvl w:val="0"/>
          <w:numId w:val="99"/>
        </w:numPr>
        <w:spacing w:line="260" w:lineRule="atLeast"/>
        <w:rPr>
          <w:sz w:val="20"/>
          <w:szCs w:val="20"/>
        </w:rPr>
      </w:pPr>
      <w:r w:rsidRPr="002F30DF">
        <w:rPr>
          <w:sz w:val="20"/>
          <w:szCs w:val="20"/>
        </w:rPr>
        <w:t>če ne opravlja svojih nalog člana sveta, določenih v tem zakonu in poslovniku agencije, ali če jih opravlja nevestno ali nestrokovno.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Razlogi za predčasno razrešitev se ne smejo nanašati na pravilno opravljanje nalog ali pravilno izvajanje pooblastil v posamičnih zadevah iz pristojnosti agencije.</w:t>
      </w:r>
    </w:p>
    <w:p w:rsidR="00126F4C" w:rsidRPr="002F30DF" w:rsidRDefault="00126F4C" w:rsidP="00126F4C">
      <w:pPr>
        <w:pStyle w:val="Odstavek"/>
        <w:spacing w:before="0" w:line="260" w:lineRule="atLeast"/>
        <w:ind w:firstLine="0"/>
        <w:jc w:val="center"/>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Svet izvede postopek predčasne razrešitve člana sveta skladno s poslovnikom agencije. Član sveta, katerega razrešitev se predlaga, pri izvedbi tega postopka ne sme sodelovati.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sidDel="00F90ED8">
        <w:rPr>
          <w:sz w:val="20"/>
          <w:szCs w:val="20"/>
        </w:rPr>
        <w:t>(</w:t>
      </w:r>
      <w:r w:rsidRPr="002F30DF">
        <w:rPr>
          <w:sz w:val="20"/>
          <w:szCs w:val="20"/>
        </w:rPr>
        <w:t>4</w:t>
      </w:r>
      <w:r w:rsidRPr="002F30DF" w:rsidDel="00F90ED8">
        <w:rPr>
          <w:sz w:val="20"/>
          <w:szCs w:val="20"/>
        </w:rPr>
        <w:t>) Član</w:t>
      </w:r>
      <w:r w:rsidRPr="002F30DF">
        <w:rPr>
          <w:sz w:val="20"/>
          <w:szCs w:val="20"/>
        </w:rPr>
        <w:t>a</w:t>
      </w:r>
      <w:r w:rsidRPr="002F30DF" w:rsidDel="00F90ED8">
        <w:rPr>
          <w:sz w:val="20"/>
          <w:szCs w:val="20"/>
        </w:rPr>
        <w:t xml:space="preserve"> sveta predčasno razreši državni zbor na predlog vlade.</w:t>
      </w:r>
    </w:p>
    <w:p w:rsidR="00126F4C" w:rsidRPr="002F30DF" w:rsidDel="00F90ED8" w:rsidRDefault="00126F4C" w:rsidP="00126F4C">
      <w:pPr>
        <w:pStyle w:val="Odstavek"/>
        <w:spacing w:before="0" w:line="260" w:lineRule="atLeast"/>
        <w:ind w:firstLine="0"/>
        <w:rPr>
          <w:sz w:val="20"/>
          <w:szCs w:val="20"/>
        </w:rPr>
      </w:pPr>
    </w:p>
    <w:p w:rsidR="00126F4C" w:rsidRPr="002F30DF" w:rsidRDefault="00126F4C" w:rsidP="00014D09">
      <w:pPr>
        <w:pStyle w:val="Odstavek"/>
        <w:spacing w:before="0" w:line="260" w:lineRule="atLeast"/>
        <w:ind w:firstLine="0"/>
        <w:rPr>
          <w:sz w:val="20"/>
          <w:szCs w:val="20"/>
        </w:rPr>
      </w:pPr>
      <w:r w:rsidRPr="002F30DF">
        <w:rPr>
          <w:sz w:val="20"/>
          <w:szCs w:val="20"/>
        </w:rPr>
        <w:t>(5) Zoper odločitev o razrešitvi je dovoljen upravni spor.</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(sklic seje in odločanje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Svet odloča na sejah, ki jih sklicuje predsednik sveta na svojo pobudo ali na zahtevo vsaj dveh članov sveta.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(2) Svet veljavno odloča, če je na seji navzoča večina članov sveta. Svet sprejema odločitve po posvetovanju z glasovanjem na seji. Odločitev je sprejeta, če zanjo glasuje večina navzočih članov sveta.</w:t>
      </w:r>
    </w:p>
    <w:p w:rsidR="00126F4C" w:rsidRPr="002F30DF" w:rsidRDefault="00126F4C" w:rsidP="00126F4C">
      <w:pPr>
        <w:pStyle w:val="Poglavje"/>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(prejemki članov sveta, senata in prekrškovnega senata)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Člani sveta, senata in prekrškovnega senata so upravičeni do sejnin in povračil stroškov (v nadaljnjem besedilu: prejemki). Za prejemke se uporablja uredba, ki ureja sejnine in povračila stroškov v javnih agencijah</w:t>
      </w:r>
      <w:r w:rsidRPr="002F30DF">
        <w:rPr>
          <w:color w:val="000000"/>
          <w:sz w:val="20"/>
          <w:szCs w:val="20"/>
          <w:shd w:val="clear" w:color="auto" w:fill="FFFFFF"/>
        </w:rPr>
        <w:t>, ta se smiselno uporablja tudi za člane senata in prekrškovnega senata.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color w:val="000000"/>
          <w:sz w:val="20"/>
          <w:szCs w:val="20"/>
          <w:shd w:val="clear" w:color="auto" w:fill="FFFFFF"/>
        </w:rPr>
        <w:t>(2) Javni uslužbenci, zaposleni v agenciji, svoje delo v okviru sveta, senata in prekrškovnega senata opravljajo zunaj svojega rednega delovnega časa.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2.2. Direktor</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(pogoji za direktorja)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Za direktorja je lahko imenovana samo oseba, ki:</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1. je državljan Republike Slovenije,</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2. ima najmanj izobrazbo, pridobljeno po študijskih programih druge stopnje pravne ali ekonomske smeri, oziroma raven izobrazbe, ki skladno z zakonom ustreza izobrazbi druge stopnje pravne ali ekonomske smeri,</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3. ima najmanj 10 let delovnih izkušenj,</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4. je strokovnjak za varstvo konkurence in ima domače in/ali mednarodne izkušnje s tega področja (zlasti delovne izkušnje, objavljanje v strokovni literaturi in druge oblike strokovnega udejstvovanja na področju varstva konkurence),</w:t>
      </w:r>
      <w:r w:rsidRPr="002F30DF" w:rsidDel="00024277">
        <w:rPr>
          <w:sz w:val="20"/>
          <w:szCs w:val="20"/>
        </w:rPr>
        <w:t xml:space="preserve"> </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5. ima opravljen preizkus znanja za vodenje in odločanje v prekrškovnem postopku,</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6. ima opravljen strokovni izpit za vodenje upravnega postopka,</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7. ima znanje vsaj enega tujega jezika,</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8. ni v kazenskem postopku zaradi kaznivega dejanja, ki se preganja po uradni dolžnosti,</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t>9. ni bila pravnomočno obsojena zaradi kaznivega dejanja, ki se preganja po uradni dolžnosti, na zaporno kazen več kot šest mesecev in izvršitev kazni ni bila pogojno odložena in</w:t>
      </w:r>
    </w:p>
    <w:p w:rsidR="00126F4C" w:rsidRPr="002F30DF" w:rsidRDefault="00126F4C" w:rsidP="00126F4C">
      <w:pPr>
        <w:pStyle w:val="Alineazaodstavkom"/>
        <w:numPr>
          <w:ilvl w:val="0"/>
          <w:numId w:val="0"/>
        </w:numPr>
        <w:spacing w:line="260" w:lineRule="atLeast"/>
        <w:ind w:left="425"/>
        <w:rPr>
          <w:sz w:val="20"/>
          <w:szCs w:val="20"/>
        </w:rPr>
      </w:pPr>
      <w:r w:rsidRPr="002F30DF">
        <w:rPr>
          <w:sz w:val="20"/>
          <w:szCs w:val="20"/>
        </w:rPr>
        <w:lastRenderedPageBreak/>
        <w:t xml:space="preserve">10. predloži izjavo o interesih in povezavah iz </w:t>
      </w:r>
      <w:r w:rsidR="00014D09">
        <w:rPr>
          <w:sz w:val="20"/>
          <w:szCs w:val="20"/>
        </w:rPr>
        <w:t>20.</w:t>
      </w:r>
      <w:r w:rsidRPr="002F30DF">
        <w:rPr>
          <w:sz w:val="20"/>
          <w:szCs w:val="20"/>
        </w:rPr>
        <w:t xml:space="preserve"> člena tega zakona.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Direktor mora pogoja iz 5. in 6. točke prejšnjega odstavka izpolniti najpozneje v treh mesecih od nastopa mandata. Če omenjenih pogojev v roku iz prejšnjega stavka ne izpolni, mu prenehata mandat in delovno razmerje po zakonu.</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(3) Pogoji za imenovanje direktorja se podrobneje določijo v aktu o notranji organizaciji in sistemizaciji delovnih mest.</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(4) Prijavi na javni natečaj je treba predložiti program dela in razvoja agencije za naslednje mandatno obdobje.</w:t>
      </w: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(mandat in imenovanje direktorja)</w:t>
      </w:r>
    </w:p>
    <w:p w:rsidR="00126F4C" w:rsidRPr="002F30DF" w:rsidRDefault="00126F4C" w:rsidP="00126F4C">
      <w:pPr>
        <w:shd w:val="clear" w:color="auto" w:fill="FFFFFF"/>
        <w:overflowPunct/>
        <w:autoSpaceDE/>
        <w:autoSpaceDN/>
        <w:adjustRightInd/>
        <w:spacing w:before="240"/>
        <w:textAlignment w:val="auto"/>
        <w:rPr>
          <w:rFonts w:cs="Arial"/>
          <w:sz w:val="20"/>
          <w:szCs w:val="20"/>
        </w:rPr>
      </w:pPr>
      <w:r w:rsidRPr="002F30DF">
        <w:rPr>
          <w:rFonts w:cs="Arial"/>
          <w:sz w:val="20"/>
          <w:szCs w:val="20"/>
        </w:rPr>
        <w:t xml:space="preserve">(1) Direktorja imenuje državni zbor na predlog vlade. Minister oziroma ministrica, pristojen oziroma pristojna za varstvo konkurence (v nadaljnjem besedilu: minister) vladi predlaga kandidata, ki ga izbere po izvedenem javnem natečaju. </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(2) Direktor je imenovan za pet let in je lahko znova imenovan največ enkrat po ponovno izvedenem javnem natečaju.</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(3) Državni zbor glasuje o predlaganem kandidatu za direktorja v 30 dneh po vložitvi predloga. Predlagani kandidat je imenovan, če zanj glasuje večina navzočih poslancev. Če predlagani kandidat za direktorja ne dobi potrebne večine poslanskih glasov, predsednik državnega zbora o tem obvesti vlado, ki v 14 dneh sporoči predsedniku državnega zbora svojo odločitev o nadaljnjem postopku za izvolitev direktorja.</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 xml:space="preserve">(4) </w:t>
      </w:r>
      <w:r w:rsidRPr="002F30DF">
        <w:rPr>
          <w:rFonts w:cs="Arial"/>
          <w:sz w:val="20"/>
          <w:szCs w:val="20"/>
        </w:rPr>
        <w:t>Direktor opravlja svoj položaj na podlagi pogodbe o zaposlitvi z agencijo, ki jo z direktorjem sklene minister, pristojen za varstvo konkurence.</w:t>
      </w:r>
    </w:p>
    <w:p w:rsidR="00126F4C" w:rsidRPr="002F30DF" w:rsidRDefault="00126F4C" w:rsidP="00126F4C">
      <w:pPr>
        <w:pStyle w:val="odstavek0"/>
        <w:spacing w:before="0" w:beforeAutospacing="0" w:after="0" w:afterAutospacing="0" w:line="260" w:lineRule="atLeast"/>
        <w:jc w:val="both"/>
        <w:rPr>
          <w:rFonts w:ascii="Arial" w:hAnsi="Arial"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(pristojnosti in odgovornosti direktorja)</w:t>
      </w:r>
    </w:p>
    <w:p w:rsidR="00126F4C" w:rsidRPr="002F30DF" w:rsidRDefault="00126F4C" w:rsidP="00126F4C">
      <w:pPr>
        <w:pStyle w:val="Odstavek"/>
        <w:tabs>
          <w:tab w:val="left" w:pos="4380"/>
        </w:tabs>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Direktor zastopa in predstavlja agencijo, vodi njeno poslovanje in organizira njeno delo.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Direktor mora zagotoviti, da agencija:</w:t>
      </w:r>
    </w:p>
    <w:p w:rsidR="00126F4C" w:rsidRPr="002F30DF" w:rsidRDefault="00126F4C" w:rsidP="00126F4C">
      <w:pPr>
        <w:pStyle w:val="Alineazaodstavkom"/>
        <w:numPr>
          <w:ilvl w:val="0"/>
          <w:numId w:val="101"/>
        </w:numPr>
        <w:spacing w:line="260" w:lineRule="atLeast"/>
        <w:rPr>
          <w:sz w:val="20"/>
          <w:szCs w:val="20"/>
        </w:rPr>
      </w:pPr>
      <w:r w:rsidRPr="002F30DF">
        <w:rPr>
          <w:sz w:val="20"/>
          <w:szCs w:val="20"/>
        </w:rPr>
        <w:t>izvaja svoje pristojnosti in naloge, ki jih ima po tem ali drugem zakonu, ter</w:t>
      </w:r>
    </w:p>
    <w:p w:rsidR="00126F4C" w:rsidRPr="002F30DF" w:rsidRDefault="00126F4C" w:rsidP="00126F4C">
      <w:pPr>
        <w:pStyle w:val="Alineazaodstavkom"/>
        <w:numPr>
          <w:ilvl w:val="0"/>
          <w:numId w:val="101"/>
        </w:numPr>
        <w:spacing w:line="260" w:lineRule="atLeast"/>
        <w:rPr>
          <w:sz w:val="20"/>
          <w:szCs w:val="20"/>
        </w:rPr>
      </w:pPr>
      <w:r w:rsidRPr="002F30DF">
        <w:rPr>
          <w:sz w:val="20"/>
          <w:szCs w:val="20"/>
        </w:rPr>
        <w:lastRenderedPageBreak/>
        <w:t>posluje skladno s tem zakonom, ustanovitvenim aktom in poslovnikom.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Direktor vodi agencijo, vodi postopke, daje pooblastila za vodenje postopkov v zadevah iz pristojnosti agencije skladno s tem zakonom ter izdaja pravne akte v posamičnih zadevah iz pristojnosti agencije, razen če ni za izdajo pravnih aktov pristojen senat skladno s tem zakonom.</w:t>
      </w:r>
    </w:p>
    <w:p w:rsidR="00126F4C" w:rsidRPr="002F30DF" w:rsidRDefault="00126F4C" w:rsidP="00126F4C">
      <w:pPr>
        <w:pStyle w:val="odstavek0"/>
        <w:spacing w:before="0" w:beforeAutospacing="0" w:after="0" w:afterAutospacing="0" w:line="260" w:lineRule="atLeast"/>
        <w:rPr>
          <w:rFonts w:ascii="Arial" w:hAnsi="Arial"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(nezdružljivost)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Direktor ne more biti:</w:t>
      </w:r>
    </w:p>
    <w:p w:rsidR="00126F4C" w:rsidRPr="002F30DF" w:rsidRDefault="00126F4C" w:rsidP="00126F4C">
      <w:pPr>
        <w:pStyle w:val="Alineazaodstavkom"/>
        <w:numPr>
          <w:ilvl w:val="0"/>
          <w:numId w:val="102"/>
        </w:numPr>
        <w:spacing w:line="260" w:lineRule="atLeast"/>
        <w:rPr>
          <w:sz w:val="20"/>
          <w:szCs w:val="20"/>
        </w:rPr>
      </w:pPr>
      <w:r w:rsidRPr="002F30DF">
        <w:rPr>
          <w:sz w:val="20"/>
          <w:szCs w:val="20"/>
        </w:rPr>
        <w:t>funkcionar v izvršilni veji oblasti,</w:t>
      </w:r>
    </w:p>
    <w:p w:rsidR="00126F4C" w:rsidRPr="002F30DF" w:rsidRDefault="00126F4C" w:rsidP="00126F4C">
      <w:pPr>
        <w:pStyle w:val="Alineazaodstavkom"/>
        <w:numPr>
          <w:ilvl w:val="0"/>
          <w:numId w:val="102"/>
        </w:numPr>
        <w:spacing w:line="260" w:lineRule="atLeast"/>
        <w:rPr>
          <w:sz w:val="20"/>
          <w:szCs w:val="20"/>
        </w:rPr>
      </w:pPr>
      <w:r w:rsidRPr="002F30DF">
        <w:rPr>
          <w:sz w:val="20"/>
          <w:szCs w:val="20"/>
        </w:rPr>
        <w:t>funkcionar v zakonodajni veji oblasti,</w:t>
      </w:r>
    </w:p>
    <w:p w:rsidR="00126F4C" w:rsidRPr="002F30DF" w:rsidRDefault="00126F4C" w:rsidP="00126F4C">
      <w:pPr>
        <w:pStyle w:val="Alineazaodstavkom"/>
        <w:numPr>
          <w:ilvl w:val="0"/>
          <w:numId w:val="102"/>
        </w:numPr>
        <w:spacing w:line="260" w:lineRule="atLeast"/>
        <w:rPr>
          <w:sz w:val="20"/>
          <w:szCs w:val="20"/>
        </w:rPr>
      </w:pPr>
      <w:r w:rsidRPr="002F30DF">
        <w:rPr>
          <w:sz w:val="20"/>
          <w:szCs w:val="20"/>
        </w:rPr>
        <w:t>funkcionar v sodni veji oblasti,</w:t>
      </w:r>
    </w:p>
    <w:p w:rsidR="00126F4C" w:rsidRPr="002F30DF" w:rsidRDefault="00126F4C" w:rsidP="00126F4C">
      <w:pPr>
        <w:pStyle w:val="Alineazaodstavkom"/>
        <w:numPr>
          <w:ilvl w:val="0"/>
          <w:numId w:val="102"/>
        </w:numPr>
        <w:spacing w:line="260" w:lineRule="atLeast"/>
        <w:rPr>
          <w:sz w:val="20"/>
          <w:szCs w:val="20"/>
        </w:rPr>
      </w:pPr>
      <w:r w:rsidRPr="002F30DF">
        <w:rPr>
          <w:sz w:val="20"/>
          <w:szCs w:val="20"/>
        </w:rPr>
        <w:t>funkcionar v drugih državnih organih in lokalnih skupnostih,</w:t>
      </w:r>
    </w:p>
    <w:p w:rsidR="00126F4C" w:rsidRPr="002F30DF" w:rsidRDefault="00126F4C" w:rsidP="00126F4C">
      <w:pPr>
        <w:pStyle w:val="Alineazaodstavkom"/>
        <w:numPr>
          <w:ilvl w:val="0"/>
          <w:numId w:val="102"/>
        </w:numPr>
        <w:spacing w:line="260" w:lineRule="atLeast"/>
        <w:rPr>
          <w:sz w:val="20"/>
          <w:szCs w:val="20"/>
        </w:rPr>
      </w:pPr>
      <w:r w:rsidRPr="002F30DF">
        <w:rPr>
          <w:sz w:val="20"/>
          <w:szCs w:val="20"/>
        </w:rPr>
        <w:t>član vodstva ali organa politične stranke,</w:t>
      </w:r>
    </w:p>
    <w:p w:rsidR="00126F4C" w:rsidRPr="002F30DF" w:rsidRDefault="00126F4C" w:rsidP="00126F4C">
      <w:pPr>
        <w:pStyle w:val="Alineazaodstavkom"/>
        <w:numPr>
          <w:ilvl w:val="0"/>
          <w:numId w:val="102"/>
        </w:numPr>
        <w:spacing w:line="260" w:lineRule="atLeast"/>
        <w:rPr>
          <w:sz w:val="20"/>
          <w:szCs w:val="20"/>
        </w:rPr>
      </w:pPr>
      <w:r w:rsidRPr="002F30DF">
        <w:rPr>
          <w:sz w:val="20"/>
          <w:szCs w:val="20"/>
        </w:rPr>
        <w:t>oseba, za katero obstaja možnost navzkrižja interesov med njenimi zasebnimi interesi in javnimi interesi, ki jih uresničuje agencija.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spacing w:before="0" w:line="260" w:lineRule="atLeast"/>
        <w:jc w:val="both"/>
        <w:rPr>
          <w:b w:val="0"/>
          <w:sz w:val="20"/>
          <w:szCs w:val="20"/>
        </w:rPr>
      </w:pPr>
      <w:r w:rsidRPr="002F30DF">
        <w:rPr>
          <w:b w:val="0"/>
          <w:sz w:val="20"/>
          <w:szCs w:val="20"/>
        </w:rPr>
        <w:t>(2) Direktor mora svoj položaj uskladiti s prejšnjim odstavkom v enem mesecu po imenovanju, v nasprotnem primeru s potekom tega roka prenehata veljati sklep državnega zbora o imenovanju in pogodba o zaposlitvi.</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(predčasna razrešitev direktorja)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Direktorja se predčasno razreši:</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t>če to sam zahteva,</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t>če trajno izgubi delovno zmožnost za opravljanje dela,</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t>če krši obveznost varovanja zaupnih podatkov, določeno v tem ali drugem zakonu,</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t>če huje krši poslovnik agencije,</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t>če se ugotovi, da ne izpolnjuje več z zakonom predpisanih pogojev za imenovanje,</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t xml:space="preserve">če nastopi položaj nezdružljivosti iz prejšnjega člena ali </w:t>
      </w:r>
    </w:p>
    <w:p w:rsidR="00126F4C" w:rsidRPr="002F30DF" w:rsidRDefault="00126F4C" w:rsidP="00126F4C">
      <w:pPr>
        <w:pStyle w:val="Alineazaodstavkom"/>
        <w:numPr>
          <w:ilvl w:val="0"/>
          <w:numId w:val="96"/>
        </w:numPr>
        <w:spacing w:line="260" w:lineRule="atLeast"/>
        <w:rPr>
          <w:sz w:val="20"/>
          <w:szCs w:val="20"/>
        </w:rPr>
      </w:pPr>
      <w:r w:rsidRPr="002F30DF">
        <w:rPr>
          <w:sz w:val="20"/>
          <w:szCs w:val="20"/>
        </w:rPr>
        <w:lastRenderedPageBreak/>
        <w:t>če ne opravlja svojih nalog direktorja, določenih v tem zakonu ali če jih opravlja nevestno ali nestrokovno.</w:t>
      </w:r>
    </w:p>
    <w:p w:rsidR="00126F4C" w:rsidRPr="002F30DF" w:rsidRDefault="00126F4C" w:rsidP="00126F4C">
      <w:pPr>
        <w:pStyle w:val="Alineazaodstavkom"/>
        <w:numPr>
          <w:ilvl w:val="0"/>
          <w:numId w:val="0"/>
        </w:numPr>
        <w:spacing w:line="260" w:lineRule="atLeast"/>
        <w:rPr>
          <w:sz w:val="20"/>
          <w:szCs w:val="20"/>
        </w:rPr>
      </w:pPr>
    </w:p>
    <w:p w:rsidR="00126F4C" w:rsidRPr="002F30DF" w:rsidRDefault="00126F4C" w:rsidP="00126F4C">
      <w:pPr>
        <w:pStyle w:val="Alineazaodstavkom"/>
        <w:numPr>
          <w:ilvl w:val="0"/>
          <w:numId w:val="0"/>
        </w:numPr>
        <w:spacing w:line="260" w:lineRule="atLeast"/>
        <w:rPr>
          <w:sz w:val="20"/>
          <w:szCs w:val="20"/>
        </w:rPr>
      </w:pPr>
      <w:r w:rsidRPr="002F30DF">
        <w:rPr>
          <w:sz w:val="20"/>
          <w:szCs w:val="20"/>
        </w:rPr>
        <w:t>(2) Razlogi za predčasno razrešitev se ne smejo nanašati na pravilno opravljanje nalog ali pravilno izvajanje pooblastil v posamičnih zadevah iz pristojnosti agencije.</w:t>
      </w:r>
    </w:p>
    <w:p w:rsidR="00126F4C" w:rsidRPr="002F30DF" w:rsidRDefault="00126F4C" w:rsidP="00126F4C">
      <w:pPr>
        <w:pStyle w:val="Alineazaodstavkom"/>
        <w:numPr>
          <w:ilvl w:val="0"/>
          <w:numId w:val="0"/>
        </w:numPr>
        <w:tabs>
          <w:tab w:val="left" w:pos="4002"/>
          <w:tab w:val="left" w:pos="4588"/>
        </w:tabs>
        <w:spacing w:line="260" w:lineRule="atLeast"/>
        <w:rPr>
          <w:sz w:val="20"/>
          <w:szCs w:val="20"/>
        </w:rPr>
      </w:pPr>
      <w:r w:rsidRPr="002F30DF">
        <w:rPr>
          <w:sz w:val="20"/>
          <w:szCs w:val="20"/>
        </w:rPr>
        <w:tab/>
      </w:r>
      <w:r w:rsidRPr="002F30DF">
        <w:rPr>
          <w:sz w:val="20"/>
          <w:szCs w:val="20"/>
        </w:rPr>
        <w:tab/>
      </w:r>
    </w:p>
    <w:p w:rsidR="00126F4C" w:rsidRPr="002F30DF" w:rsidRDefault="00126F4C" w:rsidP="00126F4C">
      <w:pPr>
        <w:pStyle w:val="Alineazaodstavkom"/>
        <w:numPr>
          <w:ilvl w:val="0"/>
          <w:numId w:val="0"/>
        </w:numPr>
        <w:tabs>
          <w:tab w:val="left" w:pos="4002"/>
          <w:tab w:val="left" w:pos="4588"/>
        </w:tabs>
        <w:spacing w:line="260" w:lineRule="atLeast"/>
        <w:rPr>
          <w:sz w:val="20"/>
          <w:szCs w:val="20"/>
        </w:rPr>
      </w:pPr>
      <w:r w:rsidRPr="002F30DF">
        <w:rPr>
          <w:sz w:val="20"/>
          <w:szCs w:val="20"/>
          <w:lang w:eastAsia="en-GB"/>
        </w:rPr>
        <w:t>(3) Direktorja predčasno razreši državni zbor na predlog vlade.</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(4) Za izvedbo postopka predčasne razrešitve direktorja, ki je določen s poslovnikom agencije, je pristojen svet. Direktor pri izvedbi tega postopka ne sme sodelovati.</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(5) Zoper odločitev o razrešitvi je dovoljen upravni spor.</w:t>
      </w:r>
    </w:p>
    <w:p w:rsidR="00126F4C" w:rsidRPr="002F30DF" w:rsidRDefault="00126F4C" w:rsidP="00126F4C">
      <w:pPr>
        <w:shd w:val="clear" w:color="auto" w:fill="FFFFFF"/>
        <w:overflowPunct/>
        <w:autoSpaceDE/>
        <w:autoSpaceDN/>
        <w:adjustRightInd/>
        <w:spacing w:before="240"/>
        <w:textAlignment w:val="auto"/>
        <w:rPr>
          <w:rFonts w:cs="Arial"/>
          <w:sz w:val="20"/>
          <w:szCs w:val="20"/>
          <w:lang w:eastAsia="en-GB"/>
        </w:rPr>
      </w:pPr>
      <w:r w:rsidRPr="002F30DF">
        <w:rPr>
          <w:rFonts w:cs="Arial"/>
          <w:sz w:val="20"/>
          <w:szCs w:val="20"/>
          <w:lang w:eastAsia="en-GB"/>
        </w:rPr>
        <w:t>(6) Če je direktor predčasno razrešen, vlada do imenovanja novega direktorja, vendar največ za šest mesecev, ne glede na določbe tega zakona imenuje vršilca dolžnosti direktorja.</w:t>
      </w:r>
    </w:p>
    <w:p w:rsidR="00126F4C" w:rsidRPr="002F30DF" w:rsidRDefault="00126F4C" w:rsidP="00126F4C">
      <w:pPr>
        <w:pStyle w:val="Poglavje"/>
        <w:spacing w:before="0" w:line="260" w:lineRule="atLeast"/>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3. Pristojnost odločanja agencije v posamičnih zadevah v upravnem postopku</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(organ postopka)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Organ postopka odločanja o posamičnih zadevah v upravnem postopku je senat.</w:t>
      </w:r>
      <w:r w:rsidRPr="002F30DF" w:rsidDel="00013A7F">
        <w:rPr>
          <w:sz w:val="20"/>
          <w:szCs w:val="20"/>
        </w:rPr>
        <w:t xml:space="preserv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Člani senata in drugi zaposleni v agenciji na področju varstva konkurence ne smejo izvajati nalog, ki so nezdružljive z opravljanjem njihovih nalog in izvajanjem njihovih pooblastil.</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Predsednik in člani senata ter javni uslužbenci, zaposleni v agenciji, ki opravljajo posamezna dejanja v postopkih odločanja o posamičnih zadevah, za katere je pristojna agencija po tem zakonu, ne odgovarjajo za škodo, ki jo povzročijo strankam ali drugim osebam pri opravljanju dejanj v teh postopkih, razen če je škoda povzročena namenoma ali iz hude malomarnosti.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(pristojnosti in sestava senata)</w:t>
      </w:r>
    </w:p>
    <w:p w:rsidR="00126F4C" w:rsidRPr="002F30DF" w:rsidRDefault="00126F4C" w:rsidP="00126F4C">
      <w:pPr>
        <w:pStyle w:val="lennaslov"/>
        <w:spacing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color w:val="000000"/>
          <w:sz w:val="20"/>
          <w:szCs w:val="20"/>
          <w:shd w:val="clear" w:color="auto" w:fill="FFFFFF"/>
        </w:rPr>
        <w:lastRenderedPageBreak/>
        <w:t>(1) Senat sestavljajo vsi člani sveta, od katerih je eden predsednik senata. Predsednik senata za odločanje v posamični zadevi se določi na način, določen v poslovniku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Senat odloča o posamičnih zadevah iz pristojnosti agencije v upravnem postopku, v katerih se po tem zakonu izdajo akti, s katerimi se postopek pred agencijo konča. Senat v okviru teh postopkov, če tako določa ta zakon, odloča tudi o administrativnem sankcioniranju podjetij.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Postopek do izdaje odločbe vodi javni uslužbenec, ki je zaposlen v agenciji, izpolnjuje pogoje za vodenje postopka in ga za to pooblasti direktor. Javni uslužbenec, ki je vodil postopek, predloži senatu pisno poročilo in predlog odločbe.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Javnemu uslužbencu, zaposlenemu v agenciji, ki vodi postopek do izdaje odločbe ali opravlja naloge v senatu, se pogodba o zaposlitvi ne sme odpovedati zaradi pravilnega opravljanja njegovih nalog.</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Javnemu uslužbencu, zaposlenemu v agenciji, ki vodi postopek do izdaje odločbe ali opravlja naloge v senatu, se pogodba o zaposlitvi odpove, če ne izpolnjuje več pogojev, ki se zahtevajo za opravljanje njegovih nalog, ali če je storil hujšo kršitev pogodbene obveznosti ali druge obveznosti iz delovnega razmerja.</w:t>
      </w:r>
    </w:p>
    <w:p w:rsidR="00126F4C" w:rsidRPr="002F30DF" w:rsidRDefault="00126F4C" w:rsidP="00126F4C">
      <w:pPr>
        <w:pStyle w:val="len0"/>
        <w:spacing w:before="0" w:beforeAutospacing="0" w:after="0" w:afterAutospacing="0" w:line="260" w:lineRule="atLeast"/>
        <w:jc w:val="both"/>
        <w:rPr>
          <w:rFonts w:ascii="Arial" w:hAnsi="Arial"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(seja senata)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Senat sprejema odločitve po posvetovanju z glasovanjem na seji, ki ni javna. Sejo senata skliče predsednik senata na svojo pobudo ali na zahtevo direktorja. Zahteva mora biti obrazložena.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Senat veljavno odloča, če je na seji navzoča večina vseh članov senata.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Predsednik senata vodi posvetovanje in glasovanje ter glasuje zadnji.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Člani senata ne smejo odkloniti glasovanja o vprašanjih, ki jih postavi predsednik senata.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(5) Odločitev je veljavno sprejeta, če zanjo glasuje večina prisotnih članov senata. Če je izid glasovanja neodločen, odloči glas predsednika senata.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(zapisnik o posvetovanju in glasovanju)</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 posvetovanju in glasovanju se sestavi zapisnik.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Zapisnik o posvetovanju in glasovanju obsega potek glasovanja in sprejeti akt.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Posebna mnenja se priložijo zapisniku o posvetovanju in glasovanju, če niso vpisana v zapisniku.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Zapisnik podpišejo vsi člani senata in zapisnikar.</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Zapisnik o posvetovanju in glasovanju se zapre v poseben ovitek. Vpogled v zapisnik je dovoljen samo pristojnim sodiščem, ki odločajo v postopku sodnega varstva zoper akte agencije. V tem primeru pristojno sodišče zapisnik po odprtju znova zapre v poseben ovitek in na ovitku označi, da je zapisnik pregledalo.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4. Pristojnost odločanja agencije o posamičnih zadevah v prekrškovnem postopku</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(odločanje v prekrškovnem postopku)</w:t>
      </w:r>
    </w:p>
    <w:p w:rsidR="00126F4C" w:rsidRPr="002F30DF" w:rsidRDefault="00126F4C" w:rsidP="00126F4C">
      <w:pPr>
        <w:pStyle w:val="Odstavek"/>
        <w:spacing w:line="260" w:lineRule="atLeast"/>
        <w:ind w:firstLine="0"/>
        <w:rPr>
          <w:sz w:val="20"/>
          <w:szCs w:val="20"/>
        </w:rPr>
      </w:pPr>
      <w:r w:rsidRPr="002F30DF">
        <w:rPr>
          <w:sz w:val="20"/>
          <w:szCs w:val="20"/>
        </w:rPr>
        <w:t>(1) V prekrškovnem postopku odloča o posamičnih zadevah iz pristojnosti agencije, v katerih se izdajajo akti, s katerimi se postopek pred agencijo konča, senat treh članov (v nadaljnjem besedilu: prekrškovni senat). Na zahtevo direktorja svet imenuje za vsako posamično zadevo prekrškovni senat izmed članov sveta in javnih uslužbencev, zaposlenih v agenciji, na način, določen s poslovnikom agencije. Člani prekrškovnega senata morajo izpolnjevati pogoje po zakonu, ki ureja prekrške. Eden izmed članov prekrškovnega senata je predsednik prekrškovnega senata, ki se določi na način, določen s poslovnikom agencije.</w:t>
      </w:r>
    </w:p>
    <w:p w:rsidR="00126F4C" w:rsidRPr="002F30DF" w:rsidRDefault="00126F4C" w:rsidP="00126F4C">
      <w:pPr>
        <w:pStyle w:val="Odstavek"/>
        <w:spacing w:line="260" w:lineRule="atLeast"/>
        <w:ind w:firstLine="0"/>
        <w:rPr>
          <w:sz w:val="20"/>
          <w:szCs w:val="20"/>
        </w:rPr>
      </w:pPr>
      <w:r w:rsidRPr="002F30DF">
        <w:rPr>
          <w:sz w:val="20"/>
          <w:szCs w:val="20"/>
        </w:rPr>
        <w:t>(2) Sejo prekrškovnega senata skliče njegov predsednik. Prekrškovni senat sprejema odločbe po posvetovanju z glasovanjem na seji, ki ni javna. Predsednik prekrškovnega senata vodi posvetovanje in glasovanje ter glasuje zadnji.</w:t>
      </w:r>
    </w:p>
    <w:p w:rsidR="00126F4C" w:rsidRPr="002F30DF" w:rsidRDefault="00126F4C" w:rsidP="00126F4C">
      <w:pPr>
        <w:pStyle w:val="Odstavek"/>
        <w:spacing w:after="240" w:line="260" w:lineRule="atLeast"/>
        <w:ind w:firstLine="0"/>
        <w:rPr>
          <w:sz w:val="20"/>
          <w:szCs w:val="20"/>
        </w:rPr>
      </w:pPr>
      <w:r w:rsidRPr="002F30DF">
        <w:rPr>
          <w:sz w:val="20"/>
          <w:szCs w:val="20"/>
        </w:rPr>
        <w:lastRenderedPageBreak/>
        <w:t>(3) Postopek do izdaje odločbe vodi javni uslužbenec, zaposlen v agenciji, ki ima pooblastilo direktorja za vodenje postopka ter izpolnjuje pogoje po zakonu, ki ureja prekrške. Javni uslužbenec, ki je vodil postopek, predloži senatu za odločanje pisno poročilo in predlog odločbe.</w:t>
      </w:r>
    </w:p>
    <w:p w:rsidR="00126F4C" w:rsidRPr="002F30DF" w:rsidRDefault="00126F4C" w:rsidP="00126F4C">
      <w:pPr>
        <w:pStyle w:val="Odstavek"/>
        <w:spacing w:after="240" w:line="260" w:lineRule="atLeast"/>
        <w:ind w:firstLine="0"/>
        <w:rPr>
          <w:sz w:val="20"/>
          <w:szCs w:val="20"/>
        </w:rPr>
      </w:pPr>
      <w:r w:rsidRPr="002F30DF">
        <w:rPr>
          <w:sz w:val="20"/>
          <w:szCs w:val="20"/>
        </w:rPr>
        <w:t>(4) Javnemu uslužbencu, zaposlenemu v agenciji, ki vodi postopek do izdaje odločbe ali opravlja naloge v senatu, se pogodba o zaposlitvi ne sme odpovedati zaradi pravilnega opravljanja njegovih nalog.</w:t>
      </w:r>
    </w:p>
    <w:p w:rsidR="00126F4C" w:rsidRPr="002F30DF" w:rsidRDefault="00126F4C" w:rsidP="00126F4C">
      <w:pPr>
        <w:pStyle w:val="Odstavek"/>
        <w:spacing w:after="240" w:line="260" w:lineRule="atLeast"/>
        <w:ind w:firstLine="0"/>
        <w:rPr>
          <w:sz w:val="20"/>
          <w:szCs w:val="20"/>
        </w:rPr>
      </w:pPr>
      <w:r w:rsidRPr="002F30DF">
        <w:rPr>
          <w:sz w:val="20"/>
          <w:szCs w:val="20"/>
        </w:rPr>
        <w:t>(5) Javnemu uslužbencu, zaposlenemu v agenciji, ki vodi postopek do izdaje odločbe ali opravlja naloge v senatu, se pogodba o zaposlitvi odpove, če ne izpolnjuje več pogojev, ki se zahtevajo za opravljanje njegovih nalog, ali če je storil hujšo kršitev pogodbene obveznosti ali druge obveznosti iz delovnega razmerja.</w:t>
      </w:r>
    </w:p>
    <w:p w:rsidR="00126F4C" w:rsidRPr="002F30DF" w:rsidRDefault="00126F4C" w:rsidP="00126F4C">
      <w:pPr>
        <w:pStyle w:val="Odstavek"/>
        <w:spacing w:after="240" w:line="260" w:lineRule="atLeast"/>
        <w:ind w:firstLine="0"/>
        <w:rPr>
          <w:sz w:val="20"/>
          <w:szCs w:val="20"/>
        </w:rPr>
      </w:pPr>
      <w:r w:rsidRPr="002F30DF">
        <w:rPr>
          <w:sz w:val="20"/>
          <w:szCs w:val="20"/>
        </w:rPr>
        <w:t>(6) Člani prekrškovnega senata ne smejo odkloniti glasovanja o vprašanjih, ki jih postavi predsednik prekrškovnega senata.</w:t>
      </w:r>
    </w:p>
    <w:p w:rsidR="00126F4C" w:rsidRPr="002F30DF" w:rsidRDefault="00126F4C" w:rsidP="00126F4C">
      <w:pPr>
        <w:pStyle w:val="Odstavek"/>
        <w:spacing w:before="0" w:after="240" w:line="260" w:lineRule="atLeast"/>
        <w:ind w:firstLine="0"/>
        <w:rPr>
          <w:sz w:val="20"/>
          <w:szCs w:val="20"/>
        </w:rPr>
      </w:pPr>
      <w:r w:rsidRPr="002F30DF">
        <w:rPr>
          <w:sz w:val="20"/>
          <w:szCs w:val="20"/>
        </w:rPr>
        <w:t>(7) Odločitev je veljavno sprejeta, če zanjo glasuje večina članov prekrškovnega senata.</w:t>
      </w:r>
    </w:p>
    <w:p w:rsidR="00126F4C" w:rsidRPr="002F30DF" w:rsidRDefault="00126F4C" w:rsidP="00126F4C">
      <w:pPr>
        <w:pStyle w:val="Odstavek"/>
        <w:spacing w:before="0" w:line="260" w:lineRule="atLeast"/>
        <w:ind w:firstLine="0"/>
        <w:rPr>
          <w:sz w:val="20"/>
          <w:szCs w:val="20"/>
        </w:rPr>
      </w:pPr>
      <w:r w:rsidRPr="002F30DF">
        <w:rPr>
          <w:sz w:val="20"/>
          <w:szCs w:val="20"/>
        </w:rPr>
        <w:t>(8) Za odločanje v prekrškovnem postopku se uporabljajo drugi in tretji odstavek 31. člena in 34. člen tega zakona.</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spacing w:before="0" w:line="260" w:lineRule="atLeast"/>
        <w:rPr>
          <w:b w:val="0"/>
          <w:sz w:val="20"/>
          <w:szCs w:val="20"/>
        </w:rPr>
      </w:pPr>
      <w:r w:rsidRPr="002F30DF">
        <w:rPr>
          <w:b w:val="0"/>
          <w:sz w:val="20"/>
          <w:szCs w:val="20"/>
        </w:rPr>
        <w:t>5. Ravnanje s podatki</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(dolžnost varovanja zaupnih podatkov)</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w:t>
      </w:r>
      <w:r w:rsidRPr="002F30DF">
        <w:rPr>
          <w:color w:val="000000"/>
          <w:sz w:val="20"/>
          <w:szCs w:val="20"/>
          <w:shd w:val="clear" w:color="auto" w:fill="FFFFFF"/>
        </w:rPr>
        <w:t>Javni uslužbenci</w:t>
      </w:r>
      <w:r w:rsidRPr="002F30DF">
        <w:rPr>
          <w:sz w:val="20"/>
          <w:szCs w:val="20"/>
        </w:rPr>
        <w:t>, zaposleni v agenciji, osebe, ki so imenovane v organe agencije, in osebe, ki sodelujejo z agencijo pri izvajanju nalog na podlagi tega zakona in pri tem pridejo v stik z zaupnimi podatki, morajo te podatke varovati kot zaupne. Dolžnost varovanja zaupnih podatkov velja tudi po prenehanju delovnega ali drugega razmerja, na podlagi katerega oseba sodeluje z agencijo pri izvajanju nalog na podlagi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Osebe, navedene v prejšnjem odstavku, lahko skladno z opredelitvijo pojma obdelava osebnih podatkov v zakonu, ki ureja varstvo osebnih podatkov, obdelujejo osebne podatke in zbirke osebnih podatkov, ki so potrebni za izvajanje nalog po tem zakonu.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(3) Podatki, pridobljeni v skladu s tem zakonom, se smejo obdelovati le za namene, določene s tem zakonom.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(razkritje podatkov)</w:t>
      </w:r>
    </w:p>
    <w:p w:rsidR="00126F4C" w:rsidRPr="002F30DF" w:rsidRDefault="00126F4C" w:rsidP="00126F4C">
      <w:pPr>
        <w:pStyle w:val="odstavek0"/>
        <w:shd w:val="clear" w:color="auto" w:fill="FFFFFF"/>
        <w:spacing w:before="240" w:beforeAutospacing="0" w:after="0" w:afterAutospacing="0" w:line="240" w:lineRule="atLeast"/>
        <w:jc w:val="both"/>
        <w:rPr>
          <w:rFonts w:ascii="Arial" w:hAnsi="Arial" w:cs="Arial"/>
          <w:sz w:val="20"/>
          <w:szCs w:val="20"/>
        </w:rPr>
      </w:pPr>
      <w:r w:rsidRPr="002F30DF">
        <w:rPr>
          <w:rFonts w:ascii="Arial" w:hAnsi="Arial" w:cs="Arial"/>
          <w:sz w:val="20"/>
          <w:szCs w:val="20"/>
        </w:rPr>
        <w:t>(1) Agencija lahko upravnim organom, drugim državnim organom in nosilcem javnih pooblastil na podlagi obrazloženega pisnega zahtevka predstojnika ali z njegove strani pooblaščene osebe, iz katerega mora biti jasno razviden namen zahtevka, razkrije podatke, s katerimi razpolaga, za izvajanje njihovih z zakonom predpisanih pristojnosti.</w:t>
      </w:r>
    </w:p>
    <w:p w:rsidR="00126F4C" w:rsidRPr="002F30DF" w:rsidRDefault="00126F4C" w:rsidP="00126F4C">
      <w:pPr>
        <w:pStyle w:val="odstavek0"/>
        <w:shd w:val="clear" w:color="auto" w:fill="FFFFFF"/>
        <w:spacing w:before="240" w:beforeAutospacing="0" w:after="0" w:afterAutospacing="0" w:line="240" w:lineRule="atLeast"/>
        <w:jc w:val="both"/>
        <w:rPr>
          <w:rFonts w:ascii="Arial" w:hAnsi="Arial" w:cs="Arial"/>
          <w:sz w:val="20"/>
          <w:szCs w:val="20"/>
        </w:rPr>
      </w:pPr>
      <w:r w:rsidRPr="002F30DF">
        <w:rPr>
          <w:rFonts w:ascii="Arial" w:hAnsi="Arial" w:cs="Arial"/>
          <w:sz w:val="20"/>
          <w:szCs w:val="20"/>
        </w:rPr>
        <w:t>(2) Agencija razkrije podatke tudi:</w:t>
      </w:r>
    </w:p>
    <w:p w:rsidR="00126F4C" w:rsidRPr="002F30DF" w:rsidRDefault="00126F4C" w:rsidP="00126F4C">
      <w:pPr>
        <w:pStyle w:val="tevilnatoka0"/>
        <w:shd w:val="clear" w:color="auto" w:fill="FFFFFF"/>
        <w:spacing w:before="0" w:beforeAutospacing="0" w:after="0" w:afterAutospacing="0" w:line="240" w:lineRule="atLeast"/>
        <w:ind w:left="425" w:hanging="425"/>
        <w:jc w:val="both"/>
        <w:rPr>
          <w:rFonts w:ascii="Arial" w:hAnsi="Arial" w:cs="Arial"/>
          <w:sz w:val="20"/>
          <w:szCs w:val="20"/>
        </w:rPr>
      </w:pPr>
      <w:r w:rsidRPr="002F30DF">
        <w:rPr>
          <w:rFonts w:ascii="Arial" w:hAnsi="Arial" w:cs="Arial"/>
          <w:sz w:val="20"/>
          <w:szCs w:val="20"/>
        </w:rPr>
        <w:t>1.     Evropski komisiji in organom držav članic EU, pristojnim za varstvo konkurence, v skladu s postopkom iz Uredbe 1/2003/ES;</w:t>
      </w:r>
    </w:p>
    <w:p w:rsidR="00126F4C" w:rsidRPr="002F30DF" w:rsidRDefault="00126F4C" w:rsidP="00126F4C">
      <w:pPr>
        <w:pStyle w:val="tevilnatoka0"/>
        <w:shd w:val="clear" w:color="auto" w:fill="FFFFFF"/>
        <w:spacing w:before="0" w:beforeAutospacing="0" w:after="0" w:afterAutospacing="0" w:line="240" w:lineRule="atLeast"/>
        <w:ind w:left="425" w:hanging="425"/>
        <w:jc w:val="both"/>
        <w:rPr>
          <w:rFonts w:ascii="Arial" w:hAnsi="Arial" w:cs="Arial"/>
          <w:sz w:val="20"/>
          <w:szCs w:val="20"/>
        </w:rPr>
      </w:pPr>
      <w:r w:rsidRPr="002F30DF">
        <w:rPr>
          <w:rFonts w:ascii="Arial" w:hAnsi="Arial" w:cs="Arial"/>
          <w:sz w:val="20"/>
          <w:szCs w:val="20"/>
        </w:rPr>
        <w:t>2.     pooblaščenim organom tujih držav, če je tako določeno v mednarodnih pogodbah, ki obvezujejo Republiko Slovenijo.</w:t>
      </w:r>
    </w:p>
    <w:p w:rsidR="00126F4C" w:rsidRPr="002F30DF" w:rsidRDefault="00126F4C" w:rsidP="00126F4C">
      <w:pPr>
        <w:pStyle w:val="odstavek0"/>
        <w:shd w:val="clear" w:color="auto" w:fill="FFFFFF"/>
        <w:spacing w:before="240" w:beforeAutospacing="0" w:after="0" w:afterAutospacing="0" w:line="240" w:lineRule="atLeast"/>
        <w:jc w:val="both"/>
        <w:rPr>
          <w:rFonts w:ascii="Arial" w:hAnsi="Arial" w:cs="Arial"/>
          <w:sz w:val="20"/>
          <w:szCs w:val="20"/>
        </w:rPr>
      </w:pPr>
      <w:r w:rsidRPr="002F30DF">
        <w:rPr>
          <w:rFonts w:ascii="Arial" w:hAnsi="Arial" w:cs="Arial"/>
          <w:sz w:val="20"/>
          <w:szCs w:val="20"/>
        </w:rPr>
        <w:t>(3) Agencija razkrije pristojnim organom podatke, potrebne za izvršbo po tem zakonu.</w:t>
      </w:r>
    </w:p>
    <w:p w:rsidR="00126F4C" w:rsidRPr="002F30DF" w:rsidRDefault="00126F4C" w:rsidP="00126F4C">
      <w:pPr>
        <w:pStyle w:val="odstavek0"/>
        <w:shd w:val="clear" w:color="auto" w:fill="FFFFFF"/>
        <w:spacing w:before="240" w:beforeAutospacing="0" w:after="0" w:afterAutospacing="0"/>
        <w:jc w:val="both"/>
        <w:rPr>
          <w:rFonts w:ascii="Arial" w:hAnsi="Arial" w:cs="Arial"/>
          <w:sz w:val="20"/>
          <w:szCs w:val="20"/>
        </w:rPr>
      </w:pPr>
      <w:r w:rsidRPr="002F30DF">
        <w:rPr>
          <w:rFonts w:ascii="Arial" w:hAnsi="Arial" w:cs="Arial"/>
          <w:sz w:val="20"/>
          <w:szCs w:val="20"/>
        </w:rPr>
        <w:t>(4) Ne glede na zakon, ki ureja dostop do informacij javnega značaja, agencija prosilcu za dostop do informacij javnega značaja zavrne dostop do podatkov, ki se nanašajo na tajnost vira, in do zaupnih podatkov podjetij.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b w:val="0"/>
          <w:sz w:val="20"/>
          <w:szCs w:val="20"/>
        </w:rPr>
        <w:t xml:space="preserve"> </w:t>
      </w: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(sodelovanje z agencijo)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Za izvajanje nalog po tem zakonu morajo državni organi, organi lokalnih skupnosti, nosilci javnih pooblastil ter druge osebe in organizacije, ki razpolagajo s podatki, potrebnimi za odločitev, agenciji na njeno zahtevo brezplačno predložiti zahtevane podatke.</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V. DEL</w:t>
      </w:r>
      <w:r w:rsidRPr="002F30DF">
        <w:rPr>
          <w:sz w:val="20"/>
          <w:szCs w:val="20"/>
        </w:rPr>
        <w:br/>
        <w:t>POSTOPEK ODLOČANJA O POSAMIČNI ZADEVI V UPRAVNEM POSTOPKU</w:t>
      </w:r>
    </w:p>
    <w:p w:rsidR="00126F4C" w:rsidRPr="002F30DF" w:rsidRDefault="00126F4C" w:rsidP="00126F4C">
      <w:pPr>
        <w:pStyle w:val="Poglavje"/>
        <w:spacing w:before="0" w:line="260" w:lineRule="atLeast"/>
        <w:rPr>
          <w:sz w:val="20"/>
          <w:szCs w:val="20"/>
        </w:rPr>
      </w:pPr>
    </w:p>
    <w:p w:rsidR="00126F4C" w:rsidRPr="002F30DF" w:rsidRDefault="00126F4C" w:rsidP="00126F4C">
      <w:pPr>
        <w:pStyle w:val="Poglavje"/>
        <w:spacing w:before="0" w:line="260" w:lineRule="atLeast"/>
        <w:rPr>
          <w:sz w:val="20"/>
          <w:szCs w:val="20"/>
        </w:rPr>
      </w:pPr>
      <w:r w:rsidRPr="002F30DF">
        <w:rPr>
          <w:sz w:val="20"/>
          <w:szCs w:val="20"/>
        </w:rPr>
        <w:lastRenderedPageBreak/>
        <w:t>1. poglavje</w:t>
      </w:r>
      <w:r w:rsidRPr="002F30DF">
        <w:rPr>
          <w:sz w:val="20"/>
          <w:szCs w:val="20"/>
        </w:rPr>
        <w:br/>
        <w:t>Splošne določbe o postopku pred agencijo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(uporaba določb o postopku)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odloča o zadevah, za katere je pristojna po tem zakonu, po postopku, določenem s tem zakonom.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ni v tem zakonu določeno drugače, se za postopek odločanja agencije uporablja zakon, ki ureja splošni upravni postopek.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Zoper akte agencije ni pritožbe.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(stranke v postopku)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V postopku pred agencijo imata položaj stranke v postopku podjetje, proti kateremu se vodi postopek, in priglasitelj koncentracije.</w:t>
      </w:r>
    </w:p>
    <w:p w:rsidR="00126F4C" w:rsidRPr="002F30DF" w:rsidRDefault="00126F4C" w:rsidP="00126F4C">
      <w:pPr>
        <w:pStyle w:val="Odstavek"/>
        <w:tabs>
          <w:tab w:val="left" w:pos="2985"/>
        </w:tabs>
        <w:spacing w:before="0" w:line="260" w:lineRule="atLeast"/>
        <w:ind w:firstLine="0"/>
        <w:rPr>
          <w:sz w:val="20"/>
          <w:szCs w:val="20"/>
        </w:rPr>
      </w:pPr>
      <w:r w:rsidRPr="002F30DF">
        <w:rPr>
          <w:sz w:val="20"/>
          <w:szCs w:val="20"/>
        </w:rPr>
        <w:tab/>
      </w:r>
    </w:p>
    <w:p w:rsidR="00126F4C" w:rsidRPr="002F30DF" w:rsidRDefault="00126F4C" w:rsidP="00126F4C">
      <w:pPr>
        <w:pStyle w:val="Odstavek"/>
        <w:spacing w:before="0" w:line="260" w:lineRule="atLeast"/>
        <w:ind w:firstLine="0"/>
        <w:rPr>
          <w:sz w:val="20"/>
          <w:szCs w:val="20"/>
        </w:rPr>
      </w:pPr>
      <w:r w:rsidRPr="002F30DF">
        <w:rPr>
          <w:sz w:val="20"/>
          <w:szCs w:val="20"/>
        </w:rPr>
        <w:t>(2) Vlagatelj ali vlagateljica pobude, prijave, sporočila ali druge vloge nima položaja stranke.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Oseba, ki zatrjuje, da vstopa v postopek zaradi varstva svojih pravnih koristi, mora podati zahtevo za udeležbo v postopku v 30 dneh od dneva objave podatka o uvedbi postopka na spletni strani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Zahteva iz prejšnjega odstavka mora vsebovati navedbe in dokaze, ki izkazujejo pravni interes za udeležbo v postopku.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O zahtevi za udeležbo v postopku odloči agencija s sklepom. Če oseba ne izkaže pravnega interesa, agencija izda sklep, s katerim se ji lastnost stranskega udeleženca ne prizna.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(varovanje tajnosti vira)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(1) Agencija mora na zahtevo osebe, ki je vir prijave ali vir drugih informacij, ki jih agencija uporablja pri izvajanju svojih pristojnosti, varovati tajnost njene identitete, če ta izkaže za verjetno, da bi ji razkritje povzročilo občutno škodo.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Oseba, ki zahteva varstvo svoje identitete, mora agenciji ob predložitvi dokumentov predložiti tudi različico dokumentov, ki ne vsebuje podatkov, ki bi pomenili razkritje vira.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(pravica strank do pregleda dokumentov zadeve)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Stranke imajo pravico pregledovati dokumente zadeve ter jih na svoje stroške prepisati in preslikati. Pregledovanje, prepisovanje in preslikavanje dokumentov nadzoruje uradna oseba ali pa poteka v informacijskem sistemu organa ali v informacijskem sistemu za sprejemanje vlog, vročanje in obveščanje, v katerem stranka svojo istovetnost dokaže s svojim kvalificiranim potrdilom za elektronski podpis. Pregled in prepis dokumentov se lahko zahtevata tudi ustno.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se v postopku uporabljajo podatki iz informatiziranih evidenc ter drugi podatki in zapisi v elektronski obliki, se ti podatki štejejo za dokument v tej zadevi.</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Stranke z dnem izdaje sklepa o uvedbi postopka ali z dnem začetka postopka priglasitve koncentracije pridobijo pravico do pregleda dokumentov zadeve, razen če direktor agencije presodi, da je to v nasprotju z interesi postopka. Direktor agencije v tem primeru izda sklep, s katerim odloži pravico do pregleda dokumentov, vendar ne dlje kot do vročitve povzetka relevantnih dejstev. Zoper sklep ni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Pravico do pregleda dokumentov zadeve ima tudi izvedenec ali izvedenka v obsegu, ki je potreben, da poda svoj izvid in mnenje.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Stranke ne morejo pregledovati niti preslikavati:</w:t>
      </w:r>
    </w:p>
    <w:p w:rsidR="00126F4C" w:rsidRPr="002F30DF" w:rsidRDefault="00126F4C" w:rsidP="00126F4C">
      <w:pPr>
        <w:pStyle w:val="Alineazaodstavkom"/>
        <w:numPr>
          <w:ilvl w:val="0"/>
          <w:numId w:val="43"/>
        </w:numPr>
        <w:spacing w:line="260" w:lineRule="atLeast"/>
        <w:rPr>
          <w:sz w:val="20"/>
          <w:szCs w:val="20"/>
        </w:rPr>
      </w:pPr>
      <w:r w:rsidRPr="002F30DF">
        <w:rPr>
          <w:sz w:val="20"/>
          <w:szCs w:val="20"/>
        </w:rPr>
        <w:t>internih dokumentov agencije v zadevi, vključno s korespondenco med agencijo in Evropsko komisijo ali organi, pristojnimi za varstvo konkurence drugih držav članic,</w:t>
      </w:r>
    </w:p>
    <w:p w:rsidR="00126F4C" w:rsidRPr="002F30DF" w:rsidRDefault="00126F4C" w:rsidP="00126F4C">
      <w:pPr>
        <w:pStyle w:val="Alineazaodstavkom"/>
        <w:numPr>
          <w:ilvl w:val="0"/>
          <w:numId w:val="43"/>
        </w:numPr>
        <w:spacing w:line="260" w:lineRule="atLeast"/>
        <w:rPr>
          <w:sz w:val="20"/>
          <w:szCs w:val="20"/>
        </w:rPr>
      </w:pPr>
      <w:r w:rsidRPr="002F30DF">
        <w:rPr>
          <w:sz w:val="20"/>
          <w:szCs w:val="20"/>
        </w:rPr>
        <w:t>zaupnih podatkov,</w:t>
      </w:r>
    </w:p>
    <w:p w:rsidR="00126F4C" w:rsidRPr="002F30DF" w:rsidRDefault="00126F4C" w:rsidP="00126F4C">
      <w:pPr>
        <w:pStyle w:val="Alineazaodstavkom"/>
        <w:numPr>
          <w:ilvl w:val="0"/>
          <w:numId w:val="43"/>
        </w:numPr>
        <w:spacing w:line="260" w:lineRule="atLeast"/>
        <w:rPr>
          <w:sz w:val="20"/>
          <w:szCs w:val="20"/>
        </w:rPr>
      </w:pPr>
      <w:r w:rsidRPr="002F30DF">
        <w:rPr>
          <w:sz w:val="20"/>
          <w:szCs w:val="20"/>
        </w:rPr>
        <w:t>podatkov, ki se nanašajo na tajnost vira,</w:t>
      </w:r>
    </w:p>
    <w:p w:rsidR="00126F4C" w:rsidRPr="002F30DF" w:rsidRDefault="00126F4C" w:rsidP="00126F4C">
      <w:pPr>
        <w:pStyle w:val="Alineazaodstavkom"/>
        <w:numPr>
          <w:ilvl w:val="0"/>
          <w:numId w:val="43"/>
        </w:numPr>
        <w:spacing w:line="260" w:lineRule="atLeast"/>
        <w:rPr>
          <w:sz w:val="20"/>
          <w:szCs w:val="20"/>
        </w:rPr>
      </w:pPr>
      <w:r w:rsidRPr="002F30DF">
        <w:rPr>
          <w:sz w:val="20"/>
          <w:szCs w:val="20"/>
        </w:rPr>
        <w:lastRenderedPageBreak/>
        <w:t>zapisnika o posvetovanju in glasovanju in</w:t>
      </w:r>
    </w:p>
    <w:p w:rsidR="00126F4C" w:rsidRPr="002F30DF" w:rsidRDefault="00126F4C" w:rsidP="00126F4C">
      <w:pPr>
        <w:pStyle w:val="Alineazaodstavkom"/>
        <w:numPr>
          <w:ilvl w:val="0"/>
          <w:numId w:val="43"/>
        </w:numPr>
        <w:spacing w:line="260" w:lineRule="atLeast"/>
        <w:rPr>
          <w:sz w:val="20"/>
          <w:szCs w:val="20"/>
        </w:rPr>
      </w:pPr>
      <w:r w:rsidRPr="002F30DF">
        <w:rPr>
          <w:sz w:val="20"/>
          <w:szCs w:val="20"/>
        </w:rPr>
        <w:t>osnutkov odločb.</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Dokazno breme o obstoju zaupnih podatkov iz druge alineje prejšnjega odstavka nosi podjetje, ki to zatrjuje. Na zahtevo agencije mora podjetje predložiti različico dokumenta, ki ne vsebuje podatkov iz druge alineje prejšnjega odstavka.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Agencija lahko podjetju, proti kateremu se vodi postopek, in priglasitelju, razkrije zaupne podatke, če presodi, da njihovo razkritje zaradi zagotovitve pravice do obrambe objektivno prevlada nad interesom varovanja zaupnih podatkov. Pri tem lahko agencija odloži pregled zaupnih podatkov, vendar ne dlje kot do vročitve povzetka relevantnih dejstev.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Odstavek"/>
        <w:spacing w:before="0" w:line="260" w:lineRule="atLeast"/>
        <w:ind w:firstLine="0"/>
        <w:jc w:val="center"/>
        <w:rPr>
          <w:sz w:val="20"/>
          <w:szCs w:val="20"/>
        </w:rPr>
      </w:pPr>
      <w:r w:rsidRPr="002F30DF">
        <w:rPr>
          <w:b/>
          <w:sz w:val="20"/>
          <w:szCs w:val="20"/>
        </w:rPr>
        <w:t>(omejitev uporabe podatkov iz izjav zaradi prizanesljivosti in vlog za poravnavo)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Vpogled v izjavo zaradi prizanesljivosti imajo ne glede na določbe drugih zakonov samo stranke postopka in le za uveljavljanje njihove pravice do obrambe.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Stranka lahko podatke iz izjave zaradi prizanesljivosti ali vloge za poravnavo uporabi v postopku pred sodiščem, ki preizkuša odločbo agencije, le, kadar je to potrebno za uveljavljanje njene pravice do obrambe v postopku pred sodiščem in le:</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 xml:space="preserve">za namene presoje porazdelitve administrativne sankcije, za plačilo katere so udeleženci kartela solidarno odgovorni, ali </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za presojo odločbe, s katero je agencija ugotovila kršitev tega zakona ali 101. ali 102. člena Pogodbe o delovanju Evropske unije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Dokler agencija ne konča postopka za uveljavljanje pravil konkurence zoper vse stranke postopka, nobena izmed strank v postopkih pred sodišči, ki niso postopek sodnega varstva po tem zakonu, ne sme uporabiti ali se sklicevati na:</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 xml:space="preserve">informacije, ki jih je pripravila druga fizična ali pravna oseba posebej za postopek za uveljavljanje pravil konkurence pred agencijo, </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 xml:space="preserve">informacije, ki jih je med postopkom za uveljavljanje pravil konkurence zbrala agencija in jih poslala strankam, ter </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vloge za poravnavo, ki so bile umaknjene.</w:t>
      </w:r>
      <w:r w:rsidRPr="002F30DF" w:rsidDel="00CE0857">
        <w:rPr>
          <w:sz w:val="20"/>
          <w:szCs w:val="20"/>
        </w:rPr>
        <w:t xml:space="preserve"> </w:t>
      </w:r>
    </w:p>
    <w:p w:rsidR="00126F4C" w:rsidRPr="002F30DF" w:rsidRDefault="00126F4C" w:rsidP="00126F4C">
      <w:pPr>
        <w:pStyle w:val="Odstavek"/>
        <w:spacing w:before="0" w:line="260" w:lineRule="atLeast"/>
        <w:ind w:left="567"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(zagotavljanje načela kontradiktornosti)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Zaradi zagotovitve pravice do obrambe se odločba agencije ne sme opirati na dejstva in dokaze, glede katerih podjetju, proti kateremu se vodi postopek, in priglasitelju, ni bila dana možnost, da se o njih izjavi.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w:t>
      </w:r>
    </w:p>
    <w:p w:rsidR="00126F4C" w:rsidRPr="002F30DF" w:rsidRDefault="00126F4C" w:rsidP="00126F4C">
      <w:pPr>
        <w:pStyle w:val="len"/>
        <w:spacing w:before="0" w:line="260" w:lineRule="atLeast"/>
        <w:rPr>
          <w:sz w:val="20"/>
          <w:szCs w:val="20"/>
        </w:rPr>
      </w:pPr>
      <w:r w:rsidRPr="002F30DF">
        <w:rPr>
          <w:sz w:val="20"/>
          <w:szCs w:val="20"/>
        </w:rPr>
        <w:t>(dopustnost dokazov)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Agencija lahko pri izvajanju pristojnosti iz tega zakona uporablja vse vrste dokazov, vključno z dokumenti, ustnimi izjavami, prebranimi ali neprebranimi elektronskimi sporočili in posnetki, ne glede na obliko in vrsto nosilca, na katerem so dokazi shranjeni. </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Ne glede na prejšnji odstavek agencija ne sme uporabiti dokazov, ki jih je pridobila s kršitvijo ustavno določenih človekovih pravic in temeljnih svoboščin, če tako določa ta zakon, niti dokazov, nastalih iz nedovoljenega dokaza).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Kadar se v kazenskem ali drugem postopku ob izvedbi hišne preiskave ali kako drugače pridobijo poslovne knjige ali druga dokumentacija, ki bi lahko bile pomembne za odločitev agencije po tem zakonu, lahko agencija od sodišča ali drugega organa zahteva izročitev kopij dokumentacije, razen če bi bilo to v nasprotju z interesi kazenskega ali drugega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(vročanje)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osebi, ki je vpisana ali se vpisuje v sodni register, ni mogoča vročitev na naslovu, navedenem v registru, se vročitev opravi z javnim naznanilom na oglasni deski agencije in na enotnem državnem portalu e-uprava, na naslovu osebe pa se pusti obvestilo o načinu vročitve.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Vročitev velja za opravljeno po poteku petnajstih dni od dneva, ko je bilo naznanilo objavljeno na oglasni deski in na enotnem državnem portalu e-uprava.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(3) Na posledice iz prejšnjega odstavka mora biti naslovnik opozorjen v obvestilu o vročitvi.</w:t>
      </w:r>
    </w:p>
    <w:p w:rsidR="00126F4C" w:rsidRPr="002F30DF" w:rsidRDefault="00126F4C" w:rsidP="00126F4C">
      <w:pPr>
        <w:spacing w:line="260" w:lineRule="atLeast"/>
        <w:rPr>
          <w:rFonts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(povzetek relevantnih dejstev)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Povzetek relevantnih dejstev vključuje ugotovitve o dejstvih in dokazih, pomembnih za odločitev, ter predhodne ugotovitve o domnevnih kršitvah tega zakona ali 101. ali 102. člena Pogodbe o delovanju Evropske unije.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stranke seznani s povzetkom relevantnih dejstev, kadar namerava:</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 xml:space="preserve">izdati odločbo o ugotovitvi  obstoja kršitve določb tega zakona ali 101. ali 102. člena Pogodbe o delovanju Evropske unije, </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v odločbi iz prejšnje alineje za ugotovljeno kršitev izreči administrativno sankcijo ali</w:t>
      </w:r>
    </w:p>
    <w:p w:rsidR="00126F4C" w:rsidRPr="002F30DF" w:rsidRDefault="00126F4C" w:rsidP="00126F4C">
      <w:pPr>
        <w:pStyle w:val="Odstavek"/>
        <w:numPr>
          <w:ilvl w:val="0"/>
          <w:numId w:val="77"/>
        </w:numPr>
        <w:spacing w:before="0" w:line="260" w:lineRule="atLeast"/>
        <w:ind w:left="567"/>
        <w:rPr>
          <w:sz w:val="20"/>
          <w:szCs w:val="20"/>
        </w:rPr>
      </w:pPr>
      <w:r w:rsidRPr="002F30DF">
        <w:rPr>
          <w:sz w:val="20"/>
          <w:szCs w:val="20"/>
        </w:rPr>
        <w:t>izdati odločbo o neskladnosti koncentracije s pravili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so v povzetku relevantnih dejstev zaupni podatki o stranki, se drugim strankam vroči povzetek relevantnih dejstev, v katerem se ti podatki izbrišejo.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Agencija določi primeren rok, v katerem se lahko stranke izjavijo o povzetku relevantnih dejstev. Agencija ni dolžna upoštevati izjav o povzetku relevantnih dejstev, prejetih po poteku tega roka.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Rok iz prejšnjega odstavka ne sme biti daljši od 45 dni.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(odločbe in sklepi)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Odločba mora biti obrazložena. V obrazložitvi morajo biti obrazloženi tudi tisti sklepi, ki se lahko izpodbijajo v postopku sodnega varstva zoper odločbo v skladu s tretjim odstavkom 95.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Sklep, izdan po tem zakonu, mora biti obrazložen in mora vsebovati pouk o pravnem sredstvu samo, če zoper sklep ni izključen postopek sodnega varstva.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(3) Če so v odločbi ali sklepu, s katerim se postopek konča, navedeni zaupni podatki o stranki, se drugim strankam vroči odločba ali sklep, v katerem se ti podatki iz obrazložitve izbrišejo.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Pripombabesedilo"/>
        <w:spacing w:line="260" w:lineRule="atLeast"/>
        <w:rPr>
          <w:rFonts w:cs="Arial"/>
        </w:rPr>
      </w:pPr>
      <w:r w:rsidRPr="002F30DF">
        <w:rPr>
          <w:rFonts w:cs="Arial"/>
        </w:rPr>
        <w:t xml:space="preserve">(4) Na zahtevo agencije mora stranka v roku, ki ga določi agencija, predložiti različico odločbe ali sklepa, s katerim se postopek konča, na katerem označi zaupne podatke.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Izrek odločbe ali sklepa, s katerim se postopek konča, se objavi na spletni strani agencije.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Na spletni strani agencije se objavijo pravnomočne odločbe, ki jih agencija izda v upravnem postopku in postopku o prekršku, ter pravnomočni sklepi, s katerimi se postopek konča, in to brez zaupnih podatkov.</w:t>
      </w:r>
    </w:p>
    <w:p w:rsidR="00126F4C" w:rsidRPr="002F30DF" w:rsidRDefault="00126F4C" w:rsidP="00126F4C">
      <w:pPr>
        <w:pStyle w:val="Poglavje"/>
        <w:spacing w:before="0" w:line="260" w:lineRule="atLeast"/>
        <w:jc w:val="both"/>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2. poglavje</w:t>
      </w:r>
      <w:r w:rsidRPr="002F30DF">
        <w:rPr>
          <w:sz w:val="20"/>
          <w:szCs w:val="20"/>
        </w:rPr>
        <w:br/>
        <w:t>Postopek pri omejevalnih ravnanjih</w:t>
      </w:r>
    </w:p>
    <w:p w:rsidR="00126F4C" w:rsidRPr="002F30DF" w:rsidRDefault="00126F4C" w:rsidP="00126F4C">
      <w:pPr>
        <w:pStyle w:val="Oddelek"/>
        <w:spacing w:before="0" w:line="260" w:lineRule="atLeast"/>
        <w:rPr>
          <w:sz w:val="20"/>
          <w:szCs w:val="20"/>
        </w:rPr>
      </w:pPr>
    </w:p>
    <w:p w:rsidR="00126F4C" w:rsidRPr="002F30DF" w:rsidRDefault="00126F4C" w:rsidP="00126F4C">
      <w:pPr>
        <w:pStyle w:val="Oddelek"/>
        <w:spacing w:before="0" w:line="260" w:lineRule="atLeast"/>
        <w:rPr>
          <w:sz w:val="20"/>
          <w:szCs w:val="20"/>
        </w:rPr>
      </w:pPr>
      <w:r w:rsidRPr="002F30DF">
        <w:rPr>
          <w:sz w:val="20"/>
          <w:szCs w:val="20"/>
        </w:rPr>
        <w:t>1. podpoglavje</w:t>
      </w:r>
      <w:r w:rsidRPr="002F30DF">
        <w:rPr>
          <w:sz w:val="20"/>
          <w:szCs w:val="20"/>
        </w:rPr>
        <w:br/>
        <w:t>Splošne določbe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(uvedba postopka po uradni dolžnosti)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Agencija lahko izda sklep o uvedbi postopka po uradni dolžnosti, kadar izve za okoliščine, iz katerih izhaja verjetnost kršitve 5. ali 8. člena tega zakona ali 101. ali 102. člena Pogodbe o delovanju Evropske unije.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(sklep o uvedbi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Sklep o uvedbi postopka vsebuje:</w:t>
      </w:r>
    </w:p>
    <w:p w:rsidR="00126F4C" w:rsidRPr="002F30DF" w:rsidRDefault="00126F4C" w:rsidP="00126F4C">
      <w:pPr>
        <w:pStyle w:val="Alineazaodstavkom"/>
        <w:numPr>
          <w:ilvl w:val="0"/>
          <w:numId w:val="40"/>
        </w:numPr>
        <w:spacing w:line="260" w:lineRule="atLeast"/>
        <w:rPr>
          <w:sz w:val="20"/>
          <w:szCs w:val="20"/>
        </w:rPr>
      </w:pPr>
      <w:r w:rsidRPr="002F30DF">
        <w:rPr>
          <w:sz w:val="20"/>
          <w:szCs w:val="20"/>
        </w:rPr>
        <w:t>opis dejanja, ki je razlog za uvedbo postopka,</w:t>
      </w:r>
    </w:p>
    <w:p w:rsidR="00126F4C" w:rsidRPr="002F30DF" w:rsidRDefault="00126F4C" w:rsidP="00126F4C">
      <w:pPr>
        <w:pStyle w:val="Alineazaodstavkom"/>
        <w:numPr>
          <w:ilvl w:val="0"/>
          <w:numId w:val="40"/>
        </w:numPr>
        <w:spacing w:line="260" w:lineRule="atLeast"/>
        <w:rPr>
          <w:sz w:val="20"/>
          <w:szCs w:val="20"/>
        </w:rPr>
      </w:pPr>
      <w:r w:rsidRPr="002F30DF">
        <w:rPr>
          <w:sz w:val="20"/>
          <w:szCs w:val="20"/>
        </w:rPr>
        <w:t>navedbo določb zakona, za katere je izkazana verjetnost kršitve, in</w:t>
      </w:r>
    </w:p>
    <w:p w:rsidR="00126F4C" w:rsidRPr="002F30DF" w:rsidRDefault="00126F4C" w:rsidP="00126F4C">
      <w:pPr>
        <w:pStyle w:val="Alineazaodstavkom"/>
        <w:numPr>
          <w:ilvl w:val="0"/>
          <w:numId w:val="40"/>
        </w:numPr>
        <w:spacing w:line="260" w:lineRule="atLeast"/>
        <w:rPr>
          <w:sz w:val="20"/>
          <w:szCs w:val="20"/>
        </w:rPr>
      </w:pPr>
      <w:r w:rsidRPr="002F30DF">
        <w:rPr>
          <w:sz w:val="20"/>
          <w:szCs w:val="20"/>
        </w:rPr>
        <w:t>obrazložitev razlogov za uvedbo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Zoper sklep ni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Izvleček sklepa o uvedbi postopka se objavi na spletni strani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Izvleček sklepa vsebuje:</w:t>
      </w:r>
    </w:p>
    <w:p w:rsidR="00126F4C" w:rsidRPr="002F30DF" w:rsidRDefault="00126F4C" w:rsidP="00126F4C">
      <w:pPr>
        <w:pStyle w:val="Alineazaodstavkom"/>
        <w:numPr>
          <w:ilvl w:val="0"/>
          <w:numId w:val="41"/>
        </w:numPr>
        <w:spacing w:line="260" w:lineRule="atLeast"/>
        <w:rPr>
          <w:sz w:val="20"/>
          <w:szCs w:val="20"/>
        </w:rPr>
      </w:pPr>
      <w:r w:rsidRPr="002F30DF">
        <w:rPr>
          <w:sz w:val="20"/>
          <w:szCs w:val="20"/>
        </w:rPr>
        <w:t>navedbo strank, na katere se sklep nanaša,</w:t>
      </w:r>
    </w:p>
    <w:p w:rsidR="00126F4C" w:rsidRPr="002F30DF" w:rsidRDefault="00126F4C" w:rsidP="00126F4C">
      <w:pPr>
        <w:pStyle w:val="Alineazaodstavkom"/>
        <w:numPr>
          <w:ilvl w:val="0"/>
          <w:numId w:val="41"/>
        </w:numPr>
        <w:spacing w:line="260" w:lineRule="atLeast"/>
        <w:rPr>
          <w:sz w:val="20"/>
          <w:szCs w:val="20"/>
        </w:rPr>
      </w:pPr>
      <w:r w:rsidRPr="002F30DF">
        <w:rPr>
          <w:sz w:val="20"/>
          <w:szCs w:val="20"/>
        </w:rPr>
        <w:t>kratko navedbo razlogov za uvedbo postopka in določb tega zakona, ki so podlaga za uvedbo postopka, in</w:t>
      </w:r>
    </w:p>
    <w:p w:rsidR="00126F4C" w:rsidRPr="002F30DF" w:rsidRDefault="00126F4C" w:rsidP="00126F4C">
      <w:pPr>
        <w:pStyle w:val="Alineazaodstavkom"/>
        <w:numPr>
          <w:ilvl w:val="0"/>
          <w:numId w:val="41"/>
        </w:numPr>
        <w:spacing w:line="260" w:lineRule="atLeast"/>
        <w:rPr>
          <w:sz w:val="20"/>
          <w:szCs w:val="20"/>
        </w:rPr>
      </w:pPr>
      <w:r w:rsidRPr="002F30DF">
        <w:rPr>
          <w:sz w:val="20"/>
          <w:szCs w:val="20"/>
        </w:rPr>
        <w:t>poziv osebam, naj agenciji pošljejo podatke, ki bi bili lahko pomembni za odločitev.</w:t>
      </w:r>
    </w:p>
    <w:p w:rsidR="00126F4C" w:rsidRPr="002F30DF" w:rsidRDefault="00126F4C" w:rsidP="00126F4C">
      <w:pPr>
        <w:pStyle w:val="Odstavek"/>
        <w:spacing w:before="0" w:line="260" w:lineRule="atLeast"/>
        <w:ind w:firstLine="0"/>
        <w:jc w:val="center"/>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Če se pokaže, da je treba postopek razširiti tudi na katero drugo kršitev ali zoper katero drugo podjetje, agencija izda sklep, s katerim razširi sklep o uvedbi postopka. Glede sklepa o razširitvi sklepa o uvedbi postopka se smiselno uporabljajo prvi do četrti odstavek tega člena.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(enotni postopek)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V primeru postopka zaradi kršitve 101. ali 102. člena Pogodbe o delovanju Evropske unije vodi agencija tudi postopek zaradi kršitve 5. ali 8. člena tega zakona (enotni postopek).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se med postopkom izkaže, da ni podlage za vodenje postopka po 101. ali 102. členu Pogodbe o delovanju Evropske unije, ker ni izkazan vpliv na trgovanje med državami članicami Evropske unije, agencija izda sklep, s katerim postopek v tem delu ustavi, in o tem obvesti Evropsko komisijo. Zoper sklep o ustavitvi postopka ni sodnega varstva.</w:t>
      </w:r>
    </w:p>
    <w:p w:rsidR="00126F4C" w:rsidRPr="002F30DF" w:rsidRDefault="00126F4C" w:rsidP="00126F4C">
      <w:pPr>
        <w:pStyle w:val="Oddelek"/>
        <w:spacing w:before="0" w:line="260" w:lineRule="atLeast"/>
        <w:jc w:val="both"/>
        <w:rPr>
          <w:sz w:val="20"/>
          <w:szCs w:val="20"/>
        </w:rPr>
      </w:pPr>
    </w:p>
    <w:p w:rsidR="00126F4C" w:rsidRPr="002F30DF" w:rsidRDefault="00126F4C" w:rsidP="00126F4C">
      <w:pPr>
        <w:pStyle w:val="Oddelek"/>
        <w:spacing w:before="0" w:line="260" w:lineRule="atLeast"/>
        <w:rPr>
          <w:sz w:val="20"/>
          <w:szCs w:val="20"/>
        </w:rPr>
      </w:pPr>
      <w:r w:rsidRPr="002F30DF">
        <w:rPr>
          <w:sz w:val="20"/>
          <w:szCs w:val="20"/>
        </w:rPr>
        <w:t>2. podpoglavje</w:t>
      </w:r>
      <w:r w:rsidRPr="002F30DF">
        <w:rPr>
          <w:sz w:val="20"/>
          <w:szCs w:val="20"/>
        </w:rPr>
        <w:br/>
        <w:t>Raziskave sektorja ali določenih vrst sporazumov</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(raziskave sektorja ali določenih vrst sporazumov)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(1) Kadar togost cen ali druge okoliščine kažejo na verjetnost omejevanja ali izkrivljanja konkurence na ozemlju Republike Slovenije, lahko agencija opravi raziskavo posameznega sektorja ali določenih vrst sporazumov v več sektorjih (v nadaljnjem besedilu: raziskava).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pridobivanje podatkov zaradi opravljanja raziskav se smiselno uporabljajo 53. do 61.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Agencija lahko objavi poročilo o izsledkih raziskave brez zaupnih podatkov ter zainteresirane tretje osebe povabi, naj podajo svoje pripombe.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Agencija lahko uporabi podatke, ki jih je pridobila pri opravljanju raziskav, v postopkih po tem zakonu.</w:t>
      </w:r>
    </w:p>
    <w:p w:rsidR="00126F4C" w:rsidRPr="002F30DF" w:rsidRDefault="00126F4C" w:rsidP="00126F4C">
      <w:pPr>
        <w:pStyle w:val="Oddelek"/>
        <w:spacing w:before="0" w:line="260" w:lineRule="atLeast"/>
        <w:jc w:val="both"/>
        <w:rPr>
          <w:sz w:val="20"/>
          <w:szCs w:val="20"/>
        </w:rPr>
      </w:pPr>
    </w:p>
    <w:p w:rsidR="00126F4C" w:rsidRPr="002F30DF" w:rsidRDefault="00126F4C" w:rsidP="00126F4C">
      <w:pPr>
        <w:pStyle w:val="Oddelek"/>
        <w:spacing w:before="0" w:line="260" w:lineRule="atLeast"/>
        <w:rPr>
          <w:sz w:val="20"/>
          <w:szCs w:val="20"/>
        </w:rPr>
      </w:pPr>
      <w:r w:rsidRPr="002F30DF">
        <w:rPr>
          <w:sz w:val="20"/>
          <w:szCs w:val="20"/>
        </w:rPr>
        <w:t>3. podpoglavje</w:t>
      </w:r>
      <w:r w:rsidRPr="002F30DF">
        <w:rPr>
          <w:sz w:val="20"/>
          <w:szCs w:val="20"/>
        </w:rPr>
        <w:br/>
        <w:t>Preiskovalni postopek</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(zahteva za predložitev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lahko, še preden izda sklep o uvedbi postopka, na vsako podjetje, družbenike in družbenice, člane organov vodenja ali nadzora, osebe, zaposlene pri podjetju, ter druge fizične osebe naslovi sorazmerno zahtevo za predložitev vseh podatkov, ki bi lahko bili relevantni za uporabo tega zakona ali 101. ali 102. člena Pogodbe o delovanju Evropske unije. V zahtevi za predložitev podatkov agencija navede pravno podlago, namen zahteve, opredelitev zahtevanih podatkov ter določi primeren rok za njihovo predložitev. V zahtevi za predložitev podatkov, ki jo naslovi na podjetje, agencija podjetje opozori o administrativni sankciji, ki jo lahko izreče podjetju zaradi predložitve nepravilnih ali zavajajočih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lahko od podjetja zahteva vse potrebne podatke za uporabo tega zakona ali 101. ali 102. člena Pogodbe o delovanju Evropske unije tudi s posebnim sklepom, ki vključuje: pravno podlago, namen zahteve, opredelitev zahtevanih podatkov, določitev primernega roka za njihovo predložitev in opozorilo o administrativni sankciji, ki jo lahko izreče podjetju zaradi predložitve nepravilnih, nepopolnih ali zavajajočih podatkov ali zaradi nepredložitve podatkov v primernem in določenem roku. Zoper sklep ni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Podjetje mora na podlagi prvega in drugega odstavka tega člena predložiti vse podatke, ki so mu dostopni, ni pa dolžno priznati kršitve določb tega zakona ali 101. ali 102. člena Pogodbe o delovanju Evropske unije.</w:t>
      </w:r>
    </w:p>
    <w:p w:rsidR="00126F4C" w:rsidRPr="002F30DF" w:rsidRDefault="00126F4C" w:rsidP="00126F4C">
      <w:pPr>
        <w:pStyle w:val="Odstavek"/>
        <w:tabs>
          <w:tab w:val="left" w:pos="1128"/>
        </w:tabs>
        <w:spacing w:before="0" w:line="260" w:lineRule="atLeast"/>
        <w:ind w:firstLine="0"/>
        <w:rPr>
          <w:sz w:val="20"/>
          <w:szCs w:val="20"/>
        </w:rPr>
      </w:pPr>
      <w:r w:rsidRPr="002F30DF">
        <w:rPr>
          <w:sz w:val="20"/>
          <w:szCs w:val="20"/>
        </w:rPr>
        <w:tab/>
      </w:r>
    </w:p>
    <w:p w:rsidR="00126F4C" w:rsidRPr="002F30DF" w:rsidRDefault="00126F4C" w:rsidP="00126F4C">
      <w:pPr>
        <w:pStyle w:val="Odstavek"/>
        <w:spacing w:before="0" w:line="260" w:lineRule="atLeast"/>
        <w:ind w:firstLine="0"/>
        <w:rPr>
          <w:sz w:val="20"/>
          <w:szCs w:val="20"/>
        </w:rPr>
      </w:pPr>
      <w:r w:rsidRPr="002F30DF">
        <w:rPr>
          <w:sz w:val="20"/>
          <w:szCs w:val="20"/>
        </w:rPr>
        <w:t>(4) Rok za izdajo odločbe ne teče, ko je stranka v zamudi z odgovorom na zahtevo za predložitev podatkov.</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
        <w:spacing w:before="0" w:line="260" w:lineRule="atLeast"/>
        <w:rPr>
          <w:sz w:val="20"/>
          <w:szCs w:val="20"/>
        </w:rPr>
      </w:pPr>
      <w:r w:rsidRPr="002F30DF">
        <w:rPr>
          <w:sz w:val="20"/>
          <w:szCs w:val="20"/>
        </w:rPr>
        <w:t>(zbiranje informacij)</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(1) Pri nadzoru nad izvajanjem določb tega zakona ali 101. ali 102. člena Pogodbe o delovanju Evropske unije lahko agencija, še preden izda sklep o uvedbi postopka, katerega koli predstavnika ali osebe, zaposlene v podjetju, katerega koli predstavnika druge pravne osebe ali fizične osebe, ki bi lahko razpolagale z informacijami, relevantnimi za predmet ali namen nadzora, povabi, da podajo ustna pojasnila o dejstvih ali dokumentih, ki se nanašajo na predmet ali namen nadzora.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(2) Agencija povabi podjetje ali osebo, navedeno v prejšnjem odstavku, na svoj sedež, vabljena oseba pa se mora vabilu odzvati, vendar ni dolžna priznati kršitve določb tega zakona ali 101. ali 102. člena Pogodbe o delovanju Evropske unije. Agencija v vabilu navede predmet ali namen nadzora, v zvezi s katerim je oseba iz prejšnjega odstavka vabljena, in opozori na posledice neodziva na povabilo. Glede vabila se smiselno uporablja zakon, ki ureja upravni postopek.</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(3) Šteje se, da se podjetje ne udeleži sestanka, kadar se sestanka ne udeležijo člani organov vodenja in nadzora podjetja, predstavnik ali osebe, zaposlene v podjetju, ali pogodbeni sodelavci podjetja.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(4) Oseba iz prvega odstavka tega člena se agenciji identificira. Agencija pred zbiranjem informacij osebo pouči, da ni dolžna priznati kršitve  določb tega zakona ali 101. ali 102. člena Pogodbe o delovanju Evropske unije niti podati informacij zoper sebe ali svoje bližnje.</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 xml:space="preserve">(5) Dane informacije se zvočno ali zvočno-slikovno posnamejo ali zapišejo kot uradni zaznamek ali na zapisnik. </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lastRenderedPageBreak/>
        <w:t>(6) Informacije, pridobljene od osebe, ki, preden so bile te informacije zbrane, ni bila poučena o pravicah iz četrtega odstavka tega člena, ni mogoče uporabiti zoper osebo, ki je te informacije podala.</w:t>
      </w:r>
    </w:p>
    <w:p w:rsidR="00126F4C" w:rsidRPr="002F30DF" w:rsidRDefault="00126F4C" w:rsidP="00126F4C">
      <w:pPr>
        <w:spacing w:line="260" w:lineRule="atLeast"/>
        <w:rPr>
          <w:rFonts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w:t>
      </w:r>
    </w:p>
    <w:p w:rsidR="00126F4C" w:rsidRPr="002F30DF" w:rsidRDefault="00126F4C" w:rsidP="00126F4C">
      <w:pPr>
        <w:pStyle w:val="lennaslov"/>
        <w:spacing w:line="260" w:lineRule="atLeast"/>
        <w:rPr>
          <w:sz w:val="20"/>
          <w:szCs w:val="20"/>
        </w:rPr>
      </w:pPr>
      <w:r w:rsidRPr="002F30DF">
        <w:rPr>
          <w:sz w:val="20"/>
          <w:szCs w:val="20"/>
        </w:rPr>
        <w:t>(uvedba preiskave)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lahko izvede vse nenapovedane preglede podjetij, zoper katere se vodi postopek, ali drugih podjetij, potrebne za uporabo določb tega zakona ali 101. ali 102. člena Pogodbe o delovanju Evropske unije na podlagi:</w:t>
      </w:r>
    </w:p>
    <w:p w:rsidR="00126F4C" w:rsidRPr="002F30DF" w:rsidRDefault="00126F4C" w:rsidP="00126F4C">
      <w:pPr>
        <w:pStyle w:val="Odstavek"/>
        <w:numPr>
          <w:ilvl w:val="0"/>
          <w:numId w:val="21"/>
        </w:numPr>
        <w:spacing w:before="0" w:line="260" w:lineRule="atLeast"/>
        <w:ind w:left="426"/>
        <w:jc w:val="left"/>
        <w:rPr>
          <w:sz w:val="20"/>
          <w:szCs w:val="20"/>
        </w:rPr>
      </w:pPr>
      <w:r w:rsidRPr="002F30DF">
        <w:rPr>
          <w:sz w:val="20"/>
          <w:szCs w:val="20"/>
        </w:rPr>
        <w:t xml:space="preserve"> privolitve podjetja in kadar je potrebno tudi osebe, katere podatki se pregledujejo, ali</w:t>
      </w:r>
    </w:p>
    <w:p w:rsidR="00126F4C" w:rsidRPr="002F30DF" w:rsidRDefault="00126F4C" w:rsidP="00126F4C">
      <w:pPr>
        <w:pStyle w:val="Odstavek"/>
        <w:numPr>
          <w:ilvl w:val="0"/>
          <w:numId w:val="21"/>
        </w:numPr>
        <w:spacing w:before="0" w:line="260" w:lineRule="atLeast"/>
        <w:ind w:left="426"/>
        <w:rPr>
          <w:sz w:val="20"/>
          <w:szCs w:val="20"/>
        </w:rPr>
      </w:pPr>
      <w:r w:rsidRPr="002F30DF">
        <w:rPr>
          <w:sz w:val="20"/>
          <w:szCs w:val="20"/>
        </w:rPr>
        <w:t xml:space="preserve"> obrazložene pisne odredbe pristojnega sodišča ob navzočnosti dveh polnoletnih prič.</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odredbo za preiskavo vroči osebno podjetju, pri katerem naj se izvede preiskava, na začetku opravljanja preiskave. Sklep o uvedbi postopka se lahko vroči hkrati z odredbo za preiskavo.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Sodišče izda odredbo za preiskavo na predlog agencije, če obstajajo utemeljeni razlogi za sum, da je podjetje, zoper katero se vodi postopek, kršilo ali krši določbe ta zakon ali 101. ali 102. člen Pogodbe o delovanju Evropske unije.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Odredbo za preiskavo izda sodnik pri Okrožnem sodišču v Ljubljani najpozneje v 48 urah od prejema popolnega predloga agencije. Predlog agencije in odredba za preiskavo morata vsebovati:</w:t>
      </w:r>
    </w:p>
    <w:p w:rsidR="00126F4C" w:rsidRPr="002F30DF" w:rsidRDefault="00126F4C" w:rsidP="00126F4C">
      <w:pPr>
        <w:pStyle w:val="len"/>
        <w:numPr>
          <w:ilvl w:val="0"/>
          <w:numId w:val="92"/>
        </w:numPr>
        <w:spacing w:before="0" w:line="260" w:lineRule="atLeast"/>
        <w:ind w:left="425" w:hanging="357"/>
        <w:jc w:val="both"/>
        <w:rPr>
          <w:sz w:val="20"/>
          <w:szCs w:val="20"/>
        </w:rPr>
      </w:pPr>
      <w:r w:rsidRPr="002F30DF">
        <w:rPr>
          <w:b w:val="0"/>
          <w:sz w:val="20"/>
          <w:szCs w:val="20"/>
        </w:rPr>
        <w:t>opredelitev prostorov, zemljišč in prevoznih sredstev ter poslovnih knjig in druge dokumentacije, ki jih je treba pregledati, kot so pogodbe, listine, poslovna korespondenca, poslovna evidenca in drugi podatki, ki so v zvezi s poslovanjem podjetja ne glede na vrsto nosilca, na katerem so zapisani ali shranjeni, vključno z elektronsko napravo in z njo povezanih naprav ter nosilcev elektronskih podatkov, kot so telefon, telefaks, računalnik, optični mediji, spominske kartice, drugi nosilci elektronskih podatkov, ter podatki na elektronskih napravah, ki jih podjetje hrani pri ponudniku storitev informacijske tehnologije, kot je storitev najema strežnika in storitve v oblaku, ki so dostopni podjetju, ki je predmet preiskave (v nadaljnjem besedilu: elektronska naprava),</w:t>
      </w:r>
    </w:p>
    <w:p w:rsidR="00126F4C" w:rsidRPr="002F30DF" w:rsidRDefault="00126F4C" w:rsidP="00126F4C">
      <w:pPr>
        <w:pStyle w:val="len"/>
        <w:numPr>
          <w:ilvl w:val="0"/>
          <w:numId w:val="92"/>
        </w:numPr>
        <w:spacing w:before="0" w:line="260" w:lineRule="atLeast"/>
        <w:ind w:left="426"/>
        <w:jc w:val="both"/>
        <w:rPr>
          <w:b w:val="0"/>
          <w:sz w:val="20"/>
          <w:szCs w:val="20"/>
        </w:rPr>
      </w:pPr>
      <w:r w:rsidRPr="002F30DF">
        <w:rPr>
          <w:b w:val="0"/>
          <w:sz w:val="20"/>
          <w:szCs w:val="20"/>
        </w:rPr>
        <w:t>utemeljitev razlogov za preiskavo,</w:t>
      </w:r>
    </w:p>
    <w:p w:rsidR="00126F4C" w:rsidRPr="002F30DF" w:rsidRDefault="00126F4C" w:rsidP="00126F4C">
      <w:pPr>
        <w:pStyle w:val="len"/>
        <w:numPr>
          <w:ilvl w:val="0"/>
          <w:numId w:val="92"/>
        </w:numPr>
        <w:spacing w:before="0" w:line="260" w:lineRule="atLeast"/>
        <w:ind w:left="426"/>
        <w:jc w:val="both"/>
        <w:rPr>
          <w:b w:val="0"/>
          <w:sz w:val="20"/>
          <w:szCs w:val="20"/>
        </w:rPr>
      </w:pPr>
      <w:r w:rsidRPr="002F30DF">
        <w:rPr>
          <w:b w:val="0"/>
          <w:sz w:val="20"/>
          <w:szCs w:val="20"/>
        </w:rPr>
        <w:lastRenderedPageBreak/>
        <w:t>dokaze ali vsebine podatkov, ki se iščejo,</w:t>
      </w:r>
    </w:p>
    <w:p w:rsidR="00126F4C" w:rsidRPr="002F30DF" w:rsidRDefault="00126F4C" w:rsidP="00126F4C">
      <w:pPr>
        <w:pStyle w:val="len"/>
        <w:numPr>
          <w:ilvl w:val="0"/>
          <w:numId w:val="92"/>
        </w:numPr>
        <w:spacing w:before="0" w:line="260" w:lineRule="atLeast"/>
        <w:ind w:left="426"/>
        <w:jc w:val="both"/>
        <w:rPr>
          <w:b w:val="0"/>
          <w:sz w:val="20"/>
          <w:szCs w:val="20"/>
        </w:rPr>
      </w:pPr>
      <w:r w:rsidRPr="002F30DF">
        <w:rPr>
          <w:b w:val="0"/>
          <w:sz w:val="20"/>
          <w:szCs w:val="20"/>
        </w:rPr>
        <w:t>navedbo okoliščin za uporabo preiskave in način njene izvedbe,</w:t>
      </w:r>
    </w:p>
    <w:p w:rsidR="00126F4C" w:rsidRPr="002F30DF" w:rsidRDefault="00126F4C" w:rsidP="00126F4C">
      <w:pPr>
        <w:pStyle w:val="len"/>
        <w:numPr>
          <w:ilvl w:val="0"/>
          <w:numId w:val="92"/>
        </w:numPr>
        <w:spacing w:before="0" w:line="260" w:lineRule="atLeast"/>
        <w:ind w:left="426"/>
        <w:jc w:val="both"/>
        <w:rPr>
          <w:b w:val="0"/>
          <w:sz w:val="20"/>
          <w:szCs w:val="20"/>
        </w:rPr>
      </w:pPr>
      <w:r w:rsidRPr="002F30DF">
        <w:rPr>
          <w:b w:val="0"/>
          <w:sz w:val="20"/>
          <w:szCs w:val="20"/>
        </w:rPr>
        <w:t>rok za izvedbo preiskave v prostorih podjetja.</w:t>
      </w:r>
    </w:p>
    <w:p w:rsidR="00126F4C" w:rsidRPr="002F30DF" w:rsidRDefault="00126F4C" w:rsidP="00126F4C">
      <w:pPr>
        <w:pStyle w:val="Odstavek"/>
        <w:spacing w:before="0" w:line="260" w:lineRule="atLeast"/>
        <w:ind w:firstLine="0"/>
        <w:rPr>
          <w:sz w:val="20"/>
          <w:szCs w:val="20"/>
        </w:rPr>
      </w:pPr>
      <w:r w:rsidRPr="002F30DF" w:rsidDel="001D154A">
        <w:rPr>
          <w:sz w:val="20"/>
          <w:szCs w:val="20"/>
        </w:rPr>
        <w:t xml:space="preserve"> </w:t>
      </w:r>
    </w:p>
    <w:p w:rsidR="00126F4C" w:rsidRPr="002F30DF" w:rsidRDefault="00126F4C" w:rsidP="00126F4C">
      <w:pPr>
        <w:pStyle w:val="Odstavek"/>
        <w:spacing w:before="0" w:line="260" w:lineRule="atLeast"/>
        <w:ind w:firstLine="0"/>
        <w:rPr>
          <w:sz w:val="20"/>
          <w:szCs w:val="20"/>
        </w:rPr>
      </w:pPr>
      <w:r w:rsidRPr="002F30DF">
        <w:rPr>
          <w:sz w:val="20"/>
          <w:szCs w:val="20"/>
        </w:rPr>
        <w:t>(5) Če se sodnik Okrožnega sodišča v Ljubljani ne strinja z izdajo odredbe, o tem z obrazloženim mnenjem obvesti agencijo. Agencija lahko zahteva, da o zavrnjenem predlogu odloči senat treh sodnikov Okrožnega sodišča v Ljubljani. Senat mora odločiti najpozneje v 48 urah od prejema zahteve in obrazloženega mnenja.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Zadeve v postopku izdaje odredbe o preiskavi po tem členu so nujne in sodišče o njih odloča prednostno.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Če se pri preiskavi najdejo</w:t>
      </w:r>
      <w:r w:rsidRPr="002F30DF" w:rsidDel="00B30593">
        <w:rPr>
          <w:sz w:val="20"/>
          <w:szCs w:val="20"/>
        </w:rPr>
        <w:t xml:space="preserve"> </w:t>
      </w:r>
      <w:r w:rsidRPr="002F30DF">
        <w:rPr>
          <w:sz w:val="20"/>
          <w:szCs w:val="20"/>
        </w:rPr>
        <w:t>podatki, ki niso v zvezi s kršitvijo, zaradi katere je bila preiskava izvedena, ampak kažejo na drugo kršitev tega zakona ali 101. ali 102. člena Pogodbe o delovanju Evropske unije, agencija pridobi tudi te podatke. Tako pridobljene podatke lahko agencija uporabi kot dokaz.</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(8) Glede povračila stroškov prič, ki sodelujejo pri preiskavi, se smiselno uporabljajo določbe, ki urejajo povračilo stroškov prič po predpisih, ki urejajo splošni upravni postopek.</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(preiskava)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Preiskavo opravljajo osebe, zaposlene v agenciji, pri čemer lahko posamezna strokovna dela, kadar to ni v nasprotju z javnim interesom ali interesom strank, opravljajo specializirane organizacije, zavodi ali posamezniki in posameznice (v nadaljnjem besedilu: pooblaščena oseba).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Osebe, ki sodelujejo pri preiskavi, so pooblaščene, da:</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t>vstopijo v vse prostore, na zemljišča in v prevozna sredstva podjetij;</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t>pregledujejo poslovne knjige in drugo dokumentacijo, povezano s poslovanjem podjetja, ne glede na vrsto nosilca, na katerem je zapisana ali shranjena, in imajo pravico do dostopa do katerih koli informacij, ki so dostopne podjetju, ki je predmet pregleda;</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lastRenderedPageBreak/>
        <w:t>odvzamejo ali pridobijo, ne glede na obliko, kopije, forenzične kopije ali izvlečke iz poslovnih knjig in druge dokumentacije v kakršni koli obliki z uporabo fotokopirnih sredstev ter računalniške opreme podjetja ali agencije. Če pooblaščene osebe menijo, da je to ustrezno, nadaljujejo tako iskanje informacij in izberejo kopije ali izvlečke v prostorih agencije ali katerih koli drugih za to določenih prostorih. O tem naredijo uradni zaznamek;</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t>zapečatijo vse poslovne prostore ter zapečatijo in zasežejo poslovne knjige in drugo dokumentacijo za trajanje in v obsegu, potrebnem za njeno izvedbo, vendar skupno za največ 30 delovnih dni;</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t>od katerega koli predstavnika ali predstavnice (v nadaljnjem besedilu: predstavnik) ali osebe, zaposlene v podjetju, zahtevajo ustno ali pisno pojasnilo dejstev ali dokumentov, ki se nanašajo na predmet ali namen preiskave, ter o tem sestavijo zapisnik. Če pooblaščena oseba zahteva pisno pojasnilo, določi rok, v katerem mora biti predloženo;</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t>pregledajo listine, s katerimi lahko ugotovijo istovetnost oseb;</w:t>
      </w:r>
    </w:p>
    <w:p w:rsidR="00126F4C" w:rsidRPr="002F30DF" w:rsidRDefault="00126F4C" w:rsidP="00126F4C">
      <w:pPr>
        <w:pStyle w:val="Alineazaodstavkom"/>
        <w:numPr>
          <w:ilvl w:val="0"/>
          <w:numId w:val="35"/>
        </w:numPr>
        <w:spacing w:line="260" w:lineRule="atLeast"/>
        <w:rPr>
          <w:sz w:val="20"/>
          <w:szCs w:val="20"/>
        </w:rPr>
      </w:pPr>
      <w:r w:rsidRPr="002F30DF">
        <w:rPr>
          <w:sz w:val="20"/>
          <w:szCs w:val="20"/>
        </w:rPr>
        <w:t>opravijo druga dejanja, ki so v skladu z namenom preiskave.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Če se zasežejo predmeti iz tretje alineje prejšnjega odstavka, mora agencija v zapisniku navesti, kje so bili predmeti najdeni, jih opisati in izdati potrdilo o njihovem zasegu.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color w:val="000000"/>
          <w:sz w:val="20"/>
          <w:szCs w:val="20"/>
          <w:shd w:val="clear" w:color="auto" w:fill="FFFFFF"/>
        </w:rPr>
      </w:pPr>
      <w:r w:rsidRPr="002F30DF">
        <w:rPr>
          <w:sz w:val="20"/>
          <w:szCs w:val="20"/>
        </w:rPr>
        <w:t>(4) Podjetje mora pooblaščenim osebam omogočiti dostop do prostorov, zemljišč in prevoznih sredstev ter do poslovnih knjig in druge dokumentacije. Pooblaščene osebe lahko opravljajo preiskavo tudi proti volji podjetja.</w:t>
      </w:r>
      <w:r w:rsidRPr="002F30DF">
        <w:rPr>
          <w:color w:val="000000"/>
          <w:sz w:val="20"/>
          <w:szCs w:val="20"/>
          <w:shd w:val="clear" w:color="auto" w:fill="FFFFFF"/>
        </w:rPr>
        <w:t xml:space="preserv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Oseba, ki je uporabnik elektronske naprave, ki se pregleduje, mora pooblaščeni osebi omogočiti dostop do naprave, predložiti šifrirne ključe ali gesla in dati pojasnila o uporabi naprave. Pregled elektronskih naprav mora biti opravljen tako, da se v najmanjši možni meri posega v pravice oseb, ki niso zavezanci za nadzor, da se varujeta tajnost in zaupnost podatkov ter da se ne povzroča nesorazmerna škoda, tudi s sprotnim izločanjem nepotrebnih podatkov. Če elektronsko napravo uporablja oseba, ki upravičeno pričakuje zasebnost glede njene vsebine, ima pravico biti navzoča ob pregledu vsebine elektronske naprave, o čemer jo pouči pooblaščena oseba. Agencija z zaseženimi elektronskimi napravami ali kopijami elektronskih podatkov ravna tako, da zagotovi istovetnost in integriteto elektronskih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 xml:space="preserve">(6) Preiskava se opravi med 6. in 22. uro. </w:t>
      </w:r>
      <w:r w:rsidRPr="002F30DF">
        <w:rPr>
          <w:color w:val="000000"/>
          <w:sz w:val="20"/>
          <w:szCs w:val="20"/>
          <w:shd w:val="clear" w:color="auto" w:fill="FFFFFF"/>
        </w:rPr>
        <w:t xml:space="preserve">Opravlja se lahko tudi zunaj tako določenega časa, če se je v njem začela, pa se do 22. ure še ni končala ali če sodnik v odredbi za preiskavo iz četrtega odstavka prejšnjega člena, oceni, da bi bili lahko zaradi odlašanja uničeni poslovne knjige, druga dokumentacija ali predmeti, pomembni za postopek, in to posebej dovoli. </w:t>
      </w:r>
      <w:r w:rsidRPr="002F30DF">
        <w:rPr>
          <w:sz w:val="20"/>
          <w:szCs w:val="20"/>
        </w:rPr>
        <w:t>Pooblaščene osebe morajo opravljati preiskavo tako, da čim manj ovirajo poslovanje podjetja.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(opravljanje preiskave)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Osebe, zaposlene v agenciji, izkazujejo pooblastilo za opravljanje preiskave s službeno izkaznico, specializirane organizacije, zavodi ali posamezniki pa s pisnim pooblastilom direktorja agencije, ki vsebuje obseg pooblastil.</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Službeno izkaznico izda minister, pristojen za varstvo konkurence.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Obliko službene izkaznice in postopek za njeno izdajo predpiše minister, pristojen za varstvo konkurence.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(oviranje preiskave)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podjetje ne dovoli vstopa v prostore, na zemljišča ali v prevozna sredstva ali ga ovira, ali ne dovoli dostopa do poslovnih knjig ali druge dokumentacije ali ga ovira, ali kako drugače ovira preiskavo, ali če se to utemeljeno pričakuje, lahko pooblaščena oseba vstopi v prostore, na zemljišča ali v prevozna sredstva ali dostopi do poslovnih knjig ali druge dokumentacije proti volji podjetja ob pomoči policije. Stroške vstopa ali dostopa in morebitno škodo krije podjetje.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Šteje se, da podjetje ovira preiskavo, če jo ovirajo člani organov vodenja ali nadzora podjetja, zaposleni v podjetju, ali pogodbeni sodelavci podjetja.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(privilegirana komunikacija)</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Iz preiskave so izključena pisma, obvestila ali drugi načini komunikacije med podjetjem, zoper katero se izvaja preiskava, in njegovim odvetnikom v obsegu, v </w:t>
      </w:r>
      <w:r w:rsidRPr="002F30DF">
        <w:rPr>
          <w:sz w:val="20"/>
          <w:szCs w:val="20"/>
        </w:rPr>
        <w:lastRenderedPageBreak/>
        <w:t>katerem se nanašajo na ta postopek (v nadaljnjem besedilu: privilegirana komunikacija).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podjetje ali njegov odvetnik zavrne dostop do podatkov s sklicevanjem, da gre za privilegirano komunikacijo, pooblaščena oseba preveri, ali je sklicevanje očitno neutemeljeno. Če pooblaščena oseba presodi, da ne gre za privilegirano komunikacijo, vloži dokument (ali njegovo kopijo) v zapečateno kuverto, na katero se podpišeta pooblaščena oseba in podjetje ali njegov odvetnik.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O utemeljenosti ali neutemeljenosti sklicevanja na privilegirano komunikacijo odloči Upravno sodišče Republike Slovenije v Ljubljani v 15 dneh od dneva, ko je agencija vložila zahtevo. Agencija zahtevi priloži zapečateno kuverto.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Če Upravno sodišče Republike Slovenije v Ljubljani odloči, da ne gre za privilegirano komunikacijo, pošlje dokumente agenciji, če pa odloči, da gre za privilegirano komunikacijo, jih pošlje podjetju ali njegovemu odvetniku. Zoper to odločbo ni pravnega sredstva.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Če se pregled poslovnih knjig in druge dokumentacije ne opravi med preiskavo prostorov podjetja in je agencija odvzela ali pridobila kopije, forenzične kopije ali izvlečke iz poslovnih knjig in druge dokumentacije ali jih je zasegla, agencija podjetje pozove, da v roku, ki ne sme biti krajši od sedem dni, navede dokumente iz prvega odstavka tega člena, oziroma podjetje povabi, da prisostvuje pri pregledu poslovnih knjig in druge dokumentacije, ob tem pa lahko poda ugovore iz drugega odstavka tega člena.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(zapisnik)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o preiskavi sestavi zapisnik.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Zapisnik vsebuje:</w:t>
      </w:r>
    </w:p>
    <w:p w:rsidR="00126F4C" w:rsidRPr="002F30DF" w:rsidRDefault="00126F4C" w:rsidP="00126F4C">
      <w:pPr>
        <w:pStyle w:val="Alineazaodstavkom"/>
        <w:numPr>
          <w:ilvl w:val="0"/>
          <w:numId w:val="44"/>
        </w:numPr>
        <w:spacing w:line="260" w:lineRule="atLeast"/>
        <w:rPr>
          <w:sz w:val="20"/>
          <w:szCs w:val="20"/>
        </w:rPr>
      </w:pPr>
      <w:r w:rsidRPr="002F30DF">
        <w:rPr>
          <w:sz w:val="20"/>
          <w:szCs w:val="20"/>
        </w:rPr>
        <w:t>kraj, datum in uro začetka in konca opravljanja preiskave;</w:t>
      </w:r>
    </w:p>
    <w:p w:rsidR="00126F4C" w:rsidRPr="002F30DF" w:rsidRDefault="00126F4C" w:rsidP="00126F4C">
      <w:pPr>
        <w:pStyle w:val="Alineazaodstavkom"/>
        <w:numPr>
          <w:ilvl w:val="0"/>
          <w:numId w:val="44"/>
        </w:numPr>
        <w:spacing w:line="260" w:lineRule="atLeast"/>
        <w:rPr>
          <w:sz w:val="20"/>
          <w:szCs w:val="20"/>
        </w:rPr>
      </w:pPr>
      <w:r w:rsidRPr="002F30DF">
        <w:rPr>
          <w:sz w:val="20"/>
          <w:szCs w:val="20"/>
        </w:rPr>
        <w:t>zadevo, v kateri se preiskava opravlja;</w:t>
      </w:r>
    </w:p>
    <w:p w:rsidR="00126F4C" w:rsidRPr="002F30DF" w:rsidRDefault="00126F4C" w:rsidP="00126F4C">
      <w:pPr>
        <w:pStyle w:val="Alineazaodstavkom"/>
        <w:numPr>
          <w:ilvl w:val="0"/>
          <w:numId w:val="44"/>
        </w:numPr>
        <w:spacing w:line="260" w:lineRule="atLeast"/>
        <w:rPr>
          <w:sz w:val="20"/>
          <w:szCs w:val="20"/>
        </w:rPr>
      </w:pPr>
      <w:r w:rsidRPr="002F30DF">
        <w:rPr>
          <w:sz w:val="20"/>
          <w:szCs w:val="20"/>
        </w:rPr>
        <w:t>ime pooblaščene osebe, ki je vodila dejanje, zapisnikarja in drugih udeležencev, ki so sodelovali pri preiskavi;</w:t>
      </w:r>
    </w:p>
    <w:p w:rsidR="00126F4C" w:rsidRPr="002F30DF" w:rsidRDefault="00126F4C" w:rsidP="00126F4C">
      <w:pPr>
        <w:pStyle w:val="Alineazaodstavkom"/>
        <w:numPr>
          <w:ilvl w:val="0"/>
          <w:numId w:val="44"/>
        </w:numPr>
        <w:spacing w:line="260" w:lineRule="atLeast"/>
        <w:rPr>
          <w:sz w:val="20"/>
          <w:szCs w:val="20"/>
        </w:rPr>
      </w:pPr>
      <w:r w:rsidRPr="002F30DF">
        <w:rPr>
          <w:sz w:val="20"/>
          <w:szCs w:val="20"/>
        </w:rPr>
        <w:lastRenderedPageBreak/>
        <w:t>kratek opis poteka preiskave ter vsebino v postopku opravljenega dejanja in danih izjav ter</w:t>
      </w:r>
    </w:p>
    <w:p w:rsidR="00126F4C" w:rsidRPr="002F30DF" w:rsidRDefault="00126F4C" w:rsidP="00126F4C">
      <w:pPr>
        <w:pStyle w:val="Alineazaodstavkom"/>
        <w:numPr>
          <w:ilvl w:val="0"/>
          <w:numId w:val="44"/>
        </w:numPr>
        <w:spacing w:line="260" w:lineRule="atLeast"/>
        <w:rPr>
          <w:sz w:val="20"/>
          <w:szCs w:val="20"/>
        </w:rPr>
      </w:pPr>
      <w:r w:rsidRPr="002F30DF">
        <w:rPr>
          <w:sz w:val="20"/>
          <w:szCs w:val="20"/>
        </w:rPr>
        <w:t>seznam dokumentov in drugih predmetov, ki jih je agencija pridobila med preiskavo.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Preden se zapisnik sklene, imajo udeleženci, ki so prisotni pri preiskavi, pravico prebrati ali poslušati branje zapisnika in dati svoje pripombe. Na koncu zapisnika se navedeta pravica iz prejšnjega stavka in ali se udeleženci z vsebino zapisnika strinjajo oziroma ali imajo kakšne pripombe. Če imajo udeleženci pripombe na zapisnik, se v zapisnik na kratko zapiše njihova vsebina. Nato podpišejo zapisnik udeleženci preiskave, na koncu pa ga overita uradna oseba, ki je preiskavo vodila, in zapisnikar.</w:t>
      </w:r>
    </w:p>
    <w:p w:rsidR="00126F4C" w:rsidRPr="002F30DF" w:rsidRDefault="00126F4C" w:rsidP="00126F4C">
      <w:pPr>
        <w:pStyle w:val="Odstavek"/>
        <w:tabs>
          <w:tab w:val="left" w:pos="2880"/>
        </w:tabs>
        <w:spacing w:before="0" w:line="260" w:lineRule="atLeast"/>
        <w:ind w:firstLine="0"/>
        <w:rPr>
          <w:sz w:val="20"/>
          <w:szCs w:val="20"/>
        </w:rPr>
      </w:pPr>
    </w:p>
    <w:p w:rsidR="00126F4C" w:rsidRPr="002F30DF" w:rsidRDefault="00126F4C" w:rsidP="00126F4C">
      <w:pPr>
        <w:pStyle w:val="Odstavek"/>
        <w:tabs>
          <w:tab w:val="left" w:pos="2880"/>
        </w:tabs>
        <w:spacing w:before="0" w:line="260" w:lineRule="atLeast"/>
        <w:ind w:firstLine="0"/>
        <w:rPr>
          <w:sz w:val="20"/>
          <w:szCs w:val="20"/>
        </w:rPr>
      </w:pPr>
      <w:r w:rsidRPr="002F30DF">
        <w:rPr>
          <w:sz w:val="20"/>
          <w:szCs w:val="20"/>
        </w:rPr>
        <w:t>(4) Ta člen se uporablja tudi za pregled poslovnih knjig in druge dokumentacije iz petega odstavka prejšnjega člena.</w:t>
      </w:r>
    </w:p>
    <w:p w:rsidR="00126F4C" w:rsidRPr="002F30DF" w:rsidRDefault="00126F4C" w:rsidP="00126F4C">
      <w:pPr>
        <w:pStyle w:val="Odstavek"/>
        <w:tabs>
          <w:tab w:val="left" w:pos="2880"/>
        </w:tabs>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(preiskava pri tretjih)</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obstaja utemeljen sum, da so poslovne knjige in druga dokumentacija, ki so povezane s poslovanjem podjetja in predmetom preiskave in so lahko pomembne za dokazovanje kršitve tega zakona ali 101. ali 102. člena Pogodbe o delovanju Evropske unije, v katerih koli drugih prostorih, na zemljiščih ali v prevoznih sredstvih, ki niso navedeni v drugem odstavku 56. člena tega zakona, ali v stanovanjskih ali drugih prostorih članov organov vodenja podjetja ali nadzora, zaposlenih ali drugih sodelavcev podjetja, pridobi agencija odredbo za preiskavo teh prostorov, zemljišč ali prevoznih sredstev od sodnika ali sodnice (v  nadaljnjem besedilu: sodnik) pristojnega sodišča v Ljubljani.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opravljanje preiskave se smiselno uporabljajo 55. do 60.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4. podpoglavje</w:t>
      </w:r>
      <w:r w:rsidRPr="002F30DF">
        <w:rPr>
          <w:sz w:val="20"/>
          <w:szCs w:val="20"/>
        </w:rPr>
        <w:br/>
        <w:t>Odločbe in sklepi agencije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(ugotovitev in prenehanje kršitve)</w:t>
      </w:r>
    </w:p>
    <w:p w:rsidR="00126F4C" w:rsidRPr="002F30DF" w:rsidRDefault="00126F4C" w:rsidP="00126F4C">
      <w:pPr>
        <w:pStyle w:val="Odstavek"/>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(1) Agencija lahko izda odločbo o ugotovitvi kršitve 5. ali 8. člena tega zakona ali 101. ali 102. člena Pogodbe o delovanju Evropske unije, vključno s kršitvami, storjenimi v preteklosti, in od podjetja zahteva, da preneha izvajati kršitev, če je to ustrezno, in mu, če tako določa ta zakon, za to kršitev izreče administrativno sankcijo.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 isto odločbo lahko podjetju naloži ukrepe, ki so primerni, da se odpravijo kršitev in njene posledice, zlasti odprodaja dejavnosti ali dela dejavnosti podjetja, delitev podjetja ali odsvojitev deležev v podjetjih, prenos pravic industrijske lastnine in drugih pravic, sklenitev licenčnih in drugih pogodb, ki se lahko sklepajo pri poslovanju med podjetji, zagotavljanje dostopa do infrastrukture. Če je možnih več enako učinkovitih ukrepov za odpravo kršitev in njenih posledic, agencija skladno z načelom sorazmernosti podjetju naloži tisti ukrep, ki je za podjetje manj obremenilen.</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Kadar je izpolnitev ukrepov vezana na soglasje ali drugo dejanje agencije, agencija o tem odloči s sklepom. Zoper sklep ni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Agencija izda odločbo iz prvega odstavka tega člena v dveh letih od izdaje sklepa o uvedbi postopka, če ta zakon ne določa drugače.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(začasni ukrepi)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obstaja verjetnost kršitve 5. ali 8. člena tega zakona ali 101. ali 102. člena Pogodbe o delovanju Evropske unije, lahko agencija v nujnih primerih, ko obstaja nevarnost hude in težko popravljive škode za učinkovitost konkurence na trgu, izda sklep o začasnih ukrepih. Naloženi začasni ukrepi so sorazmerni.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V sklepu, s katerim se sprejmejo začasni ukrepi, agencija določi, koliko časa naj trajajo. Agencija lahko začasne ukrepe podaljša, če je to potrebno in primerno ter najdlje do pravnomočnosti odločbe o ugotovitvi kršitve iz prejšnjega člena.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Agencija o naloženih začasnih ukrepih obvesti Evropsko mrežo za konkurenco, kadar obstaja verjetnost kršitve 101. ali 102. člena Pogodbe o delovanju Evropske unije.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(4) Zoper sklep o začasnih ukrepih lahko stranka v treh dneh od dneva njegove vročitve vloži tožbo, o kateri sodišče odloči brez odlašanja, najpozneje pa v 15 dneh po prejemu tožbe.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(zaveze)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Po izdaji sklepa o uvedbi postopka lahko podjetje, proti kateremu se vodi postopek, predlaga zaveze, s katerimi se odpravi stanje, iz katerega izhaja verjetnost kršitve 5. ali 8. člena tega zakona ali 101. ali 102. člena Pogodbe o delovanju Evropske unije. Podjetje, proti kateremu se vodi postopek, lahko predlaga zaveze najpozneje do poteka roka za odgovor na povzetek relevantnih dejstev.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predlagane zaveze niso primerne ali ne zadoščajo za odpravo stanja, iz katerega izhaja verjetnost kršitve 5. ali 8. člena tega zakona ali 101. ali 102. člena Pogodbe o delovanju Evropske unije, agencija o tem pisno obvesti podjetje, ki je zaveze predlagalo.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so zaveze primerne in zadoščajo za odpravo stanja iz katerega izhaja verjetnost kršitve 5. ali 8. člena tega zakona ali 101. ali 102. člena Pogodbe o delovanju Evropske unije, lahko agencija po pridobitvi mnenj drugih udeležencev na trgu predlagane zaveze sprejme z odločbo. V tem primeru agencija z odločbo ugotovi tudi, da ni več razlogov za nadaljnje ukrepanje, in lahko zaveze časovno omeji.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Kadar je izpolnitev zavez vezana na soglasje ali drugo dejanje agencije, agencija o tem odloči s sklepom. Zoper sklep ni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Agencija lahko na predlog ali po uradni dolžnosti razveljavi odločbo iz tretjega odstavka tega člena in nadaljuje postopek, kadar:</w:t>
      </w:r>
    </w:p>
    <w:p w:rsidR="00126F4C" w:rsidRPr="002F30DF" w:rsidRDefault="00126F4C" w:rsidP="00126F4C">
      <w:pPr>
        <w:pStyle w:val="Alineazaodstavkom"/>
        <w:numPr>
          <w:ilvl w:val="0"/>
          <w:numId w:val="36"/>
        </w:numPr>
        <w:spacing w:line="260" w:lineRule="atLeast"/>
        <w:rPr>
          <w:sz w:val="20"/>
          <w:szCs w:val="20"/>
        </w:rPr>
      </w:pPr>
      <w:r w:rsidRPr="002F30DF">
        <w:rPr>
          <w:sz w:val="20"/>
          <w:szCs w:val="20"/>
        </w:rPr>
        <w:t>se bistveno spremenijo dejanske okoliščine, na katerih je temeljila odločba,</w:t>
      </w:r>
    </w:p>
    <w:p w:rsidR="00126F4C" w:rsidRPr="002F30DF" w:rsidRDefault="00126F4C" w:rsidP="00126F4C">
      <w:pPr>
        <w:pStyle w:val="Alineazaodstavkom"/>
        <w:numPr>
          <w:ilvl w:val="0"/>
          <w:numId w:val="36"/>
        </w:numPr>
        <w:spacing w:line="260" w:lineRule="atLeast"/>
        <w:rPr>
          <w:sz w:val="20"/>
          <w:szCs w:val="20"/>
        </w:rPr>
      </w:pPr>
      <w:r w:rsidRPr="002F30DF">
        <w:rPr>
          <w:sz w:val="20"/>
          <w:szCs w:val="20"/>
        </w:rPr>
        <w:t>podjetja ne izpolnjujejo zavez ali</w:t>
      </w:r>
    </w:p>
    <w:p w:rsidR="00126F4C" w:rsidRPr="002F30DF" w:rsidRDefault="00126F4C" w:rsidP="00126F4C">
      <w:pPr>
        <w:pStyle w:val="Alineazaodstavkom"/>
        <w:numPr>
          <w:ilvl w:val="0"/>
          <w:numId w:val="36"/>
        </w:numPr>
        <w:spacing w:line="260" w:lineRule="atLeast"/>
        <w:rPr>
          <w:sz w:val="20"/>
          <w:szCs w:val="20"/>
        </w:rPr>
      </w:pPr>
      <w:r w:rsidRPr="002F30DF">
        <w:rPr>
          <w:sz w:val="20"/>
          <w:szCs w:val="20"/>
        </w:rPr>
        <w:t>odločba temelji na nepopolnih, nepravilnih ali zavajajočih podatkih, ki so jih predložile stranke.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Agencija izda odločbo iz tretjega odstavka tega člena v dveh letih od izdaje sklepa o uvedbi postopka, če ta zakon ne določa drugače.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(ustavitev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agencija v postopku ne ugotovi kršitve 5. ali 8. člena tega zakona ali 101. ali 102. člena Pogodbe o delovanju Evropske unije ali če okoliščine kažejo, da postopek ne bi bil smotrn, ga s sklepom ustavi. O ustavitvi postopka glede ugotavljanja kršitev 101. ali 102. člena Pogodbe o delovanju Evropske unije agencija obvesti Evropsko komisijo.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Ko Evropska komisija začne postopek zaradi kršitve 101. ali 102. člena Pogodbe o delovanju Evropske unije ali če je že izdala odločbo v isti zadevi, ki je predmet postopka pred agencijo, agencija s sklepom ustavi postopek. Zoper sklep o ustavitvi postopka ni sodnega varstva.</w:t>
      </w:r>
    </w:p>
    <w:p w:rsidR="00126F4C" w:rsidRPr="002F30DF" w:rsidRDefault="00126F4C" w:rsidP="00126F4C">
      <w:pPr>
        <w:pStyle w:val="Odstavek"/>
        <w:tabs>
          <w:tab w:val="left" w:pos="645"/>
        </w:tabs>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je organ, pristojen za varstvo konkurence druge države članice, začel postopek zaradi kršitve 101. ali 102. člena Pogodbe o delovanju Evropske unije ali je že izdal odločbo v isti zadevi, ki je predmet postopka pred agencijo, lahko agencija s sklepom ustavi svoj postopek. Zoper sklep o ustavitvi postopka agencije ni sodnega varstva.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(poročilo)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Agencija lahko z zahtevo za predložitev podatkov od podjetja, naslovnika odločbe agencije, zahteva poročilo o izpolnjevanju zavez, obveznosti in ukrepov, ki so mu bili naloženi z odločbo.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3. poglavje</w:t>
      </w:r>
      <w:r w:rsidRPr="002F30DF">
        <w:rPr>
          <w:sz w:val="20"/>
          <w:szCs w:val="20"/>
        </w:rPr>
        <w:br/>
        <w:t>Postopek pri koncentracijah</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(obveznost priglasitve)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Koncentracijo je treba agenciji priglasiti, če:</w:t>
      </w:r>
    </w:p>
    <w:p w:rsidR="00126F4C" w:rsidRPr="002F30DF" w:rsidRDefault="00126F4C" w:rsidP="00126F4C">
      <w:pPr>
        <w:pStyle w:val="Alineazaodstavkom"/>
        <w:numPr>
          <w:ilvl w:val="0"/>
          <w:numId w:val="48"/>
        </w:numPr>
        <w:spacing w:line="260" w:lineRule="atLeast"/>
        <w:rPr>
          <w:sz w:val="20"/>
          <w:szCs w:val="20"/>
        </w:rPr>
      </w:pPr>
      <w:r w:rsidRPr="002F30DF">
        <w:rPr>
          <w:sz w:val="20"/>
          <w:szCs w:val="20"/>
        </w:rPr>
        <w:lastRenderedPageBreak/>
        <w:t>je skupni letni promet v koncentraciji udeleženih podjetij skupaj z drugimi podjetji v skupini v predhodnem poslovnem letu na trgu Republike Slovenije presegel 35 milijonov eurov in</w:t>
      </w:r>
    </w:p>
    <w:p w:rsidR="00126F4C" w:rsidRPr="002F30DF" w:rsidRDefault="00126F4C" w:rsidP="00126F4C">
      <w:pPr>
        <w:pStyle w:val="Alineazaodstavkom"/>
        <w:numPr>
          <w:ilvl w:val="0"/>
          <w:numId w:val="48"/>
        </w:numPr>
        <w:spacing w:line="260" w:lineRule="atLeast"/>
        <w:rPr>
          <w:sz w:val="20"/>
          <w:szCs w:val="20"/>
        </w:rPr>
      </w:pPr>
      <w:r w:rsidRPr="002F30DF">
        <w:rPr>
          <w:sz w:val="20"/>
          <w:szCs w:val="20"/>
        </w:rPr>
        <w:t>je letni pomet prevzetega podjetja skupaj z drugimi podjetji v skupini v predhodnem poslovnem letu na trgu Republike Slovenije presegel 1 milijon eurov ali je letni promet v primeru iz tretje alineje prvega odstavka 9. člena tega zakona vsaj dveh v koncentraciji udeleženih podjetij skupaj z drugimi podjetji v skupini v predhodnem poslovnem letu na trgu Republike Slovenije presegel 1 milijon eurov.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Ne glede na dosežen prag iz prejšnjega odstavka koncentracije ni treba priglasiti, če jo v skladu z Uredbo 139/2004/ES presoja Evropska komisija.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Čeprav koncentracija ne dosega pragov iz prvega odstavka tega člena, lahko agencija najpozneje v 15 dneh od dneva, ko v koncentraciji udeležena podjetja obvestijo agencijo o njeni izvedbi, ta pozove, da jo priglasijo, če imajo skupaj z drugimi podjetji v skupini več kot 60-odstotni tržni delež na trgu Republike Slovenije.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(priglasitev koncentracije)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Koncentracijo je treba agenciji priglasiti pred začetkom njenega izvrševanja, vendar najpozneje v 30 dneh od sklenitve pogodbe, objave javne ponudbe ali pridobitve kontrole. Rok začne teči na dan prvega od teh dogodkov.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Kadar se na podlagi zaprosila v skladu s 4. členom Uredbe 139/2004/ES Evropska komisija odloči, da koncentracije ne bo presojala, jo je treba agenciji priglasiti najpozneje v 30 dneh od dneva seznanitve podjetja, ki mora priglasiti koncentracijo v skladu s petim odstavkom tega člena, z odločitvijo Evropske komisije.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Kadar Evropska komisija v skladu z 9. členom Uredbe 139/2004/ES z odločbo podjetja seznani, da bo koncentracijo presojala agencija, jo je treba agenciji priglasiti najpozneje v 30 dneh od dneva vročitve te odločbe podjetju, ki mora priglasiti koncentracijo v skladu s petim odstavkom tega člena.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(4) V primerih iz tretjega odstavka prejšnjega člena je treba koncentracijo agenciji priglasiti najpozneje v 30 dneh od dneva vročitve poziva podjetju, ki mora koncentracijo priglasiti v skladu s petim odstavkom tega člena.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Koncentracijo, ki nastane z združitvijo ali pridobitvijo skupne kontrole, morajo skupno priglasiti podjetja, ki se združujejo, ali podjetja, ki skupaj pridobijo kontrolo. V vseh drugih primerih mora koncentracijo priglasiti oseba ali podjetje, ki pridobi kontrolo nad celoto ali deli enega ali več podjetij.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Podjetja priglasijo koncentracijo na posebnem obrazcu, katerega vsebino predpiše vlada z uredbo.</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(zadržanje izvrševanja koncentracije)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Podjetja ne smejo uresničevati pravic in obveznosti, ki izhajajo iz koncentracije, za katero obstaja obveznost priglasitve, do izdaje odločbe o skladnosti koncentracije s pravili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Kadar agencija v skladu s tretjim odstavkom 67. člena tega zakona podjetja pozove, da morajo koncentracijo priglasiti agenciji, morajo podjetja od dneva vročitve poziva prenehati z izvrševanjem koncentracijo.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Dejanja, storjena v nasprotju s </w:t>
      </w:r>
      <w:r w:rsidR="00B15875">
        <w:rPr>
          <w:sz w:val="20"/>
          <w:szCs w:val="20"/>
        </w:rPr>
        <w:t>prvim in drugim</w:t>
      </w:r>
      <w:r w:rsidR="00B15875" w:rsidRPr="002F30DF">
        <w:rPr>
          <w:sz w:val="20"/>
          <w:szCs w:val="20"/>
        </w:rPr>
        <w:t xml:space="preserve"> </w:t>
      </w:r>
      <w:r w:rsidRPr="002F30DF">
        <w:rPr>
          <w:sz w:val="20"/>
          <w:szCs w:val="20"/>
        </w:rPr>
        <w:t>odstavkom</w:t>
      </w:r>
      <w:r w:rsidR="00B15875">
        <w:rPr>
          <w:sz w:val="20"/>
          <w:szCs w:val="20"/>
        </w:rPr>
        <w:t xml:space="preserve"> tega člena</w:t>
      </w:r>
      <w:r w:rsidRPr="002F30DF">
        <w:rPr>
          <w:sz w:val="20"/>
          <w:szCs w:val="20"/>
        </w:rPr>
        <w:t>, so nična.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Ne glede na prvi do tretji odstavek tega člena lahko agencija na predlog podjetja izda sklep, s katerim dovoli izvrševanje koncentracije v določenem obsegu ali pod določenimi pogoji pred izdajo odločbe, če podjetje v predlogu izkaže, da je takšno izvrševanje nujno za ohranjanje vrednosti naložbe ali za opravljanje storitev splošnega interesa. Agencija pri tem upošteva zlasti učinke zadržanja izvrševanja koncentracije na eno ali več v koncentraciji udeleženih podjetij ali na tretje osebe in nevarnost, ki jo koncentracija pomeni za učinkovitost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Agencija izda sklep, s katerim dovoli ali zavrne izvrševanje koncentracije, v 15 delovnih dneh od prejema predloga iz prejšnjega odstavka.</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Prepoved izvrševanja koncentracije iz prvega odstavka tega člena ne vpliva:</w:t>
      </w:r>
    </w:p>
    <w:p w:rsidR="00126F4C" w:rsidRPr="002F30DF" w:rsidRDefault="00126F4C" w:rsidP="00126F4C">
      <w:pPr>
        <w:pStyle w:val="Odstavek"/>
        <w:numPr>
          <w:ilvl w:val="1"/>
          <w:numId w:val="93"/>
        </w:numPr>
        <w:spacing w:before="0" w:line="260" w:lineRule="atLeast"/>
        <w:ind w:left="426"/>
        <w:rPr>
          <w:sz w:val="20"/>
          <w:szCs w:val="20"/>
        </w:rPr>
      </w:pPr>
      <w:r w:rsidRPr="002F30DF">
        <w:rPr>
          <w:sz w:val="20"/>
          <w:szCs w:val="20"/>
        </w:rPr>
        <w:lastRenderedPageBreak/>
        <w:t>na izvedbo javne ponudbe po zakonu, ki ureja prevzeme, če pridobitelj pri tem ne uresničuje glasovalnih pravic ali jih uresničuje v skladu s sklepom iz četrtega odstavka tega člena;</w:t>
      </w:r>
    </w:p>
    <w:p w:rsidR="00126F4C" w:rsidRPr="002F30DF" w:rsidRDefault="00126F4C" w:rsidP="00126F4C">
      <w:pPr>
        <w:pStyle w:val="Odstavek"/>
        <w:numPr>
          <w:ilvl w:val="1"/>
          <w:numId w:val="93"/>
        </w:numPr>
        <w:spacing w:before="0" w:line="260" w:lineRule="atLeast"/>
        <w:ind w:left="426"/>
        <w:rPr>
          <w:sz w:val="20"/>
          <w:szCs w:val="20"/>
        </w:rPr>
      </w:pPr>
      <w:r w:rsidRPr="002F30DF">
        <w:rPr>
          <w:sz w:val="20"/>
          <w:szCs w:val="20"/>
        </w:rPr>
        <w:t>na veljavnost transakcij z vrednostnimi papirji, vključno s tistimi, ki so zamenljivi za druge vrednostne papirje, s katerimi se trguje na organiziranem trgu, razen če kupec in prodajalec vesta ali bi morala vedeti, da je bila transakcija izvedena v nasprotju s prvim odstavkom tega člena.</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(začetek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Postopek presoje koncentracije se začne na podlagi priglasitve.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začne postopek presoje koncentracije po uradni dolžnosti z izdajo sklepa o uvedbi postopka, kadar je izkazana verjetnost, da je prišlo do koncentracije, ki je podrejena določbam tega zakona, in je podjetja niso priglasila.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Agencija po uradni dolžnosti začne postopek za odpravo učinkov koncentracije.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Za sklep iz drugega in tretjega odstavka tega člena se smiselno uporablja 50.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(preizkus priglasitve)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prejeto priglasitev nemudoma pregleda. Če priglasitev ne vsebuje vseh zahtevanih sestavin posebnega obrazca iz šestega odstavka 68. člena tega zakona, agencija priglasitelja pozove, naj pomanjkljivosti odpravi, in mu določi rok, v katerem jih mora odpraviti. Če priglasitelj pomanjkljivosti ne odpravi v roku, se šteje, da koncentracija ni bila priglašena.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agencija ugotovi, da priglašena koncentracija ni podrejena določbam tega zakona, izda o tem odločbo.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(3) Če agencija ugotovi, da je koncentracija podrejena določbam tega zakona, vendar ni izkazan resen sum o njeni skladnosti s pravili konkurence, z odločbo odloči, da ji ne bo nasprotovala, in izjavi, da je skladna s pravili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Če agencija ugotovi, da je koncentracija podrejena določbam tega zakona, in je izkazan resen sum o njeni skladnosti s pravili konkurence, s sklepom začne postopek presoje skladnosti.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Za sklep iz prejšnjega odstavka se smiselno uporablja 50.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Agencija mora izdati odločbo iz drugega in tretjega odstavka tega člena ali sklep iz četrtega odstavka tega člena v 25 delovnih dneh od prejema popolne priglasitve.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Za odločbo iz tretjega odstavka tega člena se šteje, da vključuje omejitve, ki so medsebojno neposredno povezane in potrebne za izvedbo ali izvrševanje koncentracije.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(zahteva za predložitev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Za zahtevo za predložitev podatkov se smiselno uporablja 53.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Rok za izdajo sklepa o uvedbi postopka in odločb iz 71. in 74. člena tega zakona ne teče, ko je stranka v zamudi z odgovorom na zahtevo za predložitev podatkov.</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(preiskave)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Za opravljanje preiskav se smiselno uporabljajo 55. do 61.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Preiskave se lahko opravijo pri v koncentraciji udeleženih podjetjih ali podjetjih, pri katerih obstaja verjetnost, da so v koncentraciji udeležena podjetja.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lastRenderedPageBreak/>
        <w:t>(odločbe)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mora v 60 delovnih dneh od dneva izdaje sklepa o uvedbi postopka:</w:t>
      </w:r>
    </w:p>
    <w:p w:rsidR="00126F4C" w:rsidRPr="002F30DF" w:rsidRDefault="00126F4C" w:rsidP="00126F4C">
      <w:pPr>
        <w:pStyle w:val="Alineazaodstavkom"/>
        <w:numPr>
          <w:ilvl w:val="0"/>
          <w:numId w:val="46"/>
        </w:numPr>
        <w:spacing w:line="260" w:lineRule="atLeast"/>
        <w:rPr>
          <w:sz w:val="20"/>
          <w:szCs w:val="20"/>
        </w:rPr>
      </w:pPr>
      <w:r w:rsidRPr="002F30DF">
        <w:rPr>
          <w:sz w:val="20"/>
          <w:szCs w:val="20"/>
        </w:rPr>
        <w:t>izdati odločbo o skladnosti koncentracije s pravili konkurence, če ugotovi, da koncentracija ni v nasprotju s tem zakonom,</w:t>
      </w:r>
    </w:p>
    <w:p w:rsidR="00126F4C" w:rsidRPr="002F30DF" w:rsidRDefault="00126F4C" w:rsidP="00126F4C">
      <w:pPr>
        <w:pStyle w:val="Alineazaodstavkom"/>
        <w:numPr>
          <w:ilvl w:val="0"/>
          <w:numId w:val="46"/>
        </w:numPr>
        <w:spacing w:line="260" w:lineRule="atLeast"/>
        <w:rPr>
          <w:sz w:val="20"/>
          <w:szCs w:val="20"/>
        </w:rPr>
      </w:pPr>
      <w:r w:rsidRPr="002F30DF">
        <w:rPr>
          <w:sz w:val="20"/>
          <w:szCs w:val="20"/>
        </w:rPr>
        <w:t>izdati odločbo o neskladnosti koncentracije s pravili konkurence in jo prepovedati, če ugotovi, da je koncentracija v nasprotju s tem zakonom.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odločbo iz prve alineje prejšnjega odstavka se šteje, da vključuje omejitve, ki so medsebojno neposredno povezane in potrebne za izvedbo ali izvrševanje koncentracije.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(korektivni ukrepi)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Priglasitelj lahko predlaga korektivne ukrepe, s katerimi se odpravi resen sum o skladnosti koncentracije s pravili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sprejme tiste korektivne ukrepe, za katere presodi, da lahko glede na naravo, obseg in verjetnost uspešne in pravočasne izvedbe odpravijo resen sum o skladnosti koncentracije s pravili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agencija sprejme korektivne ukrepe, v izreku odločbe iz tretjega odstavka 71. člena tega zakona in prve alineje prvega odstavka prejšnjega člena določi:</w:t>
      </w:r>
    </w:p>
    <w:p w:rsidR="00126F4C" w:rsidRPr="002F30DF" w:rsidRDefault="00126F4C" w:rsidP="00126F4C">
      <w:pPr>
        <w:pStyle w:val="Alineazaodstavkom"/>
        <w:numPr>
          <w:ilvl w:val="0"/>
          <w:numId w:val="49"/>
        </w:numPr>
        <w:spacing w:line="260" w:lineRule="atLeast"/>
        <w:rPr>
          <w:sz w:val="20"/>
          <w:szCs w:val="20"/>
        </w:rPr>
      </w:pPr>
      <w:r w:rsidRPr="002F30DF">
        <w:rPr>
          <w:sz w:val="20"/>
          <w:szCs w:val="20"/>
        </w:rPr>
        <w:t>korektivne ukrepe;</w:t>
      </w:r>
    </w:p>
    <w:p w:rsidR="00126F4C" w:rsidRPr="002F30DF" w:rsidRDefault="00126F4C" w:rsidP="00126F4C">
      <w:pPr>
        <w:pStyle w:val="Alineazaodstavkom"/>
        <w:numPr>
          <w:ilvl w:val="0"/>
          <w:numId w:val="49"/>
        </w:numPr>
        <w:spacing w:line="260" w:lineRule="atLeast"/>
        <w:rPr>
          <w:sz w:val="20"/>
          <w:szCs w:val="20"/>
        </w:rPr>
      </w:pPr>
      <w:r w:rsidRPr="002F30DF">
        <w:rPr>
          <w:sz w:val="20"/>
          <w:szCs w:val="20"/>
        </w:rPr>
        <w:t>obveznosti, s katerimi zagotovi njihovo izpolnjevanje in nadzor nad njimi, in</w:t>
      </w:r>
    </w:p>
    <w:p w:rsidR="00126F4C" w:rsidRPr="002F30DF" w:rsidRDefault="00126F4C" w:rsidP="00126F4C">
      <w:pPr>
        <w:pStyle w:val="Alineazaodstavkom"/>
        <w:numPr>
          <w:ilvl w:val="0"/>
          <w:numId w:val="49"/>
        </w:numPr>
        <w:spacing w:line="260" w:lineRule="atLeast"/>
        <w:rPr>
          <w:sz w:val="20"/>
          <w:szCs w:val="20"/>
        </w:rPr>
      </w:pPr>
      <w:r w:rsidRPr="002F30DF">
        <w:rPr>
          <w:sz w:val="20"/>
          <w:szCs w:val="20"/>
        </w:rPr>
        <w:t>rok za njihovo izpolnitev.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Kadar je izpolnitev korektivnih ukrepov vezana na soglasje ali drugo dejanje agencije, agencija o tem odloči s sklepom. Zoper sklep ni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Rok za izdajo odločbe ali sklepa o uvedbi postopka se podaljša za 15 delovnih dni, če priglasitelj agenciji predlaga korektivne ukrepe.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Agencija lahko z zahtevo za predložitev podatkov od priglasitelja zahteva poročilo o izpolnjevanju korektivnih ukrepov, ki so bili naloženi z odločbo.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lastRenderedPageBreak/>
        <w:t xml:space="preserve"> člen </w:t>
      </w:r>
    </w:p>
    <w:p w:rsidR="00126F4C" w:rsidRPr="002F30DF" w:rsidRDefault="00126F4C" w:rsidP="00126F4C">
      <w:pPr>
        <w:pStyle w:val="lennaslov"/>
        <w:spacing w:line="260" w:lineRule="atLeast"/>
        <w:rPr>
          <w:sz w:val="20"/>
          <w:szCs w:val="20"/>
        </w:rPr>
      </w:pPr>
      <w:r w:rsidRPr="002F30DF">
        <w:rPr>
          <w:sz w:val="20"/>
          <w:szCs w:val="20"/>
        </w:rPr>
        <w:t>(posebni primeri razveljavitve odločbe)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lahko z odločbo razveljavi odločbo o skladnosti koncentracije s pravili konkurence ali odločbo iz 71. člena tega zakona in z isto odločbo odloči o skladnosti koncentracije s pravili konkurence:</w:t>
      </w:r>
    </w:p>
    <w:p w:rsidR="00126F4C" w:rsidRPr="002F30DF" w:rsidRDefault="00126F4C" w:rsidP="00126F4C">
      <w:pPr>
        <w:pStyle w:val="Alineazaodstavkom"/>
        <w:numPr>
          <w:ilvl w:val="0"/>
          <w:numId w:val="50"/>
        </w:numPr>
        <w:spacing w:line="260" w:lineRule="atLeast"/>
        <w:rPr>
          <w:sz w:val="20"/>
          <w:szCs w:val="20"/>
        </w:rPr>
      </w:pPr>
      <w:r w:rsidRPr="002F30DF">
        <w:rPr>
          <w:sz w:val="20"/>
          <w:szCs w:val="20"/>
        </w:rPr>
        <w:t>če odločba temelji na nepravilnih, nepopolnih ali zavajajočih podatkih, ki jih je predložilo eno od v koncentraciji udeleženih podjetij, ali</w:t>
      </w:r>
    </w:p>
    <w:p w:rsidR="00126F4C" w:rsidRPr="002F30DF" w:rsidRDefault="00126F4C" w:rsidP="00126F4C">
      <w:pPr>
        <w:pStyle w:val="Alineazaodstavkom"/>
        <w:numPr>
          <w:ilvl w:val="0"/>
          <w:numId w:val="50"/>
        </w:numPr>
        <w:spacing w:line="260" w:lineRule="atLeast"/>
        <w:rPr>
          <w:sz w:val="20"/>
          <w:szCs w:val="20"/>
        </w:rPr>
      </w:pPr>
      <w:r w:rsidRPr="002F30DF">
        <w:rPr>
          <w:sz w:val="20"/>
          <w:szCs w:val="20"/>
        </w:rPr>
        <w:t>če podjetje ravna v nasprotju z obveznostmi iz druge alineje tretjega odstavka prejšnjega člena.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Odločba po prvi alineji prejšnjega odstavka se lahko izda v treh letih od dneva, ko je bila odločba o skladnosti koncentracije s pravili konkurence ali odločba iz drugega odstavka 68. člena tega zakona izdana ali vročena, odločba po drugi alineji prejšnjega odstavka pa v dveh letih po preteku roka iz tretje alineje tretjega odstavka prejšnjega člena.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(ukrepi za odpravo učinkov koncentracije)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je prišlo do izvedbe ali izvrševanja  koncentracije, ki jo je agencija prepovedala, ali če podjetje ni izpolnilo korektivnih ukrepov, določenih v odločbi o skladnosti koncentracije s pravili konkurence, lahko agencija v koncentraciji udeleženim podjetjem naloži ukrepe, s katerimi se znova vzpostavi stanje, kot je bilo pred izvedbo koncentracije, zlasti delitev podjetja ali odsvojitev vseh pridobljenih deležev.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Kadar stanja, kot je bilo pred izvedbo koncentracije, ni mogoče vzpostaviti, lahko agencija naloži kateri koli drug primeren ukrep za vzpostavitev stanja, ki je čim bolj podobno stanju pred izvedbo koncentracije.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Kadar je izpolnitev ukrepov iz prvega in drugega odstavka tega člena vezana na soglasje ali drugo dejanje agencije, agencija o tem odloči s sklepom. Zoper sklep ni sodnega varstva.</w:t>
      </w:r>
    </w:p>
    <w:p w:rsidR="00126F4C" w:rsidRPr="002F30DF" w:rsidRDefault="00126F4C" w:rsidP="00126F4C">
      <w:pPr>
        <w:pStyle w:val="Odstavek"/>
        <w:spacing w:before="0" w:line="260" w:lineRule="atLeast"/>
        <w:ind w:firstLine="0"/>
        <w:rPr>
          <w:sz w:val="20"/>
          <w:szCs w:val="20"/>
        </w:rPr>
      </w:pPr>
      <w:r w:rsidRPr="002F30DF">
        <w:rPr>
          <w:sz w:val="20"/>
          <w:szCs w:val="20"/>
        </w:rPr>
        <w:t xml:space="preserve"> </w:t>
      </w:r>
    </w:p>
    <w:p w:rsidR="00126F4C" w:rsidRPr="002F30DF" w:rsidRDefault="00126F4C" w:rsidP="00126F4C">
      <w:pPr>
        <w:pStyle w:val="Odstavek"/>
        <w:spacing w:before="0" w:line="260" w:lineRule="atLeast"/>
        <w:ind w:firstLine="0"/>
        <w:rPr>
          <w:sz w:val="20"/>
          <w:szCs w:val="20"/>
        </w:rPr>
      </w:pPr>
      <w:r w:rsidRPr="002F30DF">
        <w:rPr>
          <w:sz w:val="20"/>
          <w:szCs w:val="20"/>
        </w:rPr>
        <w:t>(4) Agencija naloži ukrepe iz prvega in drugega odstavka tega člena z odločbo o neskladnosti koncentracije s pravili konkurence ali s posebno odločbo.</w:t>
      </w:r>
    </w:p>
    <w:p w:rsidR="00126F4C" w:rsidRPr="002F30DF" w:rsidRDefault="00126F4C" w:rsidP="00126F4C">
      <w:pPr>
        <w:pStyle w:val="Poglavje"/>
        <w:spacing w:before="0" w:line="260" w:lineRule="atLeast"/>
        <w:rPr>
          <w:sz w:val="20"/>
          <w:szCs w:val="20"/>
        </w:rPr>
      </w:pPr>
    </w:p>
    <w:p w:rsidR="00126F4C" w:rsidRPr="002F30DF" w:rsidRDefault="00126F4C" w:rsidP="00126F4C">
      <w:pPr>
        <w:overflowPunct/>
        <w:autoSpaceDE/>
        <w:autoSpaceDN/>
        <w:adjustRightInd/>
        <w:spacing w:line="260" w:lineRule="atLeast"/>
        <w:jc w:val="center"/>
        <w:textAlignment w:val="auto"/>
        <w:rPr>
          <w:rFonts w:eastAsia="Calibri" w:cs="Arial"/>
          <w:sz w:val="20"/>
          <w:szCs w:val="20"/>
          <w:lang w:eastAsia="en-US"/>
        </w:rPr>
      </w:pPr>
      <w:r w:rsidRPr="002F30DF">
        <w:rPr>
          <w:rFonts w:eastAsia="Calibri" w:cs="Arial"/>
          <w:sz w:val="20"/>
          <w:szCs w:val="20"/>
          <w:lang w:eastAsia="en-US"/>
        </w:rPr>
        <w:t>4. poglavje</w:t>
      </w:r>
    </w:p>
    <w:p w:rsidR="00126F4C" w:rsidRPr="002F30DF" w:rsidRDefault="00126F4C" w:rsidP="00126F4C">
      <w:pPr>
        <w:overflowPunct/>
        <w:autoSpaceDE/>
        <w:autoSpaceDN/>
        <w:adjustRightInd/>
        <w:spacing w:line="260" w:lineRule="atLeast"/>
        <w:jc w:val="center"/>
        <w:textAlignment w:val="auto"/>
        <w:rPr>
          <w:rFonts w:eastAsia="Calibri" w:cs="Arial"/>
          <w:sz w:val="20"/>
          <w:szCs w:val="20"/>
          <w:lang w:eastAsia="en-US"/>
        </w:rPr>
      </w:pPr>
      <w:r w:rsidRPr="002F30DF">
        <w:rPr>
          <w:rFonts w:eastAsia="Calibri" w:cs="Arial"/>
          <w:sz w:val="20"/>
          <w:szCs w:val="20"/>
          <w:lang w:eastAsia="en-US"/>
        </w:rPr>
        <w:t>Administrativno sankcioniranje podjetij</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w:t>
      </w:r>
      <w:r w:rsidRPr="002F30DF">
        <w:rPr>
          <w:rFonts w:eastAsia="Calibri"/>
          <w:sz w:val="20"/>
          <w:szCs w:val="20"/>
          <w:lang w:eastAsia="en-US"/>
        </w:rPr>
        <w:br/>
        <w:t>(administrativno sankcioniranje podjetij)</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 xml:space="preserve">(1) Administrativni prestopek je dejanje podjetja, ki pomeni kršitev tega zakona ali 101. ali 102. člena Pogodbe o delovanju Evropske unije in je bilo s tem zakonom določeno kot administrativni prestopek ter je zanj predpisana administrativna sankcija. </w:t>
      </w:r>
    </w:p>
    <w:p w:rsidR="00126F4C" w:rsidRPr="002F30DF" w:rsidRDefault="00126F4C" w:rsidP="00126F4C">
      <w:pPr>
        <w:spacing w:line="260" w:lineRule="atLeast"/>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(2) Administrativna sankcija po tem zakonu se izreče v obliki enkratnega denarnega zneska ali periodičnega denarnega zneska.</w:t>
      </w:r>
    </w:p>
    <w:p w:rsidR="00126F4C" w:rsidRPr="002F30DF" w:rsidRDefault="00126F4C" w:rsidP="00126F4C">
      <w:pPr>
        <w:tabs>
          <w:tab w:val="left" w:pos="3360"/>
        </w:tabs>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firstLine="0"/>
        <w:rPr>
          <w:rFonts w:eastAsia="Calibri"/>
          <w:sz w:val="20"/>
          <w:szCs w:val="20"/>
          <w:lang w:eastAsia="en-US"/>
        </w:rPr>
      </w:pPr>
      <w:r w:rsidRPr="002F30DF">
        <w:rPr>
          <w:sz w:val="20"/>
          <w:szCs w:val="20"/>
        </w:rPr>
        <w:t xml:space="preserve"> člen</w:t>
      </w:r>
      <w:r w:rsidRPr="002F30DF">
        <w:rPr>
          <w:rFonts w:eastAsia="Calibri"/>
          <w:sz w:val="20"/>
          <w:szCs w:val="20"/>
          <w:lang w:eastAsia="en-US"/>
        </w:rPr>
        <w:t xml:space="preserve"> </w:t>
      </w:r>
      <w:r w:rsidRPr="002F30DF">
        <w:rPr>
          <w:rFonts w:eastAsia="Calibri"/>
          <w:sz w:val="20"/>
          <w:szCs w:val="20"/>
          <w:lang w:eastAsia="en-US"/>
        </w:rPr>
        <w:br/>
        <w:t>(meje sankcioniranja administrativnih prestopkov)</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Podjetju ne sme biti izrečena administrativna sankcija za administrativni prestopek, če dejanje ni bilo s tem zakonom določeno kot administrativni prestopek, preden je bilo dejanje storjeno in če za takšno dejanje ni bila predpisana administrativna sankcija.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sz w:val="20"/>
          <w:szCs w:val="20"/>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(administrativni prestopek</w:t>
      </w:r>
      <w:r w:rsidRPr="002F30DF" w:rsidDel="009D20CB">
        <w:rPr>
          <w:rFonts w:eastAsia="Calibri" w:cs="Arial"/>
          <w:b/>
          <w:sz w:val="20"/>
          <w:szCs w:val="20"/>
          <w:lang w:eastAsia="en-US"/>
        </w:rPr>
        <w:t xml:space="preserve"> </w:t>
      </w:r>
      <w:r w:rsidRPr="002F30DF">
        <w:rPr>
          <w:rFonts w:eastAsia="Calibri" w:cs="Arial"/>
          <w:b/>
          <w:sz w:val="20"/>
          <w:szCs w:val="20"/>
          <w:lang w:eastAsia="en-US"/>
        </w:rPr>
        <w:t>in kaznivo dejanje)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(1) Kadar kaznivo dejanje temelji na istem dejanskem stanju, na podlagi katerega je že bilo odločeno v postopku administrativnega sankcioniranja, državni tožilec ni dolžan začeti kazenskega pregona oziroma sme odstopiti od pregona, glede na že izrečeno administrativno sankcijo in namen kaznovanja v kazenskem pravu.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(2) Kadar teče kazenski postopek za kaznivo dejanje, ki temelji na istem dejanskem stanju kot administrativni prestopek, sodišče presodi o izreku kazenske sankcije glede na okoliščine primera,  izrečeno administrativno sankcijo v postopku pred agencijo in namen kaznovanja v kazenskem pravu.</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lastRenderedPageBreak/>
        <w:t xml:space="preserve">(3) Državni tožilec mora o uvedbi kazenskega pregona in o pravnomočni odločitvi sodišča brez odlašanja obvestiti agencijo.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sz w:val="20"/>
          <w:szCs w:val="20"/>
        </w:rPr>
        <w:t>člen</w:t>
      </w:r>
      <w:r w:rsidRPr="002F30DF">
        <w:rPr>
          <w:rFonts w:eastAsia="Calibri"/>
          <w:sz w:val="20"/>
          <w:szCs w:val="20"/>
          <w:lang w:eastAsia="en-US"/>
        </w:rPr>
        <w:t xml:space="preserve">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(prepoved ponovnega odločanja)</w:t>
      </w:r>
    </w:p>
    <w:p w:rsidR="00126F4C" w:rsidRPr="002F30DF" w:rsidRDefault="00126F4C" w:rsidP="00126F4C">
      <w:pPr>
        <w:overflowPunct/>
        <w:autoSpaceDE/>
        <w:autoSpaceDN/>
        <w:adjustRightInd/>
        <w:spacing w:line="260" w:lineRule="atLeast"/>
        <w:ind w:left="720"/>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r w:rsidRPr="002F30DF">
        <w:rPr>
          <w:rFonts w:eastAsia="Calibri" w:cs="Arial"/>
          <w:sz w:val="20"/>
          <w:szCs w:val="20"/>
          <w:lang w:eastAsia="en-US"/>
        </w:rPr>
        <w:t xml:space="preserve">Agencija ne izreče administrativne sankcije, če je zadevnemu podjetju za zadevni administrativni prestopek že izdala pravnomočno odločbo o administrativnem prestopku ali je sodišče izdalo pravnomočno sodbo, s katero je samo odločilo o administrativnem prestopku po tem zakonu. </w:t>
      </w:r>
    </w:p>
    <w:p w:rsidR="00126F4C" w:rsidRPr="002F30DF" w:rsidRDefault="00126F4C" w:rsidP="00126F4C">
      <w:pPr>
        <w:overflowPunct/>
        <w:autoSpaceDE/>
        <w:autoSpaceDN/>
        <w:adjustRightInd/>
        <w:spacing w:line="260" w:lineRule="atLeast"/>
        <w:contextualSpacing/>
        <w:textAlignment w:val="auto"/>
        <w:rPr>
          <w:rFonts w:eastAsia="Calibri" w:cs="Arial"/>
          <w:b/>
          <w:i/>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contextualSpacing/>
        <w:jc w:val="center"/>
        <w:textAlignment w:val="auto"/>
        <w:rPr>
          <w:rFonts w:eastAsia="Calibri" w:cs="Arial"/>
          <w:b/>
          <w:sz w:val="20"/>
          <w:szCs w:val="20"/>
          <w:lang w:eastAsia="en-US"/>
        </w:rPr>
      </w:pPr>
      <w:r w:rsidRPr="002F30DF">
        <w:rPr>
          <w:rFonts w:eastAsia="Calibri" w:cs="Arial"/>
          <w:b/>
          <w:sz w:val="20"/>
          <w:szCs w:val="20"/>
          <w:lang w:eastAsia="en-US"/>
        </w:rPr>
        <w:t>(naklep in malomarnost)</w:t>
      </w: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r w:rsidRPr="002F30DF">
        <w:rPr>
          <w:rFonts w:eastAsia="Calibri" w:cs="Arial"/>
          <w:sz w:val="20"/>
          <w:szCs w:val="20"/>
          <w:lang w:eastAsia="en-US"/>
        </w:rPr>
        <w:t>(1) Podjetje ravna z naklepom, če ne more prezreti, da je njegovo ravnanje protikonkurenčno, in je namenoma ravnalo tako, ne glede na to, ali se podjetje zaveda kršitve določb tega zakona ali 101. ali 102. člena Pogodbe o delovanju Evropske unije</w:t>
      </w: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r w:rsidRPr="002F30DF">
        <w:rPr>
          <w:rFonts w:eastAsia="Calibri" w:cs="Arial"/>
          <w:sz w:val="20"/>
          <w:szCs w:val="20"/>
          <w:lang w:eastAsia="en-US"/>
        </w:rPr>
        <w:t>(2) Podjetje ravna iz malomarnosti, če ne more prezreti, da je njegovo ravnanje protikonkurenčno, ne glede na to, ali se podjetje zaveda kršitve določb tega zakona ali 101. ali 102. člena Pogodbe o delovanju Evropske unije.</w:t>
      </w: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p>
    <w:p w:rsidR="00126F4C" w:rsidRPr="002F30DF" w:rsidRDefault="00126F4C" w:rsidP="00126F4C">
      <w:pPr>
        <w:spacing w:line="260" w:lineRule="atLeast"/>
        <w:rPr>
          <w:rFonts w:cs="Arial"/>
          <w:sz w:val="20"/>
          <w:szCs w:val="20"/>
        </w:rPr>
      </w:pPr>
      <w:r w:rsidRPr="002F30DF">
        <w:rPr>
          <w:rFonts w:eastAsia="Calibri" w:cs="Arial"/>
          <w:sz w:val="20"/>
          <w:szCs w:val="20"/>
          <w:lang w:eastAsia="en-US"/>
        </w:rPr>
        <w:t xml:space="preserve">(3) Naklep in malomarnost iz </w:t>
      </w:r>
      <w:r w:rsidR="005D2ECD">
        <w:rPr>
          <w:rFonts w:eastAsia="Calibri" w:cs="Arial"/>
          <w:sz w:val="20"/>
          <w:szCs w:val="20"/>
          <w:lang w:eastAsia="en-US"/>
        </w:rPr>
        <w:t>prvega in drugega</w:t>
      </w:r>
      <w:r w:rsidR="005D2ECD" w:rsidRPr="002F30DF">
        <w:rPr>
          <w:rFonts w:eastAsia="Calibri" w:cs="Arial"/>
          <w:sz w:val="20"/>
          <w:szCs w:val="20"/>
          <w:lang w:eastAsia="en-US"/>
        </w:rPr>
        <w:t xml:space="preserve"> </w:t>
      </w:r>
      <w:r w:rsidRPr="002F30DF">
        <w:rPr>
          <w:rFonts w:eastAsia="Calibri" w:cs="Arial"/>
          <w:sz w:val="20"/>
          <w:szCs w:val="20"/>
          <w:lang w:eastAsia="en-US"/>
        </w:rPr>
        <w:t>odstavk</w:t>
      </w:r>
      <w:r w:rsidR="005D2ECD">
        <w:rPr>
          <w:rFonts w:eastAsia="Calibri" w:cs="Arial"/>
          <w:sz w:val="20"/>
          <w:szCs w:val="20"/>
          <w:lang w:eastAsia="en-US"/>
        </w:rPr>
        <w:t>a tega člena</w:t>
      </w:r>
      <w:r w:rsidRPr="002F30DF">
        <w:rPr>
          <w:rFonts w:eastAsia="Calibri" w:cs="Arial"/>
          <w:sz w:val="20"/>
          <w:szCs w:val="20"/>
          <w:lang w:eastAsia="en-US"/>
        </w:rPr>
        <w:t xml:space="preserve"> se razlagata skladno s sodno prakso Sodišča Evropske unije </w:t>
      </w:r>
      <w:r w:rsidRPr="002F30DF">
        <w:rPr>
          <w:rFonts w:cs="Arial"/>
          <w:sz w:val="20"/>
          <w:szCs w:val="20"/>
        </w:rPr>
        <w:t xml:space="preserve">glede uporabe 101. in 102. člena Pogodbe o delovanju Evropske unije. </w:t>
      </w:r>
    </w:p>
    <w:p w:rsidR="00126F4C" w:rsidRPr="002F30DF" w:rsidRDefault="00126F4C" w:rsidP="00126F4C">
      <w:pPr>
        <w:overflowPunct/>
        <w:autoSpaceDE/>
        <w:autoSpaceDN/>
        <w:adjustRightInd/>
        <w:spacing w:line="260" w:lineRule="atLeast"/>
        <w:contextualSpacing/>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spacing w:line="260" w:lineRule="atLeast"/>
        <w:jc w:val="center"/>
        <w:rPr>
          <w:rFonts w:eastAsia="Calibri" w:cs="Arial"/>
          <w:b/>
          <w:sz w:val="20"/>
          <w:szCs w:val="20"/>
          <w:lang w:eastAsia="en-US"/>
        </w:rPr>
      </w:pPr>
      <w:r w:rsidRPr="002F30DF">
        <w:rPr>
          <w:rFonts w:eastAsia="Calibri" w:cs="Arial"/>
          <w:b/>
          <w:sz w:val="20"/>
          <w:szCs w:val="20"/>
          <w:lang w:eastAsia="en-US"/>
        </w:rPr>
        <w:t>(izrek administrativne sankcije)</w:t>
      </w:r>
    </w:p>
    <w:p w:rsidR="00126F4C" w:rsidRPr="002F30DF" w:rsidRDefault="00126F4C" w:rsidP="00126F4C">
      <w:pPr>
        <w:spacing w:line="260" w:lineRule="atLeast"/>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(1) Za storjen administrativni prestopek senat v posamični zadevi v upravnem postopku z odločbo izreče podjetju administrativno sankcijo.</w:t>
      </w:r>
    </w:p>
    <w:p w:rsidR="00126F4C" w:rsidRPr="002F30DF" w:rsidRDefault="00126F4C" w:rsidP="00126F4C">
      <w:pPr>
        <w:spacing w:line="260" w:lineRule="atLeast"/>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 xml:space="preserve">(2) Ugotavljanje administrativnega prestopka iz prve alineje prvega odstavka </w:t>
      </w:r>
      <w:r w:rsidRPr="002F30DF">
        <w:rPr>
          <w:rFonts w:cs="Arial"/>
          <w:sz w:val="20"/>
          <w:szCs w:val="20"/>
        </w:rPr>
        <w:t>84</w:t>
      </w:r>
      <w:r w:rsidRPr="002F30DF">
        <w:rPr>
          <w:rFonts w:eastAsia="Calibri" w:cs="Arial"/>
          <w:sz w:val="20"/>
          <w:szCs w:val="20"/>
          <w:lang w:eastAsia="en-US"/>
        </w:rPr>
        <w:t>. člena tega zakona je del upravnega postopka v posamični zadevi za izdajo od</w:t>
      </w:r>
      <w:r w:rsidRPr="002F30DF">
        <w:rPr>
          <w:rFonts w:eastAsia="Calibri" w:cs="Arial"/>
          <w:sz w:val="20"/>
          <w:szCs w:val="20"/>
          <w:lang w:eastAsia="en-US"/>
        </w:rPr>
        <w:lastRenderedPageBreak/>
        <w:t xml:space="preserve">ločbe o ugotovitvi in prenehanju kršitve iz </w:t>
      </w:r>
      <w:r w:rsidRPr="002F30DF">
        <w:rPr>
          <w:rFonts w:cs="Arial"/>
          <w:sz w:val="20"/>
          <w:szCs w:val="20"/>
        </w:rPr>
        <w:t>62</w:t>
      </w:r>
      <w:r w:rsidRPr="002F30DF">
        <w:rPr>
          <w:rFonts w:eastAsia="Calibri" w:cs="Arial"/>
          <w:sz w:val="20"/>
          <w:szCs w:val="20"/>
          <w:lang w:eastAsia="en-US"/>
        </w:rPr>
        <w:t>. člena tega zakona. Agencija z odločbo iz</w:t>
      </w:r>
      <w:r w:rsidRPr="002F30DF">
        <w:rPr>
          <w:rFonts w:cs="Arial"/>
          <w:sz w:val="20"/>
          <w:szCs w:val="20"/>
        </w:rPr>
        <w:t xml:space="preserve"> 62</w:t>
      </w:r>
      <w:r w:rsidRPr="002F30DF">
        <w:rPr>
          <w:rFonts w:eastAsia="Calibri" w:cs="Arial"/>
          <w:sz w:val="20"/>
          <w:szCs w:val="20"/>
          <w:lang w:eastAsia="en-US"/>
        </w:rPr>
        <w:t>. člena tega zakona podjetju izreče administrativno sankcijo za storjen administrativni prestopek.</w:t>
      </w:r>
    </w:p>
    <w:p w:rsidR="00126F4C" w:rsidRPr="002F30DF" w:rsidRDefault="00126F4C" w:rsidP="00126F4C">
      <w:pPr>
        <w:spacing w:line="260" w:lineRule="atLeast"/>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(3) Administrativno sankcijo za administrativni prestopek iz prve alineje drugega odstavka ter tretjega in četrtega odstavka 84. člena tega zakona agencija ugotovi in izreče na podlagi smiselne uporabe prejšnjega odstavka.</w:t>
      </w:r>
    </w:p>
    <w:p w:rsidR="00126F4C" w:rsidRPr="002F30DF" w:rsidRDefault="00126F4C" w:rsidP="00126F4C">
      <w:pPr>
        <w:spacing w:line="260" w:lineRule="atLeast"/>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(4) V izreku odločbe, s katero agencija izreče administrativno sankcijo, navede tudi podjetje, ki je storilo administrativni prestopek, kratek opis administrativnega prestopka, njegovo zakonsko označbo, višino administrativne sankcije za to kršitev in rok za plačilo administrativne sankcije.</w:t>
      </w:r>
    </w:p>
    <w:p w:rsidR="00126F4C" w:rsidRPr="002F30DF" w:rsidRDefault="00126F4C" w:rsidP="00126F4C">
      <w:pPr>
        <w:overflowPunct/>
        <w:autoSpaceDE/>
        <w:autoSpaceDN/>
        <w:adjustRightInd/>
        <w:spacing w:line="260" w:lineRule="atLeast"/>
        <w:contextualSpacing/>
        <w:textAlignment w:val="auto"/>
        <w:rPr>
          <w:rFonts w:eastAsia="Calibri" w:cs="Arial"/>
          <w:b/>
          <w:i/>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sz w:val="20"/>
          <w:szCs w:val="20"/>
        </w:rPr>
        <w:t xml:space="preserve"> člen</w:t>
      </w:r>
      <w:r w:rsidRPr="002F30DF">
        <w:rPr>
          <w:rFonts w:eastAsia="Calibri"/>
          <w:sz w:val="20"/>
          <w:szCs w:val="20"/>
          <w:lang w:eastAsia="en-US"/>
        </w:rPr>
        <w:t xml:space="preserve">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(administrativna sankcija)</w:t>
      </w:r>
    </w:p>
    <w:p w:rsidR="00126F4C" w:rsidRPr="002F30DF" w:rsidRDefault="00126F4C" w:rsidP="00126F4C">
      <w:pPr>
        <w:overflowPunct/>
        <w:autoSpaceDE/>
        <w:autoSpaceDN/>
        <w:adjustRightInd/>
        <w:spacing w:line="260" w:lineRule="atLeast"/>
        <w:jc w:val="lef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(1) Agencija podjetju izreče administrativno sankcijo v enkratnem denarnem znesku v višini največ deset odstotkov letnega prometa podjetja v predhodnem poslovnem letu, če to naklepno ali iz malomarnosti:</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krši 5. ali 8. člen tega zakona ali 101. ali 102. člen Pogodbe o delovanju Evropske unije ali</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ravna v nasprotju z obveznostjo, določeno v izvršljivi odločbi ali sklepu iz 62.,</w:t>
      </w:r>
      <w:r w:rsidRPr="002F30DF">
        <w:rPr>
          <w:rFonts w:cs="Arial"/>
          <w:sz w:val="20"/>
          <w:szCs w:val="20"/>
        </w:rPr>
        <w:t xml:space="preserve"> 63</w:t>
      </w:r>
      <w:r w:rsidRPr="002F30DF">
        <w:rPr>
          <w:rFonts w:eastAsia="Calibri" w:cs="Arial"/>
          <w:sz w:val="20"/>
          <w:szCs w:val="20"/>
          <w:lang w:eastAsia="en-US"/>
        </w:rPr>
        <w:t>. ali</w:t>
      </w:r>
      <w:r w:rsidRPr="002F30DF">
        <w:rPr>
          <w:rFonts w:cs="Arial"/>
          <w:sz w:val="20"/>
          <w:szCs w:val="20"/>
        </w:rPr>
        <w:t xml:space="preserve"> 64</w:t>
      </w:r>
      <w:r w:rsidRPr="002F30DF">
        <w:rPr>
          <w:rFonts w:eastAsia="Calibri" w:cs="Arial"/>
          <w:sz w:val="20"/>
          <w:szCs w:val="20"/>
          <w:lang w:eastAsia="en-US"/>
        </w:rPr>
        <w:t>. člena tega zakona.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(2) Agencija podjetju izreče administrativno sankcijo v obliki enkratnega denarnega zneska v višini največ deset odstotkov letnega prometa v koncentraciji udeleženega podjetja skupaj z drugimi podjetji v skupini v predhodnem poslovnem letu, če to naklepno ali iz malomarnosti:</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agenciji ne priglasi koncentracije v skladu z 68. členom in v roku iz 68. člena tega zakona,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v nasprotju z</w:t>
      </w:r>
      <w:r w:rsidRPr="002F30DF">
        <w:rPr>
          <w:rFonts w:cs="Arial"/>
          <w:sz w:val="20"/>
          <w:szCs w:val="20"/>
        </w:rPr>
        <w:t xml:space="preserve"> 69</w:t>
      </w:r>
      <w:r w:rsidRPr="002F30DF">
        <w:rPr>
          <w:rFonts w:eastAsia="Calibri" w:cs="Arial"/>
          <w:sz w:val="20"/>
          <w:szCs w:val="20"/>
          <w:lang w:eastAsia="en-US"/>
        </w:rPr>
        <w:t>. členom tega zakona izvršuje pravice ali obveznosti, ki izhajajo iz koncentracije,</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ne izvede korektivnih ukrepov ali obveznosti, določenih v odločbi o skladnosti koncentracije s pravili konkurence,</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ravna v nasprotju z odločbo o neskladnosti koncentracije s pravili konkurence,</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lastRenderedPageBreak/>
        <w:t>ravna v nasprotju z izvršljivo odločbo, ki jo je agencija izdala na podlagi</w:t>
      </w:r>
      <w:r w:rsidRPr="002F30DF">
        <w:rPr>
          <w:rFonts w:cs="Arial"/>
          <w:sz w:val="20"/>
          <w:szCs w:val="20"/>
        </w:rPr>
        <w:t xml:space="preserve"> 77</w:t>
      </w:r>
      <w:r w:rsidRPr="002F30DF">
        <w:rPr>
          <w:rFonts w:eastAsia="Calibri" w:cs="Arial"/>
          <w:sz w:val="20"/>
          <w:szCs w:val="20"/>
          <w:lang w:eastAsia="en-US"/>
        </w:rPr>
        <w:t>. člena tega zakona.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(3) Agencija podjetju izreče administrativno sankcijo v obliki enkratnega denarnega zneska v višini največ enega odstotka letnega prometa podjetja v predhodnem poslovnem letu, če to naklepno ali iz malomarnosti:</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v odgovoru na zahtevo iz prvega odstavka</w:t>
      </w:r>
      <w:r w:rsidRPr="002F30DF">
        <w:rPr>
          <w:rFonts w:cs="Arial"/>
          <w:sz w:val="20"/>
          <w:szCs w:val="20"/>
        </w:rPr>
        <w:t xml:space="preserve"> 53</w:t>
      </w:r>
      <w:r w:rsidRPr="002F30DF">
        <w:rPr>
          <w:rFonts w:eastAsia="Calibri" w:cs="Arial"/>
          <w:sz w:val="20"/>
          <w:szCs w:val="20"/>
          <w:lang w:eastAsia="en-US"/>
        </w:rPr>
        <w:t>. člena tega zakona predloži nepravilne ali zavajajoče podatke,</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v odgovoru na zahtevo iz drugega odstavka</w:t>
      </w:r>
      <w:r w:rsidRPr="002F30DF">
        <w:rPr>
          <w:rFonts w:cs="Arial"/>
          <w:sz w:val="20"/>
          <w:szCs w:val="20"/>
        </w:rPr>
        <w:t xml:space="preserve"> 53</w:t>
      </w:r>
      <w:r w:rsidRPr="002F30DF">
        <w:rPr>
          <w:rFonts w:eastAsia="Calibri" w:cs="Arial"/>
          <w:sz w:val="20"/>
          <w:szCs w:val="20"/>
          <w:lang w:eastAsia="en-US"/>
        </w:rPr>
        <w:t xml:space="preserve">. člena in 72. člena tega zakona predloži nepravilne, nepopolne ali zavajajoče podatke ali teh podatkov v zahtevanem roku sploh ne predloži, </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se ne odzove povabilu iz drugega odstavka</w:t>
      </w:r>
      <w:r w:rsidRPr="002F30DF">
        <w:rPr>
          <w:rFonts w:cs="Arial"/>
          <w:sz w:val="20"/>
          <w:szCs w:val="20"/>
        </w:rPr>
        <w:t xml:space="preserve"> 54</w:t>
      </w:r>
      <w:r w:rsidRPr="002F30DF">
        <w:rPr>
          <w:rFonts w:eastAsia="Calibri" w:cs="Arial"/>
          <w:sz w:val="20"/>
          <w:szCs w:val="20"/>
          <w:lang w:eastAsia="en-US"/>
        </w:rPr>
        <w:t xml:space="preserve">. člena tega zakona, </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pri preiskavah po</w:t>
      </w:r>
      <w:r w:rsidRPr="002F30DF">
        <w:rPr>
          <w:rFonts w:cs="Arial"/>
          <w:sz w:val="20"/>
          <w:szCs w:val="20"/>
        </w:rPr>
        <w:t xml:space="preserve"> 56</w:t>
      </w:r>
      <w:r w:rsidRPr="002F30DF">
        <w:rPr>
          <w:rFonts w:eastAsia="Calibri" w:cs="Arial"/>
          <w:sz w:val="20"/>
          <w:szCs w:val="20"/>
          <w:lang w:eastAsia="en-US"/>
        </w:rPr>
        <w:t>. členu tega zakona predloži nepopolne poslovne knjige in drugo poslovno dokumentacijo ali ovira pooblaščene osebe pri izvajanju pooblastil iz drugega odstavka</w:t>
      </w:r>
      <w:r w:rsidRPr="002F30DF">
        <w:rPr>
          <w:rFonts w:cs="Arial"/>
          <w:sz w:val="20"/>
          <w:szCs w:val="20"/>
        </w:rPr>
        <w:t xml:space="preserve"> 56</w:t>
      </w:r>
      <w:r w:rsidRPr="002F30DF">
        <w:rPr>
          <w:rFonts w:eastAsia="Calibri" w:cs="Arial"/>
          <w:sz w:val="20"/>
          <w:szCs w:val="20"/>
          <w:lang w:eastAsia="en-US"/>
        </w:rPr>
        <w:t>. člena tega zakona,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v odgovoru na vprašanje iz pete alineje drugega odstavka</w:t>
      </w:r>
      <w:r w:rsidRPr="002F30DF">
        <w:rPr>
          <w:rFonts w:cs="Arial"/>
          <w:sz w:val="20"/>
          <w:szCs w:val="20"/>
        </w:rPr>
        <w:t xml:space="preserve"> 56</w:t>
      </w:r>
      <w:r w:rsidRPr="002F30DF">
        <w:rPr>
          <w:rFonts w:eastAsia="Calibri" w:cs="Arial"/>
          <w:sz w:val="20"/>
          <w:szCs w:val="20"/>
          <w:lang w:eastAsia="en-US"/>
        </w:rPr>
        <w:t>. člena tega zakona da napačen ali zavajajoč odgovor, ali če v roku, ki ga določi agencija, ne popravi nepopolnega ali zavajajočega odgovora, ali če ne da ali noče dati popolnega odgovora o dejstvih, ki se nanašajo na predmet in namen preiskave,</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odstrani ali kako drugače poškoduje pečate iz četrte alineje drugega odstavka 56. člena tega zakona,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v obrazcu za priglasitev koncentracije iz šestega odstavka 68. člena tega zakona predloži nepravilne ali zavajajoče podatke,</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v odgovoru na zahtevo iz 72. člena tega zakona predloži nepravilne, nepopolne ali zavajajoče podatke ali teh podatkov v zahtevanem roku sploh ne predloži.</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(4) Agencija podjetju izreče periodično administrativno sankcijo v obliki dnevnega denarnega zneska v višini največ pet odstotkov povprečnega dnevnega skupnega prometa podjetja v predhodnem poslovnem letu, da ga prisili k:</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predložitvi popolnih in pravilnih informacij na zahtevo iz drugega odstavka</w:t>
      </w:r>
      <w:r w:rsidRPr="002F30DF">
        <w:rPr>
          <w:rFonts w:cs="Arial"/>
          <w:sz w:val="20"/>
          <w:szCs w:val="20"/>
        </w:rPr>
        <w:t xml:space="preserve"> 53</w:t>
      </w:r>
      <w:r w:rsidRPr="002F30DF">
        <w:rPr>
          <w:rFonts w:eastAsia="Calibri" w:cs="Arial"/>
          <w:sz w:val="20"/>
          <w:szCs w:val="20"/>
          <w:lang w:eastAsia="en-US"/>
        </w:rPr>
        <w:t>. člena tega zakona,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udeležbi na razgovor za zbiranje informacij iz 54. člena tega člena,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podreditvi sodno odrejene preiskave iz</w:t>
      </w:r>
      <w:r w:rsidRPr="002F30DF">
        <w:rPr>
          <w:rFonts w:cs="Arial"/>
          <w:sz w:val="20"/>
          <w:szCs w:val="20"/>
        </w:rPr>
        <w:t xml:space="preserve"> 56</w:t>
      </w:r>
      <w:r w:rsidRPr="002F30DF">
        <w:rPr>
          <w:rFonts w:eastAsia="Calibri" w:cs="Arial"/>
          <w:sz w:val="20"/>
          <w:szCs w:val="20"/>
          <w:lang w:eastAsia="en-US"/>
        </w:rPr>
        <w:t>. člena tega zakona,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t>upoštevanju odločbe iz 62.,</w:t>
      </w:r>
      <w:r w:rsidRPr="002F30DF">
        <w:rPr>
          <w:rFonts w:cs="Arial"/>
          <w:sz w:val="20"/>
          <w:szCs w:val="20"/>
        </w:rPr>
        <w:t xml:space="preserve"> 63</w:t>
      </w:r>
      <w:r w:rsidRPr="002F30DF">
        <w:rPr>
          <w:rFonts w:eastAsia="Calibri" w:cs="Arial"/>
          <w:sz w:val="20"/>
          <w:szCs w:val="20"/>
          <w:lang w:eastAsia="en-US"/>
        </w:rPr>
        <w:t>. ali</w:t>
      </w:r>
      <w:r w:rsidRPr="002F30DF">
        <w:rPr>
          <w:rFonts w:cs="Arial"/>
          <w:sz w:val="20"/>
          <w:szCs w:val="20"/>
        </w:rPr>
        <w:t xml:space="preserve"> 64</w:t>
      </w:r>
      <w:r w:rsidRPr="002F30DF">
        <w:rPr>
          <w:rFonts w:eastAsia="Calibri" w:cs="Arial"/>
          <w:sz w:val="20"/>
          <w:szCs w:val="20"/>
          <w:lang w:eastAsia="en-US"/>
        </w:rPr>
        <w:t>. člena tega zakona,</w:t>
      </w:r>
    </w:p>
    <w:p w:rsidR="00126F4C" w:rsidRPr="002F30DF" w:rsidRDefault="00126F4C" w:rsidP="00126F4C">
      <w:pPr>
        <w:numPr>
          <w:ilvl w:val="0"/>
          <w:numId w:val="22"/>
        </w:numPr>
        <w:overflowPunct/>
        <w:autoSpaceDE/>
        <w:autoSpaceDN/>
        <w:adjustRightInd/>
        <w:spacing w:line="260" w:lineRule="atLeast"/>
        <w:ind w:left="567" w:hanging="283"/>
        <w:textAlignment w:val="auto"/>
        <w:rPr>
          <w:rFonts w:eastAsia="Calibri" w:cs="Arial"/>
          <w:sz w:val="20"/>
          <w:szCs w:val="20"/>
          <w:lang w:eastAsia="en-US"/>
        </w:rPr>
      </w:pPr>
      <w:r w:rsidRPr="002F30DF">
        <w:rPr>
          <w:rFonts w:eastAsia="Calibri" w:cs="Arial"/>
          <w:sz w:val="20"/>
          <w:szCs w:val="20"/>
          <w:lang w:eastAsia="en-US"/>
        </w:rPr>
        <w:lastRenderedPageBreak/>
        <w:t>predložitvi popolnih in pravilnih informacij na zahtevo iz 72. člena tega zakona.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(5) Plačilo dnevne periodične administrativne sankcije iz prejšnjega odstavka se izreče podjetju od dneva izdaje odločbe do izpolnitve obveznosti iz prve, druge, tretje in pete alineje prejšnjega odstavka oziroma do začetka spoštovanja odločb iz </w:t>
      </w:r>
      <w:r w:rsidRPr="002F30DF">
        <w:rPr>
          <w:rFonts w:cs="Arial"/>
          <w:sz w:val="20"/>
          <w:szCs w:val="20"/>
        </w:rPr>
        <w:t>62</w:t>
      </w:r>
      <w:r w:rsidRPr="002F30DF">
        <w:rPr>
          <w:rFonts w:eastAsia="Calibri" w:cs="Arial"/>
          <w:sz w:val="20"/>
          <w:szCs w:val="20"/>
          <w:lang w:eastAsia="en-US"/>
        </w:rPr>
        <w:t>.,</w:t>
      </w:r>
      <w:r w:rsidRPr="002F30DF">
        <w:rPr>
          <w:rFonts w:cs="Arial"/>
          <w:sz w:val="20"/>
          <w:szCs w:val="20"/>
        </w:rPr>
        <w:t xml:space="preserve"> 63</w:t>
      </w:r>
      <w:r w:rsidRPr="002F30DF">
        <w:rPr>
          <w:rFonts w:eastAsia="Calibri" w:cs="Arial"/>
          <w:sz w:val="20"/>
          <w:szCs w:val="20"/>
          <w:lang w:eastAsia="en-US"/>
        </w:rPr>
        <w:t>. in</w:t>
      </w:r>
      <w:r w:rsidRPr="002F30DF">
        <w:rPr>
          <w:rFonts w:cs="Arial"/>
          <w:sz w:val="20"/>
          <w:szCs w:val="20"/>
        </w:rPr>
        <w:t xml:space="preserve"> 64</w:t>
      </w:r>
      <w:r w:rsidRPr="002F30DF">
        <w:rPr>
          <w:rFonts w:eastAsia="Calibri" w:cs="Arial"/>
          <w:sz w:val="20"/>
          <w:szCs w:val="20"/>
          <w:lang w:eastAsia="en-US"/>
        </w:rPr>
        <w:t xml:space="preserve">. člena tega zakona.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(6) Administrativni prestopek izvrši tudi podjetje, ki je naklepno ali iz malomarnosti sodelovalo pri kršitvi ali je kako drugače odločilno prispevalo h kršitvi, za katero je predpisana administrativna sankcija.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(7) Administrativna sankcija je prihodek Republike Slovenije.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(odgovornost matične družbe)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(1) Administrativni prestopek iz prvega odstavka prejšnjega člena izvrši tudi podjetje, ki je nad podjetjem, ki je izvršilo administrativni prestopek iz prvega odstavka prejšnjega člena, neposredno ali posredno izvrševalo odločilni vpliv, pri čemer se izvrševanje odločilnega vpliva domneva, če obstaja lastniška povezava med podjetji.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(2) Podjetje iz prejšnjega odstavka in podjetje, ki je izvršilo administrativen prestopek iz prvega odstavka prejšnjega člena, sta solidarno odgovorni za plačilo administrativne sankcije.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(3) Finančna obveznost vsakega posameznega podjetja v zvezi s plačilom administrativne sankcije iz prejšnjega člena ne sme presegati najvišjega zneska, za katerega bi bilo podjetje odgovorno, če bi samo izvršilo administrativni prestopek.</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(pravno in gospodarsko nasledstvo)</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(1) S prenosom dejavnosti z enega subjekta na drugi subjekt se ni mogoče izogniti obveznostim, potrebnim za odpravo kršitve, in plačilu administrativne sankcije.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lastRenderedPageBreak/>
        <w:t xml:space="preserve">(2) V primeru statusno pravnega preoblikovanja ali gospodarskega prenosa dejavnosti s kršitelja na drug subjekt, lahko agencija izda ali izvrši odločbo, s katero izreče ali je izrekla administrativno sankcijo zoper subjekt, ki je pravni ali gospodarski naslednik kršitelja.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(3) Subjekt iz prejšnjega odstavka vstopa v postopek v stanju, v katerem je ta ob vstopu v postopek. Ta določba ne vpliva na pravico subjekta, da poda navedbe in dokaze v zvezi z okoliščinami, ki se nanašajo na njegovo pritegnitev v postopek.</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(izrek administrativne sankcije podjetniškemu združenju)</w:t>
      </w:r>
    </w:p>
    <w:p w:rsidR="00126F4C" w:rsidRPr="002F30DF" w:rsidRDefault="00126F4C" w:rsidP="00126F4C">
      <w:pPr>
        <w:shd w:val="clear" w:color="auto" w:fill="FFFFFF"/>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(1) Podjetniškemu združenju se za kršitev iz </w:t>
      </w:r>
      <w:r w:rsidRPr="002F30DF">
        <w:rPr>
          <w:rFonts w:cs="Arial"/>
          <w:sz w:val="20"/>
          <w:szCs w:val="20"/>
        </w:rPr>
        <w:t>84</w:t>
      </w:r>
      <w:r w:rsidRPr="002F30DF">
        <w:rPr>
          <w:rFonts w:eastAsia="Calibri" w:cs="Arial"/>
          <w:sz w:val="20"/>
          <w:szCs w:val="20"/>
          <w:lang w:eastAsia="en-US"/>
        </w:rPr>
        <w:t>. člena tega zakona izreče administrativna sankcija ob upoštevanju letnega prometa podjetniškega združenja.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(2) Kadar se kršitev podjetniškega združenja iz </w:t>
      </w:r>
      <w:r w:rsidRPr="002F30DF">
        <w:rPr>
          <w:rFonts w:cs="Arial"/>
          <w:sz w:val="20"/>
          <w:szCs w:val="20"/>
        </w:rPr>
        <w:t>84</w:t>
      </w:r>
      <w:r w:rsidRPr="002F30DF">
        <w:rPr>
          <w:rFonts w:eastAsia="Calibri" w:cs="Arial"/>
          <w:sz w:val="20"/>
          <w:szCs w:val="20"/>
          <w:lang w:eastAsia="en-US"/>
        </w:rPr>
        <w:t>. člena tega zakona nanaša na dejavnost njegovih članov, se v letni promet podjetniškega združenja v predhodnem poslovnem letu všteva letni promet vsakega posameznega člana, ki deluje na trgu, na katerega se kršitev nanaša. Agencija lahko v tem primeru izreče administrativno sankcijo do 10 % vsote skupnega prometa vsakega posameznega člana, ki je bil dejaven na trgu in ki ga je prizadela kršitev podjetniškega združenja.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(3) Podjetniško združenje, ki samo ni plačilno sposobno za plačilo administrativne sankcije iz prejšnjega odstavka, od svojih članov zahteva, da v določenem roku na račun podjetniškega združenja plačajo sorazmerni del izrečene administrativne sankcije. Pri določitvi deleža člana podjetniškega združenja se upošteva letni promet posameznega člana v predhodnem poslovnem letu.</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(4) Kadar sorazmerni del izrečene administrativne sankcije iz prejšnjega odstavka v določenem roku ni v celoti plačan podjetniškemu združenju, lahko agencija zahteva plačilo administrativne sankcije neposredno od katerega koli podjetja, katerega predstavniki so bili člani organov odločanja tega podjetniškega združenja, razen če posamezni član dokaže, da ni izvajal kršitve, za katero se je odločilo podjetniško združenje, in bodisi ni vedel za njen obstoj bodisi se od nje ni dejavno distanciral, preden se je začel postopek pred agencijo.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lastRenderedPageBreak/>
        <w:t>(5) Če delna plačila članov podjetniškega združenja iz tretjega in četrtega odstavka tega člena ne zadostujejo za plačilo celotne administrativne sankcije, lahko agencija izterja neplačani del administrativne sankcije neposredno od katerega koli člana podjetniškega združenja, ki je bil dejaven na trgu, na katerem se je kršitev zgodila, razen če posamezni član dokaže, da ni izvajal kršitve, za katero se je odločilo podjetniško združenje, ker ni vedel za njen obstoj ali je izrazil odklonilno mnenje do takšnega ravnanja, preden se je začel postopek pred agencijo.</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(6) Finančna obveznost vsakega posameznega podjetja v zvezi s plačilom administrativne sankcije iz prvega in drugega odstavka tega člena ne sme presegati najvišjega zneska, za katerega bi bilo podjetje odgovorno, če bi samo izvršilo administrativni prestopek.</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w:t>
      </w:r>
    </w:p>
    <w:p w:rsidR="00126F4C" w:rsidRPr="002F30DF" w:rsidRDefault="00126F4C" w:rsidP="00126F4C">
      <w:pPr>
        <w:shd w:val="clear" w:color="auto" w:fill="FFFFFF"/>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(izključitev odgovornosti)</w:t>
      </w:r>
    </w:p>
    <w:p w:rsidR="00126F4C" w:rsidRPr="002F30DF" w:rsidRDefault="00126F4C" w:rsidP="00126F4C">
      <w:pPr>
        <w:shd w:val="clear" w:color="auto" w:fill="FFFFFF"/>
        <w:overflowPunct/>
        <w:autoSpaceDE/>
        <w:autoSpaceDN/>
        <w:adjustRightInd/>
        <w:spacing w:line="260" w:lineRule="atLeast"/>
        <w:jc w:val="center"/>
        <w:textAlignment w:val="auto"/>
        <w:rPr>
          <w:rFonts w:cs="Arial"/>
          <w:b/>
          <w:bCs/>
          <w:sz w:val="20"/>
          <w:szCs w:val="20"/>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Administrativnih sankcij, določenih za kršitev tega zakona ali 101. ali 102. člena Pogodbe o delovanju Evropske unije, ni mogoče izreči Republiki Sloveniji in samoupravnim lokalnim skupnostim, v okviru izvajanja javnih pooblastil ali javnih storitev.</w:t>
      </w:r>
    </w:p>
    <w:p w:rsidR="00126F4C" w:rsidRPr="002F30DF" w:rsidRDefault="00126F4C" w:rsidP="00126F4C">
      <w:pPr>
        <w:spacing w:line="260" w:lineRule="atLeast"/>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(zastaranje administrativnega sankcioniranja)</w:t>
      </w:r>
    </w:p>
    <w:p w:rsidR="00126F4C" w:rsidRPr="002F30DF" w:rsidRDefault="00126F4C" w:rsidP="00126F4C">
      <w:pPr>
        <w:overflowPunct/>
        <w:autoSpaceDE/>
        <w:autoSpaceDN/>
        <w:adjustRightInd/>
        <w:spacing w:line="260" w:lineRule="atLeast"/>
        <w:jc w:val="center"/>
        <w:textAlignment w:val="auto"/>
        <w:rPr>
          <w:rFonts w:eastAsia="Calibri" w:cs="Arial"/>
          <w:sz w:val="20"/>
          <w:szCs w:val="20"/>
          <w:lang w:eastAsia="en-US"/>
        </w:rPr>
      </w:pPr>
    </w:p>
    <w:p w:rsidR="00126F4C" w:rsidRPr="002F30DF" w:rsidRDefault="00126F4C" w:rsidP="00126F4C">
      <w:pPr>
        <w:spacing w:line="260" w:lineRule="atLeast"/>
        <w:rPr>
          <w:rFonts w:eastAsia="Calibri" w:cs="Arial"/>
          <w:sz w:val="20"/>
          <w:szCs w:val="20"/>
          <w:lang w:eastAsia="en-US"/>
        </w:rPr>
      </w:pPr>
      <w:r w:rsidRPr="002F30DF">
        <w:rPr>
          <w:rFonts w:eastAsia="Calibri" w:cs="Arial"/>
          <w:sz w:val="20"/>
          <w:szCs w:val="20"/>
          <w:lang w:eastAsia="en-US"/>
        </w:rPr>
        <w:t xml:space="preserve">(1) Administrativne sankcije iz prvega in drugega odstavka </w:t>
      </w:r>
      <w:r w:rsidRPr="002F30DF">
        <w:rPr>
          <w:rFonts w:cs="Arial"/>
          <w:sz w:val="20"/>
          <w:szCs w:val="20"/>
        </w:rPr>
        <w:t>84</w:t>
      </w:r>
      <w:r w:rsidRPr="002F30DF">
        <w:rPr>
          <w:rFonts w:eastAsia="Calibri" w:cs="Arial"/>
          <w:sz w:val="20"/>
          <w:szCs w:val="20"/>
          <w:lang w:eastAsia="en-US"/>
        </w:rPr>
        <w:t xml:space="preserve">. člena tega zakona ni dopustno izreči, če je poteklo več kot pet let od izvršitve administrativnega prestopka. V primeru tretjega in četrtega odstavka </w:t>
      </w:r>
      <w:r w:rsidRPr="002F30DF">
        <w:rPr>
          <w:rFonts w:cs="Arial"/>
          <w:sz w:val="20"/>
          <w:szCs w:val="20"/>
        </w:rPr>
        <w:t>84</w:t>
      </w:r>
      <w:r w:rsidRPr="002F30DF">
        <w:rPr>
          <w:rFonts w:eastAsia="Calibri" w:cs="Arial"/>
          <w:sz w:val="20"/>
          <w:szCs w:val="20"/>
          <w:lang w:eastAsia="en-US"/>
        </w:rPr>
        <w:t xml:space="preserve">. člena tega zakona administrativne sankcije ni dopustno izreči, če so potekla več kot tri leta od izvršitve administrativnega prestopka.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(2) Zastaranje začne teči na dan, ko je bil administrativni prestopek izvršen. Pri trajajočih ali ponavljajočih se administrativnih prestopkih začne zastaranje teči na dan, ko preneha kršitev iz zadnjega administrativnega prestopka.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(3) Zastaranje pretrga vsako dejanje agencije, ki ga izvede zaradi preiskave ali postopka v zvezi s kršitvijo določb tega zakona ali 101. ali 102. člena Pogodbe o </w:t>
      </w:r>
      <w:r w:rsidRPr="002F30DF">
        <w:rPr>
          <w:rFonts w:eastAsia="Calibri" w:cs="Arial"/>
          <w:sz w:val="20"/>
          <w:szCs w:val="20"/>
          <w:lang w:eastAsia="en-US"/>
        </w:rPr>
        <w:lastRenderedPageBreak/>
        <w:t>delovanju Evropske unije. Pretrganje velja za vsa podjetja, ki so udeležena v kršitvi.</w:t>
      </w:r>
      <w:r w:rsidRPr="002F30DF" w:rsidDel="008E1871">
        <w:rPr>
          <w:rFonts w:eastAsia="Calibri" w:cs="Arial"/>
          <w:sz w:val="20"/>
          <w:szCs w:val="20"/>
          <w:lang w:eastAsia="en-US"/>
        </w:rPr>
        <w:t xml:space="preserve">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(4) Po vsakem pretrganju začne zastaranje znova teči.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(5) Zastaranje ne teče med postopkom za uveljavljanje pravil konkurence v zvezi s kršitvijo, ki se nanaša na isto prepovedano ravnanje iz 101. ali 102. člena Pogodbe o delovanju Evropske unije pred organi, pristojnimi za varstvo konkurence drugih držav članic, ali Evropske komisije. Prekinitev zastaranja začne veljati z vročitvijo prvega uradnega ukrepa organa, pristojnega za varstvo konkurence druge države članice, ali Evropske komisije najmanj enemu podjetju, ki je stranka postopka za uveljavljanje pravil konkurence, in preneha na dan, ko pristojni organ konča svoj postopek za uveljavljanje pravil konkurence s sprejetjem odločbe, ali na dan ustavitve postopka. Prekinitev velja za vsa podjetja, udeležena v kršitvi.</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(6) Ne glede na drugi do peti odstavek tega člena administrativne sankcije ni mogoče izreči, ko poteče dvakrat toliko časa, kolikor ga zahteva prvi odstavek tega člena za izrek administrativne sankcije.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(7) Ne glede na prvi do šesti odstavek tega člena zastaranje ne teče, ko je odločitev o administrativnem prestopku predmet postopka rednega ali izrednega sodnega varstva ali se po zakonu postopek ne sme začeti ali nadaljevati in se nadaljuje po pravnomočnosti sodnega akta. Zastaranje administrativne sankcije tudi ne teče med kazenskim postopkom in se nadaljuje po pravnomočnosti odločitve v kazenskem postopku.</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(8) Če je pravnomočna odločba ali sodba v postopku za izredno pravno sredstvo razveljavljena in se je zastaranje iz šestega odstavka tega člena izteklo ali bi se izteklo v roku, krajšem od dveh let, je v novem postopku odločanja o administrativni sankciji pred agencijo zastaralni rok dve leti.</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len"/>
        <w:numPr>
          <w:ilvl w:val="0"/>
          <w:numId w:val="20"/>
        </w:numPr>
        <w:spacing w:before="0" w:line="260" w:lineRule="atLeast"/>
        <w:ind w:left="0" w:hanging="11"/>
        <w:rPr>
          <w:rFonts w:eastAsia="Calibri"/>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(odmera in plačilo administrativne sankcije)</w:t>
      </w:r>
    </w:p>
    <w:p w:rsidR="00126F4C" w:rsidRPr="002F30DF" w:rsidRDefault="00126F4C" w:rsidP="00126F4C">
      <w:pPr>
        <w:overflowPunct/>
        <w:autoSpaceDE/>
        <w:autoSpaceDN/>
        <w:adjustRightInd/>
        <w:spacing w:line="260" w:lineRule="atLeast"/>
        <w:jc w:val="lef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(1) Pri določitvi višine administrativne sankcije se upoštevajo vse okoliščine primera, zlasti:</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t>narava in teža kršitve,</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lastRenderedPageBreak/>
        <w:t>letni promet s storitvijo ali blagom, ki je predmet kršitve, ki ga je podjetje ustvarilo v zadnjem letu trajanja kršitve, če je to obdobje dovolj reprezentativno, sicer pa drugo ustrezno reprezentativno obdobje,</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t>trajanje kršitve,</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t>sodelovanje v postopku ugotavljanja kršitve,</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t>povrnitev škode oškodovancem na podlagi sporazumne poravnave,</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t>ali je podjetje z oškodovanci sklenilo poravnave za povračilo škode in</w:t>
      </w:r>
    </w:p>
    <w:p w:rsidR="00126F4C" w:rsidRPr="002F30DF" w:rsidRDefault="00126F4C" w:rsidP="00126F4C">
      <w:pPr>
        <w:numPr>
          <w:ilvl w:val="0"/>
          <w:numId w:val="19"/>
        </w:numPr>
        <w:overflowPunct/>
        <w:autoSpaceDE/>
        <w:autoSpaceDN/>
        <w:adjustRightInd/>
        <w:spacing w:line="260" w:lineRule="atLeast"/>
        <w:ind w:left="426"/>
        <w:textAlignment w:val="auto"/>
        <w:rPr>
          <w:rFonts w:eastAsia="Calibri" w:cs="Arial"/>
          <w:sz w:val="20"/>
          <w:szCs w:val="20"/>
          <w:lang w:eastAsia="en-US"/>
        </w:rPr>
      </w:pPr>
      <w:r w:rsidRPr="002F30DF">
        <w:rPr>
          <w:rFonts w:eastAsia="Calibri" w:cs="Arial"/>
          <w:sz w:val="20"/>
          <w:szCs w:val="20"/>
          <w:lang w:eastAsia="en-US"/>
        </w:rPr>
        <w:t>nezmožnost plačila.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(2) Agencija določi rok za plačilo administrativne sankcije, ki ne sme biti krajši od 8 dni in ne daljši od 3 mesecev.</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(3) Agencija lahko, če tako določa ta zakon, administrativno sankcijo zniža ali odpusti.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(odpustitev in znižanje administrativne sankcije)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Podjetju, ki je udeleženo v kartelu, se lahko administrativna sankcija, ki bi mu bila izrečena zaradi njegove udeležbe v kartelu, odpusti (v nadaljnjem besedilu: odpustitev administrativne sankcije) le, če izpolni vse naslednje pogoje:</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agenciji v </w:t>
      </w:r>
      <w:r w:rsidRPr="002F30DF">
        <w:rPr>
          <w:rFonts w:eastAsia="Calibri" w:cs="Arial"/>
          <w:sz w:val="20"/>
          <w:szCs w:val="20"/>
          <w:lang w:eastAsia="en-US"/>
        </w:rPr>
        <w:t>celoti</w:t>
      </w:r>
      <w:r w:rsidRPr="002F30DF">
        <w:rPr>
          <w:rFonts w:cs="Arial"/>
          <w:sz w:val="20"/>
          <w:szCs w:val="20"/>
        </w:rPr>
        <w:t xml:space="preserve"> in popolnoma razkrije svojo udeležbo v domnevnem kartelu,</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kot prvo predloži dokaze, ki po mnenju agencije omogočijo izvedbo preiskave v zvezi z domnevnim kartelom, če agencija še ne razpolaga z zadostnimi dokazi za izvedbo preiskave ali preiskave še ni izvedla, ali po mnenju agencije zadoščajo za ugotovitev kršitve 5. člena tega zakona ali 101. člena Pogodbe o delovanju Evropske unije v zvezi z domnevnim kartelom, če agencija še ni razpolagala z zadostnimi dokazi za ugotovitev te kršitve in pred tem nobeno drugo podjetje ni izpolnilo pogojev za priznanje odpustitve administrativne sankcije v zvezi z navedenim domnevnim kartelom,</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odkrito, v celoti, neprenehoma in brez odlašanja sodeluje z agencijo med celotnim postopkom za uveljavljanje pravil konkurence zoper vse stranke postopka in agenciji nemudoma zagotovi vse relevantne informacije in dokaze v zvezi z domnevnim kartelom, ki preidejo v posest prijavitelja in so mu dostopni,</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lastRenderedPageBreak/>
        <w:t xml:space="preserve">preneha svojo udeležbo v domnevnem kartelu takoj po vložitvi izjave zaradi prizanesljivosti v zvezi z odpustitvijo administrativne sankcije, razen če bi bilo po mnenju agencije to v nasprotju z interesi preiskave, </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med načrtovanjem izjave zaradi prizanesljivosti ni uničil, poneveril ali prikrival informacij ali dokazov, povezanih z domnevnim kartelom, ali razkril dejstva glede vložitve ali vsebine načrtovane prijave, razen Evropski komisiji ali organom, pristojnim za varstvo konkurence druge države članice ali iz tretjih držav, in</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ni prisilil drugih k udeležbi v domnevnem kartelu niti jih ni prisilil k temu, da so v njem udeleženi še naprej.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Podjetju, ki ne izpolni vseh pogojev iz prejšnjega odstavka in se mu administrativna sankcija ne odpusti, se ta lahko zniža le, če izpolni vse naslednje pogoje:</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agenciji v celoti in popolnoma razkrije svojo udeležbo pri domnevnem kartelu,</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predloži dokaze o domnevnem kartelu, ki predstavljajo znatno dodano vrednost za dokazovanje domnevnega kartela glede na dokaze, ki jih agencija že ima,</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odkrito, v celoti, neprenehoma in brez odlašanja sodeluje z agencijo med celotnim postopkom za uveljavljanje pravil konkurence zoper vse stranke postopka in agenciji nemudoma zagotovi vse relevantne informacije in dokaze v zvezi z domnevnim kartelom, ki preidejo v posest prijavitelja in so mu dostopni, </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preneha s</w:t>
      </w:r>
      <w:r w:rsidR="008C1C6F">
        <w:rPr>
          <w:rFonts w:cs="Arial"/>
          <w:sz w:val="20"/>
          <w:szCs w:val="20"/>
        </w:rPr>
        <w:t xml:space="preserve"> </w:t>
      </w:r>
      <w:r w:rsidRPr="002F30DF">
        <w:rPr>
          <w:rFonts w:cs="Arial"/>
          <w:sz w:val="20"/>
          <w:szCs w:val="20"/>
        </w:rPr>
        <w:t>svojo udeležbo v domnevnem kartelu takoj po vložitvi izjave zaradi prizanesljivosti agenciji v zvezi z znižanjem administrativne sankcije, razen če bi bilo po mnenju agencije to v nasprotju z interesi preiskave, in</w:t>
      </w:r>
    </w:p>
    <w:p w:rsidR="00126F4C" w:rsidRPr="002F30DF" w:rsidRDefault="00126F4C" w:rsidP="00126F4C">
      <w:pPr>
        <w:numPr>
          <w:ilvl w:val="0"/>
          <w:numId w:val="19"/>
        </w:numPr>
        <w:overflowPunct/>
        <w:autoSpaceDE/>
        <w:autoSpaceDN/>
        <w:adjustRightInd/>
        <w:spacing w:line="260" w:lineRule="atLeast"/>
        <w:ind w:left="426"/>
        <w:textAlignment w:val="auto"/>
        <w:rPr>
          <w:rFonts w:cs="Arial"/>
          <w:sz w:val="20"/>
          <w:szCs w:val="20"/>
        </w:rPr>
      </w:pPr>
      <w:r w:rsidRPr="002F30DF">
        <w:rPr>
          <w:rFonts w:cs="Arial"/>
          <w:sz w:val="20"/>
          <w:szCs w:val="20"/>
        </w:rPr>
        <w:t>med načrtovanjem izjave zaradi prizanesljivosti ni uničil, poneveril ali prikrival informacij ali dokazov, povezanih z domnevnim kartelom, ali razkril dejstva glede vložitve ali vsebine načrtovane prijave, razen organom, pristojnim za varstvo konkurence druge države članice ali iz tretjih držav.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Podjetju, ki izpolni vse pogoje iz prejšnjega odstavka in kot prvo predloži dokaze iz druge alineje prejšnjega odstavka, se administrativna sankcija lahko zniža za 30 do 50 odstotkov. Podjetju, ki izpolni vse pogoje iz prejšnjega odstavka in kot drugo predloži dokaze iz druge alineje prejšnjega odstavka, se administrativna sankcija lahko zniža za 20 do 30 odstotkov. Drugim podjetjem, ki izpolnijo vse pogoje iz prejšnjega odstavka, in predložijo dokaze iz druge alineje prejšnjega odstavka, se administrativna sankcija lahko zniža za največ 20 odstotkov.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 xml:space="preserve">(4) Podrobnejši postopek odpustitve in znižanja administrativne sankcije iz </w:t>
      </w:r>
      <w:r w:rsidR="00232CFD">
        <w:rPr>
          <w:sz w:val="20"/>
          <w:szCs w:val="20"/>
        </w:rPr>
        <w:t>tega člena</w:t>
      </w:r>
      <w:r w:rsidRPr="002F30DF">
        <w:rPr>
          <w:sz w:val="20"/>
          <w:szCs w:val="20"/>
        </w:rPr>
        <w:t xml:space="preserve"> predpiše vlada z uredbo.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Odstavek"/>
        <w:spacing w:before="0" w:line="260" w:lineRule="atLeast"/>
        <w:ind w:firstLine="0"/>
        <w:jc w:val="center"/>
        <w:rPr>
          <w:b/>
          <w:sz w:val="20"/>
          <w:szCs w:val="20"/>
        </w:rPr>
      </w:pPr>
      <w:r w:rsidRPr="002F30DF">
        <w:rPr>
          <w:b/>
          <w:sz w:val="20"/>
          <w:szCs w:val="20"/>
        </w:rPr>
        <w:t>(vpliv vložitve izjave za odpustitev sankcij na izrek sankcije fizični osebi)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Trenutnim in nekdanjim odgovornim osebam in drugim zaposlenim v podjetju, ki je vložilo izjavo zaradi prizanesljivosti iz prvega odstavka prejšnjega člena, se v zvezi z udeležbo v kartelu, navedeno v izjavi zaradi prizanesljivosti, za to ravnanje, ne smejo izreči sankcije v kazenskem postopku, če so izpolnjeni pogoji iz prve in druge alineje prvega odstavka prejšnjega člena, če aktivno sodeluje z organom, pristojnim za kazenski pregon, in če je bila prijava podjetja za odpustitev administrativne sankcije vložena, še preden je organ, pristojen za varstvo konkurence to odgovorno osebo in druge zaposlene v podjetju  obvestil o postopku zaradi kršitev konkurenčnega prava.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(2) Organ, pristojen za kazenski pregon, nadaljuje kazenski pregon, če fizična oseba iz </w:t>
      </w:r>
      <w:r w:rsidR="00EC0353">
        <w:rPr>
          <w:sz w:val="20"/>
          <w:szCs w:val="20"/>
        </w:rPr>
        <w:t>prejšnjega</w:t>
      </w:r>
      <w:r w:rsidR="00EC0353" w:rsidRPr="002F30DF">
        <w:rPr>
          <w:sz w:val="20"/>
          <w:szCs w:val="20"/>
        </w:rPr>
        <w:t xml:space="preserve"> </w:t>
      </w:r>
      <w:r w:rsidRPr="002F30DF">
        <w:rPr>
          <w:sz w:val="20"/>
          <w:szCs w:val="20"/>
        </w:rPr>
        <w:t xml:space="preserve">odstavka ne sodeluje ali je prenehala sodelovati z njim ali če je bila izjava iz prejšnjega člena vložena po tem, ko je organ, pristojen za kazenski pregon, zoper to fizično osebo že izdal akt, s katerim je nanjo osredotočil sum, da je izvršila kršitev.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Državni tožilec ni dolžan začeti kazenskega pregona oziroma sme odstopiti od pregona tudi, kadar prispevek k odkritju in preiskavi kartela fizične osebe iz prvega odstavka </w:t>
      </w:r>
      <w:r w:rsidR="00FF425C">
        <w:rPr>
          <w:sz w:val="20"/>
          <w:szCs w:val="20"/>
        </w:rPr>
        <w:t xml:space="preserve">tega člena </w:t>
      </w:r>
      <w:r w:rsidRPr="002F30DF">
        <w:rPr>
          <w:sz w:val="20"/>
          <w:szCs w:val="20"/>
        </w:rPr>
        <w:t xml:space="preserve">pretehta nad interesom za pregon oziroma nad sankcioniranjem. </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Kadar  kršitve iz prejšnjih odstavkov sočasno obravnavata državno tožilstvo ali sodišče v Republiki Sloveniji in organ, pristojen za varstvo konkurence druge države članice, ali Evropska komisija, zagotavlja vso potrebno komunikacijo med njima agencija.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Ta člen ne posega v pravico oškodovancev, ki so zaradi kršitve konkurenčnega prava utrpeli škodo, da zahtevajo popolno odškodnino za takšno škodo.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rFonts w:eastAsia="Calibri"/>
          <w:b w:val="0"/>
          <w:sz w:val="20"/>
          <w:szCs w:val="20"/>
          <w:lang w:eastAsia="en-US"/>
        </w:rPr>
      </w:pPr>
      <w:r w:rsidRPr="002F30DF">
        <w:rPr>
          <w:rFonts w:eastAsia="Calibri"/>
          <w:sz w:val="20"/>
          <w:szCs w:val="20"/>
          <w:lang w:eastAsia="en-US"/>
        </w:rPr>
        <w:t xml:space="preserve"> člen </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(izvršba administrativne sankcije in zavarovanje)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(1) Administrativna sankcija se prisilno izvrši po pravnomočnosti odločbe, s katero je izrečena</w:t>
      </w:r>
      <w:r w:rsidR="005215AE">
        <w:rPr>
          <w:rFonts w:eastAsia="Calibri" w:cs="Arial"/>
          <w:sz w:val="20"/>
          <w:szCs w:val="20"/>
          <w:lang w:eastAsia="en-US"/>
        </w:rPr>
        <w:t>.</w:t>
      </w:r>
      <w:r w:rsidRPr="002F30DF">
        <w:rPr>
          <w:rFonts w:eastAsia="Calibri" w:cs="Arial"/>
          <w:sz w:val="20"/>
          <w:szCs w:val="20"/>
          <w:lang w:eastAsia="en-US"/>
        </w:rPr>
        <w:t xml:space="preserve"> </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(2) </w:t>
      </w:r>
      <w:r w:rsidR="009F7799" w:rsidRPr="009F7799">
        <w:rPr>
          <w:sz w:val="20"/>
          <w:szCs w:val="20"/>
        </w:rPr>
        <w:t>Izvršbo opravi pristojni davčni organ po postopku, predpisanem za izvršbo davčnih obveznosti, na predlog agencije.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 xml:space="preserve">(3) </w:t>
      </w:r>
      <w:r w:rsidR="009F7799" w:rsidRPr="009F7799">
        <w:rPr>
          <w:sz w:val="20"/>
          <w:szCs w:val="20"/>
        </w:rPr>
        <w:t>Agencija lahko pred, ob ali po izdaji odločbe, vse do njene pravnomočnosti, izvede ukrepe za zavarovanje izvršbe in za zavarovanje izpolnitve obveznosti iz naslova administrativne sankcije in s tem povezanih stroškov. V tem postopku se smiselno uporabljajo določbe zakona, ki ureja davčni postopek, o zavarovanju izpolnitve in plačila davčne obveznosti.</w:t>
      </w:r>
    </w:p>
    <w:p w:rsidR="009F7799" w:rsidRDefault="009F7799" w:rsidP="00126F4C">
      <w:pPr>
        <w:pStyle w:val="Poglavje"/>
        <w:spacing w:before="0" w:line="260" w:lineRule="atLeast"/>
        <w:rPr>
          <w:sz w:val="20"/>
          <w:szCs w:val="20"/>
        </w:rPr>
      </w:pPr>
    </w:p>
    <w:p w:rsidR="00126F4C" w:rsidRPr="002F30DF" w:rsidRDefault="00126F4C" w:rsidP="00126F4C">
      <w:pPr>
        <w:pStyle w:val="Poglavje"/>
        <w:spacing w:before="0" w:line="260" w:lineRule="atLeast"/>
        <w:rPr>
          <w:sz w:val="20"/>
          <w:szCs w:val="20"/>
        </w:rPr>
      </w:pPr>
      <w:r w:rsidRPr="002F30DF">
        <w:rPr>
          <w:sz w:val="20"/>
          <w:szCs w:val="20"/>
        </w:rPr>
        <w:t>5. poglavje</w:t>
      </w:r>
      <w:r w:rsidRPr="002F30DF">
        <w:rPr>
          <w:sz w:val="20"/>
          <w:szCs w:val="20"/>
        </w:rPr>
        <w:br/>
        <w:t>Sodno varstvo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rFonts w:eastAsia="Calibri"/>
          <w:sz w:val="20"/>
          <w:szCs w:val="20"/>
          <w:lang w:eastAsia="en-US"/>
        </w:rPr>
        <w:t xml:space="preserve"> člen </w:t>
      </w:r>
    </w:p>
    <w:p w:rsidR="00126F4C" w:rsidRPr="002F30DF" w:rsidRDefault="00126F4C" w:rsidP="00126F4C">
      <w:pPr>
        <w:pStyle w:val="lennaslov"/>
        <w:spacing w:line="260" w:lineRule="atLeast"/>
        <w:rPr>
          <w:sz w:val="20"/>
          <w:szCs w:val="20"/>
        </w:rPr>
      </w:pPr>
      <w:r w:rsidRPr="002F30DF">
        <w:rPr>
          <w:sz w:val="20"/>
          <w:szCs w:val="20"/>
        </w:rPr>
        <w:t>(sodno varstvo)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Sodno varstvo zoper odločbe agencije se zagotavlja v postopku, določenem s tem zakonom (v nadaljnjem besedilu: postopek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postopek sodnega varstva zoper odločbe agencije se smiselno uporablja zakon, ki ureja upravni spor, če ni s tem zakonom določeno drugače.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(pravica do sodnega varstva zoper odločbe in sklepe)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Zoper odločbe agencije je dopustno začeti postopek sodnega varstva.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Zoper sklepe, ki jih izda agencija v skladu s tem zakonom, je dopusten postopek sodnega varstva, če ni izrecno izključen.</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Ne glede na prejšnji odstavek se lahko v postopku sodnega varstva zoper odločbo izpodbija sklep, zoper katerega je izključen postopek sodnega varstva v skladu s tem zakonom, in sicer sklep, s katerim agencija zahteva podatke od podjetja (53.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Postopek sodnega varstva je dovoljen zoper sklep, zoper katerega je po določbah, ki urejajo splošni upravni postopek, dovoljena pritožba.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Zadeve v postopku sodnega varstva po tem zakonu so nujne in sodišče o njih odloča prednostno.</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(pregled dokumentov zadeve in uporaba informacij)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Za pregled dokumentov zadeve in uporabo informacij pred sodiščem se smiselno uporabljata 42. in 43. člen tega zakona.</w:t>
      </w:r>
    </w:p>
    <w:p w:rsidR="00126F4C" w:rsidRPr="002F30DF" w:rsidRDefault="00126F4C" w:rsidP="00126F4C">
      <w:pPr>
        <w:pStyle w:val="len"/>
        <w:spacing w:before="0" w:line="260" w:lineRule="atLeast"/>
        <w:rPr>
          <w:sz w:val="20"/>
          <w:szCs w:val="20"/>
        </w:rPr>
      </w:pPr>
      <w:r w:rsidRPr="002F30DF" w:rsidDel="0092565E">
        <w:rPr>
          <w:sz w:val="20"/>
          <w:szCs w:val="20"/>
        </w:rPr>
        <w:t xml:space="preserve"> </w:t>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(objava sodnih odločb na spletu)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Za obveščanje javnosti se na spletnem mestu agencije objavijo odločbe, ki jih sodišče izda v postopku sodnega varstva zoper odločbe agencije, brez zaupnih podatkov.</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VI. DEL</w:t>
      </w:r>
    </w:p>
    <w:p w:rsidR="00126F4C" w:rsidRPr="002F30DF" w:rsidRDefault="00126F4C" w:rsidP="00126F4C">
      <w:pPr>
        <w:pStyle w:val="Del"/>
        <w:spacing w:before="0" w:line="260" w:lineRule="atLeast"/>
        <w:rPr>
          <w:sz w:val="20"/>
          <w:szCs w:val="20"/>
        </w:rPr>
      </w:pPr>
      <w:r w:rsidRPr="002F30DF">
        <w:rPr>
          <w:sz w:val="20"/>
          <w:szCs w:val="20"/>
        </w:rPr>
        <w:t>POSTOPKI Z MEDNARODNIM ELEMENTOM</w:t>
      </w:r>
    </w:p>
    <w:p w:rsidR="00126F4C" w:rsidRPr="002F30DF" w:rsidRDefault="00126F4C" w:rsidP="00126F4C">
      <w:pPr>
        <w:pStyle w:val="Del"/>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Del"/>
        <w:spacing w:before="0" w:line="260" w:lineRule="atLeast"/>
        <w:rPr>
          <w:sz w:val="20"/>
          <w:szCs w:val="20"/>
        </w:rPr>
      </w:pPr>
      <w:r w:rsidRPr="002F30DF">
        <w:rPr>
          <w:b/>
          <w:sz w:val="20"/>
          <w:szCs w:val="20"/>
        </w:rPr>
        <w:t>(medsebojna pomoč)</w:t>
      </w:r>
    </w:p>
    <w:p w:rsidR="00126F4C" w:rsidRPr="002F30DF" w:rsidRDefault="00126F4C" w:rsidP="00126F4C">
      <w:pPr>
        <w:pStyle w:val="Del"/>
        <w:spacing w:before="0"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Pooblaščene uradne osebe agencije:</w:t>
      </w:r>
    </w:p>
    <w:p w:rsidR="00126F4C" w:rsidRPr="002F30DF" w:rsidRDefault="00126F4C" w:rsidP="00126F4C">
      <w:pPr>
        <w:pStyle w:val="Alineazaodstavkom"/>
        <w:numPr>
          <w:ilvl w:val="0"/>
          <w:numId w:val="37"/>
        </w:numPr>
        <w:spacing w:line="260" w:lineRule="atLeast"/>
        <w:rPr>
          <w:sz w:val="20"/>
          <w:szCs w:val="20"/>
        </w:rPr>
      </w:pPr>
      <w:r w:rsidRPr="002F30DF">
        <w:rPr>
          <w:sz w:val="20"/>
          <w:szCs w:val="20"/>
        </w:rPr>
        <w:t>izvajajo preiskave, posredujejo zahteve za informacije in zbirajo informacije na podlagi zaprosila Evropske komisije ali organa prosilca, v skladu s tem zakonom, pri čemer se ne izda sklep o uvedbi postopka,</w:t>
      </w:r>
    </w:p>
    <w:p w:rsidR="00126F4C" w:rsidRPr="002F30DF" w:rsidRDefault="00126F4C" w:rsidP="00126F4C">
      <w:pPr>
        <w:pStyle w:val="Alineazaodstavkom"/>
        <w:numPr>
          <w:ilvl w:val="0"/>
          <w:numId w:val="37"/>
        </w:numPr>
        <w:spacing w:line="260" w:lineRule="atLeast"/>
        <w:rPr>
          <w:sz w:val="20"/>
          <w:szCs w:val="20"/>
        </w:rPr>
      </w:pPr>
      <w:r w:rsidRPr="002F30DF">
        <w:rPr>
          <w:sz w:val="20"/>
          <w:szCs w:val="20"/>
        </w:rPr>
        <w:t>dejavno pomagajo uradnim osebam in drugim osebam, ki jih je Evropska komisija pooblastila za izvajanje preiskav v skladu z 20. členom Uredbe 1/2003/ES, pri čemer je obseg pooblastil teh pooblaščenih oseb določen v drugem odstavku 20. člena Uredbe 1/2003/ES,</w:t>
      </w:r>
    </w:p>
    <w:p w:rsidR="00126F4C" w:rsidRPr="002F30DF" w:rsidRDefault="00126F4C" w:rsidP="00126F4C">
      <w:pPr>
        <w:pStyle w:val="Alineazaodstavkom"/>
        <w:numPr>
          <w:ilvl w:val="0"/>
          <w:numId w:val="37"/>
        </w:numPr>
        <w:spacing w:line="260" w:lineRule="atLeast"/>
        <w:rPr>
          <w:sz w:val="20"/>
          <w:szCs w:val="20"/>
        </w:rPr>
      </w:pPr>
      <w:r w:rsidRPr="002F30DF">
        <w:rPr>
          <w:sz w:val="20"/>
          <w:szCs w:val="20"/>
        </w:rPr>
        <w:t xml:space="preserve">na podlagi zaprosila organa prosilca v skladu s tem zakonom, pri čemer se ne izda sklep o uvedbi postopka, ugotavljajo, ali podjetja spoštujejo preiskovalne </w:t>
      </w:r>
      <w:r w:rsidRPr="002F30DF">
        <w:rPr>
          <w:sz w:val="20"/>
          <w:szCs w:val="20"/>
        </w:rPr>
        <w:lastRenderedPageBreak/>
        <w:t>ukrepe in odločbe organa prosilca, izdane v postopkih, ki se nanašajo na preiskavo, zahtevo za predložitev podatkov, zbiranje informacij, odločbo o prenehanju s kršitvijo, začasne ukrepe ali zaveze;</w:t>
      </w:r>
    </w:p>
    <w:p w:rsidR="00126F4C" w:rsidRPr="002F30DF" w:rsidRDefault="00126F4C" w:rsidP="00126F4C">
      <w:pPr>
        <w:pStyle w:val="Alineazaodstavkom"/>
        <w:numPr>
          <w:ilvl w:val="0"/>
          <w:numId w:val="37"/>
        </w:numPr>
        <w:spacing w:line="260" w:lineRule="atLeast"/>
        <w:rPr>
          <w:sz w:val="20"/>
          <w:szCs w:val="20"/>
        </w:rPr>
      </w:pPr>
      <w:r w:rsidRPr="002F30DF">
        <w:rPr>
          <w:sz w:val="20"/>
          <w:szCs w:val="20"/>
        </w:rPr>
        <w:t>dejavno pomagajo uradnim osebam in drugim osebam, ki jih je Evropska komisija pooblastila za izvajanje preiskav v skladu s 13. členom Uredbe 139/2004/ES, pri čemer je obseg pooblastil teh pooblaščenih oseb določen v drugem odstavku 13. člena Uredbe 139/2004/ES.</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uradnim osebam organa, pristojnega za varstvo konkurence druge države članice, ali Evropske komisije in drugim osebam, ki jih je ta organ pooblastil, omogoči, da sodelujejo in aktivno pomagajo pooblaščenim osebam agencije pri izvajanju preiskav v skladu z 22. členom Uredbe 1/2003/ES ali pri zbiranju informacij.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Agencija in Evropska komisija ali organ, pristojen za varstvo konkurence druge države članice, ki je zaprosil agencijo za pomoč, lahko izmenjujeta informacije ter jih uporabita kot dokazno sredstvo ob upoštevanju omejitev iz 12. člena Uredbe 1/2013/ES.</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Pri izvajanju preiskav v skladu s tem členom mora policija zagotoviti pomoč osebam iz prvega in drugega odstavka tega člena v skladu s prvim odstavkom 58.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Ne glede na prvi odstavek 43. člena tega zakona in prvi odstavek tega člena agencija pošlje izjavo zaradi prizanesljivosti organu, pristojnemu za varstvo konkurence druge države članice, ali Evropski komisiji, ne glede na obliko prijave za prizanesljivost, le na podlagi soglasja vlagatelja ali kadar sta agencija in organ, pristojen za varstvo konkurence druge države članice, ali Evropska komisija od istega vlagatelja prejela izjavo zaradi prizanesljivosti, ki se nanaša na isto domnevno kršitev, če v času pošiljanja izjave zaradi prizanesljivosti vlagatelj ne more umakniti informacij, ki jih je predložil organu, pristojnemu za varstvo konkurence druge države članice, ali Evropski komisiji.</w:t>
      </w:r>
    </w:p>
    <w:p w:rsidR="00126F4C" w:rsidRPr="002F30DF" w:rsidRDefault="00126F4C" w:rsidP="00126F4C">
      <w:pPr>
        <w:pStyle w:val="Del"/>
        <w:spacing w:before="0" w:line="260" w:lineRule="atLeast"/>
        <w:jc w:val="both"/>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Agencija razkrije pristojnim organom, pristojnim za varstvo konkurence drugih držav članic, podatke, potrebne za izvršbo po tem zakonu.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Del"/>
        <w:spacing w:before="0" w:line="260" w:lineRule="atLeast"/>
        <w:jc w:val="both"/>
        <w:rPr>
          <w:sz w:val="20"/>
          <w:szCs w:val="20"/>
        </w:rPr>
      </w:pPr>
      <w:r w:rsidRPr="002F30DF">
        <w:rPr>
          <w:sz w:val="20"/>
          <w:szCs w:val="20"/>
        </w:rPr>
        <w:lastRenderedPageBreak/>
        <w:t>(7) Ta člen se uporablja tudi za medsebojno pomoč pooblaščenim organom tujih držav, če je tako določeno v mednarodnih pogodbah, ki obvezujejo Republiko Slovenijo.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 člen </w:t>
      </w:r>
    </w:p>
    <w:p w:rsidR="00126F4C" w:rsidRPr="002F30DF" w:rsidRDefault="00126F4C" w:rsidP="00126F4C">
      <w:pPr>
        <w:pStyle w:val="len"/>
        <w:spacing w:before="0" w:line="260" w:lineRule="atLeast"/>
        <w:rPr>
          <w:sz w:val="20"/>
          <w:szCs w:val="20"/>
        </w:rPr>
      </w:pPr>
      <w:r w:rsidRPr="002F30DF">
        <w:rPr>
          <w:sz w:val="20"/>
          <w:szCs w:val="20"/>
        </w:rPr>
        <w:t>(vročitev in izvršitev aktov agencije zoper podjetje, ki ima sedež ali premoženje v drugi državi članici)</w:t>
      </w:r>
    </w:p>
    <w:p w:rsidR="00126F4C" w:rsidRPr="002F30DF" w:rsidRDefault="00126F4C" w:rsidP="00126F4C">
      <w:pPr>
        <w:pStyle w:val="len"/>
        <w:spacing w:before="0" w:line="260" w:lineRule="atLeast"/>
        <w:jc w:val="both"/>
        <w:rPr>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(1) Če podjetje, zoper katero agencija vodi postopek, nima sedeža v Republiki Sloveniji, lahko agencija brez nepotrebnega odlašanja organ, pristojen za varstvo konkurence druge države članice, ali drug pristojni javni organ, ki je pristojen za izvrševanje aktov na podlagi nacionalnih predpisov v drugi državi članici (v nadaljnjem besedilu: zaprošeni organ), v kateri ima to podjetje sedež, zaprosi, da v imenu agencije podjetju vroči:</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predhodne ugotovitve o domnevni kršitvi 5. ali 8. člena tega zakona ali 101. ali 102. člena Pogodbe o delovanju Evropske unije in katere koli odločbe, s katerimi se uporabijo navedeni členi,</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drug procesni akt, sprejet v okviru postopkov za uveljavljanje pravil konkurence, ki ga je treba v skladu s slovenskim pravnim redom vročiti, in</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druge ustrezne dokumente v zvezi z uporabo 5. ali 8. člena tega zakona ali 101. ali 102. člena Pogodbe o delovanju Evropske unije, med drugim dokumente, ki se nanašajo na izvršitev odločb, s katerimi je podjetju izrečena administrativna sankcija ali periodična administrativna sankcija.</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(2) Agencija v zaprosilu iz prejšnjega odstavka navede:</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ime, znani naslov podjetja in morebitne druge relevantne informacije za identifikacijo podjetja,</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kratek opis relevantnih dejstev in okoliščin,</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povzetek priložene kopije akta, ki ga je treba vročiti,</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naziv, naslov in druge kontaktne podatke zaprošenega organa in</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roke za vročitev, kot so zakonski ali zastaralni roki</w:t>
      </w:r>
    </w:p>
    <w:p w:rsidR="00126F4C" w:rsidRPr="002F30DF" w:rsidRDefault="00126F4C" w:rsidP="00126F4C">
      <w:pPr>
        <w:suppressAutoHyphens/>
        <w:overflowPunct/>
        <w:autoSpaceDE/>
        <w:autoSpaceDN/>
        <w:adjustRightInd/>
        <w:spacing w:line="260" w:lineRule="atLeast"/>
        <w:textAlignment w:val="auto"/>
        <w:rPr>
          <w:rFonts w:cs="Arial"/>
          <w:sz w:val="20"/>
          <w:szCs w:val="20"/>
        </w:rPr>
      </w:pPr>
      <w:r w:rsidRPr="002F30DF">
        <w:rPr>
          <w:rFonts w:cs="Arial"/>
          <w:sz w:val="20"/>
          <w:szCs w:val="20"/>
        </w:rPr>
        <w:t>in k zaprosilu priloži kopijo akta, ki se vroča.</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 xml:space="preserve">(3) Če podjetje, ki mu je s pravnomočno odločbo izrečena administrativna sankcija ali periodična administrativna sankcija na podlagi tega zakona, v Republiki Sloveniji nima zadostnih sredstev za plačilo izrečene administrativne sankcije, </w:t>
      </w:r>
      <w:r w:rsidRPr="002F30DF">
        <w:rPr>
          <w:rFonts w:cs="Arial"/>
          <w:sz w:val="20"/>
          <w:szCs w:val="20"/>
        </w:rPr>
        <w:lastRenderedPageBreak/>
        <w:t>agencija brez nepotrebnega odlašanja zaprošeni organ v državi članici, kjer ima to podjetje sedež ali premoženje, prosi, da od podjetja izterja plačilo izrečene administrativne sankcije ali periodične administrativne sankcije.</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suppressAutoHyphens/>
        <w:overflowPunct/>
        <w:autoSpaceDE/>
        <w:autoSpaceDN/>
        <w:adjustRightInd/>
        <w:spacing w:line="260" w:lineRule="atLeast"/>
        <w:textAlignment w:val="auto"/>
        <w:rPr>
          <w:rFonts w:cs="Arial"/>
          <w:sz w:val="20"/>
          <w:szCs w:val="20"/>
        </w:rPr>
      </w:pPr>
      <w:r w:rsidRPr="002F30DF">
        <w:rPr>
          <w:rFonts w:cs="Arial"/>
          <w:sz w:val="20"/>
          <w:szCs w:val="20"/>
        </w:rPr>
        <w:t>(4) Agencija v zaprosilu iz prejšnjega odstavka  navede:</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ime, znani naslov podjetja ter morebitne druge relevantne informacije za identifikacijo podjetja,</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kratek opis relevantnih dejstev in okoliščin,</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povzetek priložene kopije akta, ki ga je treba izvršiti,</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naziv, naslov in druge kontaktne podatke zaprošenega organa,</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roke za izvršitev, kot so zakonski ali zastaralni roki,</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informacije o odločbi, na podlagi katere je dovoljena izvršitev v državi članici organa prosilca,</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datum pravnomočnosti odločbe,</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znesek administrativne sankcije ali periodične administrativne sankcije in</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informacije o tem, kako je agencija v razumnih mejah poskušala izvršiti odločbo na svojem ozemlju in k zaprosilu priloži kopijo akta, ki ga je treba izvršiti.</w:t>
      </w:r>
    </w:p>
    <w:p w:rsidR="00126F4C" w:rsidRPr="002F30DF" w:rsidRDefault="00126F4C" w:rsidP="00126F4C">
      <w:pPr>
        <w:suppressAutoHyphens/>
        <w:spacing w:line="260" w:lineRule="atLeast"/>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 xml:space="preserve">(5) Agencija pošlje zaprosilo iz prvega ali tretjega odstavka tega člena zaprošenemu organu v uradnem jeziku ali enem od uradnih jezikov zaprošenega organa, razen kadar se agencija in zaprošeni organ dogovorita drugače. Če pravo države članice zaprošenega organa določa, da morajo biti odločbe ali drugi akti predloženi v uradnem jeziku te države, agencija zaprosilu priloži uradni prevod akta, ki ga je treba vročiti, ali odločbe, s katero je izrečena administrativna sankcija ali periodična administrativna sankcija, razen če se agencija in zaprošeni organ dogovorita drugače. </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(6) Agencija nemudoma obvesti zaprošeni organ, če je podjetje izrečeno administrativno sankcijo že plačalo, ali če je bila odločba, s katero je bila izrečena administrativna sankcija ali izvršljivost odločbe naknadno razveljavljena ali spremenjena, ali pa je bila administrativna sankcija zmanjšana, ali izvršitve zaradi drugih razlogov ne zahteva več.</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suppressAutoHyphens/>
        <w:overflowPunct/>
        <w:autoSpaceDE/>
        <w:autoSpaceDN/>
        <w:adjustRightInd/>
        <w:spacing w:line="260" w:lineRule="atLeast"/>
        <w:textAlignment w:val="auto"/>
        <w:rPr>
          <w:rFonts w:cs="Arial"/>
          <w:sz w:val="20"/>
          <w:szCs w:val="20"/>
        </w:rPr>
      </w:pPr>
      <w:r w:rsidRPr="002F30DF">
        <w:rPr>
          <w:rFonts w:cs="Arial"/>
          <w:sz w:val="20"/>
          <w:szCs w:val="20"/>
        </w:rPr>
        <w:t>(7) Če je bil vložen predlog za izvršitev administrativne sankcije v drugi državi članici, izvrševanje v Republiki Sloveniji ni dopustno. Izvrševanje se lahko v Republiki Sloveniji nadaljuje:</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lastRenderedPageBreak/>
        <w:t>potem, ko je bila agencija obveščena, da se izvrševanje v drugi državi članici ne izvršuje več,</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če izvrševanje v državi izvršitve zaradi neizterljivosti ni mogoče ali</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če država izvršitve zavrne izvrševanje.</w:t>
      </w:r>
    </w:p>
    <w:p w:rsidR="00126F4C" w:rsidRPr="002F30DF" w:rsidRDefault="00126F4C" w:rsidP="00126F4C">
      <w:pPr>
        <w:pStyle w:val="len"/>
        <w:spacing w:before="0" w:line="260" w:lineRule="atLeast"/>
        <w:jc w:val="both"/>
        <w:rPr>
          <w:b w:val="0"/>
          <w:sz w:val="20"/>
          <w:szCs w:val="20"/>
        </w:rPr>
      </w:pPr>
      <w:r w:rsidRPr="002F30DF">
        <w:rPr>
          <w:b w:val="0"/>
          <w:sz w:val="20"/>
          <w:szCs w:val="20"/>
        </w:rPr>
        <w:t xml:space="preserve"> </w:t>
      </w:r>
    </w:p>
    <w:p w:rsidR="00126F4C" w:rsidRPr="002F30DF" w:rsidRDefault="00126F4C" w:rsidP="00126F4C">
      <w:pPr>
        <w:pStyle w:val="len"/>
        <w:spacing w:before="0" w:line="260" w:lineRule="atLeast"/>
        <w:jc w:val="both"/>
        <w:rPr>
          <w:b w:val="0"/>
          <w:sz w:val="20"/>
          <w:szCs w:val="20"/>
        </w:rPr>
      </w:pPr>
      <w:r w:rsidRPr="002F30DF">
        <w:rPr>
          <w:b w:val="0"/>
          <w:sz w:val="20"/>
          <w:szCs w:val="20"/>
        </w:rPr>
        <w:t>(8) Stroške, ki jih zaprošeni organ zahteva zaradi vročitve aktov iz prvega odstavka tega člena ali izvršitve pravnomočnih odločb, plača agencija na račun zaprošenega organa.</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sidDel="002069DA">
        <w:rPr>
          <w:b w:val="0"/>
          <w:sz w:val="20"/>
          <w:szCs w:val="20"/>
        </w:rPr>
        <w:t xml:space="preserve"> </w:t>
      </w:r>
      <w:r w:rsidRPr="002F30DF">
        <w:rPr>
          <w:sz w:val="20"/>
          <w:szCs w:val="20"/>
        </w:rPr>
        <w:t>člen</w:t>
      </w:r>
    </w:p>
    <w:p w:rsidR="00126F4C" w:rsidRPr="002F30DF" w:rsidRDefault="00126F4C" w:rsidP="00126F4C">
      <w:pPr>
        <w:pStyle w:val="len"/>
        <w:spacing w:before="0" w:line="260" w:lineRule="atLeast"/>
        <w:rPr>
          <w:sz w:val="20"/>
          <w:szCs w:val="20"/>
        </w:rPr>
      </w:pPr>
      <w:r w:rsidRPr="002F30DF">
        <w:rPr>
          <w:sz w:val="20"/>
          <w:szCs w:val="20"/>
        </w:rPr>
        <w:t>(vročitev in izvršitev aktov organov, pristojnih za varstvo konkurence drugih držav članic)</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(1) Na podlagi zaprosila organa prosilca za pomoč, ki vsebuje vse sestavine iz drugega odstavka prejšnjega člena, agencija v imenu in na račun organa prosilca vroči naslovniku:</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predhodne ugotovitve o domnevni kršitvi 101. ali 102. člena Pogodbe o delovanju Evropske unije in odločbe, s katerimi se uporabita navedena člena,</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drug procesni akt, sprejet v okviru postopkov za uveljavljanje pravil konkurence, ki bi moral biti v skladu z nacionalnim pravom vročen, ter</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druge ustrezne dokumente v zvezi z uporabo 101. ali 102. člena Pogodbe o delovanju Evropske unije, med drugim dokumente, ki se nanašajo na izvršitev odločb o izreku denarnih sankcij ali periodičnih denarnih sankcij.</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(2) Za vročitev dokumentov iz prejšnjega odstavka se smiselno uporablja zakon, ki ureja splošni upravni postopek.</w:t>
      </w:r>
    </w:p>
    <w:p w:rsidR="00126F4C" w:rsidRPr="002F30DF" w:rsidRDefault="00126F4C" w:rsidP="00126F4C">
      <w:pPr>
        <w:suppressAutoHyphens/>
        <w:spacing w:line="260" w:lineRule="atLeast"/>
        <w:rPr>
          <w:rFonts w:cs="Arial"/>
          <w:b/>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(3) Na podlagi zaprosila organa prosilca, ki vsebuje vse sestavine iz četrtega odstavka prejšnjega člena, agencija sprejme zaprosilo za izvršitev pravnomočne odločbe, s katero je podjetju izrečena denarna sankcija ali periodična denarna sankcija zaradi kršitev 101. ali 102. člena Pogodbe o delovanju Evropske unije, in brez nepotrebnega odlašanja vloži izvršbo pri pristojnem davčnem organu, če:</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 xml:space="preserve">se je organ prosilec na svojem ozemlju v razumnih mejah poskušal prepričati, da podjetje, ki mu je izrečena denarna sankcija ali periodična denarna sankcija, nima sredstev v državi organa prosilca, ki bi zadostovala, da bi bilo mogoče izterjati izrečeno denarno sankcijo ali periodično denarno sankcijo, </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lastRenderedPageBreak/>
        <w:t>zaprosilo organa prosilca vsebuje vse sestavine iz drugega in četrtega odstavka prejšnjega člena in</w:t>
      </w:r>
    </w:p>
    <w:p w:rsidR="00126F4C" w:rsidRPr="002F30DF" w:rsidRDefault="00126F4C" w:rsidP="00126F4C">
      <w:pPr>
        <w:numPr>
          <w:ilvl w:val="0"/>
          <w:numId w:val="23"/>
        </w:numPr>
        <w:suppressAutoHyphens/>
        <w:overflowPunct/>
        <w:autoSpaceDE/>
        <w:autoSpaceDN/>
        <w:adjustRightInd/>
        <w:spacing w:line="260" w:lineRule="atLeast"/>
        <w:ind w:left="567"/>
        <w:textAlignment w:val="auto"/>
        <w:rPr>
          <w:rFonts w:cs="Arial"/>
          <w:sz w:val="20"/>
          <w:szCs w:val="20"/>
        </w:rPr>
      </w:pPr>
      <w:r w:rsidRPr="002F30DF">
        <w:rPr>
          <w:rFonts w:cs="Arial"/>
          <w:sz w:val="20"/>
          <w:szCs w:val="20"/>
        </w:rPr>
        <w:t>je priložen uradni prevod v slovenski jezik akta oziroma odločbe, ki jo je treba izvršiti.</w:t>
      </w:r>
    </w:p>
    <w:p w:rsidR="00126F4C" w:rsidRPr="002F30DF" w:rsidRDefault="00126F4C" w:rsidP="00126F4C">
      <w:pPr>
        <w:suppressAutoHyphens/>
        <w:overflowPunct/>
        <w:autoSpaceDE/>
        <w:autoSpaceDN/>
        <w:adjustRightInd/>
        <w:spacing w:line="260" w:lineRule="atLeast"/>
        <w:textAlignment w:val="auto"/>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(4) Davčni organ izvrši izterjavo denarne sankcije ali periodične denarne sankcije po postopku, predpisanem za izvršbo davčnih obveznosti, na predlog agencije.</w:t>
      </w:r>
      <w:r w:rsidRPr="002F30DF" w:rsidDel="00B35C57">
        <w:rPr>
          <w:rFonts w:cs="Arial"/>
          <w:sz w:val="20"/>
          <w:szCs w:val="20"/>
        </w:rPr>
        <w:t xml:space="preserve"> </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 xml:space="preserve">(5) Agencija za vročitev aktov in davčni organ za izvršitev pravnomočne odločbe ne zahtevata nobenih listin o priznanju, dopolnitvi ali nadomestitvi, če zaprosilo vsebuje vse zahtevane podatke in listine. Glede jezika zaprosila in listin se smiselno uporablja peti odstavek prejšnjega člena. </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(6) Ne glede na izpolnitev pogoja iz prve alineje tretjega odstavka tega člena lahko davčni organ na podlagi predloga agencije za izterjavo izterja plačilo denarne sankcije ali periodične denarne sankcije, če podjetje, zoper katero je treba izterjati denarno sankcijo ali periodično denarno sankcijo, nima sedeža v državi članici organa prosilca in v drugih primerih, ki niso zajeti v tretjem odstavku tega člena. V tem primeru organu prosilcu v zaprosilu ni treba navesti informacij o tem, kako je v razumnih mejah poskušal izvršiti odločbo na svojem ozemlju.</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(7) Za zastaranje izvršitev odločb, s katerimi je izrečena denarna sankcija ali periodična denarna sankcija, se uporablja pravo države, kjer ima sedež organ prosilec.</w:t>
      </w:r>
    </w:p>
    <w:p w:rsidR="00126F4C" w:rsidRPr="002F30DF" w:rsidRDefault="00126F4C" w:rsidP="00126F4C">
      <w:pPr>
        <w:suppressAutoHyphens/>
        <w:spacing w:line="260" w:lineRule="atLeast"/>
        <w:rPr>
          <w:rFonts w:cs="Arial"/>
          <w:sz w:val="20"/>
          <w:szCs w:val="20"/>
        </w:rPr>
      </w:pPr>
    </w:p>
    <w:p w:rsidR="00126F4C" w:rsidRPr="002F30DF" w:rsidRDefault="00126F4C" w:rsidP="00126F4C">
      <w:pPr>
        <w:suppressAutoHyphens/>
        <w:spacing w:line="260" w:lineRule="atLeast"/>
        <w:rPr>
          <w:rFonts w:cs="Arial"/>
          <w:sz w:val="20"/>
          <w:szCs w:val="20"/>
        </w:rPr>
      </w:pPr>
      <w:r w:rsidRPr="002F30DF">
        <w:rPr>
          <w:rFonts w:cs="Arial"/>
          <w:sz w:val="20"/>
          <w:szCs w:val="20"/>
        </w:rPr>
        <w:t>(8) Davčni organ izterja denarno sankcijo ali periodično denarno sankcijo v eurih. Če je znesek denarne sankcije ali periodične denarne sankcije v odločbi izrečen v drugi valuti, se znesek denarne sankcije ali periodične denarne sankcije iz tuje valute pretvori v euro po srednjem menjalnem tečaju Banke Slovenije, ki je veljal na dan, ko je bila denarna sankcija ali periodična denarna sankcija izrečena.</w:t>
      </w:r>
    </w:p>
    <w:p w:rsidR="00126F4C" w:rsidRPr="002F30DF" w:rsidRDefault="00126F4C" w:rsidP="00126F4C">
      <w:pPr>
        <w:suppressAutoHyphens/>
        <w:spacing w:line="260" w:lineRule="atLeast"/>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(9) Agenciji ni treba izvršiti zaprosila iz prvega odstavka tega člena in davčnemu organu predložiti v izvršitev pravnomočne odločbe iz tretjega odstavka tega člena, če:</w:t>
      </w:r>
    </w:p>
    <w:p w:rsidR="00126F4C" w:rsidRPr="002F30DF" w:rsidRDefault="00126F4C" w:rsidP="00126F4C">
      <w:pPr>
        <w:numPr>
          <w:ilvl w:val="0"/>
          <w:numId w:val="23"/>
        </w:numPr>
        <w:suppressAutoHyphens/>
        <w:overflowPunct/>
        <w:autoSpaceDE/>
        <w:autoSpaceDN/>
        <w:adjustRightInd/>
        <w:spacing w:line="260" w:lineRule="atLeast"/>
        <w:ind w:left="426"/>
        <w:textAlignment w:val="auto"/>
        <w:rPr>
          <w:rFonts w:cs="Arial"/>
          <w:sz w:val="20"/>
          <w:szCs w:val="20"/>
        </w:rPr>
      </w:pPr>
      <w:r w:rsidRPr="002F30DF">
        <w:rPr>
          <w:rFonts w:cs="Arial"/>
          <w:sz w:val="20"/>
          <w:szCs w:val="20"/>
        </w:rPr>
        <w:t>zaprosilo ne vsebuje vseh sestavin iz drugega oziroma četrtega odstavka prejšnjega člena ali</w:t>
      </w:r>
    </w:p>
    <w:p w:rsidR="00126F4C" w:rsidRPr="002F30DF" w:rsidRDefault="00126F4C" w:rsidP="00126F4C">
      <w:pPr>
        <w:numPr>
          <w:ilvl w:val="0"/>
          <w:numId w:val="23"/>
        </w:numPr>
        <w:suppressAutoHyphens/>
        <w:overflowPunct/>
        <w:autoSpaceDE/>
        <w:autoSpaceDN/>
        <w:adjustRightInd/>
        <w:spacing w:line="260" w:lineRule="atLeast"/>
        <w:ind w:left="426"/>
        <w:textAlignment w:val="auto"/>
        <w:rPr>
          <w:rFonts w:cs="Arial"/>
          <w:sz w:val="20"/>
          <w:szCs w:val="20"/>
        </w:rPr>
      </w:pPr>
      <w:r w:rsidRPr="002F30DF">
        <w:rPr>
          <w:rFonts w:cs="Arial"/>
          <w:sz w:val="20"/>
          <w:szCs w:val="20"/>
        </w:rPr>
        <w:lastRenderedPageBreak/>
        <w:t>agencija dokaže utemeljene razloge, da bi bila taka izvršitev zaprosila očitno v nasprotju z javnim redom Republike Slovenije.</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pStyle w:val="len"/>
        <w:spacing w:before="0" w:line="260" w:lineRule="atLeast"/>
        <w:jc w:val="both"/>
        <w:rPr>
          <w:b w:val="0"/>
          <w:sz w:val="20"/>
          <w:szCs w:val="20"/>
        </w:rPr>
      </w:pPr>
      <w:r w:rsidRPr="002F30DF">
        <w:rPr>
          <w:b w:val="0"/>
          <w:sz w:val="20"/>
          <w:szCs w:val="20"/>
        </w:rPr>
        <w:t>(10) Preden zavrne zaprosilo ali če potrebuje dodatne informacije, agencija stopi v stik z organom prosilcem.</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spacing w:before="0" w:line="260" w:lineRule="atLeast"/>
        <w:jc w:val="both"/>
        <w:rPr>
          <w:b w:val="0"/>
          <w:sz w:val="20"/>
          <w:szCs w:val="20"/>
        </w:rPr>
      </w:pPr>
      <w:r w:rsidRPr="002F30DF">
        <w:rPr>
          <w:b w:val="0"/>
          <w:sz w:val="20"/>
          <w:szCs w:val="20"/>
        </w:rPr>
        <w:t>(11) Denarni znesek, ki ga je davčni organ izterjal na podlagi zaprosila organa prosilca, agencija brez odlašanja nakaže na račun organa prosilca.</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člen</w:t>
      </w:r>
    </w:p>
    <w:p w:rsidR="00126F4C" w:rsidRPr="002F30DF" w:rsidRDefault="00126F4C" w:rsidP="00126F4C">
      <w:pPr>
        <w:pStyle w:val="len"/>
        <w:spacing w:before="0" w:line="260" w:lineRule="atLeast"/>
        <w:rPr>
          <w:sz w:val="20"/>
          <w:szCs w:val="20"/>
        </w:rPr>
      </w:pPr>
      <w:r w:rsidRPr="002F30DF">
        <w:rPr>
          <w:sz w:val="20"/>
          <w:szCs w:val="20"/>
        </w:rPr>
        <w:t>(stroški)</w:t>
      </w:r>
    </w:p>
    <w:p w:rsidR="00126F4C" w:rsidRPr="002F30DF" w:rsidRDefault="00126F4C" w:rsidP="00126F4C">
      <w:pPr>
        <w:overflowPunct/>
        <w:autoSpaceDE/>
        <w:autoSpaceDN/>
        <w:adjustRightInd/>
        <w:spacing w:line="260" w:lineRule="atLeast"/>
        <w:jc w:val="lef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(1) Agencija lahko zahteva od organa prosilca povračilo vseh razumnih dodatnih stroškov, vključno s stroški prevoda, dela in upravnimi stroški, povezanimi z ukrepi, sprejetimi za vročitev aktov iz prvega odstavka prejšnjega člena tega zakona ter izvršitev aktov iz tretjega odstavka prejšnjega člena.</w:t>
      </w:r>
      <w:r w:rsidRPr="002F30DF" w:rsidDel="00025A88">
        <w:rPr>
          <w:rFonts w:cs="Arial"/>
          <w:sz w:val="20"/>
          <w:szCs w:val="20"/>
        </w:rPr>
        <w:t xml:space="preserve"> </w:t>
      </w:r>
      <w:r w:rsidRPr="002F30DF">
        <w:rPr>
          <w:rFonts w:cs="Arial"/>
          <w:sz w:val="20"/>
          <w:szCs w:val="20"/>
        </w:rPr>
        <w:t>Povračilo stroškov je prihodek proračuna Republike Slovenije.</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(2) Za poplačilo vseh stroškov, povezanih z vročitvijo in izvršitvijo aktov organov, pristojnih za varstvo konkurence drugih držav članic, lahko agencija ali davčni organ zadrži ustrezen del izterjane denarne sankcije ali periodične denarne sankcije, ki jo je davčni organ izterjal na predlog agencije. Če davčnemu organu ne uspe izterjati denarne sankcije ali periodične denarne sankcije, lahko agencija od organa prosilca zahteva kritje nastalih stroškov.</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(3) Agencija lahko zahteva kritje stroškov, nastalih v zvezi z izvršitvijo aktov organov, pristojnih za varstvo konkurence drugih držav članic, tudi od podjetja, zoper katero je treba izvršiti denarno sankcijo ali periodično denarno sankcijo. Agencija te stroške postopka po uradni dolžnosti zahteva s sklepom o stroških postopka.</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člen</w:t>
      </w:r>
    </w:p>
    <w:p w:rsidR="00126F4C" w:rsidRPr="002F30DF" w:rsidRDefault="00126F4C" w:rsidP="00126F4C">
      <w:pPr>
        <w:pStyle w:val="Del"/>
        <w:spacing w:before="0" w:line="260" w:lineRule="atLeast"/>
        <w:rPr>
          <w:b/>
          <w:sz w:val="20"/>
          <w:szCs w:val="20"/>
        </w:rPr>
      </w:pPr>
      <w:r w:rsidRPr="002F30DF">
        <w:rPr>
          <w:b/>
          <w:sz w:val="20"/>
          <w:szCs w:val="20"/>
        </w:rPr>
        <w:t>(spori v zvezi z zaprosili za vročitev ali izvršitev odločb)</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jc w:val="both"/>
        <w:rPr>
          <w:sz w:val="20"/>
          <w:szCs w:val="20"/>
        </w:rPr>
      </w:pPr>
      <w:r w:rsidRPr="002F30DF">
        <w:rPr>
          <w:sz w:val="20"/>
          <w:szCs w:val="20"/>
        </w:rPr>
        <w:t>(1) Za spore glede zakonitosti akta, ki ga je treba vročiti, ali odločbe, ki jo je treba izvršiti, in glede zakonitosti zaprosila za vročitev oziroma izvršitev se uporablja pravo države članice, v kateri ima organ prosilec sedež.</w:t>
      </w:r>
    </w:p>
    <w:p w:rsidR="00126F4C" w:rsidRPr="002F30DF" w:rsidRDefault="00126F4C" w:rsidP="00126F4C">
      <w:pPr>
        <w:pStyle w:val="Del"/>
        <w:spacing w:before="0" w:line="260" w:lineRule="atLeast"/>
        <w:jc w:val="both"/>
        <w:rPr>
          <w:sz w:val="20"/>
          <w:szCs w:val="20"/>
        </w:rPr>
      </w:pPr>
    </w:p>
    <w:p w:rsidR="00126F4C" w:rsidRPr="002F30DF" w:rsidRDefault="00126F4C" w:rsidP="00126F4C">
      <w:pPr>
        <w:pStyle w:val="Del"/>
        <w:spacing w:before="0" w:line="260" w:lineRule="atLeast"/>
        <w:jc w:val="both"/>
        <w:rPr>
          <w:sz w:val="20"/>
          <w:szCs w:val="20"/>
        </w:rPr>
      </w:pPr>
      <w:r w:rsidRPr="002F30DF">
        <w:rPr>
          <w:sz w:val="20"/>
          <w:szCs w:val="20"/>
        </w:rPr>
        <w:lastRenderedPageBreak/>
        <w:t>(2) Spori v zvezi z izvršilnimi ukrepi, sprejetimi v državi članici zaprošenega organa, ali spori v zvezi z veljavnostjo vročitve, ki jo je izvedel zaprošeni organ, spadajo v okvir pristojnosti pristojnih organov države članice zaprošenega organa in jih ureja pravo navedene države članice.</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VII. DEL</w:t>
      </w:r>
      <w:r w:rsidRPr="002F30DF">
        <w:rPr>
          <w:sz w:val="20"/>
          <w:szCs w:val="20"/>
        </w:rPr>
        <w:br/>
        <w:t>OMEJEVANJE TRGA Z OBLASTNIMI AKTI IN DEJANJI</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(prepoved)</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Vlada, državni organi, organi lokalnih skupnosti in nosilci javnih pooblastil ne smejo omejevati prostega nastopanja podjetij na trgu.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omejevanje prostega nastopanja podjetij na trgu po tem zakonu se štejejo splošni in posamični akti in dejanja, s katerimi se v nasprotju z ustavo in zakonom omejujejo svobodna menjava blaga in storitev, svoboden vstop na trg, svobodno nastopanje na trgu ali s katerimi se kako drugače preprečuje konkurenca.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(omejevanje prostega nastopanja s predpisi)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Pri omejevanju prostega nastopanja podjetij s predpisi se varstvo interesov podjetij zagotavlja v postopku za presojo skladnosti predpisov z ustavo in zakoni, če takega varstva ni mogoče zagotoviti v upravnem sporu.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 omejevanje prostega nastopanja podjetij na trgu po tem zakonu se ne štejejo predpisi, s katerimi se v skladu z ustavo zagotavljajo človekove pravice ter gospodarska in socialna razmerja, zlasti pa predpisi, s katerimi se določajo:</w:t>
      </w:r>
    </w:p>
    <w:p w:rsidR="00126F4C" w:rsidRPr="002F30DF" w:rsidRDefault="00126F4C" w:rsidP="00126F4C">
      <w:pPr>
        <w:pStyle w:val="Alineazaodstavkom"/>
        <w:numPr>
          <w:ilvl w:val="0"/>
          <w:numId w:val="51"/>
        </w:numPr>
        <w:spacing w:line="260" w:lineRule="atLeast"/>
        <w:rPr>
          <w:sz w:val="20"/>
          <w:szCs w:val="20"/>
        </w:rPr>
      </w:pPr>
      <w:r w:rsidRPr="002F30DF">
        <w:rPr>
          <w:sz w:val="20"/>
          <w:szCs w:val="20"/>
        </w:rPr>
        <w:t>pogoji za promet z blagom in storitvami, ki določajo lastnosti blaga ali način opravljanja storitev zaradi sanitarnih, veterinarskih, fitopatoloških, okoljevarstvenih, delovno-varstvenih, tehničnih in podobnih razlogov,</w:t>
      </w:r>
    </w:p>
    <w:p w:rsidR="00126F4C" w:rsidRPr="002F30DF" w:rsidRDefault="00126F4C" w:rsidP="00126F4C">
      <w:pPr>
        <w:pStyle w:val="Alineazaodstavkom"/>
        <w:numPr>
          <w:ilvl w:val="0"/>
          <w:numId w:val="51"/>
        </w:numPr>
        <w:spacing w:line="260" w:lineRule="atLeast"/>
        <w:rPr>
          <w:sz w:val="20"/>
          <w:szCs w:val="20"/>
        </w:rPr>
      </w:pPr>
      <w:r w:rsidRPr="002F30DF">
        <w:rPr>
          <w:sz w:val="20"/>
          <w:szCs w:val="20"/>
        </w:rPr>
        <w:t>ukrepi za nadzorovanje cen v skladu s posebnim zakonom,</w:t>
      </w:r>
    </w:p>
    <w:p w:rsidR="00126F4C" w:rsidRPr="002F30DF" w:rsidRDefault="00126F4C" w:rsidP="00126F4C">
      <w:pPr>
        <w:pStyle w:val="Alineazaodstavkom"/>
        <w:numPr>
          <w:ilvl w:val="0"/>
          <w:numId w:val="51"/>
        </w:numPr>
        <w:spacing w:line="260" w:lineRule="atLeast"/>
        <w:rPr>
          <w:sz w:val="20"/>
          <w:szCs w:val="20"/>
        </w:rPr>
      </w:pPr>
      <w:r w:rsidRPr="002F30DF">
        <w:rPr>
          <w:sz w:val="20"/>
          <w:szCs w:val="20"/>
        </w:rPr>
        <w:t>način poslovanja podjetij zaradi varstva potrošnikov v skladu s posebnim zakonom,</w:t>
      </w:r>
    </w:p>
    <w:p w:rsidR="00126F4C" w:rsidRPr="002F30DF" w:rsidRDefault="00126F4C" w:rsidP="00126F4C">
      <w:pPr>
        <w:pStyle w:val="Alineazaodstavkom"/>
        <w:numPr>
          <w:ilvl w:val="0"/>
          <w:numId w:val="51"/>
        </w:numPr>
        <w:spacing w:line="260" w:lineRule="atLeast"/>
        <w:rPr>
          <w:sz w:val="20"/>
          <w:szCs w:val="20"/>
        </w:rPr>
      </w:pPr>
      <w:r w:rsidRPr="002F30DF">
        <w:rPr>
          <w:sz w:val="20"/>
          <w:szCs w:val="20"/>
        </w:rPr>
        <w:t>obvezni standardi,</w:t>
      </w:r>
    </w:p>
    <w:p w:rsidR="00126F4C" w:rsidRPr="002F30DF" w:rsidRDefault="00126F4C" w:rsidP="00126F4C">
      <w:pPr>
        <w:pStyle w:val="Alineazaodstavkom"/>
        <w:numPr>
          <w:ilvl w:val="0"/>
          <w:numId w:val="51"/>
        </w:numPr>
        <w:spacing w:line="260" w:lineRule="atLeast"/>
        <w:rPr>
          <w:sz w:val="20"/>
          <w:szCs w:val="20"/>
        </w:rPr>
      </w:pPr>
      <w:r w:rsidRPr="002F30DF">
        <w:rPr>
          <w:sz w:val="20"/>
          <w:szCs w:val="20"/>
        </w:rPr>
        <w:lastRenderedPageBreak/>
        <w:t>obveznost z zakonom določenih podjetij, da opravljajo svojo dejavnost za uporabnike.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(omejevanje prostega nastopanja s posamičnimi akti in dejanji)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Za omejevanje prostega nastopanja s posamičnimi akti in dejanji v smislu drugega odstavka </w:t>
      </w:r>
      <w:r w:rsidR="00EC0353">
        <w:rPr>
          <w:sz w:val="20"/>
          <w:szCs w:val="20"/>
        </w:rPr>
        <w:t>prejšnjega</w:t>
      </w:r>
      <w:r w:rsidRPr="002F30DF">
        <w:rPr>
          <w:sz w:val="20"/>
          <w:szCs w:val="20"/>
        </w:rPr>
        <w:t xml:space="preserve"> člena se štejejo zlasti akti in dejanja, s katerimi se:</w:t>
      </w:r>
    </w:p>
    <w:p w:rsidR="00126F4C" w:rsidRPr="002F30DF" w:rsidRDefault="00126F4C" w:rsidP="00126F4C">
      <w:pPr>
        <w:pStyle w:val="Alineazaodstavkom"/>
        <w:numPr>
          <w:ilvl w:val="0"/>
          <w:numId w:val="52"/>
        </w:numPr>
        <w:spacing w:line="260" w:lineRule="atLeast"/>
        <w:rPr>
          <w:sz w:val="20"/>
          <w:szCs w:val="20"/>
        </w:rPr>
      </w:pPr>
      <w:r w:rsidRPr="002F30DF">
        <w:rPr>
          <w:sz w:val="20"/>
          <w:szCs w:val="20"/>
        </w:rPr>
        <w:t>podjetju onemogoča opravljanje dejavnosti na nekem območju ali glede neke vrste dejavnosti, čeprav izpolnjuje z zakonom določene pogoje,</w:t>
      </w:r>
    </w:p>
    <w:p w:rsidR="00126F4C" w:rsidRPr="002F30DF" w:rsidRDefault="00126F4C" w:rsidP="00126F4C">
      <w:pPr>
        <w:pStyle w:val="Alineazaodstavkom"/>
        <w:numPr>
          <w:ilvl w:val="0"/>
          <w:numId w:val="52"/>
        </w:numPr>
        <w:spacing w:line="260" w:lineRule="atLeast"/>
        <w:rPr>
          <w:sz w:val="20"/>
          <w:szCs w:val="20"/>
        </w:rPr>
      </w:pPr>
      <w:r w:rsidRPr="002F30DF">
        <w:rPr>
          <w:sz w:val="20"/>
          <w:szCs w:val="20"/>
        </w:rPr>
        <w:t>neupravičeno zavlačuje postopek za izdajo dovoljenja za opravljanje dejavnosti ali drugega dovoljenja, pomembnega za nastopanje podjetja na trgu,</w:t>
      </w:r>
    </w:p>
    <w:p w:rsidR="00126F4C" w:rsidRPr="002F30DF" w:rsidRDefault="00126F4C" w:rsidP="00126F4C">
      <w:pPr>
        <w:pStyle w:val="Alineazaodstavkom"/>
        <w:numPr>
          <w:ilvl w:val="0"/>
          <w:numId w:val="52"/>
        </w:numPr>
        <w:spacing w:line="260" w:lineRule="atLeast"/>
        <w:rPr>
          <w:sz w:val="20"/>
          <w:szCs w:val="20"/>
        </w:rPr>
      </w:pPr>
      <w:r w:rsidRPr="002F30DF">
        <w:rPr>
          <w:sz w:val="20"/>
          <w:szCs w:val="20"/>
        </w:rPr>
        <w:t>posredno ali neposredno ustvarja diskriminacija med podjetji glede na njihov sedež,</w:t>
      </w:r>
    </w:p>
    <w:p w:rsidR="00126F4C" w:rsidRPr="002F30DF" w:rsidRDefault="00126F4C" w:rsidP="00126F4C">
      <w:pPr>
        <w:pStyle w:val="Alineazaodstavkom"/>
        <w:numPr>
          <w:ilvl w:val="0"/>
          <w:numId w:val="52"/>
        </w:numPr>
        <w:spacing w:line="260" w:lineRule="atLeast"/>
        <w:rPr>
          <w:sz w:val="20"/>
          <w:szCs w:val="20"/>
        </w:rPr>
      </w:pPr>
      <w:r w:rsidRPr="002F30DF">
        <w:rPr>
          <w:sz w:val="20"/>
          <w:szCs w:val="20"/>
        </w:rPr>
        <w:t>prepoveduje promet z blagom in storitvami zunaj območja lokalne skupnosti,</w:t>
      </w:r>
    </w:p>
    <w:p w:rsidR="00126F4C" w:rsidRPr="002F30DF" w:rsidRDefault="00126F4C" w:rsidP="00126F4C">
      <w:pPr>
        <w:pStyle w:val="Alineazaodstavkom"/>
        <w:numPr>
          <w:ilvl w:val="0"/>
          <w:numId w:val="52"/>
        </w:numPr>
        <w:spacing w:line="260" w:lineRule="atLeast"/>
        <w:rPr>
          <w:sz w:val="20"/>
          <w:szCs w:val="20"/>
        </w:rPr>
      </w:pPr>
      <w:r w:rsidRPr="002F30DF">
        <w:rPr>
          <w:sz w:val="20"/>
          <w:szCs w:val="20"/>
        </w:rPr>
        <w:t>nekemu podjetju neutemeljeno zagotavlja privilegiran položaj pri poslovanju na trgu.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zoper akte in dejanja iz prejšnjega odstavka niso mogoča pravna sredstva v upravnem postopku, lahko prizadeto podjetje začne upravni spor.</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 xml:space="preserve"> (izjemoma dovoljene omejitve)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Ne glede na 104. in 105. člen tega zakona sme vlada predpisati omejitve na trgu v naslednjih primerih:</w:t>
      </w:r>
    </w:p>
    <w:p w:rsidR="00126F4C" w:rsidRPr="002F30DF" w:rsidRDefault="00126F4C" w:rsidP="00126F4C">
      <w:pPr>
        <w:pStyle w:val="Alineazaodstavkom"/>
        <w:numPr>
          <w:ilvl w:val="0"/>
          <w:numId w:val="54"/>
        </w:numPr>
        <w:spacing w:line="260" w:lineRule="atLeast"/>
        <w:rPr>
          <w:sz w:val="20"/>
          <w:szCs w:val="20"/>
        </w:rPr>
      </w:pPr>
      <w:r w:rsidRPr="002F30DF">
        <w:rPr>
          <w:sz w:val="20"/>
          <w:szCs w:val="20"/>
        </w:rPr>
        <w:t>če nastanejo ali utegnejo nastati zaradi naravne nesreče, epidemij, izrednih razmer in podobnih razlogov občutne motnje na trgu in pri preskrbi prebivalstva ali motnje na drugih področjih, če ogrožajo varno in zdravo življenje prebivalcev,</w:t>
      </w:r>
    </w:p>
    <w:p w:rsidR="00126F4C" w:rsidRPr="002F30DF" w:rsidRDefault="00126F4C" w:rsidP="00126F4C">
      <w:pPr>
        <w:pStyle w:val="Alineazaodstavkom"/>
        <w:numPr>
          <w:ilvl w:val="0"/>
          <w:numId w:val="54"/>
        </w:numPr>
        <w:spacing w:line="260" w:lineRule="atLeast"/>
        <w:rPr>
          <w:sz w:val="20"/>
          <w:szCs w:val="20"/>
        </w:rPr>
      </w:pPr>
      <w:r w:rsidRPr="002F30DF">
        <w:rPr>
          <w:sz w:val="20"/>
          <w:szCs w:val="20"/>
        </w:rPr>
        <w:t>če nastanejo ali utegnejo nastati občutne motnje na trgu zaradi pomanjkanja dobrin, nujno potrebnih za proizvodnjo ali predelavo ali za življenje prebivalcev,</w:t>
      </w:r>
    </w:p>
    <w:p w:rsidR="00126F4C" w:rsidRPr="002F30DF" w:rsidRDefault="00126F4C" w:rsidP="00126F4C">
      <w:pPr>
        <w:pStyle w:val="Alineazaodstavkom"/>
        <w:numPr>
          <w:ilvl w:val="0"/>
          <w:numId w:val="54"/>
        </w:numPr>
        <w:spacing w:line="260" w:lineRule="atLeast"/>
        <w:rPr>
          <w:sz w:val="20"/>
          <w:szCs w:val="20"/>
        </w:rPr>
      </w:pPr>
      <w:r w:rsidRPr="002F30DF">
        <w:rPr>
          <w:sz w:val="20"/>
          <w:szCs w:val="20"/>
        </w:rPr>
        <w:t>če je treba zadovoljiti potrebe po izdelkih, surovinah in reprodukcijskem materialu, ki so posebno ali strateško pomembni za obrambo Republike Slovenije.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 xml:space="preserve"> (pogoj za uporabo izjemoma dovoljenih omejitev)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Izjemoma dovoljene omejitve iz prejšnjega člena sme vlada predpisati le, če razlogov za omejitve ni mogoče odpraviti z ukrepi v podjetjih, z uvozom ali ukrepi tekoče gospodarske politike.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 xml:space="preserve"> (ukrepi izjemoma dovoljenih omejitev)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Kot omejitve v smislu 106. člena tega zakona sme vlada predpisati:</w:t>
      </w:r>
    </w:p>
    <w:p w:rsidR="00126F4C" w:rsidRPr="002F30DF" w:rsidRDefault="00126F4C" w:rsidP="00126F4C">
      <w:pPr>
        <w:pStyle w:val="Alineazaodstavkom"/>
        <w:numPr>
          <w:ilvl w:val="0"/>
          <w:numId w:val="76"/>
        </w:numPr>
        <w:spacing w:line="260" w:lineRule="atLeast"/>
        <w:rPr>
          <w:sz w:val="20"/>
          <w:szCs w:val="20"/>
        </w:rPr>
      </w:pPr>
      <w:r w:rsidRPr="002F30DF">
        <w:rPr>
          <w:sz w:val="20"/>
          <w:szCs w:val="20"/>
        </w:rPr>
        <w:t>prepoved prometa z določenim blagom ali omejitev prometa s posameznim blagom glede količine ali kakovosti, določitev posebnih pogojev za promet s posameznim blagom ali vrstami blaga,</w:t>
      </w:r>
    </w:p>
    <w:p w:rsidR="00126F4C" w:rsidRPr="002F30DF" w:rsidRDefault="00126F4C" w:rsidP="00126F4C">
      <w:pPr>
        <w:pStyle w:val="Alineazaodstavkom"/>
        <w:numPr>
          <w:ilvl w:val="0"/>
          <w:numId w:val="76"/>
        </w:numPr>
        <w:spacing w:line="260" w:lineRule="atLeast"/>
        <w:rPr>
          <w:sz w:val="20"/>
          <w:szCs w:val="20"/>
        </w:rPr>
      </w:pPr>
      <w:r w:rsidRPr="002F30DF">
        <w:rPr>
          <w:sz w:val="20"/>
          <w:szCs w:val="20"/>
        </w:rPr>
        <w:t>obveznost zadevnih podjetij, da morajo dati v promet zadevne količine ali vrste blaga in da ga morajo dati na razpolago ali dobaviti zadevnim uporabnikom ali uporabnikom po določenem vrstnem redu,</w:t>
      </w:r>
    </w:p>
    <w:p w:rsidR="00126F4C" w:rsidRPr="002F30DF" w:rsidRDefault="00126F4C" w:rsidP="00126F4C">
      <w:pPr>
        <w:pStyle w:val="Alineazaodstavkom"/>
        <w:numPr>
          <w:ilvl w:val="0"/>
          <w:numId w:val="76"/>
        </w:numPr>
        <w:spacing w:line="260" w:lineRule="atLeast"/>
        <w:rPr>
          <w:sz w:val="20"/>
          <w:szCs w:val="20"/>
        </w:rPr>
      </w:pPr>
      <w:r w:rsidRPr="002F30DF">
        <w:rPr>
          <w:sz w:val="20"/>
          <w:szCs w:val="20"/>
        </w:rPr>
        <w:t>obveznost v podjetij, da si morajo ustvariti rezerve in v njih hraniti določene količine in vrste blaga.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Smiselno enake prepovedi ali obveznosti se lahko predpišejo za storitve.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Vlada mora omejitev razveljaviti takoj, ko prenehajo razlogi, zaradi katerih je bila omejitev predpisana, ali ko je mogoče stanje popraviti z drugačnimi ukrepi.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Če vlada ukrepov ne razveljavi v šestih mesecih, potem ko jih je sprejela, mora o ukrepih obvestiti državni zbor in mu poročati o njihovih učinkih.</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(omilitev škode zaradi izjemnih omejitev)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je bila podjetju z ukrepi iz prejšnjega člena povzročena občutna škoda, mora pristojni državni organ sprejeti ukrepe za njeno omilitev, tako da posledice predpisanih državnih ukrepov za podjetje niso občutno nesorazmerne v primerjavi s posledicami, ki so jih v okoliščinah iz 106. člena tega zakona utrpeli potrošniki, druga podjetja, država ali lokalna skupnost.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(2) Če je z ukrepi iz prejšnjega člena podjetju nastala občutno nesorazmerna škoda in niso bili sprejeti ukrepi v skladu s prejšnjim odstavkom, lahko podjetje zahteva povrnitev te škode od Republike Slovenije.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(mnenja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Da bi se na ozemlju Republike Slovenije zagotovila učinkovitejša konkurenca, agencija v zadevah, v katerih določbe zakona ali drugega predpisa povzročajo omejevanje konkurence ali pravilnega delovanja trga in tega ne upravičuje splošni interes, ter v primerih iz 105. člena tega zakona pošlje pristojnim organom mnenje o potrebnih ukrepih, s katerimi bi se odpravilo ali preprečilo omejevanje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Agencija objavi, o katerih zadevah je dala mnenje, če je to primerno zaradi narave in pomena omejevanja.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 člen </w:t>
      </w:r>
    </w:p>
    <w:p w:rsidR="00126F4C" w:rsidRPr="002F30DF" w:rsidRDefault="00126F4C" w:rsidP="00126F4C">
      <w:pPr>
        <w:pStyle w:val="lennaslov"/>
        <w:spacing w:line="260" w:lineRule="atLeast"/>
        <w:rPr>
          <w:sz w:val="20"/>
          <w:szCs w:val="20"/>
        </w:rPr>
      </w:pPr>
      <w:r w:rsidRPr="002F30DF">
        <w:rPr>
          <w:sz w:val="20"/>
          <w:szCs w:val="20"/>
        </w:rPr>
        <w:t>(posvetovanje)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Agencija da mnenje o predlogu zakona ali uredbe, kadar meni, da je to potrebno, ali kadar to zahteva pristojni državni organ.</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Predsednik ali predsednica vlade ali pristojni minister lahko zahteva od agencije mnenje o predlogu zakona ali uredbe, katerih neposredni učinek so:</w:t>
      </w:r>
    </w:p>
    <w:p w:rsidR="00126F4C" w:rsidRPr="002F30DF" w:rsidRDefault="00126F4C" w:rsidP="00126F4C">
      <w:pPr>
        <w:pStyle w:val="Alineazaodstavkom"/>
        <w:numPr>
          <w:ilvl w:val="0"/>
          <w:numId w:val="26"/>
        </w:numPr>
        <w:spacing w:line="260" w:lineRule="atLeast"/>
        <w:rPr>
          <w:sz w:val="20"/>
          <w:szCs w:val="20"/>
        </w:rPr>
      </w:pPr>
      <w:r w:rsidRPr="002F30DF">
        <w:rPr>
          <w:sz w:val="20"/>
          <w:szCs w:val="20"/>
        </w:rPr>
        <w:t>določanje količinskih omejitev pri izvajanju dejavnosti ali dostopu do trga,</w:t>
      </w:r>
    </w:p>
    <w:p w:rsidR="00126F4C" w:rsidRPr="002F30DF" w:rsidRDefault="00126F4C" w:rsidP="00126F4C">
      <w:pPr>
        <w:pStyle w:val="Alineazaodstavkom"/>
        <w:numPr>
          <w:ilvl w:val="0"/>
          <w:numId w:val="26"/>
        </w:numPr>
        <w:spacing w:line="260" w:lineRule="atLeast"/>
        <w:rPr>
          <w:sz w:val="20"/>
          <w:szCs w:val="20"/>
        </w:rPr>
      </w:pPr>
      <w:r w:rsidRPr="002F30DF">
        <w:rPr>
          <w:sz w:val="20"/>
          <w:szCs w:val="20"/>
        </w:rPr>
        <w:t>določanje izključnih pravic na določenih gospodarskih področjih,</w:t>
      </w:r>
    </w:p>
    <w:p w:rsidR="00126F4C" w:rsidRPr="002F30DF" w:rsidRDefault="00126F4C" w:rsidP="00126F4C">
      <w:pPr>
        <w:pStyle w:val="Alineazaodstavkom"/>
        <w:numPr>
          <w:ilvl w:val="0"/>
          <w:numId w:val="26"/>
        </w:numPr>
        <w:spacing w:line="260" w:lineRule="atLeast"/>
        <w:rPr>
          <w:sz w:val="20"/>
          <w:szCs w:val="20"/>
        </w:rPr>
      </w:pPr>
      <w:r w:rsidRPr="002F30DF">
        <w:rPr>
          <w:sz w:val="20"/>
          <w:szCs w:val="20"/>
        </w:rPr>
        <w:t>določanje splošnih pogojev poslovanja.</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VIII. DEL</w:t>
      </w:r>
      <w:r w:rsidRPr="002F30DF">
        <w:rPr>
          <w:sz w:val="20"/>
          <w:szCs w:val="20"/>
        </w:rPr>
        <w:br/>
        <w:t>POSAMEZNA PRAVILA GLEDE POVRNITVE ŠKODE ZARADI KRŠITEV KONKURENČNEGA PRAVA</w:t>
      </w:r>
    </w:p>
    <w:p w:rsidR="00126F4C" w:rsidRPr="002F30DF" w:rsidRDefault="00126F4C" w:rsidP="00126F4C">
      <w:pPr>
        <w:pStyle w:val="len"/>
        <w:tabs>
          <w:tab w:val="left" w:pos="5911"/>
        </w:tabs>
        <w:spacing w:before="0" w:line="260" w:lineRule="atLeast"/>
        <w:jc w:val="left"/>
        <w:rPr>
          <w:sz w:val="20"/>
          <w:szCs w:val="20"/>
        </w:rPr>
      </w:pPr>
      <w:r w:rsidRPr="002F30DF">
        <w:rPr>
          <w:sz w:val="20"/>
          <w:szCs w:val="20"/>
        </w:rPr>
        <w:tab/>
      </w: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(povrnitev škode zaradi kršitev konkurenčnega prava)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(1) Oseba, ki je utrpela škodo, povzročeno s kršitvijo konkurenčnega prava (v nadaljnjem besedilu: oškodovanec), ima pravico do povrnitve škode (v nadaljnjem besedilu: odškodnina) po splošnih pravilih zakona, ki ureja obligacijska razmerja, če ni s tem zakonom določeno drugače.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Kršitelj, ki je povzročil škodo, dolguje oškodovancu zamudne obresti od nastanka škode do plačila, ne glede na to, kdaj je oškodovanec vložil zahtevek za povrnitev škode, povzročene s kršitvijo konkurenčnega prava (v nadaljnjem besedilu: odškodninski zahtevek).</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hanging="11"/>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(razkritje dokazov ali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Oškodovanec lahko od kršitelja ali tretje osebe, za katero trdi, da razpolaga z dokazi ali podatki, potrebnimi zaradi odškodninskega zahtevka, ki je vložen pri sodišču, zahteva razkritje dokazov ali podatkov. Kršitelj pa lahko razkritje dokazov ali podatkov zahteva od oškodovanca ali tretje osebe, za katero trdi, da razpolaga z dokazi ali podatki, potrebnimi za ugovarjanje zoper odškodninski zahtevek.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Razkritje dokazov ali podatkov se lahko zahteva, če:</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je glede na razpoložljiva dejstva in dokaze v zadostni meri izkazano, da obstaja odškodninska terjatev zaradi kršitev konkurenčnega prava oziroma da ta ne obstaja ali da ne obstaja v zatrjevani višini,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so dokazi ali podatki relevantni zaradi dodatnega navajanja dejstev ali dokazovanja obstoja ali neobstoja odškodninske terjatve oziroma njene višine in</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so dokazi ali podatki, katerih razkritje se zahteva, karseda določno in podrobno opisani na podlagi dejstev in dokazov, ki so osebi, ki zahteva razkritje dokazov ali podatkov, znani pod razumnimi pogoji.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Razkritje dokazov ali podatkov se izvede tako, da se zagotovi sorazmernost med upravičenimi interesi vseh oseb, pri čemer se upoštevajo zlasti: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je utemeljitev obstoja ali neobstoja obveznosti povrnitve škode že dovolj podprta z razpoložljivimi dejstvi in dokazi,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gre za vsesplošno iskanje podatkov, ki verjetno niso pomembni za odločitev o obstoju ali neobstoju odškodninske terjatve,</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obseg in stroški razkritja dokazov ali podatkov, zlasti za tretje osebe,</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lastRenderedPageBreak/>
        <w:t>ali dokazi, katerih razkritje se predlaga, vsebujejo zaupne podatke, zlasti v zvezi s tretjimi osebami, in kateri so možni ukrepi za zavarovanje zaupnih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Pri razkritju dokazov ali podatkov iz spisa organa, pristojnega za varstvo konkurence, se pri zagotavljanju sorazmernosti poleg okoliščin iz prejšnjega odstavka upošteva tudi: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je v zahtevi dovolj opredeljena narava, predmet ali vsebina dokazov ali podatkov ali pa gre za splošno zahtevo za razkritje dokazov ali podatkov v zvezi s posamezno zadevo,</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je dokaz ali podatek relevanten za utemeljitev odškodninske terjatve,</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zaradi učinkovitega izvajanja konkurenčnega prava pretehta javni interes varovanja dokazov ali podatkov iz spisa organa, pristojnega za varstvo konkurence, v zvezi z razkritjem dokazov ali podatkov iz osmega odstavka tega člena,</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zaradi učinkovitega izvajanja konkurenčnega prava pretehta javni interes varovanja dokazov ali podatkov iz spisa organa, pristojnega za varstvo konkurence, ker lahko stranka sama doseže razkritje dokazov ali podatkov pri osebi iz prvega odstavka tega člena, ki ni organ, pristojen za varstvo konkurence, in</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ali zaradi učinkovitega izvajanja konkurenčnega prava pretehta javni interes varovanja dokazov ali podatkov iz spisa organa, pristojnega za varstvo konkurence, glede na mnenje organa, pristojnega za varstvo konkurence, o sorazmernosti zahtevka za razkritje dokazov ali podatkov v skladu s tretjim odstavkom 116.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Pri zagotavljanju sorazmernosti se ne upošteva navedba podjetja, da bi mu z razkritjem nastala premoženjska škoda zaradi odškodninske odgovornosti zaradi kršitev konkurenčnega prava.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V primeru obstoja zaupnih podatkov se lahko določi, komu se smejo razkriti dokazi, ki vsebujejo zaupne podatke, in kako se zagotovi varstvo zaupnih podatkov, zlasti z naslednjimi ukrepi: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da se v določenem roku zagotovi nezaupna različica dokazov, v kateri so zaupni deli besedila izbrisani, oziroma se zagotovi kratek in jedrnat opis vsakega izbrisanega podatka,</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da se dovoli vpogled v dokaz, ki vsebuje zaupne podatke, samo v prostorih osebe, od katere se zahteva razkritje dokazov,</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 xml:space="preserve">da se dovoli pregled, prepis ali preslikava zaupnih podatkov zgolj izvedencu, revizorju, odvetniku predlagatelja, predlagateljevemu zunanjemu strokovnemu </w:t>
      </w:r>
      <w:r w:rsidRPr="002F30DF">
        <w:rPr>
          <w:sz w:val="20"/>
          <w:szCs w:val="20"/>
        </w:rPr>
        <w:lastRenderedPageBreak/>
        <w:t>pomočniku ali izvedeni priči, pri čemer se določi, da so osebe, ki jim je dovoljen pregled, prepis ali preslikava teh podatkov, dolžne varovati te podatke in jih ne smejo razkriti strankam postopka niti tretjim osebam, smejo pa jih uporabiti za svoje analize in se nanje lahko sklicujejo v svojih vlogah na tak način, da zaupni podatki niso razkriti njihovim strankam ali tretjim osebam. Ob takšnem sklepu je odvetnik prost zaveze razkritja zaupnih podatkov svoji stranki, stranka pa takega razkritja ne sme zahtevati.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Oseba, od katere se zahteva razkritje dokazov ali podatkov, lahko odreče to razkritje, če se dokaz ali podatki nanašajo na privilegirano komunikacijo iz 59.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(8) Ne glede na prvi odstavek tega člena, razen če se je postopek pred organom, pristojnim za varstvo konkurence, že končal, ni dovoljeno razkriti dokazov ali podatkov iz spisa organa, pristojnega za varstvo konkurence, ki se nanašajo na:</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podatke, pripravljene posebej za postopek organa, pristojnega za varstvo konkurence,</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podatke, ki jih je med postopkom sestavil organ, pristojen za varstvo konkurence, in jih poslal strankam, ali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vloge za poravnavo, ki so bile umaknjene.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(9) Ne glede na prvi odstavek tega člena ni dovoljeno razkriti dokazov ali podatkov iz spisa organa, pristojnega za varstvo konkurence, ki se nanašajo na:</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dokaze iz prve, tretje, četrte in pete alineje petega odstavka 42. člena tega zakona,</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izjavo zaradi prizanesljivosti ali</w:t>
      </w:r>
    </w:p>
    <w:p w:rsidR="00126F4C" w:rsidRPr="002F30DF" w:rsidRDefault="00126F4C" w:rsidP="00126F4C">
      <w:pPr>
        <w:pStyle w:val="rkovnatokazaodstavkom"/>
        <w:numPr>
          <w:ilvl w:val="0"/>
          <w:numId w:val="24"/>
        </w:numPr>
        <w:spacing w:line="260" w:lineRule="atLeast"/>
        <w:ind w:left="426"/>
        <w:rPr>
          <w:sz w:val="20"/>
          <w:szCs w:val="20"/>
        </w:rPr>
      </w:pPr>
      <w:r w:rsidRPr="002F30DF">
        <w:rPr>
          <w:sz w:val="20"/>
          <w:szCs w:val="20"/>
        </w:rPr>
        <w:t>vlogo za poravnavo.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(odločanje o odškodninskem zahtevku)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Za odločanje o odškodninskem zahtevku zaradi kršitev konkurenčnega prava se uporablja zakon, ki ureja pravdni postopek, če ni s tem zakonom določeno drugače.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(združitev pravdnih postopkov)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Kadar teče pred različnimi sodišči v Republiki Sloveniji na prvi stopnji več pravdnih postopkov zaradi uveljavljanja zahtevkov, ki izvirajo iz iste kršitve konkurenčnega prava in v katerih je ista oseba nasprotnik raznih tožnikov ali raznih tožencev, lahko na predlog pristojnega sodišča ali stranke vrhovno sodišče s sklepom združi zadeve za skupno obravnavanje, če se s tem pospeši obravnavanje ali se zmanjšajo stroški. O vseh združenih pravdah lahko izda sodišče skupno sodbo.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(razkritje dokazov ali podatkov v pravdnem postopku)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(1) Če oškodovanec ali kršitelj (v nadaljnjem besedilu: stranka) v pravdnem postopku, v katerem se uveljavlja odškodninski zahtevek zaradi kršitev konkurenčnega prava, predlaga, da sodišče nasprotni stranki ali tretji osebi naloži predložitev listin ali razkritje podatkov, ki so poslovna skrivnost, po zakonu, ki ureja pravdni postopek, sodišče ugodi predlogu pod pogoji iz 113. </w:t>
      </w:r>
      <w:r w:rsidR="009B7937">
        <w:rPr>
          <w:sz w:val="20"/>
          <w:szCs w:val="20"/>
        </w:rPr>
        <w:t xml:space="preserve">člena tega zakona </w:t>
      </w:r>
      <w:r w:rsidRPr="002F30DF">
        <w:rPr>
          <w:sz w:val="20"/>
          <w:szCs w:val="20"/>
        </w:rPr>
        <w:t>in tega člena</w:t>
      </w:r>
      <w:r w:rsidR="009B7937">
        <w:rPr>
          <w:sz w:val="20"/>
          <w:szCs w:val="20"/>
        </w:rPr>
        <w: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stranka ne more iz razumnih razlogov od nasprotne stranke ali tretje osebe pridobiti dokazov ali podatkov, sodišče na zahtevo ali predlog stranke naloži razkritje dokazov ali podatkov organu, pristojnemu za varstvo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Preden sodišče odloči o razkritju dokazov ali podatkov iz spisa organa, pristojnega za varstvo konkurence, o tem obvesti organ, ki je pristojen za varstvo konkurence in razpolaga s temi dokazi, ta pa lahko poda mnenje o sorazmernosti zahtevka ali predloga.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Če se zahtevek ali predlog za razkritje dokazov ali podatkov nanaša na zaupne podatke, sodišče lahko določi, komu se smejo razkriti dokazi ali podatki, ki vsebujejo zaupne podatke, in poseben način varstva zaupnih podatkov, zlasti z ukrepi iz šestega odstavka 113. člena tega zakona. Sodišče opozori stranko in osebo iz tretjega alineje šestega odstavka 113. člena tega zakona, ki so ji zaupni podatki razkriti, na denarno kazen iz prvega odstavka 119. člena tega zakona ter da sta izdaja in neupravičena pridobitev poslovne skrivnosti kaznivi dejanji.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(5) Če stranka zaradi privilegirane komunikacije iz sedmega odstavka 113. člena tega zakona ugovarja razkritju dokazov ali podatkov, o utemeljenosti ali neutemeljenosti takšnega sklicevanja odloči sodišče.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Če stranka ugovarja razkritju dokazov ali podatkov, ker se nanašajo na izjavo zaradi prizanesljivosti ali vlogo za poravnavo, sodišče na podlagi obrazloženega predloga stranke ali tretje osebe preveri, ali vsebina izjave zaradi prizanesljivosti ali vloge za poravnavo ustreza njuni opredelitvi v 25. in 27. točki prvega odstavka 3. člena tega zakona. Sodišče lahko za mnenje zaprosi organ, ki je pristojen za varstvo konkurence in pri katerem se takšen dokaz nahaja. Sodišče o predlogu obvesti osebo, ki je podala izjave zaradi prizanesljivosti ali vlogo za poravnavo, ta pa ima pravico, da se do njega opredeli.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Če se zahtevek ali predlog za razkritje dokazov ali podatkov deloma nanaša na razkritje dokazov ali podatkov iz osmega ali devetega odstavka 113. člena tega zakona, deloma pa na predhodne informacije, sodišče ugodi predlogu ali zahtevku v tem delu.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(8) Stroške postopka za razkritje dokazov ali podatkov krije najprej stranka, ki je zahtevala razkritje. Povrniti mora tudi stroške nasprotni stranki. Povrnitev stroškov postopka za razkritje dokazov ali podatkov lahko pozneje zahteva kot del pravdnih stroškov v odškodninskem postopku glede na uspeh v pravdi.</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(omejitve uporabe dokazov ali podatkov, pridobljenih z dostopom do spisa organa, pristojnega za varstvo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Izjave zaradi prizanesljivosti ali vloge za poravnave, pridobljene z dostopom do spisa organa, pristojnega za varstvo konkurence, ni dopustno predložiti kot dokaz v tožbi za povrnitev škode zaradi kršitev konkurenčnega prava oziroma navajati dejstev, ki iz njih izhajajo.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Dokazov ali podatkov iz osmega odstavka 113. člena tega zakona, pridobljenih z dostopom do spisa organa, pristojnega za varstvo konkurence, ni dopustno predložiti kot dokaz v tožbi za povrnitev škode zaradi kršitev konkurenčnega prava oziroma navajati dejstev, ki iz njih izhajajo, razen če se je postopek pred organom, pristojnim za varstvo konkurence, končal.</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Dokaze ali podatke, pridobljene z dostopom do spisa organa, pristojnega za varstvo konkurence, in za katere ne velja prvi ali drugi odstavek tega člena, lahko v tožbi za povrnitev škode zaradi kršitev konkurenčnega prava navaja oziroma predloži samo stranka, ki jih je pridobila, ali njen pravni naslednik, vključno z osebo, na katero je bil prenesen odškodninski zahtevek.</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(posledice neizpolnitve odločbe o razkritju dokazov ali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stranka, ki ji je naloženo razkritje dokazov ali podatkov, ne izvrši ali zavrne izpolnitev odločbe o razkritju dokazov ali podatkov ter če uniči ali skrije relevantne dokaze ali podatke, sodišče v odškodninskem postopku o stroških postopka odloči po prostem preudarku.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tretja oseba ne izvrši ali zavrne izvršitev pravnomočnega sklepa za razkritje dokazov ali podatkov, izvrši sodišče sklep za razkritje dokazov ali podatkov po uradni dolžnosti po pravilih izvršilnega postopka.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(denarna kazen)</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sodišče, ki odloča o odškodninskem zahtevku, odredi ukrepe za varstvo zaupnih podatkov iz šestega odstavka 113. člena tega zakona, in oseba, ki so ji razkriti zaupni podatki, med trajanjem odškodninskega postopka ne izvrši ukrepa za zavarovanje zaupnih podatkov ali ravna v nasprotju z njim, lahko sodišče fizični osebi izreče denarno kazen v znesku do 5.000 eurov, pravni osebi, samostojnemu podjetniku posamezniku, odvetniku oziroma odvetniškemu kandidatu pa v znesku od 5.000 do 100.000 eurov.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stranka ali tretja oseba uniči ali skrije relevantne dokaze ali podatke od vložitve zahteve ali predloga za razkritje dokazov ali podatkov do odločbe sodišča o razkritju, ji lahko sodišče, ki odloča o odškodninskem zahtevku, izreče denarno kazen v znesku do 5.000 eurov.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 xml:space="preserve">(3) Če stranka ali njen zakoniti zastopnik ravna v nasprotju s 117. členom tega zakona, lahko sodišče fizični osebi izreče denarno kazen v znesku do 500 eurov, </w:t>
      </w:r>
      <w:r w:rsidRPr="002F30DF">
        <w:rPr>
          <w:sz w:val="20"/>
          <w:szCs w:val="20"/>
        </w:rPr>
        <w:lastRenderedPageBreak/>
        <w:t>pravni osebi, samostojnemu podjetniku posamezniku ali odvetniku oziroma odvetniškemu kandidatu pa v znesku do 5.000 eurov.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Sodišče izreče denarno kazen s sklepom. V sklepu določi rok, v katerem mora dolžnik denarno kazen plačati. Rok za plačilo denarne kazni ne sme biti krajši od 15 dni in ne daljši od treh mesecev.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Zoper sklep o izreku denarne kazni po tem členu je dovoljena pritožba.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(6) Če je bila denarna kazen izrečena odvetniku ali odvetniškemu kandidatu, sodišče o tem obvesti odvetniško zbornico.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Denarna kazen, izrečena v skladu s tem členom, ni ovira za izrek kazni ali sankcije zaradi kaznivega dejanja ali prekrška.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(učinek odločbe organa, pristojnega za varstvo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Sodišče je vezano na pravnomočno odločbo agencije o kršitvi ali pravnomočno odločbo o kršitvi, izdano v postopku sodnega varstva zoper odločbo agencije.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Če je obstoj kršitve konkurenčnega prava ugotovljen s pravnomočno odločbo organa, pristojnega za varstvo konkurence druge države članice, ali pravnomočno odločbo sodišča druge države članice, ki je na podlagi rednega pravnega sredstva pristojno za presojo odločb organa, pristojnega za varstvo konkurence druge države članice, se domneva, da so kršitelji, določeni v odločbi o kršitvi, ravnali protipravno, pri čemer je dopusten nasproten dokaz.</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Obveznosti iz prvega in drugega odstavka tega člena ne posegata v pravice in obveznosti na podlagi 267. člena Pogodbe o delovanju Evropske unije.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(posebna pravila glede solidarne odgovornosti za mala in srednja podjetja)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(1) Kršitelj, ki ima manj kot 250 zaposlenih in letni promet, ki ne presega 50 milijonov eurov, ali letno bilančno vsoto, ki ne presega 43 milijonov eurov, je odgovoren le svojim neposrednim in posrednim kupcem, če dokaže, da:</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je njegov tržni delež na upoštevnem trgu v času kršitve konkurenčnega prava ves čas pod 5 % in</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bi uporaba splošnih pravil o solidarni odgovornosti nepopravljivo ogrozila njegovo gospodarsko sposobnost preživetja, njegova sredstva pa bi izgubila celotno vrednost.</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Kršitelj iz prejšnjega odstavka je solidarno odgovoren tudi drugim oškodovancem, če ti od drugih podjetij, ki so odgovorna za isto kršitev konkurenčnega prava, ne morejo pridobiti popolne odškodnine.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Prvi odstavek tega člena se ne uporablja, če je:</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imel kršitelj vlogo vodje pri kršitvi konkurenčnega prava ali je prisilil druga podjetja k sodelovanju pri kršitvi ali</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bila zoper kršitelja predhodno izdana pravnomočna upravna ali sodna odločba o kršitvi konkurenčnega prava, ki ni povezana z zatrjevano kršitvijo konkurenčnega prava v odškodninskem zahtevku.</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(posebna pravila glede solidarne odgovornosti za kršitelja, ki mu je odpuščena sankcija)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Kršitelj, ki mu je odpuščena sankcija, je solidarno odgovoren le:</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svojim neposrednim ali posrednim kupcem ali dobaviteljem in</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drugim oškodovancem, če ti od drugih podjetij, ki so odgovorna za isto kršitev konkurenčnega prava, ne morejo pridobiti popolne odškodnine.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Zastaranje odškodninske terjatve zaradi kršitev konkurenčnega prava, ki jo je povzročilo več oseb skupaj, ne teče med kršiteljem, ki mu je odpuščena sankcija, in oškodovancem, ki ni njegov neposredni ali posredni kupec ali dobavitelj, od dneva, ko je oškodovanec vložil odškodninski zahtevek zoper druge kršitelje, in se nadaljuje naslednji dan, odkar oškodovanec ni mogel pridobiti popolne odškodnine od drugih solidarnih dolžnikov. Čas, ki je pretekel pred zadržanjem, se všteje v zastaralni rok.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Ne glede na pravico solidarnega dolžnika, da od drugega solidarnega dolžnika zahteva, da mu povrne tisto, kar je plačal zanj, znesek plačila solidarnega dolžnika, ki mu je odpuščena sankcija, ne sme preseči višine škode, ki jo je ta povzročil svojim neposrednim ali posrednim kupcem ali dobaviteljem.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Solidarni dolžnik, ki mu je odpuščena sankcija, povrne drugim solidarnim dolžnikom, ki so plačali škodo, povzročeno s kršitvijo konkurenčnega prava in ki je nastala oškodovancem, ki niso neposredni ali posredni kupci ali dobavitelji kršiteljev, regresni zahtevek, ki se odmeri glede na njegov delež odgovornosti za to škodo.</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(zastaranje)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Terjatev za povrnitev povzročene škode zaradi kršitev konkurenčnega prava zastara v petih letih, odkar je kršitev konkurenčnega prava prenehala in odkar je tožnik izvedel ali se od njega razumno pričakuje, da je lahko izvedel za:</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ravnanje kršitelja in dejstvo, da to ravnanje pomeni kršitev konkurenčnega prava,</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škodo, ki je nastala zaradi kršitev konkurenčnega prava, in</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kršitelja.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V vsakem primeru terjatev iz prejšnjega odstavka zastara v desetih letih, odkar je škoda nastala. Rok ne začne teči, dokler kršitev konkurenčnega prava ne preneha.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Zastaranje odškodninske terjatve ne teče od dneva, ko organ, pristojen za varstvo konkurence, izvede dejanje za namene preiskave ali postopka zaradi kršitve konkurenčnega prava, do dneva, ko preteče eno leto po pravnomočnosti odločbe o kršitvi ali drugačnem zaključku postopka. Čas, ki je pretekel pred zadržanjem, se všteje v zastaralni rok.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Zadržanje zastaranja iz prejšnjega odstavka vpliva na tek zastaralnega roka iz prvega in drugega odstavka tega člena.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lastRenderedPageBreak/>
        <w:t>(posebna pravila za določanje odškodnine)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Pri odmeri odškodnine po prostem preudarku po zakonu, ki ureja pravdni postopek, lahko sodišče upošteva tudi del dobička kršitelja, ki je bil pridobljen s kršitvijo konkurenčnega prava.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Domneva se, da karteli povzročajo škodo, razen če kršitelj dokaže nasprotno.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Sodišče lahko agencijo zaprosi, da v 30 dneh od prejema zaprosila sporoči sodišču mnenje glede določitve višine škode. Če agencija oceni, da je njena pomoč primerna, sodišču sporoči mnenje, sicer se šteje, da je agencija ocenila, da njena pomoč ni primerna.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Sodišče lahko za mnenje glede določitve višine škode zaprosi tudi organ, pristojen za varstvo konkurenco druge države članice.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Agencija na zaprosilo sodišča druge države članice Evropske unije sporoči mnenje glede določitve višine škode, če oceni, da je njena pomoč primerna.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(razlika v ceni v dobavni verigi)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Razlika med dejansko plačano ceno in ceno, ki bi veljala, če ne bi bilo kršitve konkurenčnega prava (v nadaljnjem besedilu: razlika v ceni), pomeni navadno škodo, pri čemer višina odškodnine za navadno škodo na kateri koli stopnji dobavne verige ne sme presegati višine razlike v ceni, ki je bila prenesena na to stopnjo dobavne verige. Pri izračunu višine navadne škode se ne upošteva zmanjšanje škode, ki jo oškodovanec doseže z ukrepi zmanjšanja stroškov.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Ne glede na celoten ali delni prenos razlike v ceni na naslednjo stopnjo dobavne verige ima oškodovanec pravico do odškodnine za izgubljeni dobiček, ko mu celotni ali delni prenos razlike v ceni na naslednjo stopnjo dobavne verige povzroči manjšo prodajo oziroma manjše nakupe.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Toženec lahko ugovarja, da je tožnik v celoti ali delno prenesel razliko v ceni na naslednjo stopnjo dobavne verige. Dokazno breme nosi toženec.</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(4) Za dokazovanje utemeljenosti ugovora iz prejšnjega odstavka lahko toženec predlaga ali zahteva, da sodišče tožniku ali tretji osebi naloži razkritje dokazov ali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Ta in 126. člen tega zakona se smiselno uporabljata tudi, kadar je kršitev konkurenčnega prava povezana z neposredno ali posredno dobavo kršitelju.</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(odškodninske tožbe posrednih kupcev)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sta temelj ali višina odškodninskega zahtevka odvisna od tega, v kakšni višini je bila razlika v ceni prenesena naprej na tožnika, ki je posredni kupec, je tožnik dolžan dokazati obstoj in obseg prenosa razlike v ceni nanj. Tožnik lahko z obrazloženim predlogom predlaga ali zahteva, da sodišče tožencu ali tretji osebi naloži razkritje dokazov ali podatkov.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V primeru iz prejšnjega odstavka se domneva, da je razlika v ceni prenesena na tožnika, ki je posredni kupec, če ta dokaže, da:</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je toženec kršil konkurenčno pravo,</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je bila razlika v ceni, ki je bila prenesena na neposrednega kupca toženca, posledica kršitve konkurenčnega prava, in</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je kupil blago ali storitev, ki je predmet kršitve konkurenčnega prava, ali izhaja iz blaga ali storitve, ki je predmet kršitve, ali pa vsebuje takšno blago ali storitve.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Prejšnji odstavek se ne uporablja, če toženec dokaže, da razlika v ceni ni bila v celoti ali delno prenesena na tožnika.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Sodišče pri oceni, ali je tožencu uspelo dokazati, da je tožnik v celoti ali delno prenesel razliko v ceni in da je bila razlika v ceni prenesena nanj, upošteva tudi:</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odškodninske tožbe v zvezi z isto kršitvijo konkurenčnega prava, ki so jih vložili tožniki z drugih stopenj dobavne verige,</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pravnomočne sodbe, izdane na podlagi tožb iz prejšnje alineje,</w:t>
      </w:r>
    </w:p>
    <w:p w:rsidR="00126F4C" w:rsidRPr="002F30DF" w:rsidRDefault="00126F4C" w:rsidP="00126F4C">
      <w:pPr>
        <w:pStyle w:val="rkovnatokazaodstavkom"/>
        <w:numPr>
          <w:ilvl w:val="0"/>
          <w:numId w:val="25"/>
        </w:numPr>
        <w:spacing w:line="260" w:lineRule="atLeast"/>
        <w:rPr>
          <w:sz w:val="20"/>
          <w:szCs w:val="20"/>
        </w:rPr>
      </w:pPr>
      <w:r w:rsidRPr="002F30DF">
        <w:rPr>
          <w:sz w:val="20"/>
          <w:szCs w:val="20"/>
        </w:rPr>
        <w:t>relevantne javno dostopne informacije, ki izhajajo iz primerov javnopravnega izvajanja konkurenčnega prava in se nanašajo na odškodninski zahtevek.</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(5) Če se ugotovi, da je bila razlika v ceni v celoti ali delno prenesena na naslednjo stopnjo dobavne verige, višine prenesene razlike v ceni pa ni mogoče ugotoviti ali bi se lahko ugotovila le z nesorazmernimi težavami, sodišče po prostem preudarku oceni, kateri del razlike v ceni se je prenesel naprej.</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(prekinitev postopka zaradi sporazumnega reševanja sporov)</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Sodišče na predlog strank, ki soglašajo, da se opravi poskus sporazumne rešitve spora glede odškodninskega zahtevka, kadar koli prekine pravdni postopek za čas trajanja sporazumnega reševanja spora, vendar največ za dve leti.</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(učinek sklenjene poravnave na druge odškodninske tožbe)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Oškodovanec, ki je sklenil poravnavo z enim ali več solidarnimi dolžniki, ima pravico od solidarnih dolžnikov, ki niso sklenili poravnave, terjati le višino odškodnine, ki je zmanjšana za delež vsakega solidarnega dolžnika, s katerim je oškodovanec sklenil poravnavo.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Preostali znesek odškodnine oškodovanca, ki je sklenil poravnavo, se lahko izterja le od solidarnih dolžnikov, ki niso sklenili poravnave. Solidarni dolžniki, ki niso sklenili poravnave, ne morejo od solidarnega dolžnika, ki je sklenil poravnavo, terjati, da prispeva k plačilu preostalega zneska odškodnine.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Ne glede na prejšnji odstavek lahko oškodovanec izterja preostali znesek odškodnine od solidarnega dolžnika, ki je sklenil poravnavo, če solidarni dolžniki, ki niso sklenili poravnave, ne morejo plačati preostalega zneska odškodnine, razen če se solidarni dolžnik in oškodovanec v poravnavi dogovorita drugače.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Oškodovanci, ki niso sklenili poravnave, lahko zahtevajo povrnitev škode od vseh solidarnih dolžnikov, upoštevajoč posebna pravila glede solidarne odgovornosti.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Sodišče pri določitvi višine regresnega zahtevka, ki ga lahko solidarni dolžnik zahteva od drugega solidarnega dolžnika, v skladu z njegovim deležem odgovor</w:t>
      </w:r>
      <w:r w:rsidRPr="002F30DF">
        <w:rPr>
          <w:sz w:val="20"/>
          <w:szCs w:val="20"/>
        </w:rPr>
        <w:lastRenderedPageBreak/>
        <w:t>nosti za škodo, povzročeno s kršitvijo konkurenčnega prava, upošteva tudi odškodnino, ki jo je ta solidarni dolžnik plačal na podlagi predhodno sklenjene poravnave z drugimi oškodovanci.</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IX. DEL</w:t>
      </w:r>
    </w:p>
    <w:p w:rsidR="00126F4C" w:rsidRPr="002F30DF" w:rsidRDefault="00126F4C" w:rsidP="00126F4C">
      <w:pPr>
        <w:pStyle w:val="Del"/>
        <w:spacing w:before="0" w:line="260" w:lineRule="atLeast"/>
        <w:rPr>
          <w:sz w:val="20"/>
          <w:szCs w:val="20"/>
        </w:rPr>
      </w:pPr>
      <w:r w:rsidRPr="002F30DF">
        <w:rPr>
          <w:sz w:val="20"/>
          <w:szCs w:val="20"/>
        </w:rPr>
        <w:t>SODELOVANJE MED SODIŠČI IN ORGANI ZA VARSTVO KONKURENCE</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(sodelovanje med sodišči, Evropsko komisijo in agencijo)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O vsakem postopku pred sodišči, ki je povezan z uporabo 5. ali 8. člena tega zakona ali 101. ali 102. člena Pogodbe o delovanju Evropske unije, sodišče obvesti agencijo.</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Sodišče pošlje agenciji kopijo odločbe o uporabi 5. ali 8. člena tega zakona ali 101. ali 102. člena Pogodbe o delovanju Evropske unije hkrati z vročitvijo strankam.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Sodišče lahko zaprosi agencijo za pisno mnenje glede uporabe 5. ali 8. člena tega zakona. Agencija lahko z dovoljenjem sodišča poda svoje mnenje tudi ustno na obravnavi.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(4) Kadar v skladu s tretjim odstavkom 15. člena Uredbe 1/2003/ES Evropska komisija poda pisno mnenje zaradi zagotavljanja skladne uporabe 101. ali 102. člena Pogodbe o delovanju Evropske unije, sodišče pošlje kopijo pisnega mnenja agenciji in strankam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(5) Kadar v skladu s tretjim odstavkom 15. člena Uredbe 1/2003/ES agencija poda pisno mnenje do vprašanj uporabe 101. ali 102. člena Pogodbe o delovanju Evropske unije ali v skladu s tretjim odstavkom tega člena pisno mnenje glede uporabe 5. ali 8. člena tega zakona, sodišče pošlje kopijo pisnega mnenja strankam postopka. Če agencija poda pisno mnenje do vprašanj uporabe 101. ali 102. člena Pogodbe o delovanju Evropske unije, pošlje kopijo pisnega mnenja tudi Evropski komisiji.</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(6) Če sodišče v skladu s prvim odstavkom 15. člena Uredbe 1/2003/ES za mnenje zaprosi Evropsko komisijo, o tem obvesti stranke ter po prejemu mnenja Evropske komisije pošlje kopijo mnenja agenciji in strankam postopka.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(7) Agencija ali Evropska komisija lahko pisno mnenje iz četrtega, petega in šestega odstavka tega člena ter iz tretjega odstavka 7. člena tega zakona poda kadar koli do izdaje odločbe.</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X. DEL</w:t>
      </w:r>
    </w:p>
    <w:p w:rsidR="00126F4C" w:rsidRPr="002F30DF" w:rsidRDefault="00126F4C" w:rsidP="00126F4C">
      <w:pPr>
        <w:pStyle w:val="Del"/>
        <w:spacing w:before="0" w:line="260" w:lineRule="atLeast"/>
        <w:rPr>
          <w:sz w:val="20"/>
          <w:szCs w:val="20"/>
        </w:rPr>
      </w:pPr>
      <w:r w:rsidRPr="002F30DF">
        <w:rPr>
          <w:sz w:val="20"/>
          <w:szCs w:val="20"/>
        </w:rPr>
        <w:t>NELOJALNA KONKURENCA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(pojem nelojalne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Prepovedana so dejanja nelojalne konkurence.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Nelojalna konkurenca je dejanje podjetja pri nastopanju na trgu, ki je v nasprotju z dobrimi poslovnimi običaji in s katerim se povzroči ali se utegne povzročiti škoda drugim podjetjem.</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Kot dejanje nelojalne konkurence po prejšnjem odstavku se štejejo zlasti:</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dajanje podatkov o drugem podjetju, če ti škodijo ali utegnejo škoditi ugledu in poslovanju drugega podjetja,</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prodaja blaga z označbami ali podatki, ki ustvarjajo ali utegnejo ustvariti zmedo glede izvora, načina proizvodnje, količine, kakovosti ali drugih lastnosti blaga,</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dejanja, usmerjena v prekinitev poslovnega razmerja med drugimi podjetji, ali v preprečevanje, ali oteževanje takih razmerij,</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neupravičeno neizpolnjevanje ali razdiranje pogodb s kakšnim podjetjem, da bi se sklenila enaka ali podobna pogodba z drugim podjetjem,</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neupravičena uporaba imena, firme, znamke ali druge oznake drugega podjetja, ne glede na to, ali je to dalo soglasje, če se s tem ustvari ali se utegne ustvariti zmeda na trgu,</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dajanje ali obljubljanje daril, premoženjske ali drugačne koristi drugemu podjetju, njegovemu delavcu ali osebi, ki dela za drugo podjetje, da bi se darovalcu omogočila ugodnost v škodo kakšnega podjetja,</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t>nepooblaščena uporaba storitev trgovskega potnika, trgovskega predstavnika ali zastopnika drugega podjetja,</w:t>
      </w:r>
    </w:p>
    <w:p w:rsidR="00126F4C" w:rsidRPr="002F30DF" w:rsidRDefault="00126F4C" w:rsidP="00126F4C">
      <w:pPr>
        <w:pStyle w:val="Alineazaodstavkom"/>
        <w:numPr>
          <w:ilvl w:val="0"/>
          <w:numId w:val="47"/>
        </w:numPr>
        <w:spacing w:line="260" w:lineRule="atLeast"/>
        <w:rPr>
          <w:sz w:val="20"/>
          <w:szCs w:val="20"/>
        </w:rPr>
      </w:pPr>
      <w:r w:rsidRPr="002F30DF">
        <w:rPr>
          <w:sz w:val="20"/>
          <w:szCs w:val="20"/>
        </w:rPr>
        <w:lastRenderedPageBreak/>
        <w:t>protipravno pridobivanje poslovne skrivnosti drugega podjetja ali neupravičeno izkoriščanje poslovne skrivnosti drugega podjetja.</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(pravice prizadetega udeleženca)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Če je z dejanji, ki so po prejšnjem členu nedopustna, komu storjena škoda, sme ta zahtevati odškodnino po pravilih obligacijskega prava.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Prizadeti udeleženec v prometu blaga ali storitev na trgu lahko s tožbo v pravdnem postopku zahteva prepoved nadaljnjih dejanj nelojalne konkurence, uničenje predmetov, s katerimi je bilo storjeno dejanje nelojalne konkurence, in vzpostavitev prejšnjega stanja, če je to mogoče.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je bilo dejanje nelojalne konkurence storjeno s sredstvi javnega obveščanja ali na podoben način (npr. z letaki, napisi na javnih krajih) ali je prizadelo veliko udeležencev, lahko prizadeti udeleženec zahteva tudi objavo sodbe v sredstvih javnega obveščanja.</w:t>
      </w:r>
    </w:p>
    <w:p w:rsidR="00126F4C" w:rsidRPr="002F30DF" w:rsidRDefault="00126F4C" w:rsidP="00126F4C">
      <w:pPr>
        <w:pStyle w:val="Del"/>
        <w:spacing w:before="0" w:line="260" w:lineRule="atLeast"/>
        <w:rPr>
          <w:sz w:val="20"/>
          <w:szCs w:val="20"/>
        </w:rPr>
      </w:pPr>
    </w:p>
    <w:p w:rsidR="00126F4C" w:rsidRPr="002F30DF" w:rsidRDefault="00126F4C" w:rsidP="00126F4C">
      <w:pPr>
        <w:pStyle w:val="Del"/>
        <w:spacing w:before="0" w:line="260" w:lineRule="atLeast"/>
        <w:rPr>
          <w:sz w:val="20"/>
          <w:szCs w:val="20"/>
        </w:rPr>
      </w:pPr>
      <w:r w:rsidRPr="002F30DF">
        <w:rPr>
          <w:sz w:val="20"/>
          <w:szCs w:val="20"/>
        </w:rPr>
        <w:t>XI. DEL</w:t>
      </w:r>
      <w:r w:rsidRPr="002F30DF">
        <w:rPr>
          <w:sz w:val="20"/>
          <w:szCs w:val="20"/>
        </w:rPr>
        <w:br/>
        <w:t>PREKRŠKI ODGOVORNIH OSEB</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(prekrški)</w:t>
      </w:r>
    </w:p>
    <w:p w:rsidR="00126F4C" w:rsidRPr="002F30DF" w:rsidRDefault="00126F4C" w:rsidP="00126F4C">
      <w:pPr>
        <w:pStyle w:val="lennaslov"/>
        <w:spacing w:line="260" w:lineRule="atLeast"/>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(1) Z globo od 5.000 do 10.000 eurov se za prekršek kaznuje odgovorno osebo pravne osebe, samostojnega podjetnika posameznika ali samostojne podjetnice posameznice (v nadaljnjem besedilu: samostojni podjetnik posameznik) ter posameznika, ki samostojno opravlja dejavnost, če:</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ravna v nasprotju s 5. členom tega zakona ali 101. členom Pogodbe o delovanju Evropske unije,</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v nasprotju z 8. členom tega zakona ali 102. členom Pogodbe o delovanju Evropske unije zlorabi prevladujoč položaj,</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 xml:space="preserve">ravna v nasprotju z izvršljivo odločbo, ki jo je agencija izdala na podlagi 63., 64. ali 65. člena tega zakona, </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agenciji ne priglasi koncentracije, ki je podrejena določbam tega zakona, ali je ne priglasi v roku iz 68. člena tega zakona,</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lastRenderedPageBreak/>
        <w:t>v nasprotju z 69. členom tega zakona izvršuje pravice ali obveznosti, ki izhajajo iz koncentracije,</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ne izpolni korektivnih ukrepov ali obveznosti, določenih v odločbi o skladnosti koncentracije s pravili konkurence iz 71. člena tega zakona,</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ravna v nasprotju z odločbo o neskladnosti koncentracije s pravili konkurence iz 76. člena tega zakona,</w:t>
      </w:r>
    </w:p>
    <w:p w:rsidR="00126F4C" w:rsidRPr="002F30DF" w:rsidRDefault="00126F4C" w:rsidP="00126F4C">
      <w:pPr>
        <w:pStyle w:val="Odstavek"/>
        <w:numPr>
          <w:ilvl w:val="0"/>
          <w:numId w:val="22"/>
        </w:numPr>
        <w:spacing w:before="0" w:line="260" w:lineRule="atLeast"/>
        <w:ind w:left="567"/>
        <w:rPr>
          <w:sz w:val="20"/>
          <w:szCs w:val="20"/>
        </w:rPr>
      </w:pPr>
      <w:r w:rsidRPr="002F30DF">
        <w:rPr>
          <w:sz w:val="20"/>
          <w:szCs w:val="20"/>
        </w:rPr>
        <w:t>ravna v nasprotju z izvršljivo odločbo, ki jo je agencija izdala na podlagi 77. člena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(2) Z globo od 3.000 do 5.000 eurov se za prekršek iz četrte, pete, šeste, sedme in osme alineje prejšnjega odstavka kaznuje fizično osebo, ki že obvladuje najmanj eno podjetje.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(3) Če je narava storjenega prekrška iz prvega in drugega odstavka tega člena posebno huda zaradi višine povzročene škode ali protipravno pridobljene premoženjske koristi ali zaradi storilčevega naklepa ali njegovega namena koristoljubnosti, se odgovorno osebo pravne osebe, odgovorno osebo samostojnega podjetnika posameznika ali odgovorno osebo posameznika, ki samostojno opravlja poklicno dejavnost, kaznuje z globo od 15.000 do 30.000 eurov, fizično osebo, ki nadzoruje najmanj eno podjetje, pa z globo od 10.000 do 15.000 eurov.</w:t>
      </w:r>
    </w:p>
    <w:p w:rsidR="00126F4C" w:rsidRPr="002F30DF" w:rsidRDefault="00126F4C" w:rsidP="00126F4C">
      <w:pPr>
        <w:pStyle w:val="len"/>
        <w:spacing w:before="0" w:line="260" w:lineRule="atLeast"/>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(zastaranje)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Postopek o prekršku iz prejšnjega člena ni dopusten, če preteče pet let od dneva, ko je bil prekršek storjen, vendar postopek o prekršku v nobenem primeru ni več mogoč, ko poteče dvakrat toliko časa, kolikor ga zahteva zakon za zastaranje postopka o prekršku.</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člen</w:t>
      </w:r>
    </w:p>
    <w:p w:rsidR="00126F4C" w:rsidRPr="002F30DF" w:rsidRDefault="00126F4C" w:rsidP="00126F4C">
      <w:pPr>
        <w:pStyle w:val="len"/>
        <w:spacing w:before="0" w:line="260" w:lineRule="atLeast"/>
        <w:rPr>
          <w:sz w:val="20"/>
          <w:szCs w:val="20"/>
        </w:rPr>
      </w:pPr>
      <w:r w:rsidRPr="002F30DF">
        <w:rPr>
          <w:sz w:val="20"/>
          <w:szCs w:val="20"/>
        </w:rPr>
        <w:t>(odpustitev in znižanje globe)</w:t>
      </w:r>
    </w:p>
    <w:p w:rsidR="00126F4C" w:rsidRPr="002F30DF" w:rsidRDefault="00126F4C" w:rsidP="00126F4C">
      <w:pPr>
        <w:pStyle w:val="len"/>
        <w:spacing w:before="0" w:line="260" w:lineRule="atLeast"/>
        <w:rPr>
          <w:sz w:val="20"/>
          <w:szCs w:val="20"/>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(1) Pri določanju višine globe iz 132. člena tega zakona se smiselno uporablja tudi 90. člen tega zakona.</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pStyle w:val="Odstavek"/>
        <w:spacing w:before="0" w:line="260" w:lineRule="atLeast"/>
        <w:ind w:firstLine="0"/>
        <w:rPr>
          <w:sz w:val="20"/>
          <w:szCs w:val="20"/>
        </w:rPr>
      </w:pPr>
      <w:r w:rsidRPr="002F30DF">
        <w:rPr>
          <w:sz w:val="20"/>
          <w:szCs w:val="20"/>
        </w:rPr>
        <w:lastRenderedPageBreak/>
        <w:t>(2) Trenutnim in nekdanjim odgovornim osebam pravne osebe, samostojnega podjetnika posameznika ter posameznika, ki samostojno opravlja dejavnost, ki so vložili prijavo za odpustitev administrativne sankcije, agencija ne izreče globe, če:</w:t>
      </w:r>
    </w:p>
    <w:p w:rsidR="00126F4C" w:rsidRPr="002F30DF" w:rsidRDefault="00126F4C" w:rsidP="00126F4C">
      <w:pPr>
        <w:pStyle w:val="Odstavek"/>
        <w:numPr>
          <w:ilvl w:val="0"/>
          <w:numId w:val="53"/>
        </w:numPr>
        <w:spacing w:before="0" w:line="260" w:lineRule="atLeast"/>
        <w:rPr>
          <w:sz w:val="20"/>
          <w:szCs w:val="20"/>
        </w:rPr>
      </w:pPr>
      <w:r w:rsidRPr="002F30DF">
        <w:rPr>
          <w:sz w:val="20"/>
          <w:szCs w:val="20"/>
        </w:rPr>
        <w:t>je izpolnjena določba iz prve in druge alineje prvega odstavka 91. člena tega zakona,</w:t>
      </w:r>
    </w:p>
    <w:p w:rsidR="00126F4C" w:rsidRPr="002F30DF" w:rsidRDefault="00126F4C" w:rsidP="00126F4C">
      <w:pPr>
        <w:pStyle w:val="Odstavek"/>
        <w:numPr>
          <w:ilvl w:val="0"/>
          <w:numId w:val="53"/>
        </w:numPr>
        <w:spacing w:before="0" w:line="260" w:lineRule="atLeast"/>
        <w:rPr>
          <w:sz w:val="20"/>
          <w:szCs w:val="20"/>
        </w:rPr>
      </w:pPr>
      <w:r w:rsidRPr="002F30DF">
        <w:rPr>
          <w:sz w:val="20"/>
          <w:szCs w:val="20"/>
        </w:rPr>
        <w:t>ta odgovorna oseba aktivno sodeluje z agencijo in</w:t>
      </w:r>
    </w:p>
    <w:p w:rsidR="00126F4C" w:rsidRPr="002F30DF" w:rsidRDefault="00126F4C" w:rsidP="00126F4C">
      <w:pPr>
        <w:pStyle w:val="Odstavek"/>
        <w:numPr>
          <w:ilvl w:val="0"/>
          <w:numId w:val="53"/>
        </w:numPr>
        <w:spacing w:before="0" w:line="260" w:lineRule="atLeast"/>
        <w:rPr>
          <w:sz w:val="20"/>
          <w:szCs w:val="20"/>
        </w:rPr>
      </w:pPr>
      <w:r w:rsidRPr="002F30DF">
        <w:rPr>
          <w:sz w:val="20"/>
          <w:szCs w:val="20"/>
        </w:rPr>
        <w:t xml:space="preserve">je bila prijava podjetja za odpustitev administrativne sankcije vložena, še preden je agencija ali organ, pristojen za varstvo konkurence druge države članice, odgovorno osebo obvestil  o postopku zaradi kršitev konkurenčnega prava. </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naslov"/>
        <w:spacing w:line="260" w:lineRule="atLeast"/>
        <w:rPr>
          <w:sz w:val="20"/>
          <w:szCs w:val="20"/>
        </w:rPr>
      </w:pPr>
      <w:r w:rsidRPr="002F30DF">
        <w:rPr>
          <w:sz w:val="20"/>
          <w:szCs w:val="20"/>
        </w:rPr>
        <w:t>(izrek globe)</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Odstavek"/>
        <w:spacing w:before="0" w:line="260" w:lineRule="atLeast"/>
        <w:ind w:firstLine="0"/>
        <w:rPr>
          <w:sz w:val="20"/>
          <w:szCs w:val="20"/>
        </w:rPr>
      </w:pPr>
      <w:r w:rsidRPr="002F30DF">
        <w:rPr>
          <w:sz w:val="20"/>
          <w:szCs w:val="20"/>
        </w:rPr>
        <w:t>Agencija lahko v hitrem postopku izreče globo za prekršek v kateri koli višini v razponu, kot je določena v tem zakonu.</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 xml:space="preserve">člen </w:t>
      </w:r>
    </w:p>
    <w:p w:rsidR="00126F4C" w:rsidRPr="002F30DF" w:rsidRDefault="00126F4C" w:rsidP="00126F4C">
      <w:pPr>
        <w:pStyle w:val="len"/>
        <w:spacing w:before="0" w:line="260" w:lineRule="atLeast"/>
        <w:rPr>
          <w:sz w:val="20"/>
          <w:szCs w:val="20"/>
        </w:rPr>
      </w:pPr>
      <w:r w:rsidRPr="002F30DF">
        <w:rPr>
          <w:sz w:val="20"/>
          <w:szCs w:val="20"/>
        </w:rPr>
        <w:t>(postopek)</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spacing w:before="0" w:line="260" w:lineRule="atLeast"/>
        <w:jc w:val="both"/>
        <w:rPr>
          <w:b w:val="0"/>
          <w:sz w:val="20"/>
          <w:szCs w:val="20"/>
        </w:rPr>
      </w:pPr>
      <w:r w:rsidRPr="002F30DF">
        <w:rPr>
          <w:b w:val="0"/>
          <w:sz w:val="20"/>
          <w:szCs w:val="20"/>
        </w:rPr>
        <w:t>V postopku o</w:t>
      </w:r>
      <w:r w:rsidRPr="002F30DF">
        <w:rPr>
          <w:sz w:val="20"/>
          <w:szCs w:val="20"/>
        </w:rPr>
        <w:t xml:space="preserve"> </w:t>
      </w:r>
      <w:r w:rsidRPr="002F30DF">
        <w:rPr>
          <w:b w:val="0"/>
          <w:sz w:val="20"/>
          <w:szCs w:val="20"/>
        </w:rPr>
        <w:t>prekršku in s tem povezanim postopkom sodnega varstva se smiselno uporabljajo</w:t>
      </w:r>
      <w:r w:rsidRPr="002F30DF">
        <w:rPr>
          <w:sz w:val="20"/>
          <w:szCs w:val="20"/>
        </w:rPr>
        <w:t xml:space="preserve"> </w:t>
      </w:r>
      <w:r w:rsidRPr="002F30DF">
        <w:rPr>
          <w:b w:val="0"/>
          <w:sz w:val="20"/>
          <w:szCs w:val="20"/>
        </w:rPr>
        <w:t>41. do 43. člen tega zakona.</w:t>
      </w:r>
    </w:p>
    <w:p w:rsidR="00126F4C" w:rsidRPr="002F30DF" w:rsidRDefault="00126F4C" w:rsidP="00126F4C">
      <w:pPr>
        <w:pStyle w:val="Odstavek"/>
        <w:spacing w:before="0" w:line="260" w:lineRule="atLeast"/>
        <w:ind w:firstLine="0"/>
        <w:rPr>
          <w:sz w:val="20"/>
          <w:szCs w:val="20"/>
        </w:rPr>
      </w:pPr>
    </w:p>
    <w:p w:rsidR="00126F4C" w:rsidRPr="002F30DF" w:rsidRDefault="00126F4C" w:rsidP="00126F4C">
      <w:pPr>
        <w:pStyle w:val="Del"/>
        <w:spacing w:before="0" w:line="260" w:lineRule="atLeast"/>
        <w:rPr>
          <w:sz w:val="20"/>
          <w:szCs w:val="20"/>
        </w:rPr>
      </w:pPr>
      <w:r w:rsidRPr="002F30DF">
        <w:rPr>
          <w:sz w:val="20"/>
          <w:szCs w:val="20"/>
        </w:rPr>
        <w:t>XII. DEL</w:t>
      </w:r>
      <w:r w:rsidRPr="002F30DF">
        <w:rPr>
          <w:sz w:val="20"/>
          <w:szCs w:val="20"/>
        </w:rPr>
        <w:br/>
        <w:t>PREHODNE IN KONČNE DOLOČBE</w:t>
      </w:r>
    </w:p>
    <w:p w:rsidR="00126F4C" w:rsidRPr="002F30DF" w:rsidRDefault="00126F4C" w:rsidP="00126F4C">
      <w:pPr>
        <w:spacing w:line="260" w:lineRule="atLeast"/>
        <w:rPr>
          <w:rFonts w:cs="Arial"/>
          <w:b/>
          <w:sz w:val="20"/>
          <w:szCs w:val="20"/>
        </w:rPr>
      </w:pPr>
    </w:p>
    <w:p w:rsidR="00126F4C" w:rsidRPr="002F30DF" w:rsidRDefault="00126F4C" w:rsidP="00126F4C">
      <w:pPr>
        <w:pStyle w:val="len"/>
        <w:numPr>
          <w:ilvl w:val="0"/>
          <w:numId w:val="20"/>
        </w:numPr>
        <w:spacing w:before="0" w:line="260" w:lineRule="atLeast"/>
        <w:ind w:left="0" w:firstLine="0"/>
        <w:rPr>
          <w:rFonts w:eastAsia="Calibri"/>
          <w:sz w:val="20"/>
          <w:szCs w:val="20"/>
          <w:lang w:eastAsia="en-US"/>
        </w:rPr>
      </w:pPr>
      <w:r w:rsidRPr="002F30DF">
        <w:rPr>
          <w:rFonts w:eastAsia="Calibri"/>
          <w:sz w:val="20"/>
          <w:szCs w:val="20"/>
          <w:lang w:eastAsia="en-US"/>
        </w:rPr>
        <w:t xml:space="preserve"> člen</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(uporaba zakona za kršitve in dokončanje postopkov, začetih pred uporabo tega zakona)</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p>
    <w:p w:rsidR="00126F4C" w:rsidRPr="002F30DF" w:rsidRDefault="00126F4C" w:rsidP="00126F4C">
      <w:pPr>
        <w:overflowPunct/>
        <w:spacing w:line="240" w:lineRule="atLeast"/>
        <w:textAlignment w:val="auto"/>
        <w:rPr>
          <w:rFonts w:cs="Arial"/>
          <w:sz w:val="20"/>
          <w:szCs w:val="20"/>
        </w:rPr>
      </w:pPr>
      <w:r w:rsidRPr="002F30DF">
        <w:rPr>
          <w:rFonts w:cs="Arial"/>
          <w:sz w:val="20"/>
          <w:szCs w:val="20"/>
        </w:rPr>
        <w:t>(1) Določbe o administrativnem sankcioniranju podjetij iz tega zakona se uporabljajo za kršitve, ki štejejo za administrativne prestopke iz prvega odstavka 84. člena oziroma drugega odstavka 84. člena tega zakona in so storjene po začetku uporabe tega zakona.</w:t>
      </w:r>
      <w:r w:rsidRPr="002F30DF" w:rsidDel="00857C71">
        <w:rPr>
          <w:rFonts w:cs="Arial"/>
          <w:sz w:val="20"/>
          <w:szCs w:val="20"/>
        </w:rPr>
        <w:t xml:space="preserve"> </w:t>
      </w:r>
    </w:p>
    <w:p w:rsidR="00126F4C" w:rsidRPr="002F30DF" w:rsidRDefault="00126F4C" w:rsidP="00126F4C">
      <w:pPr>
        <w:overflowPunct/>
        <w:spacing w:line="240" w:lineRule="atLeast"/>
        <w:textAlignment w:val="auto"/>
        <w:rPr>
          <w:rFonts w:cs="Arial"/>
          <w:sz w:val="20"/>
          <w:szCs w:val="20"/>
        </w:rPr>
      </w:pPr>
    </w:p>
    <w:p w:rsidR="00126F4C" w:rsidRPr="002F30DF" w:rsidRDefault="00126F4C" w:rsidP="00126F4C">
      <w:pPr>
        <w:overflowPunct/>
        <w:spacing w:line="240" w:lineRule="atLeast"/>
        <w:textAlignment w:val="auto"/>
        <w:rPr>
          <w:rFonts w:cs="Arial"/>
          <w:sz w:val="20"/>
          <w:szCs w:val="20"/>
        </w:rPr>
      </w:pPr>
      <w:r w:rsidRPr="002F30DF">
        <w:rPr>
          <w:rFonts w:cs="Arial"/>
          <w:sz w:val="20"/>
          <w:szCs w:val="20"/>
        </w:rPr>
        <w:t>(2) Upravni in prekrškovni postopki, ki do začetka uporabe tega zakona še niso bili pravnomočno končani, se končajo v skladu z dosedanjimi predpisi.</w:t>
      </w:r>
    </w:p>
    <w:p w:rsidR="00126F4C" w:rsidRPr="002F30DF" w:rsidRDefault="00126F4C" w:rsidP="00126F4C">
      <w:pPr>
        <w:overflowPunct/>
        <w:spacing w:line="240" w:lineRule="atLeast"/>
        <w:textAlignment w:val="auto"/>
        <w:rPr>
          <w:rFonts w:cs="Arial"/>
          <w:sz w:val="20"/>
          <w:szCs w:val="20"/>
        </w:rPr>
      </w:pPr>
    </w:p>
    <w:p w:rsidR="00126F4C" w:rsidRPr="002F30DF" w:rsidRDefault="00126F4C" w:rsidP="00126F4C">
      <w:pPr>
        <w:spacing w:line="240" w:lineRule="atLeast"/>
        <w:rPr>
          <w:rFonts w:cs="Arial"/>
          <w:sz w:val="20"/>
          <w:szCs w:val="20"/>
        </w:rPr>
      </w:pPr>
      <w:r w:rsidRPr="002F30DF">
        <w:rPr>
          <w:rFonts w:cs="Arial"/>
          <w:sz w:val="20"/>
          <w:szCs w:val="20"/>
        </w:rPr>
        <w:t>(3) Ne glede na prvi in drugi odstavek tega člena se določbe o administrativnem sankcioniranju podjetij iz tega zakona lahko uporabljajo za kršitve, ki so bile storjene do največ pet let pred začetkom uporabe tega zakona, če je obravnava za storilca milejša kot obravnava v skladu z Zakonom o preprečevanju omejevanja konkurence (Uradni list RS, št. 36/08, 40/09, 26/11, 87/11, 57/12, 39/13 – odl. US, 63/13 – ZS-K, 33/14, 76/15 in 23/17).</w:t>
      </w:r>
      <w:r w:rsidRPr="002F30DF" w:rsidDel="00857C71">
        <w:rPr>
          <w:rFonts w:cs="Arial"/>
          <w:sz w:val="20"/>
          <w:szCs w:val="20"/>
        </w:rPr>
        <w:t xml:space="preserve"> </w:t>
      </w:r>
    </w:p>
    <w:p w:rsidR="00126F4C" w:rsidRPr="002F30DF" w:rsidRDefault="00126F4C" w:rsidP="00126F4C">
      <w:pPr>
        <w:overflowPunct/>
        <w:autoSpaceDE/>
        <w:autoSpaceDN/>
        <w:adjustRightInd/>
        <w:spacing w:line="260" w:lineRule="atLeast"/>
        <w:textAlignment w:val="auto"/>
        <w:rPr>
          <w:rFonts w:eastAsia="Calibri" w:cs="Arial"/>
          <w:b/>
          <w:sz w:val="20"/>
          <w:szCs w:val="20"/>
          <w:lang w:eastAsia="en-US"/>
        </w:rPr>
      </w:pPr>
    </w:p>
    <w:p w:rsidR="00126F4C" w:rsidRPr="002F30DF" w:rsidRDefault="00126F4C" w:rsidP="00126F4C">
      <w:pPr>
        <w:pStyle w:val="len"/>
        <w:numPr>
          <w:ilvl w:val="0"/>
          <w:numId w:val="20"/>
        </w:numPr>
        <w:spacing w:before="0" w:line="260" w:lineRule="atLeast"/>
        <w:ind w:left="0" w:firstLine="0"/>
        <w:rPr>
          <w:b w:val="0"/>
          <w:sz w:val="20"/>
          <w:szCs w:val="20"/>
        </w:rPr>
      </w:pPr>
      <w:r w:rsidRPr="002F30DF">
        <w:rPr>
          <w:sz w:val="20"/>
          <w:szCs w:val="20"/>
        </w:rPr>
        <w:t>člen</w:t>
      </w:r>
    </w:p>
    <w:p w:rsidR="00126F4C" w:rsidRPr="002F30DF" w:rsidRDefault="00126F4C" w:rsidP="00126F4C">
      <w:pPr>
        <w:spacing w:line="260" w:lineRule="atLeast"/>
        <w:jc w:val="center"/>
        <w:rPr>
          <w:rFonts w:cs="Arial"/>
          <w:b/>
          <w:sz w:val="20"/>
          <w:szCs w:val="20"/>
        </w:rPr>
      </w:pPr>
      <w:r w:rsidRPr="002F30DF">
        <w:rPr>
          <w:rFonts w:cs="Arial"/>
          <w:b/>
          <w:sz w:val="20"/>
          <w:szCs w:val="20"/>
        </w:rPr>
        <w:t>(dokončanje postopkov v odškodninskem postopku zaradi kršitev konkurenčnega prava)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(1) Določbe 113., 115., 116., 117., 118., 119. člena ter četrti odstavek 124. člena tega zakona se uporabljajo v odškodninskem postopku zaradi kršitev konkurenčnega prava, ki se je začel po 26. decembru 2014 in na prvi stopnji še ni bila izdana odločba, s katero se je postopek pred sodiščem prve stopnje končal.</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(2) Določbe 113., 115., 116., 117., 118., 119. člena ter četrti odstavek 124. člena tega zakona se uporabljajo v odškodninskem postopku zaradi kršitev konkurenčnega prava, če je bila tožba vložena po 26. decembru 2014 in je bila odločba, s katero se je postopek pred sodiščem prve stopnje končal, razveljavljena.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(3) Določbe 113., 115., 116., 117., 118., 119. člena ter četrti odstavek 124. člena tega zakona se ne uporabljajo v odškodninskem postopku zaradi kršitev konkurenčnega prava, če je bila tožba vložena pred 26. decembrom 2014 in je bila odločba, s katero se je postopek pred sodiščem prve stopnje končal, razveljavljena po 26. decembru 2014.</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(4) Če je bila pred 26. decembrom 2014 v odškodninskem postopku zaradi kršitev konkurenčnega prava na prvi stopnji izdana odločba, s katero se je postopek pred sodiščem prve stopnje končal, se 113., 115., 116., 117., 118, 119. člen ter četrti odstavek 124. člena tega zakona ne uporabljajo in se postopek nadaljuje po dosedanjih predpisih.</w:t>
      </w:r>
    </w:p>
    <w:p w:rsidR="00126F4C" w:rsidRPr="002F30DF" w:rsidRDefault="00126F4C" w:rsidP="00126F4C">
      <w:pPr>
        <w:pStyle w:val="len"/>
        <w:spacing w:before="0" w:line="260" w:lineRule="atLeast"/>
        <w:jc w:val="both"/>
        <w:rPr>
          <w:sz w:val="20"/>
          <w:szCs w:val="20"/>
        </w:rPr>
      </w:pPr>
    </w:p>
    <w:p w:rsidR="00126F4C" w:rsidRPr="002F30DF" w:rsidRDefault="00126F4C" w:rsidP="00126F4C">
      <w:pPr>
        <w:pStyle w:val="len"/>
        <w:numPr>
          <w:ilvl w:val="0"/>
          <w:numId w:val="20"/>
        </w:numPr>
        <w:spacing w:before="0" w:line="260" w:lineRule="atLeast"/>
        <w:ind w:left="0" w:firstLine="0"/>
        <w:rPr>
          <w:b w:val="0"/>
          <w:sz w:val="20"/>
          <w:szCs w:val="20"/>
        </w:rPr>
      </w:pPr>
      <w:r w:rsidRPr="002F30DF">
        <w:rPr>
          <w:rFonts w:eastAsia="Calibri"/>
          <w:sz w:val="20"/>
          <w:szCs w:val="20"/>
          <w:lang w:eastAsia="en-US"/>
        </w:rPr>
        <w:t>člen</w:t>
      </w:r>
    </w:p>
    <w:p w:rsidR="00126F4C" w:rsidRPr="002F30DF" w:rsidRDefault="00126F4C" w:rsidP="00126F4C">
      <w:pPr>
        <w:pStyle w:val="len"/>
        <w:spacing w:before="0" w:line="260" w:lineRule="atLeast"/>
        <w:rPr>
          <w:rFonts w:eastAsia="Calibri"/>
          <w:sz w:val="20"/>
          <w:szCs w:val="20"/>
          <w:lang w:eastAsia="en-US"/>
        </w:rPr>
      </w:pPr>
      <w:r w:rsidRPr="002F30DF">
        <w:rPr>
          <w:rFonts w:eastAsia="Calibri"/>
          <w:sz w:val="20"/>
          <w:szCs w:val="20"/>
          <w:lang w:eastAsia="en-US"/>
        </w:rPr>
        <w:t xml:space="preserve">(spremembi </w:t>
      </w:r>
      <w:r w:rsidRPr="002F30DF">
        <w:rPr>
          <w:sz w:val="20"/>
          <w:szCs w:val="20"/>
        </w:rPr>
        <w:t>Zakona o kmetijstvu)</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lastRenderedPageBreak/>
        <w:t>(1)</w:t>
      </w:r>
      <w:r w:rsidRPr="002F30DF">
        <w:rPr>
          <w:rFonts w:cs="Arial"/>
          <w:sz w:val="20"/>
          <w:szCs w:val="20"/>
        </w:rPr>
        <w:tab/>
        <w:t>V Zakonu o kmetijstvu (Uradni list RS, št. 45/08, 57/12, 90/12 – ZdZPVHVVR, 26/14, 32/15, 27/17, 22/18, 86/21 – odl. US in 123/21) se v 172. členu sedmi odstavek spremeni tako, da se glasi:</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»(7) Javna agencija Republike Slovenije za varstvo konkurence je pristojna za nadzor nad izvajanjem in za administrativno sankcioniranje kršitev 61.f in 61.g člena tega zakona, odloča pa tudi kot prekrškovni organ o prekrških odgovornih oseb zaradi kršitve 61.f člena tega zakona. Postopek nadzora in administrativnega sankcioniranja iz 61.f in 61.g člena tega zakona ter prekrškovni postopek se vodita na podlagi uporabe zakona, ki ureja preprečevanje omejevanja konkurence. Ministrstvo in Javna agencija Republike Slovenije za varstvo konkurence skleneta pogodbo o financiranju nadzora nad izvajanjem 61.f in 61.g člena tega zakona. V pogodbi se natančneje določijo medsebojne pravice, obveznosti, roki in način plačila.«.</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(2)</w:t>
      </w:r>
      <w:r w:rsidRPr="002F30DF">
        <w:rPr>
          <w:rFonts w:cs="Arial"/>
          <w:sz w:val="20"/>
          <w:szCs w:val="20"/>
        </w:rPr>
        <w:tab/>
        <w:t>177.a člen se spremeni tako, da se glasi:</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jc w:val="center"/>
        <w:textAlignment w:val="auto"/>
        <w:rPr>
          <w:rFonts w:cs="Arial"/>
          <w:sz w:val="20"/>
          <w:szCs w:val="20"/>
        </w:rPr>
      </w:pPr>
      <w:r w:rsidRPr="002F30DF">
        <w:rPr>
          <w:rFonts w:cs="Arial"/>
          <w:sz w:val="20"/>
          <w:szCs w:val="20"/>
        </w:rPr>
        <w:t>»177.a člen</w:t>
      </w:r>
    </w:p>
    <w:p w:rsidR="00126F4C" w:rsidRPr="002F30DF" w:rsidRDefault="00126F4C" w:rsidP="00126F4C">
      <w:pPr>
        <w:overflowPunct/>
        <w:autoSpaceDE/>
        <w:autoSpaceDN/>
        <w:adjustRightInd/>
        <w:spacing w:line="260" w:lineRule="atLeast"/>
        <w:textAlignment w:val="auto"/>
        <w:rPr>
          <w:rFonts w:cs="Arial"/>
          <w:sz w:val="20"/>
          <w:szCs w:val="20"/>
        </w:rPr>
      </w:pP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 xml:space="preserve">(1) Javna agencija Republike Slovenije za varstvo konkurence </w:t>
      </w:r>
      <w:r w:rsidR="002644CC">
        <w:rPr>
          <w:rFonts w:cs="Arial"/>
          <w:sz w:val="20"/>
          <w:szCs w:val="20"/>
        </w:rPr>
        <w:t>kupcu</w:t>
      </w:r>
      <w:r w:rsidRPr="002F30DF">
        <w:rPr>
          <w:rFonts w:cs="Arial"/>
          <w:sz w:val="20"/>
          <w:szCs w:val="20"/>
        </w:rPr>
        <w:t xml:space="preserve"> izreče administrativno sankcijo v enkratnem denarnem znesku v višini največ 0,25 odstotka letnega prometa </w:t>
      </w:r>
      <w:r w:rsidR="002644CC">
        <w:rPr>
          <w:rFonts w:cs="Arial"/>
          <w:sz w:val="20"/>
          <w:szCs w:val="20"/>
        </w:rPr>
        <w:t>kupca</w:t>
      </w:r>
      <w:r w:rsidRPr="002F30DF">
        <w:rPr>
          <w:rFonts w:cs="Arial"/>
          <w:sz w:val="20"/>
          <w:szCs w:val="20"/>
        </w:rPr>
        <w:t xml:space="preserve">, ustvarjenega v </w:t>
      </w:r>
      <w:r w:rsidR="00C1152A">
        <w:rPr>
          <w:rFonts w:cs="Arial"/>
          <w:sz w:val="20"/>
          <w:szCs w:val="20"/>
        </w:rPr>
        <w:t>predhodnem poslovnem letu, če ta</w:t>
      </w:r>
      <w:r w:rsidRPr="002F30DF">
        <w:rPr>
          <w:rFonts w:cs="Arial"/>
          <w:sz w:val="20"/>
          <w:szCs w:val="20"/>
        </w:rPr>
        <w:t xml:space="preserve"> naklepno ali iz malomarnosti: </w:t>
      </w:r>
    </w:p>
    <w:p w:rsidR="00126F4C" w:rsidRPr="002F30DF" w:rsidRDefault="00126F4C" w:rsidP="00126F4C">
      <w:pPr>
        <w:pStyle w:val="Odstavekseznama"/>
        <w:numPr>
          <w:ilvl w:val="1"/>
          <w:numId w:val="134"/>
        </w:numPr>
        <w:overflowPunct/>
        <w:autoSpaceDE/>
        <w:autoSpaceDN/>
        <w:adjustRightInd/>
        <w:spacing w:line="260" w:lineRule="atLeast"/>
        <w:ind w:left="714" w:hanging="357"/>
        <w:textAlignment w:val="auto"/>
        <w:rPr>
          <w:rFonts w:cs="Arial"/>
          <w:sz w:val="20"/>
          <w:szCs w:val="20"/>
        </w:rPr>
      </w:pPr>
      <w:r w:rsidRPr="002F30DF">
        <w:rPr>
          <w:rFonts w:cs="Arial"/>
          <w:sz w:val="20"/>
          <w:szCs w:val="20"/>
        </w:rPr>
        <w:t xml:space="preserve">ravna v nasprotju z 61.f ali 61.g členom tega zakona, </w:t>
      </w:r>
    </w:p>
    <w:p w:rsidR="00126F4C" w:rsidRPr="002F30DF" w:rsidRDefault="00126F4C" w:rsidP="00126F4C">
      <w:pPr>
        <w:pStyle w:val="Odstavekseznama"/>
        <w:numPr>
          <w:ilvl w:val="1"/>
          <w:numId w:val="134"/>
        </w:numPr>
        <w:overflowPunct/>
        <w:autoSpaceDE/>
        <w:autoSpaceDN/>
        <w:adjustRightInd/>
        <w:spacing w:line="260" w:lineRule="atLeast"/>
        <w:ind w:left="714" w:hanging="357"/>
        <w:textAlignment w:val="auto"/>
        <w:rPr>
          <w:rFonts w:cs="Arial"/>
          <w:sz w:val="20"/>
          <w:szCs w:val="20"/>
        </w:rPr>
      </w:pPr>
      <w:r w:rsidRPr="002F30DF">
        <w:rPr>
          <w:rFonts w:cs="Arial"/>
          <w:sz w:val="20"/>
          <w:szCs w:val="20"/>
        </w:rPr>
        <w:t>ravna v nasprotju z obveznostjo, določeno v izvršljivi odločbi, izdani na podlagi 61.f ali 61.g člena tega zakona.</w:t>
      </w: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(2) Za zastaranje administrativnega sankcioniranja se uporablja zakon, ki ureja preprečevanje omejevanja konkurence.</w:t>
      </w:r>
    </w:p>
    <w:p w:rsidR="00126F4C" w:rsidRPr="002F30DF" w:rsidRDefault="00126F4C" w:rsidP="00126F4C">
      <w:pPr>
        <w:overflowPunct/>
        <w:autoSpaceDE/>
        <w:autoSpaceDN/>
        <w:adjustRightInd/>
        <w:spacing w:line="260" w:lineRule="atLeast"/>
        <w:textAlignment w:val="auto"/>
        <w:rPr>
          <w:rFonts w:cs="Arial"/>
          <w:sz w:val="20"/>
          <w:szCs w:val="20"/>
        </w:rPr>
      </w:pPr>
      <w:r w:rsidRPr="002F30DF">
        <w:rPr>
          <w:rFonts w:cs="Arial"/>
          <w:sz w:val="20"/>
          <w:szCs w:val="20"/>
        </w:rPr>
        <w:t>(3) Z globo od 5.000 do 10.000 eurov se za prekršek kaznuje odgovorno osebo pravne osebe, odgovorno osebo samostojnega podjetnika posameznika oziroma posameznika, ki</w:t>
      </w:r>
      <w:r w:rsidR="002644CC">
        <w:rPr>
          <w:rFonts w:cs="Arial"/>
          <w:sz w:val="20"/>
          <w:szCs w:val="20"/>
        </w:rPr>
        <w:t xml:space="preserve"> samostojno opravlja dejavnost</w:t>
      </w:r>
      <w:r w:rsidRPr="002F30DF">
        <w:rPr>
          <w:rFonts w:cs="Arial"/>
          <w:sz w:val="20"/>
          <w:szCs w:val="20"/>
        </w:rPr>
        <w:t>, če:</w:t>
      </w:r>
    </w:p>
    <w:p w:rsidR="00126F4C" w:rsidRPr="002F30DF" w:rsidRDefault="00126F4C" w:rsidP="00126F4C">
      <w:pPr>
        <w:pStyle w:val="Odstavekseznama"/>
        <w:numPr>
          <w:ilvl w:val="1"/>
          <w:numId w:val="132"/>
        </w:numPr>
        <w:overflowPunct/>
        <w:autoSpaceDE/>
        <w:autoSpaceDN/>
        <w:adjustRightInd/>
        <w:spacing w:line="260" w:lineRule="atLeast"/>
        <w:ind w:left="714" w:hanging="357"/>
        <w:textAlignment w:val="auto"/>
        <w:rPr>
          <w:rFonts w:cs="Arial"/>
          <w:sz w:val="20"/>
          <w:szCs w:val="20"/>
        </w:rPr>
      </w:pPr>
      <w:r w:rsidRPr="002F30DF">
        <w:rPr>
          <w:rFonts w:cs="Arial"/>
          <w:sz w:val="20"/>
          <w:szCs w:val="20"/>
        </w:rPr>
        <w:t>ravna v nasprotju z 61.f ali 61.g členom tega zakona,</w:t>
      </w:r>
    </w:p>
    <w:p w:rsidR="00126F4C" w:rsidRPr="002F30DF" w:rsidRDefault="00126F4C" w:rsidP="00126F4C">
      <w:pPr>
        <w:pStyle w:val="Odstavekseznama"/>
        <w:numPr>
          <w:ilvl w:val="1"/>
          <w:numId w:val="132"/>
        </w:numPr>
        <w:overflowPunct/>
        <w:autoSpaceDE/>
        <w:autoSpaceDN/>
        <w:adjustRightInd/>
        <w:spacing w:line="260" w:lineRule="atLeast"/>
        <w:ind w:left="714" w:hanging="357"/>
        <w:textAlignment w:val="auto"/>
        <w:rPr>
          <w:rFonts w:cs="Arial"/>
          <w:sz w:val="20"/>
          <w:szCs w:val="20"/>
        </w:rPr>
      </w:pPr>
      <w:r w:rsidRPr="002F30DF">
        <w:rPr>
          <w:rFonts w:cs="Arial"/>
          <w:sz w:val="20"/>
          <w:szCs w:val="20"/>
        </w:rPr>
        <w:t>ravna v nasprotju z obveznostjo, določeno v izvršljivi odločbi, izdani na podlagi 61.f ali 61.g</w:t>
      </w:r>
    </w:p>
    <w:p w:rsidR="00126F4C" w:rsidRPr="002F30DF" w:rsidRDefault="00126F4C" w:rsidP="00126F4C">
      <w:pPr>
        <w:overflowPunct/>
        <w:autoSpaceDE/>
        <w:autoSpaceDN/>
        <w:adjustRightInd/>
        <w:spacing w:line="240" w:lineRule="atLeast"/>
        <w:textAlignment w:val="auto"/>
        <w:rPr>
          <w:rFonts w:cs="Arial"/>
          <w:sz w:val="20"/>
          <w:szCs w:val="20"/>
        </w:rPr>
      </w:pPr>
      <w:r w:rsidRPr="002F30DF">
        <w:rPr>
          <w:rFonts w:cs="Arial"/>
          <w:sz w:val="20"/>
          <w:szCs w:val="20"/>
        </w:rPr>
        <w:t>člena tega zakona.«.</w:t>
      </w:r>
    </w:p>
    <w:p w:rsidR="00126F4C" w:rsidRPr="002F30DF" w:rsidRDefault="00126F4C" w:rsidP="00126F4C">
      <w:pPr>
        <w:pStyle w:val="len"/>
        <w:spacing w:before="0" w:line="260" w:lineRule="atLeast"/>
        <w:jc w:val="both"/>
        <w:rPr>
          <w:b w:val="0"/>
          <w:sz w:val="20"/>
          <w:szCs w:val="20"/>
        </w:rPr>
      </w:pPr>
    </w:p>
    <w:p w:rsidR="00126F4C" w:rsidRPr="002F30DF" w:rsidRDefault="00126F4C" w:rsidP="00126F4C">
      <w:pPr>
        <w:pStyle w:val="len"/>
        <w:numPr>
          <w:ilvl w:val="0"/>
          <w:numId w:val="20"/>
        </w:numPr>
        <w:spacing w:before="0" w:line="260" w:lineRule="atLeast"/>
        <w:ind w:left="0" w:firstLine="0"/>
        <w:rPr>
          <w:sz w:val="20"/>
          <w:szCs w:val="20"/>
        </w:rPr>
      </w:pPr>
      <w:r w:rsidRPr="002F30DF">
        <w:rPr>
          <w:sz w:val="20"/>
          <w:szCs w:val="20"/>
        </w:rPr>
        <w:t>člen</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lastRenderedPageBreak/>
        <w:t>(izdaja podzakonskih predpisov)</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p>
    <w:p w:rsidR="00126F4C" w:rsidRPr="002F30DF" w:rsidRDefault="00126F4C" w:rsidP="00126F4C">
      <w:pPr>
        <w:spacing w:line="260" w:lineRule="atLeast"/>
        <w:rPr>
          <w:rFonts w:cs="Arial"/>
          <w:sz w:val="20"/>
          <w:szCs w:val="20"/>
        </w:rPr>
      </w:pPr>
      <w:r w:rsidRPr="002F30DF">
        <w:rPr>
          <w:rFonts w:cs="Arial"/>
          <w:sz w:val="20"/>
          <w:szCs w:val="20"/>
        </w:rPr>
        <w:t>(1) Vlada izda podzakonska predpisa iz šestega odstavka 68. člena in petega odstavka 91. člena tega zakona v treh mesecih po začetku veljavnosti tega zakona.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 xml:space="preserve">(2) Minister, pristojen za varstvo konkurence, izda pravilnik, ki določa obliko službene izkaznice in postopek za njeno izdajo iz tretjega odstavka 57. člena </w:t>
      </w:r>
      <w:r w:rsidR="0023547F">
        <w:rPr>
          <w:rFonts w:cs="Arial"/>
          <w:sz w:val="20"/>
          <w:szCs w:val="20"/>
        </w:rPr>
        <w:t xml:space="preserve">tega zakona </w:t>
      </w:r>
      <w:r w:rsidRPr="002F30DF">
        <w:rPr>
          <w:rFonts w:cs="Arial"/>
          <w:sz w:val="20"/>
          <w:szCs w:val="20"/>
        </w:rPr>
        <w:t>do začetka uporabe tega zakona.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(3) Agencija uskladi svoj poslovnik do začetka uporabe tega zakona.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p>
    <w:p w:rsidR="00126F4C" w:rsidRPr="002F30DF" w:rsidRDefault="00126F4C" w:rsidP="00126F4C">
      <w:pPr>
        <w:pStyle w:val="len"/>
        <w:numPr>
          <w:ilvl w:val="0"/>
          <w:numId w:val="20"/>
        </w:numPr>
        <w:spacing w:before="0" w:line="260" w:lineRule="atLeast"/>
        <w:ind w:left="0" w:firstLine="0"/>
        <w:rPr>
          <w:rFonts w:eastAsia="Calibri"/>
          <w:sz w:val="20"/>
          <w:szCs w:val="20"/>
          <w:lang w:eastAsia="en-US"/>
        </w:rPr>
      </w:pPr>
      <w:r w:rsidRPr="002F30DF">
        <w:rPr>
          <w:rFonts w:eastAsia="Calibri"/>
          <w:sz w:val="20"/>
          <w:szCs w:val="20"/>
          <w:lang w:eastAsia="en-US"/>
        </w:rPr>
        <w:t>člen</w:t>
      </w:r>
    </w:p>
    <w:p w:rsidR="00126F4C" w:rsidRPr="002F30DF" w:rsidRDefault="00126F4C" w:rsidP="00126F4C">
      <w:pPr>
        <w:spacing w:line="260" w:lineRule="atLeast"/>
        <w:jc w:val="center"/>
        <w:rPr>
          <w:rFonts w:eastAsia="Calibri" w:cs="Arial"/>
          <w:b/>
          <w:sz w:val="20"/>
          <w:szCs w:val="20"/>
          <w:lang w:eastAsia="en-US"/>
        </w:rPr>
      </w:pPr>
      <w:r w:rsidRPr="002F30DF">
        <w:rPr>
          <w:rFonts w:eastAsia="Calibri" w:cs="Arial"/>
          <w:b/>
          <w:sz w:val="20"/>
          <w:szCs w:val="20"/>
          <w:lang w:eastAsia="en-US"/>
        </w:rPr>
        <w:t>(prenehanje veljavnosti)</w:t>
      </w:r>
    </w:p>
    <w:p w:rsidR="00126F4C" w:rsidRPr="002F30DF" w:rsidRDefault="00126F4C" w:rsidP="00126F4C">
      <w:pPr>
        <w:spacing w:line="260" w:lineRule="atLeast"/>
        <w:rPr>
          <w:rFonts w:eastAsia="Calibri" w:cs="Arial"/>
          <w:b/>
          <w:sz w:val="20"/>
          <w:szCs w:val="20"/>
          <w:lang w:eastAsia="en-US"/>
        </w:rPr>
      </w:pPr>
    </w:p>
    <w:p w:rsidR="00126F4C" w:rsidRPr="002F30DF" w:rsidRDefault="00126F4C" w:rsidP="00126F4C">
      <w:pPr>
        <w:spacing w:line="260" w:lineRule="atLeast"/>
        <w:rPr>
          <w:rFonts w:cs="Arial"/>
          <w:sz w:val="20"/>
          <w:szCs w:val="20"/>
        </w:rPr>
      </w:pPr>
      <w:r w:rsidRPr="002F30DF">
        <w:rPr>
          <w:rFonts w:eastAsia="Calibri" w:cs="Arial"/>
          <w:sz w:val="20"/>
          <w:szCs w:val="20"/>
          <w:lang w:eastAsia="en-US"/>
        </w:rPr>
        <w:t>(</w:t>
      </w:r>
      <w:r w:rsidRPr="002F30DF">
        <w:rPr>
          <w:rFonts w:cs="Arial"/>
          <w:sz w:val="20"/>
          <w:szCs w:val="20"/>
        </w:rPr>
        <w:t>1) Z dnem uveljavitve tega zakona preneha veljati Zakon o preprečevanju omejevanja konkurence (Uradni list RS, št. 36/08, 40/09, 26/11, 87/11, 57/12, 39/13 – odl. US, 63/13 – ZS-K, 33/14, 76/15 in 23/17), uporablja pa se še do začetka uporabe tega zakona.</w:t>
      </w:r>
    </w:p>
    <w:p w:rsidR="00126F4C" w:rsidRPr="002F30DF" w:rsidRDefault="00126F4C" w:rsidP="00126F4C">
      <w:pPr>
        <w:spacing w:line="260" w:lineRule="atLeast"/>
        <w:rPr>
          <w:rFonts w:cs="Arial"/>
          <w:sz w:val="20"/>
          <w:szCs w:val="20"/>
        </w:rPr>
      </w:pPr>
    </w:p>
    <w:p w:rsidR="00126F4C" w:rsidRPr="002F30DF" w:rsidRDefault="00126F4C" w:rsidP="00126F4C">
      <w:pPr>
        <w:spacing w:line="260" w:lineRule="atLeast"/>
        <w:rPr>
          <w:rFonts w:cs="Arial"/>
          <w:sz w:val="20"/>
          <w:szCs w:val="20"/>
        </w:rPr>
      </w:pPr>
      <w:r w:rsidRPr="002F30DF">
        <w:rPr>
          <w:rFonts w:cs="Arial"/>
          <w:sz w:val="20"/>
          <w:szCs w:val="20"/>
        </w:rPr>
        <w:t>(2) Z dnem uveljavitve tega zakona prenehajo veljati</w:t>
      </w:r>
      <w:r w:rsidR="0023547F">
        <w:rPr>
          <w:rFonts w:cs="Arial"/>
          <w:sz w:val="20"/>
          <w:szCs w:val="20"/>
        </w:rPr>
        <w:t xml:space="preserve">, </w:t>
      </w:r>
      <w:r w:rsidR="0023547F" w:rsidRPr="002F30DF">
        <w:rPr>
          <w:sz w:val="20"/>
          <w:szCs w:val="20"/>
        </w:rPr>
        <w:t>uporabljajo pa se do uveljavitve ustreznih podzakonskih predpisov po tem zakonu</w:t>
      </w:r>
      <w:r w:rsidR="0023547F">
        <w:rPr>
          <w:sz w:val="20"/>
          <w:szCs w:val="20"/>
        </w:rPr>
        <w:t xml:space="preserve"> naslednji podzakonski akti</w:t>
      </w:r>
      <w:r w:rsidRPr="002F30DF">
        <w:rPr>
          <w:rFonts w:cs="Arial"/>
          <w:sz w:val="20"/>
          <w:szCs w:val="20"/>
        </w:rPr>
        <w:t>:</w:t>
      </w:r>
    </w:p>
    <w:p w:rsidR="00126F4C" w:rsidRPr="002F30DF" w:rsidRDefault="00126F4C" w:rsidP="00126F4C">
      <w:pPr>
        <w:pStyle w:val="Alineazaodstavkom"/>
        <w:numPr>
          <w:ilvl w:val="0"/>
          <w:numId w:val="38"/>
        </w:numPr>
        <w:spacing w:line="260" w:lineRule="atLeast"/>
        <w:ind w:left="284" w:hanging="284"/>
        <w:rPr>
          <w:sz w:val="20"/>
          <w:szCs w:val="20"/>
        </w:rPr>
      </w:pPr>
      <w:r w:rsidRPr="002F30DF">
        <w:rPr>
          <w:sz w:val="20"/>
          <w:szCs w:val="20"/>
        </w:rPr>
        <w:t xml:space="preserve">Pravilnik o službeni izkaznici pooblaščene uradne osebe Javne agencije Republike Slovenije za varstvo konkurence (Uradni list RS, št. </w:t>
      </w:r>
      <w:hyperlink r:id="rId37" w:tgtFrame="_blank" w:tooltip="Pravilnik o službeni izkaznici pooblaščene uradne osebe Javne agencije Republike Slovenije za varstvo konkurence" w:history="1">
        <w:r w:rsidRPr="002F30DF">
          <w:rPr>
            <w:sz w:val="20"/>
            <w:szCs w:val="20"/>
          </w:rPr>
          <w:t>101/13</w:t>
        </w:r>
      </w:hyperlink>
      <w:r w:rsidRPr="002F30DF">
        <w:rPr>
          <w:sz w:val="20"/>
          <w:szCs w:val="20"/>
        </w:rPr>
        <w:t>),</w:t>
      </w:r>
    </w:p>
    <w:p w:rsidR="00126F4C" w:rsidRPr="002F30DF" w:rsidRDefault="00126F4C" w:rsidP="00126F4C">
      <w:pPr>
        <w:pStyle w:val="Alineazaodstavkom"/>
        <w:numPr>
          <w:ilvl w:val="0"/>
          <w:numId w:val="38"/>
        </w:numPr>
        <w:spacing w:line="260" w:lineRule="atLeast"/>
        <w:ind w:left="284" w:hanging="284"/>
        <w:rPr>
          <w:sz w:val="20"/>
          <w:szCs w:val="20"/>
        </w:rPr>
      </w:pPr>
      <w:r w:rsidRPr="002F30DF">
        <w:rPr>
          <w:sz w:val="20"/>
          <w:szCs w:val="20"/>
        </w:rPr>
        <w:t xml:space="preserve">Uredba o vsebini obrazca za priglasitev koncentracije podjetij (Uradni list RS, št. </w:t>
      </w:r>
      <w:hyperlink r:id="rId38" w:tgtFrame="_blank" w:tooltip="Uredba o vsebini obrazca za priglasitev koncentracije podjetij" w:history="1">
        <w:r w:rsidRPr="002F30DF">
          <w:rPr>
            <w:sz w:val="20"/>
            <w:szCs w:val="20"/>
          </w:rPr>
          <w:t>36/09</w:t>
        </w:r>
      </w:hyperlink>
      <w:r w:rsidRPr="002F30DF">
        <w:rPr>
          <w:sz w:val="20"/>
          <w:szCs w:val="20"/>
        </w:rPr>
        <w:t xml:space="preserve"> in </w:t>
      </w:r>
      <w:hyperlink r:id="rId39" w:tgtFrame="_blank" w:tooltip="Uredba o spremembah in dopolnitvah Uredbe o vsebini obrazca za priglasitev koncentracije podjetij" w:history="1">
        <w:r w:rsidRPr="002F30DF">
          <w:rPr>
            <w:sz w:val="20"/>
            <w:szCs w:val="20"/>
          </w:rPr>
          <w:t>3/14</w:t>
        </w:r>
      </w:hyperlink>
      <w:r w:rsidRPr="002F30DF">
        <w:rPr>
          <w:sz w:val="20"/>
          <w:szCs w:val="20"/>
        </w:rPr>
        <w:t>),</w:t>
      </w:r>
    </w:p>
    <w:p w:rsidR="001447AC" w:rsidRDefault="00126F4C" w:rsidP="00071B08">
      <w:pPr>
        <w:pStyle w:val="Alineazaodstavkom"/>
        <w:numPr>
          <w:ilvl w:val="0"/>
          <w:numId w:val="38"/>
        </w:numPr>
        <w:spacing w:line="260" w:lineRule="atLeast"/>
        <w:ind w:left="284" w:hanging="284"/>
        <w:rPr>
          <w:sz w:val="20"/>
          <w:szCs w:val="20"/>
        </w:rPr>
      </w:pPr>
      <w:r w:rsidRPr="002F30DF">
        <w:rPr>
          <w:sz w:val="20"/>
          <w:szCs w:val="20"/>
        </w:rPr>
        <w:t xml:space="preserve">Uredba o postopku odpustitve in znižanja globe storilcem, ki so udeleženi v kartelih (Uradni list RS, št. </w:t>
      </w:r>
      <w:hyperlink r:id="rId40" w:tgtFrame="_blank" w:tooltip="Uredba o postopku odpustitve in znižanja globe storilcem, ki so udeleženi v kartelih" w:history="1">
        <w:r w:rsidRPr="002F30DF">
          <w:rPr>
            <w:sz w:val="20"/>
            <w:szCs w:val="20"/>
          </w:rPr>
          <w:t>112/09</w:t>
        </w:r>
      </w:hyperlink>
      <w:r w:rsidRPr="002F30DF">
        <w:rPr>
          <w:sz w:val="20"/>
          <w:szCs w:val="20"/>
        </w:rPr>
        <w:t xml:space="preserve"> in </w:t>
      </w:r>
      <w:hyperlink r:id="rId41" w:tgtFrame="_blank" w:tooltip="Uredba o spremembah Uredbe o postopku odpustitve in znižanja globe storilcem, ki so udeleženi v kartelih" w:history="1">
        <w:r w:rsidRPr="002F30DF">
          <w:rPr>
            <w:sz w:val="20"/>
            <w:szCs w:val="20"/>
          </w:rPr>
          <w:t>2/14</w:t>
        </w:r>
      </w:hyperlink>
      <w:r w:rsidRPr="002F30DF">
        <w:rPr>
          <w:sz w:val="20"/>
          <w:szCs w:val="20"/>
        </w:rPr>
        <w:t>).</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p>
    <w:p w:rsidR="00126F4C" w:rsidRPr="002F30DF" w:rsidRDefault="00126F4C" w:rsidP="00126F4C">
      <w:pPr>
        <w:spacing w:line="260" w:lineRule="atLeast"/>
        <w:rPr>
          <w:rFonts w:cs="Arial"/>
          <w:sz w:val="20"/>
          <w:szCs w:val="20"/>
        </w:rPr>
      </w:pPr>
    </w:p>
    <w:p w:rsidR="00126F4C" w:rsidRPr="002F30DF" w:rsidRDefault="00126F4C" w:rsidP="00126F4C">
      <w:pPr>
        <w:pStyle w:val="len"/>
        <w:numPr>
          <w:ilvl w:val="0"/>
          <w:numId w:val="20"/>
        </w:numPr>
        <w:spacing w:before="0" w:line="260" w:lineRule="atLeast"/>
        <w:ind w:left="0" w:firstLine="0"/>
        <w:rPr>
          <w:rFonts w:eastAsia="Calibri"/>
          <w:b w:val="0"/>
          <w:sz w:val="20"/>
          <w:szCs w:val="20"/>
          <w:lang w:eastAsia="en-US"/>
        </w:rPr>
      </w:pPr>
      <w:r w:rsidRPr="002F30DF">
        <w:rPr>
          <w:rFonts w:eastAsia="Calibri"/>
          <w:sz w:val="20"/>
          <w:szCs w:val="20"/>
          <w:lang w:eastAsia="en-US"/>
        </w:rPr>
        <w:t>člen</w:t>
      </w:r>
    </w:p>
    <w:p w:rsidR="00126F4C" w:rsidRPr="002F30DF" w:rsidRDefault="00126F4C" w:rsidP="00126F4C">
      <w:pPr>
        <w:overflowPunct/>
        <w:autoSpaceDE/>
        <w:autoSpaceDN/>
        <w:adjustRightInd/>
        <w:spacing w:line="260" w:lineRule="atLeast"/>
        <w:jc w:val="center"/>
        <w:textAlignment w:val="auto"/>
        <w:rPr>
          <w:rFonts w:eastAsia="Calibri" w:cs="Arial"/>
          <w:b/>
          <w:sz w:val="20"/>
          <w:szCs w:val="20"/>
          <w:lang w:eastAsia="en-US"/>
        </w:rPr>
      </w:pPr>
      <w:r w:rsidRPr="002F30DF">
        <w:rPr>
          <w:rFonts w:eastAsia="Calibri" w:cs="Arial"/>
          <w:b/>
          <w:sz w:val="20"/>
          <w:szCs w:val="20"/>
          <w:lang w:eastAsia="en-US"/>
        </w:rPr>
        <w:t>(začetek veljavnosti in uporabe)</w:t>
      </w: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p>
    <w:p w:rsidR="00126F4C" w:rsidRPr="002F30DF" w:rsidRDefault="00126F4C" w:rsidP="00126F4C">
      <w:pPr>
        <w:overflowPunct/>
        <w:autoSpaceDE/>
        <w:autoSpaceDN/>
        <w:adjustRightInd/>
        <w:spacing w:line="260" w:lineRule="atLeast"/>
        <w:textAlignment w:val="auto"/>
        <w:rPr>
          <w:rFonts w:eastAsia="Calibri" w:cs="Arial"/>
          <w:sz w:val="20"/>
          <w:szCs w:val="20"/>
          <w:lang w:eastAsia="en-US"/>
        </w:rPr>
      </w:pPr>
      <w:r w:rsidRPr="002F30DF">
        <w:rPr>
          <w:rFonts w:eastAsia="Calibri" w:cs="Arial"/>
          <w:sz w:val="20"/>
          <w:szCs w:val="20"/>
          <w:lang w:eastAsia="en-US"/>
        </w:rPr>
        <w:t>Ta zakon začne veljati petnajsti dan po objavi v Uradnem listu Republike Slovenije, uporabljati pa se začne tri mesece po njegovi uveljavitvi.</w:t>
      </w:r>
    </w:p>
    <w:p w:rsidR="00126F4C" w:rsidRPr="002F30DF" w:rsidRDefault="00126F4C" w:rsidP="008A7536">
      <w:pPr>
        <w:pStyle w:val="Vrstapredpisa"/>
        <w:spacing w:before="0" w:line="260" w:lineRule="atLeast"/>
        <w:jc w:val="both"/>
        <w:rPr>
          <w:bCs w:val="0"/>
          <w:color w:val="auto"/>
          <w:spacing w:val="0"/>
          <w:sz w:val="20"/>
          <w:szCs w:val="20"/>
        </w:rPr>
      </w:pPr>
    </w:p>
    <w:p w:rsidR="00A45607" w:rsidRPr="002F30DF" w:rsidRDefault="00A45607" w:rsidP="0025166A">
      <w:pPr>
        <w:pStyle w:val="Vrstapredpisa"/>
        <w:spacing w:before="0" w:line="260" w:lineRule="atLeast"/>
        <w:rPr>
          <w:color w:val="auto"/>
          <w:sz w:val="20"/>
          <w:szCs w:val="20"/>
        </w:rPr>
      </w:pPr>
    </w:p>
    <w:p w:rsidR="007C68DE" w:rsidRPr="002F30DF" w:rsidRDefault="007C68DE" w:rsidP="0025166A">
      <w:pPr>
        <w:pStyle w:val="Naslovpredpisa"/>
        <w:spacing w:line="260" w:lineRule="atLeast"/>
        <w:rPr>
          <w:sz w:val="20"/>
          <w:szCs w:val="20"/>
        </w:rPr>
      </w:pPr>
    </w:p>
    <w:p w:rsidR="00144E07" w:rsidRDefault="00144E07">
      <w:pPr>
        <w:overflowPunct/>
        <w:autoSpaceDE/>
        <w:autoSpaceDN/>
        <w:adjustRightInd/>
        <w:jc w:val="left"/>
        <w:textAlignment w:val="auto"/>
        <w:rPr>
          <w:rFonts w:cs="Arial"/>
          <w:b/>
          <w:sz w:val="20"/>
          <w:szCs w:val="20"/>
        </w:rPr>
      </w:pPr>
      <w:r>
        <w:rPr>
          <w:bCs/>
          <w:sz w:val="20"/>
          <w:szCs w:val="20"/>
        </w:rPr>
        <w:br w:type="page"/>
      </w:r>
    </w:p>
    <w:p w:rsidR="00A45607" w:rsidRPr="002F30DF" w:rsidRDefault="00414C61" w:rsidP="00431BAA">
      <w:pPr>
        <w:pStyle w:val="Vrstapredpisa"/>
        <w:numPr>
          <w:ilvl w:val="0"/>
          <w:numId w:val="91"/>
        </w:numPr>
        <w:spacing w:before="0" w:line="260" w:lineRule="atLeast"/>
        <w:ind w:left="709" w:hanging="709"/>
        <w:jc w:val="both"/>
        <w:rPr>
          <w:bCs w:val="0"/>
          <w:color w:val="auto"/>
          <w:spacing w:val="0"/>
          <w:sz w:val="20"/>
          <w:szCs w:val="20"/>
        </w:rPr>
      </w:pPr>
      <w:r>
        <w:rPr>
          <w:bCs w:val="0"/>
          <w:color w:val="auto"/>
          <w:spacing w:val="0"/>
          <w:sz w:val="20"/>
          <w:szCs w:val="20"/>
        </w:rPr>
        <w:lastRenderedPageBreak/>
        <w:t>OBRAZLOŽITEV</w:t>
      </w:r>
      <w:r w:rsidRPr="002F30DF">
        <w:rPr>
          <w:bCs w:val="0"/>
          <w:color w:val="auto"/>
          <w:spacing w:val="0"/>
          <w:sz w:val="20"/>
          <w:szCs w:val="20"/>
        </w:rPr>
        <w:t xml:space="preserve"> </w:t>
      </w:r>
      <w:r w:rsidR="00A45607" w:rsidRPr="002F30DF">
        <w:rPr>
          <w:bCs w:val="0"/>
          <w:color w:val="auto"/>
          <w:spacing w:val="0"/>
          <w:sz w:val="20"/>
          <w:szCs w:val="20"/>
        </w:rPr>
        <w:t>ČLENOV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1. členu (vsebina zakona)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prvim členom se določa vsebina zakona. </w:t>
      </w:r>
    </w:p>
    <w:p w:rsidR="007522E3" w:rsidRPr="002F30DF" w:rsidRDefault="007522E3" w:rsidP="0025166A">
      <w:pPr>
        <w:spacing w:line="260" w:lineRule="atLeast"/>
        <w:rPr>
          <w:rFonts w:cs="Arial"/>
          <w:sz w:val="20"/>
          <w:szCs w:val="20"/>
        </w:rPr>
      </w:pPr>
    </w:p>
    <w:p w:rsidR="007522E3" w:rsidRPr="002F30DF" w:rsidRDefault="007522E3" w:rsidP="0025166A">
      <w:pPr>
        <w:pStyle w:val="lennaslov"/>
        <w:spacing w:line="260" w:lineRule="atLeast"/>
        <w:jc w:val="left"/>
        <w:rPr>
          <w:sz w:val="20"/>
          <w:szCs w:val="20"/>
        </w:rPr>
      </w:pPr>
      <w:r w:rsidRPr="002F30DF">
        <w:rPr>
          <w:sz w:val="20"/>
          <w:szCs w:val="20"/>
        </w:rPr>
        <w:t>K 2. členu (prenos in izvajanje predpisov Evropske unije)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tem členu je določeno kateri predpisi Evropske unije se izvajajo oziroma prenašajo s tem zakonom.</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tako določa, da ta zakon ureja tudi postopek in pristojnosti za izvajanje Uredbe </w:t>
      </w:r>
      <w:r w:rsidR="002A6B2C" w:rsidRPr="002F30DF">
        <w:rPr>
          <w:rFonts w:cs="Arial"/>
          <w:sz w:val="20"/>
          <w:szCs w:val="20"/>
        </w:rPr>
        <w:t xml:space="preserve">Sveta (ES) št. 1/2003 z dne 16. </w:t>
      </w:r>
      <w:r w:rsidR="001943B4" w:rsidRPr="002F30DF">
        <w:rPr>
          <w:rFonts w:cs="Arial"/>
          <w:sz w:val="20"/>
          <w:szCs w:val="20"/>
        </w:rPr>
        <w:t>12.</w:t>
      </w:r>
      <w:r w:rsidRPr="002F30DF">
        <w:rPr>
          <w:rFonts w:cs="Arial"/>
          <w:sz w:val="20"/>
          <w:szCs w:val="20"/>
        </w:rPr>
        <w:t xml:space="preserve"> 2002 o izvajanju pravil konkurence iz členov 81 in 82 Pogodbe (v nadaljnjem besedilu: Uredba 1/2003) in Uredbe Sv</w:t>
      </w:r>
      <w:r w:rsidR="002A6B2C" w:rsidRPr="002F30DF">
        <w:rPr>
          <w:rFonts w:cs="Arial"/>
          <w:sz w:val="20"/>
          <w:szCs w:val="20"/>
        </w:rPr>
        <w:t xml:space="preserve">eta (ES) št. 139/2004 z dne 20. </w:t>
      </w:r>
      <w:r w:rsidR="001943B4" w:rsidRPr="002F30DF">
        <w:rPr>
          <w:rFonts w:cs="Arial"/>
          <w:sz w:val="20"/>
          <w:szCs w:val="20"/>
        </w:rPr>
        <w:t>1.</w:t>
      </w:r>
      <w:r w:rsidRPr="002F30DF">
        <w:rPr>
          <w:rFonts w:cs="Arial"/>
          <w:sz w:val="20"/>
          <w:szCs w:val="20"/>
        </w:rPr>
        <w:t xml:space="preserve"> 2004 o nadzoru koncentracij podjetij (v nadaljnjem besedilu: Uredba 139/2004).</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določa, da se s tem zakonom prenašata v pravni red Republike Slovenije dve direktivi iz področja konkurenčnega prava. In sicer Direktiva 2014/104 Evropskega parlamenta in Sveta z dne 26. novembra 2014 o nekaterih pravilih, ki urejajo odškodninske tožbe po nacionalnem pravu za kršitve določb konkurenčnega prava držav članic in Evropske unije (v nadaljnjem besedilu: Direktiva 2014/104), katere namen je zagotoviti učinkovito uveljavljanje pravil konkurence</w:t>
      </w:r>
      <w:r w:rsidR="00ED4E44" w:rsidRPr="002F30DF">
        <w:rPr>
          <w:rFonts w:cs="Arial"/>
          <w:sz w:val="20"/>
          <w:szCs w:val="20"/>
        </w:rPr>
        <w:t xml:space="preserve"> </w:t>
      </w:r>
      <w:r w:rsidRPr="002F30DF">
        <w:rPr>
          <w:rFonts w:cs="Arial"/>
          <w:sz w:val="20"/>
          <w:szCs w:val="20"/>
        </w:rPr>
        <w:t>z optimizacijo součinkovanja javnopravnega in zasebnopravnega uveljavljanja konkurenčnega prava ter z zagotavljanjem oškodovancem pravic</w:t>
      </w:r>
      <w:r w:rsidR="00E43FDB" w:rsidRPr="002F30DF">
        <w:rPr>
          <w:rFonts w:cs="Arial"/>
          <w:sz w:val="20"/>
          <w:szCs w:val="20"/>
        </w:rPr>
        <w:t>o</w:t>
      </w:r>
      <w:r w:rsidRPr="002F30DF">
        <w:rPr>
          <w:rFonts w:cs="Arial"/>
          <w:sz w:val="20"/>
          <w:szCs w:val="20"/>
        </w:rPr>
        <w:t xml:space="preserve"> do popolne odškodnine zaradi kršitev konkurenčnega prava. Velja poudariti, da se varstvo pravil konkurence zagotavlja tako z javnopravnim kot z zasebnopravnim uveljavljanjem kršitev konkurenčnega prava. Javnopravno varstvo se zagotavlja v postopkih pred Evropsko komisijo in </w:t>
      </w:r>
      <w:r w:rsidR="004E2736" w:rsidRPr="002F30DF">
        <w:rPr>
          <w:rFonts w:cs="Arial"/>
          <w:sz w:val="20"/>
          <w:szCs w:val="20"/>
        </w:rPr>
        <w:t xml:space="preserve">nacionalnimi organi, pristojnimi za varstvo konkurence, </w:t>
      </w:r>
      <w:r w:rsidRPr="002F30DF">
        <w:rPr>
          <w:rFonts w:cs="Arial"/>
          <w:sz w:val="20"/>
          <w:szCs w:val="20"/>
        </w:rPr>
        <w:t>ter tudi v drugih postopkih, na primer v kazenskem postopku zaradi storitve kaznivega dejanja zlorabe prevladujočega položaja po 225. členu Kazenskega zakonika (Uradni list RS, št. 50/12 – uradno prečiščeno besedilo, 6/16 – popr., 54/15</w:t>
      </w:r>
      <w:r w:rsidR="00D5330B" w:rsidRPr="002F30DF">
        <w:rPr>
          <w:rFonts w:cs="Arial"/>
          <w:sz w:val="20"/>
          <w:szCs w:val="20"/>
        </w:rPr>
        <w:t>,</w:t>
      </w:r>
      <w:r w:rsidRPr="002F30DF">
        <w:rPr>
          <w:rFonts w:cs="Arial"/>
          <w:sz w:val="20"/>
          <w:szCs w:val="20"/>
        </w:rPr>
        <w:t xml:space="preserve"> 38/16</w:t>
      </w:r>
      <w:r w:rsidR="00DD4F4A" w:rsidRPr="002F30DF">
        <w:rPr>
          <w:rFonts w:cs="Arial"/>
          <w:sz w:val="20"/>
          <w:szCs w:val="20"/>
        </w:rPr>
        <w:t>,</w:t>
      </w:r>
      <w:r w:rsidR="00D5330B" w:rsidRPr="002F30DF">
        <w:rPr>
          <w:rFonts w:cs="Arial"/>
          <w:sz w:val="20"/>
          <w:szCs w:val="20"/>
        </w:rPr>
        <w:t xml:space="preserve"> 27/17</w:t>
      </w:r>
      <w:r w:rsidR="00DD4F4A" w:rsidRPr="002F30DF">
        <w:rPr>
          <w:rFonts w:cs="Arial"/>
          <w:sz w:val="20"/>
          <w:szCs w:val="20"/>
        </w:rPr>
        <w:t>, 23/20 in 91/20</w:t>
      </w:r>
      <w:r w:rsidRPr="002F30DF">
        <w:rPr>
          <w:rFonts w:cs="Arial"/>
          <w:sz w:val="20"/>
          <w:szCs w:val="20"/>
        </w:rPr>
        <w:t xml:space="preserve">; v nadaljevanju: KZ-1) in v postopkih pred sektorskimi regulatorji v reguliranih sektorjih (npr. telekomunikacije, poštne storitve). Vendar javnopravno varstvo konkurence ni namenjeno neposrednemu </w:t>
      </w:r>
      <w:r w:rsidRPr="002F30DF">
        <w:rPr>
          <w:rFonts w:cs="Arial"/>
          <w:sz w:val="20"/>
          <w:szCs w:val="20"/>
        </w:rPr>
        <w:lastRenderedPageBreak/>
        <w:t>varstvu konkurentov niti neposrednemu varstvu potrošnikov. Podjetja in posamezniki lahko zaradi kršitev konkurenčnega prava zahtevajo neposredno sodno varstvo, na primer z uveljavljanjem odškodninskih ali kondikcijskih zahtevkov oziroma ničnosti (zasebnopravno uveljavljanje konkurenčnega prava). Učinkovito zasebnopravno uveljavljanje kršitev konkurenčnega prava krepi politiko varstva konkurence, oziroma prispeva k ohranjanju učinkovite konkurence, kot je to večkrat poudarilo Sodišče Evropske unije (v nadaljnjem besedilu: Sodišče EU), saj odvrača podjetja od sklepanja tajnih sporazumov ali drugih kršitev konkurenčnega prava.</w:t>
      </w:r>
      <w:r w:rsidRPr="002F30DF">
        <w:rPr>
          <w:rFonts w:cs="Arial"/>
          <w:sz w:val="20"/>
          <w:szCs w:val="20"/>
          <w:vertAlign w:val="superscript"/>
        </w:rPr>
        <w:footnoteReference w:id="4"/>
      </w:r>
      <w:r w:rsidRPr="002F30DF">
        <w:rPr>
          <w:rFonts w:cs="Arial"/>
          <w:sz w:val="20"/>
          <w:szCs w:val="20"/>
        </w:rPr>
        <w:t xml:space="preserve"> Zasebnopravno izvajanje konkurenčnega prava je v določenem delu v konfliktu z javnopravnim izvajanjem, zlasti glede varstva občutljivih poslovnih skrivnostih, ki jih podjetja predložijo organom</w:t>
      </w:r>
      <w:r w:rsidR="00E43FDB" w:rsidRPr="002F30DF">
        <w:rPr>
          <w:rFonts w:cs="Arial"/>
          <w:sz w:val="20"/>
          <w:szCs w:val="20"/>
        </w:rPr>
        <w:t>, pristojnim</w:t>
      </w:r>
      <w:r w:rsidRPr="002F30DF">
        <w:rPr>
          <w:rFonts w:cs="Arial"/>
          <w:sz w:val="20"/>
          <w:szCs w:val="20"/>
        </w:rPr>
        <w:t xml:space="preserve"> za varstvo konkurence</w:t>
      </w:r>
      <w:r w:rsidR="00E43FDB" w:rsidRPr="002F30DF">
        <w:rPr>
          <w:rFonts w:cs="Arial"/>
          <w:sz w:val="20"/>
          <w:szCs w:val="20"/>
        </w:rPr>
        <w:t>,</w:t>
      </w:r>
      <w:r w:rsidRPr="002F30DF">
        <w:rPr>
          <w:rFonts w:cs="Arial"/>
          <w:sz w:val="20"/>
          <w:szCs w:val="20"/>
        </w:rPr>
        <w:t xml:space="preserve"> v postopkih nadzora, oškodovanci pa potrebujejo te dokaze za uveljavljanje civilnih zahtevkov pred sodišči. Namen Direktive 2014/104 pa je okrepiti zasebnopravno uveljavljanje kršitev konkurenčnega prava in urediti součinkovanje javnega in zasebnopravnega varstva konkurence. </w:t>
      </w:r>
    </w:p>
    <w:p w:rsidR="007522E3" w:rsidRPr="002F30DF" w:rsidRDefault="007522E3" w:rsidP="0025166A">
      <w:pPr>
        <w:pStyle w:val="Odstavekseznama"/>
        <w:spacing w:line="260" w:lineRule="atLeast"/>
        <w:ind w:left="0"/>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w:t>
      </w:r>
      <w:r w:rsidR="004E2736" w:rsidRPr="002F30DF">
        <w:rPr>
          <w:rFonts w:cs="Arial"/>
          <w:sz w:val="20"/>
          <w:szCs w:val="20"/>
        </w:rPr>
        <w:t xml:space="preserve">predlogom </w:t>
      </w:r>
      <w:r w:rsidRPr="002F30DF">
        <w:rPr>
          <w:rFonts w:cs="Arial"/>
          <w:sz w:val="20"/>
          <w:szCs w:val="20"/>
        </w:rPr>
        <w:t>zakon</w:t>
      </w:r>
      <w:r w:rsidR="004E2736" w:rsidRPr="002F30DF">
        <w:rPr>
          <w:rFonts w:cs="Arial"/>
          <w:sz w:val="20"/>
          <w:szCs w:val="20"/>
        </w:rPr>
        <w:t>a</w:t>
      </w:r>
      <w:r w:rsidRPr="002F30DF">
        <w:rPr>
          <w:rFonts w:cs="Arial"/>
          <w:sz w:val="20"/>
          <w:szCs w:val="20"/>
        </w:rPr>
        <w:t xml:space="preserve"> se </w:t>
      </w:r>
      <w:r w:rsidR="004E2736" w:rsidRPr="002F30DF">
        <w:rPr>
          <w:rFonts w:cs="Arial"/>
          <w:sz w:val="20"/>
          <w:szCs w:val="20"/>
        </w:rPr>
        <w:t xml:space="preserve">v naš pravni red </w:t>
      </w:r>
      <w:r w:rsidRPr="002F30DF">
        <w:rPr>
          <w:rFonts w:cs="Arial"/>
          <w:sz w:val="20"/>
          <w:szCs w:val="20"/>
        </w:rPr>
        <w:t>prenaša tudi Direktiva 2019/1 Evropskega parlamenta in Sveta z dne 11. decembra 2018 o krepitvi vloge organov držav članic, pristojnih za konkurenco, da bodo učinkoviteje uveljavljali pravila konkurence, in o zagotavljanju pravilnega delovanja notranjega trga (v nadaljnjem besedilu: Direktiva 2019/1).</w:t>
      </w:r>
    </w:p>
    <w:p w:rsidR="007522E3" w:rsidRPr="002F30DF" w:rsidRDefault="007522E3" w:rsidP="0025166A">
      <w:pPr>
        <w:pStyle w:val="Odstavekseznama"/>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3. členu (pomen izrazov)</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003039EC" w:rsidRPr="002F30DF">
        <w:rPr>
          <w:rFonts w:cs="Arial"/>
          <w:sz w:val="20"/>
          <w:szCs w:val="20"/>
        </w:rPr>
        <w:t xml:space="preserve">tem </w:t>
      </w:r>
      <w:r w:rsidRPr="002F30DF">
        <w:rPr>
          <w:rFonts w:cs="Arial"/>
          <w:sz w:val="20"/>
          <w:szCs w:val="20"/>
        </w:rPr>
        <w:t>členu so opredeljeni pojmi, ki se uporabljajo v tem zakonu</w:t>
      </w:r>
      <w:r w:rsidR="00E43FDB" w:rsidRPr="002F30DF">
        <w:rPr>
          <w:rFonts w:cs="Arial"/>
          <w:sz w:val="20"/>
          <w:szCs w:val="20"/>
        </w:rPr>
        <w:t>,</w:t>
      </w:r>
      <w:r w:rsidRPr="002F30DF">
        <w:rPr>
          <w:rFonts w:cs="Arial"/>
          <w:sz w:val="20"/>
          <w:szCs w:val="20"/>
        </w:rPr>
        <w:t xml:space="preserve"> in sicer</w:t>
      </w:r>
      <w:r w:rsidR="002934DB" w:rsidRPr="002F30DF">
        <w:rPr>
          <w:rFonts w:cs="Arial"/>
          <w:sz w:val="20"/>
          <w:szCs w:val="20"/>
        </w:rPr>
        <w:t xml:space="preserve"> so</w:t>
      </w:r>
      <w:r w:rsidRPr="002F30DF">
        <w:rPr>
          <w:rFonts w:cs="Arial"/>
          <w:sz w:val="20"/>
          <w:szCs w:val="20"/>
        </w:rPr>
        <w:t xml:space="preserve"> v prvem odstavku opredeljeni splošni pojmi, ki veljajo za cel zakon, medtem ko so v drugem odstavku opredeljeni pojmi, ki se nanašajo na del, ki ureja posamezna pravila glede povrnitve škode zaradi kršitev konkurenčnega prava.</w:t>
      </w:r>
    </w:p>
    <w:p w:rsidR="007522E3" w:rsidRPr="002F30DF" w:rsidRDefault="007522E3" w:rsidP="0025166A">
      <w:pPr>
        <w:spacing w:line="260" w:lineRule="atLeast"/>
        <w:rPr>
          <w:rFonts w:cs="Arial"/>
          <w:sz w:val="20"/>
          <w:szCs w:val="20"/>
        </w:rPr>
      </w:pPr>
      <w:r w:rsidRPr="002F30DF">
        <w:rPr>
          <w:rFonts w:cs="Arial"/>
          <w:sz w:val="20"/>
          <w:szCs w:val="20"/>
        </w:rPr>
        <w:t xml:space="preserve"> </w:t>
      </w:r>
    </w:p>
    <w:p w:rsidR="007522E3" w:rsidRPr="002F30DF" w:rsidRDefault="007522E3" w:rsidP="0025166A">
      <w:pPr>
        <w:spacing w:line="260" w:lineRule="atLeast"/>
        <w:rPr>
          <w:rFonts w:cs="Arial"/>
          <w:sz w:val="20"/>
          <w:szCs w:val="20"/>
        </w:rPr>
      </w:pPr>
      <w:r w:rsidRPr="002F30DF">
        <w:rPr>
          <w:rFonts w:cs="Arial"/>
          <w:sz w:val="20"/>
          <w:szCs w:val="20"/>
        </w:rPr>
        <w:t>Pojem »podjetje« zajema vse subjekte, ki opravljajo gospodarsko dejavnost, ne glede na njihovo pravnoorganizacijsko obliko in lastninsko pripadnost ter podjetni</w:t>
      </w:r>
      <w:r w:rsidRPr="002F30DF">
        <w:rPr>
          <w:rFonts w:cs="Arial"/>
          <w:sz w:val="20"/>
          <w:szCs w:val="20"/>
        </w:rPr>
        <w:lastRenderedPageBreak/>
        <w:t xml:space="preserve">ška združenja, ki neposredno ne opravljajo gospodarske dejavnosti, vendar vplivajo ali bi lahko vplivala na ravnanje podjetij na trgu. Podjetniška združenja se ustanavljajo iz različnih interesov, njihovo delovanje lahko poseže tudi na trg, tako da omejujejo svobodno nastopanje svojih članov. Ker je učinek sklepa podjetniškega združenja o nastopu podjetij na trgu lahko enak kot v primeru sklepanja </w:t>
      </w:r>
      <w:r w:rsidR="002934DB" w:rsidRPr="002F30DF">
        <w:rPr>
          <w:rFonts w:cs="Arial"/>
          <w:sz w:val="20"/>
          <w:szCs w:val="20"/>
        </w:rPr>
        <w:t xml:space="preserve">sporazumov </w:t>
      </w:r>
      <w:r w:rsidRPr="002F30DF">
        <w:rPr>
          <w:rFonts w:cs="Arial"/>
          <w:sz w:val="20"/>
          <w:szCs w:val="20"/>
        </w:rPr>
        <w:t>med podjetji, so tudi takšni sklepi podjetniških združenj prepovedani. Pojem podjetniškega združenja razumemo zelo široko. Sem sodijo npr. gospodarske interesne skupnosti, strokovna združenja podjetij določene panoge, gospodarske zbornice in združenja v njihovi sestavi itd. Vsi pa imajo nekaj nujnih značilnosti</w:t>
      </w:r>
      <w:r w:rsidR="00B9445D" w:rsidRPr="002F30DF">
        <w:rPr>
          <w:rFonts w:cs="Arial"/>
          <w:sz w:val="20"/>
          <w:szCs w:val="20"/>
        </w:rPr>
        <w:t>, kot so</w:t>
      </w:r>
      <w:r w:rsidRPr="002F30DF">
        <w:rPr>
          <w:rFonts w:cs="Arial"/>
          <w:sz w:val="20"/>
          <w:szCs w:val="20"/>
        </w:rPr>
        <w:t xml:space="preserve"> zavestno vzpostavljena organizacija, obstoj članov (določljiv krog podjetij) in možnost vpliva organizacije na tržno ravnanje podjetij članov. S tem zakonom se ohranja definicija iz </w:t>
      </w:r>
      <w:r w:rsidR="00E43FDB" w:rsidRPr="002F30DF">
        <w:rPr>
          <w:rFonts w:cs="Arial"/>
          <w:sz w:val="20"/>
          <w:szCs w:val="20"/>
        </w:rPr>
        <w:t xml:space="preserve">Zakona o preprečevanju omejevanja konkurence (Uradni list RS, št. </w:t>
      </w:r>
      <w:hyperlink r:id="rId42" w:tgtFrame="_blank" w:tooltip="Zakon o preprečevanju omejevanja konkurence (ZPOmK-1)" w:history="1">
        <w:r w:rsidR="00E43FDB" w:rsidRPr="002F30DF">
          <w:rPr>
            <w:rFonts w:cs="Arial"/>
            <w:sz w:val="20"/>
            <w:szCs w:val="20"/>
          </w:rPr>
          <w:t>36/08</w:t>
        </w:r>
      </w:hyperlink>
      <w:r w:rsidR="00E43FDB" w:rsidRPr="002F30DF">
        <w:rPr>
          <w:rFonts w:cs="Arial"/>
          <w:sz w:val="20"/>
          <w:szCs w:val="20"/>
        </w:rPr>
        <w:t xml:space="preserve">, </w:t>
      </w:r>
      <w:hyperlink r:id="rId43" w:tgtFrame="_blank" w:tooltip="Zakon o spremembah in dopolnitvah Zakona o preprečevanju omejevanja konkurence" w:history="1">
        <w:r w:rsidR="00E43FDB" w:rsidRPr="002F30DF">
          <w:rPr>
            <w:rFonts w:cs="Arial"/>
            <w:sz w:val="20"/>
            <w:szCs w:val="20"/>
          </w:rPr>
          <w:t>40/09</w:t>
        </w:r>
      </w:hyperlink>
      <w:r w:rsidR="00E43FDB" w:rsidRPr="002F30DF">
        <w:rPr>
          <w:rFonts w:cs="Arial"/>
          <w:sz w:val="20"/>
          <w:szCs w:val="20"/>
        </w:rPr>
        <w:t xml:space="preserve">, </w:t>
      </w:r>
      <w:hyperlink r:id="rId44" w:tgtFrame="_blank" w:tooltip="Zakon o spremembah in dopolnitvah Zakona o preprečevanju omejevanja konkurence" w:history="1">
        <w:r w:rsidR="00E43FDB" w:rsidRPr="002F30DF">
          <w:rPr>
            <w:rFonts w:cs="Arial"/>
            <w:sz w:val="20"/>
            <w:szCs w:val="20"/>
          </w:rPr>
          <w:t>26/11</w:t>
        </w:r>
      </w:hyperlink>
      <w:r w:rsidR="00E43FDB" w:rsidRPr="002F30DF">
        <w:rPr>
          <w:rFonts w:cs="Arial"/>
          <w:sz w:val="20"/>
          <w:szCs w:val="20"/>
        </w:rPr>
        <w:t xml:space="preserve">, </w:t>
      </w:r>
      <w:hyperlink r:id="rId45" w:tgtFrame="_blank" w:tooltip="Zakon o spremembah in dopolnitvah Zakona o spremembah in dopolnitvah Zakona o preprečevanju omejevanja konkurence" w:history="1">
        <w:r w:rsidR="00E43FDB" w:rsidRPr="002F30DF">
          <w:rPr>
            <w:rFonts w:cs="Arial"/>
            <w:sz w:val="20"/>
            <w:szCs w:val="20"/>
          </w:rPr>
          <w:t>87/11</w:t>
        </w:r>
      </w:hyperlink>
      <w:r w:rsidR="00E43FDB" w:rsidRPr="002F30DF">
        <w:rPr>
          <w:rFonts w:cs="Arial"/>
          <w:sz w:val="20"/>
          <w:szCs w:val="20"/>
        </w:rPr>
        <w:t xml:space="preserve">, </w:t>
      </w:r>
      <w:hyperlink r:id="rId46" w:tgtFrame="_blank" w:tooltip="Zakon o spremembah in dopolnitvah Zakona o preprečevanju omejevanja konkurence" w:history="1">
        <w:r w:rsidR="00E43FDB" w:rsidRPr="002F30DF">
          <w:rPr>
            <w:rFonts w:cs="Arial"/>
            <w:sz w:val="20"/>
            <w:szCs w:val="20"/>
          </w:rPr>
          <w:t>57/12</w:t>
        </w:r>
      </w:hyperlink>
      <w:r w:rsidR="00E43FDB" w:rsidRPr="002F30DF">
        <w:rPr>
          <w:rFonts w:cs="Arial"/>
          <w:sz w:val="20"/>
          <w:szCs w:val="20"/>
        </w:rPr>
        <w:t xml:space="preserve">, </w:t>
      </w:r>
      <w:hyperlink r:id="rId47" w:tgtFrame="_blank" w:tooltip="Odločba o ugotovitvi protiustavnosti prvega stavka prvega odstavka 28. člena Zakona o preprečevanju omejevanja konkurence. Odločba o ugotovitvi, da členi 54, 56, 57, 59 in 61 Zakona o preprečevanju omejevanja konkurence niso v neskladju z Ustavo" w:history="1">
        <w:r w:rsidR="00E43FDB" w:rsidRPr="002F30DF">
          <w:rPr>
            <w:rFonts w:cs="Arial"/>
            <w:sz w:val="20"/>
            <w:szCs w:val="20"/>
          </w:rPr>
          <w:t>39/13</w:t>
        </w:r>
      </w:hyperlink>
      <w:r w:rsidR="00E43FDB" w:rsidRPr="002F30DF">
        <w:rPr>
          <w:rFonts w:cs="Arial"/>
          <w:sz w:val="20"/>
          <w:szCs w:val="20"/>
        </w:rPr>
        <w:t xml:space="preserve"> – odl. US, </w:t>
      </w:r>
      <w:hyperlink r:id="rId48" w:tgtFrame="_blank" w:tooltip="Zakon o spremembah in dopolnitvah Zakona o sodiščih" w:history="1">
        <w:r w:rsidR="00E43FDB" w:rsidRPr="002F30DF">
          <w:rPr>
            <w:rFonts w:cs="Arial"/>
            <w:sz w:val="20"/>
            <w:szCs w:val="20"/>
          </w:rPr>
          <w:t>63/13</w:t>
        </w:r>
      </w:hyperlink>
      <w:r w:rsidR="00E43FDB" w:rsidRPr="002F30DF">
        <w:rPr>
          <w:rFonts w:cs="Arial"/>
          <w:sz w:val="20"/>
          <w:szCs w:val="20"/>
        </w:rPr>
        <w:t xml:space="preserve"> – ZS-K, </w:t>
      </w:r>
      <w:hyperlink r:id="rId49" w:tgtFrame="_blank" w:tooltip="Zakon o spremembah in dopolnitvah Zakona o preprečevanju omejevanja konkurence" w:history="1">
        <w:r w:rsidR="00E43FDB" w:rsidRPr="002F30DF">
          <w:rPr>
            <w:rFonts w:cs="Arial"/>
            <w:sz w:val="20"/>
            <w:szCs w:val="20"/>
          </w:rPr>
          <w:t>33/14</w:t>
        </w:r>
      </w:hyperlink>
      <w:r w:rsidR="00E43FDB" w:rsidRPr="002F30DF">
        <w:rPr>
          <w:rFonts w:cs="Arial"/>
          <w:sz w:val="20"/>
          <w:szCs w:val="20"/>
        </w:rPr>
        <w:t xml:space="preserve">, </w:t>
      </w:r>
      <w:hyperlink r:id="rId50" w:tgtFrame="_blank" w:tooltip="Zakon o dopolnitvah Zakona o preprečevanju omejevanja konkurence" w:history="1">
        <w:r w:rsidR="00E43FDB" w:rsidRPr="002F30DF">
          <w:rPr>
            <w:rFonts w:cs="Arial"/>
            <w:sz w:val="20"/>
            <w:szCs w:val="20"/>
          </w:rPr>
          <w:t>76/15</w:t>
        </w:r>
      </w:hyperlink>
      <w:r w:rsidR="00E43FDB" w:rsidRPr="002F30DF">
        <w:rPr>
          <w:rFonts w:cs="Arial"/>
          <w:sz w:val="20"/>
          <w:szCs w:val="20"/>
        </w:rPr>
        <w:t xml:space="preserve"> in </w:t>
      </w:r>
      <w:hyperlink r:id="rId51" w:tgtFrame="_blank" w:tooltip="Zakon o spremembah in dopolnitvah Zakona o preprečevanju omejevanja konkurence" w:history="1">
        <w:r w:rsidR="00E43FDB" w:rsidRPr="002F30DF">
          <w:rPr>
            <w:rFonts w:cs="Arial"/>
            <w:sz w:val="20"/>
            <w:szCs w:val="20"/>
          </w:rPr>
          <w:t>23/17</w:t>
        </w:r>
      </w:hyperlink>
      <w:r w:rsidR="00E43FDB" w:rsidRPr="002F30DF">
        <w:rPr>
          <w:rFonts w:cs="Arial"/>
          <w:sz w:val="20"/>
          <w:szCs w:val="20"/>
        </w:rPr>
        <w:t xml:space="preserve">; v nadaljnjem besedilu: </w:t>
      </w:r>
      <w:r w:rsidRPr="002F30DF">
        <w:rPr>
          <w:rFonts w:cs="Arial"/>
          <w:sz w:val="20"/>
          <w:szCs w:val="20"/>
        </w:rPr>
        <w:t>ZPOmK-1</w:t>
      </w:r>
      <w:r w:rsidR="00E43FDB" w:rsidRPr="002F30DF">
        <w:rPr>
          <w:rFonts w:cs="Arial"/>
          <w:sz w:val="20"/>
          <w:szCs w:val="20"/>
        </w:rPr>
        <w:t>)</w:t>
      </w:r>
      <w:r w:rsidRPr="002F30DF">
        <w:rPr>
          <w:rFonts w:cs="Arial"/>
          <w:sz w:val="20"/>
          <w:szCs w:val="20"/>
        </w:rPr>
        <w:t xml:space="preserve">, ki tudi ustreza opredelitvi pojma podjetje iz 10. točke prvega </w:t>
      </w:r>
      <w:r w:rsidR="007D7C23" w:rsidRPr="002F30DF">
        <w:rPr>
          <w:rFonts w:cs="Arial"/>
          <w:sz w:val="20"/>
          <w:szCs w:val="20"/>
        </w:rPr>
        <w:t xml:space="preserve">odstavka </w:t>
      </w:r>
      <w:r w:rsidRPr="002F30DF">
        <w:rPr>
          <w:rFonts w:cs="Arial"/>
          <w:sz w:val="20"/>
          <w:szCs w:val="20"/>
        </w:rPr>
        <w:t>1. člena Direktive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drugi točki je definiran »pojem gospodarske dejavnosti«. Prvi znak gospodarske dejavnosti je, da se opravlja proti plačilu, drugi znak pa je opravljanje te dejavnosti na trgu. Sem torej ne sodijo dejavnosti, ki se opravljajo neodplačno oziroma po netržnih pravilih, kot so dobrodelne dejavnosti in podobno.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Zakon ohranja dosedanje definicij</w:t>
      </w:r>
      <w:r w:rsidR="00E43FDB" w:rsidRPr="002F30DF">
        <w:rPr>
          <w:rFonts w:cs="Arial"/>
          <w:sz w:val="20"/>
          <w:szCs w:val="20"/>
        </w:rPr>
        <w:t>e</w:t>
      </w:r>
      <w:r w:rsidRPr="002F30DF">
        <w:rPr>
          <w:rFonts w:cs="Arial"/>
          <w:sz w:val="20"/>
          <w:szCs w:val="20"/>
        </w:rPr>
        <w:t xml:space="preserve"> gospodujočega in odvisnega podjetja, podjetij v skupini, v koncentraciji udeležena podjetja, letni promet v koncentraciji udeleženih podjetij skupaj z drugimi podjetji v skupini, letni promet kreditnih in finančnih institucij</w:t>
      </w:r>
      <w:r w:rsidR="00E43FDB" w:rsidRPr="002F30DF">
        <w:rPr>
          <w:rFonts w:cs="Arial"/>
          <w:sz w:val="20"/>
          <w:szCs w:val="20"/>
        </w:rPr>
        <w:t xml:space="preserve"> in</w:t>
      </w:r>
      <w:r w:rsidRPr="002F30DF">
        <w:rPr>
          <w:rFonts w:cs="Arial"/>
          <w:sz w:val="20"/>
          <w:szCs w:val="20"/>
        </w:rPr>
        <w:t xml:space="preserve"> letni promet zavarovalnic</w:t>
      </w:r>
      <w:r w:rsidR="00D5330B" w:rsidRPr="002F30DF">
        <w:rPr>
          <w:rFonts w:cs="Arial"/>
          <w:sz w:val="20"/>
          <w:szCs w:val="20"/>
        </w:rPr>
        <w:t>.</w:t>
      </w:r>
      <w:r w:rsidRPr="002F30DF">
        <w:rPr>
          <w:rFonts w:cs="Arial"/>
          <w:sz w:val="20"/>
          <w:szCs w:val="20"/>
        </w:rPr>
        <w:t xml:space="preserve"> Ti pojmi se uporabljajo v določbah, ki se nanašajo na presojo skladnosti koncentracij s pravili konkurence in sankcioniranje podjetij in odgovornih oseb zaradi kršitev določb, ki se nanašajo na koncentracijo.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Tudi pri pojmih upoštevni trg, upoštevni proizvodni/storitveni trg, upoštevni geografski trgi, letni promet, letni promet na trgu Republike Slovenije in skupinske izjeme se ohranja dosedanja opredelitev.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 upoštevnem trgu gre za trg, na katerem se določeno ravnanje podjetja presoja. Opredelitev upoštevnega trga je pomembna tako pri presojanju koncentracij, pri presoji zlorab prevladujočega položaja, kot tudi pri presoji omejevalnih sporazumov (razen v primerih omejitev po cilju). Upoštevni trg se določa na podlagi predhodno ugotovljenega upoštevnega proizvodnega/storitvenega in geografskega trga.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»Upoštevni proizvodni/storitveni trg« praviloma vključuje vse tiste proizvode in/ali storitve, ki jih potrošnik in/ali uporabnik šteje za zamenljive ali nadomestljive glede na njihove lastnosti, ceno ali namen uporabe. Pri določanju upoštevnega trga se upoštevajo zlasti naslednji dejavniki: zamenljivost povpraševanja, zamenljivost ponudbe, potencialno konkurenco in ovire za vstop na trg.</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»Upoštevni geografski trg« praviloma vključuje območje, na katerem so objektivni konkurenčni pogoji, ki se nanašajo na zadevni proizvod, podobni oziroma zadostno homogeni. Upoštevni geografski trg je lahko nacionalni (ozemlje Republike Slovenije), regionalni (del ozemlja Republike Slovenije) ali trg, ki obsega širše ozemlje (npr. trg Evropske unije). Tudi ta trg se določa na podlagi podobnih principov kot upoštevni proizvodni/storitveni trg, hkrati pa se upoštevajo tudi drugi dejavniki (cene, transportni stroški, regionalne razlike in podobno).</w:t>
      </w:r>
    </w:p>
    <w:p w:rsidR="007522E3" w:rsidRPr="002F30DF" w:rsidRDefault="007522E3" w:rsidP="0025166A">
      <w:pPr>
        <w:spacing w:line="260" w:lineRule="atLeast"/>
        <w:rPr>
          <w:rFonts w:cs="Arial"/>
          <w:sz w:val="20"/>
          <w:szCs w:val="20"/>
        </w:rPr>
      </w:pPr>
    </w:p>
    <w:p w:rsidR="00EA2BF9" w:rsidRPr="002F30DF" w:rsidRDefault="007522E3" w:rsidP="0025166A">
      <w:pPr>
        <w:spacing w:line="260" w:lineRule="atLeast"/>
        <w:rPr>
          <w:rFonts w:cs="Arial"/>
          <w:sz w:val="20"/>
          <w:szCs w:val="20"/>
        </w:rPr>
      </w:pPr>
      <w:r w:rsidRPr="002F30DF">
        <w:rPr>
          <w:rFonts w:cs="Arial"/>
          <w:sz w:val="20"/>
          <w:szCs w:val="20"/>
        </w:rPr>
        <w:t>Glede na ZPOmK-1 se ohranja opredelitev katere vrste podatkov se lahko štejejo za zaupne podatke</w:t>
      </w:r>
      <w:r w:rsidR="00B757C1" w:rsidRPr="002F30DF">
        <w:rPr>
          <w:rFonts w:cs="Arial"/>
          <w:sz w:val="20"/>
          <w:szCs w:val="20"/>
        </w:rPr>
        <w:t>, vendar se s</w:t>
      </w:r>
      <w:r w:rsidR="00FF5E7D" w:rsidRPr="002F30DF">
        <w:rPr>
          <w:rFonts w:cs="Arial"/>
          <w:sz w:val="20"/>
          <w:szCs w:val="20"/>
        </w:rPr>
        <w:t>kladno s sodno prakso</w:t>
      </w:r>
      <w:r w:rsidR="00BE48EE" w:rsidRPr="002F30DF">
        <w:rPr>
          <w:rFonts w:cs="Arial"/>
          <w:sz w:val="20"/>
          <w:szCs w:val="20"/>
        </w:rPr>
        <w:t xml:space="preserve"> EU sodišča nekoliko spreminjajo kriteriji, ki morajo biti kumulativno izpolnjeni, da se podatek lahko šteje za poslovno skrivnost. Podatek ali poslovna korespondenca, ki se nanašajo na gospodarsko dejavnost podjetja ali drugi zaščite vredni podatki, veljajo za poslovno skrivnost, če je z njimi seznanjeno omejeno število ljudi, če bi njihovo razkritje lahko resno škodilo osebi, ki jih da na voljo, ali tretjim, in če so interesi, ki so z razkritjem informacij lahko prizadeti, objektivno vredni zaščite.</w:t>
      </w:r>
      <w:r w:rsidR="00EA2BF9" w:rsidRPr="002F30DF">
        <w:rPr>
          <w:rFonts w:cs="Arial"/>
          <w:sz w:val="20"/>
          <w:szCs w:val="20"/>
        </w:rPr>
        <w:t xml:space="preserve"> </w:t>
      </w:r>
      <w:r w:rsidR="00B757C1" w:rsidRPr="002F30DF">
        <w:rPr>
          <w:rFonts w:cs="Arial"/>
          <w:sz w:val="20"/>
          <w:szCs w:val="20"/>
        </w:rPr>
        <w:t>Vsi ti trije kriteriji morajo biti izpolnjeni kumulativno, da se lahko podatek opredeli kot poslovna skrivnost.</w:t>
      </w:r>
    </w:p>
    <w:p w:rsidR="00511B98" w:rsidRPr="002F30DF" w:rsidRDefault="00511B98"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»Skupinske izjeme« so skupine sporazumov, ki ustrezajo pogojem iz tretjega odstavka 5. člena tega zakona ali tretjega odstavka 101. člena Pogodbe o delovanju Evropske unije (v nadaljnjem besedilu: PDEU). Gre torej za skupino sporazumov, ki imajo sicer znake iz prvega odstavka 5. člena tega zakona ali prvega odstavka 101. člena PDEU, vendar so zaradi tega, ker izpolnjujejo pozitivne pogoje in ne izpolnjujejo negativnih pogojev, lahko izvzeti od prepovedi in ničnosti. Izraz omejevalna ravnanja v tem zakonu označuje omejevalne sporazume (5. člen tega zakona) in zlorabo prevladujočega položaja (8. člen tega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»kartel« je opredeljen kot sporazum ali usklajeno ravnanje dveh ali več podjetij, katerega namen je usklajevanje njihovega konkurenčnega ravnanja na trgu ali vplivanje na relevantne dejavnike konkurence s praksami. Kot kartel se </w:t>
      </w:r>
      <w:r w:rsidRPr="002F30DF">
        <w:rPr>
          <w:rFonts w:cs="Arial"/>
          <w:sz w:val="20"/>
          <w:szCs w:val="20"/>
        </w:rPr>
        <w:lastRenderedPageBreak/>
        <w:t xml:space="preserve">obravnava zlasti določanje ali usklajevanje nakupnih ali prodajnih cen ali drugih pogojev trgovanja, vključno s pravicami intelektualne lastnine, razdelitev proizvodnih ali prodajnih kvot, delitev trgov in kupcev, dogovorjeno oddajanje ponudb, omejitve pri uvozu ali izvozu ali protikonkurenčni ukrepi zoper druga konkurenčna podjetja.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Ker vsi štirje evropski predpisi, ki se izvajajo oziroma prenašajo s tem zakonom, nanašajo na države članice Evropskega gospodarskega prostora, se v zakonu opredeljuje pojem država članic</w:t>
      </w:r>
      <w:r w:rsidR="00D5330B" w:rsidRPr="002F30DF">
        <w:rPr>
          <w:rFonts w:cs="Arial"/>
          <w:sz w:val="20"/>
          <w:szCs w:val="20"/>
        </w:rPr>
        <w:t>a</w:t>
      </w:r>
      <w:r w:rsidRPr="002F30DF">
        <w:rPr>
          <w:rFonts w:cs="Arial"/>
          <w:sz w:val="20"/>
          <w:szCs w:val="20"/>
        </w:rPr>
        <w:t xml:space="preserve">. Pojem »država članica« tako zajema vse države članice Evropske unije in države podpisnice Sporazuma o ustanovitvi Evropskega gospodarskega prostora (Uradni list L št. 1 z dne 3. januarja 1994, str. 3).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»organ, pristojen za varstvo konkurence« </w:t>
      </w:r>
      <w:r w:rsidR="00680E5E" w:rsidRPr="002F30DF">
        <w:rPr>
          <w:rFonts w:cs="Arial"/>
          <w:sz w:val="20"/>
          <w:szCs w:val="20"/>
        </w:rPr>
        <w:t>so Evropska komisija, agencija ali organ, pristojen za varstvo konkurence druge države članice.</w:t>
      </w:r>
    </w:p>
    <w:p w:rsidR="007522E3" w:rsidRPr="002F30DF" w:rsidRDefault="007522E3" w:rsidP="0025166A">
      <w:pPr>
        <w:spacing w:line="260" w:lineRule="atLeast"/>
        <w:rPr>
          <w:rFonts w:cs="Arial"/>
          <w:sz w:val="20"/>
          <w:szCs w:val="20"/>
        </w:rPr>
      </w:pPr>
      <w:r w:rsidRPr="002F30DF">
        <w:rPr>
          <w:rFonts w:cs="Arial"/>
          <w:sz w:val="20"/>
          <w:szCs w:val="20"/>
        </w:rPr>
        <w:t xml:space="preserve">Zelo pomembno je sodelovanje </w:t>
      </w:r>
      <w:r w:rsidR="007D472B" w:rsidRPr="002F30DF">
        <w:rPr>
          <w:rFonts w:cs="Arial"/>
          <w:sz w:val="20"/>
          <w:szCs w:val="20"/>
        </w:rPr>
        <w:t>a</w:t>
      </w:r>
      <w:r w:rsidR="0045309B" w:rsidRPr="002F30DF">
        <w:rPr>
          <w:rFonts w:cs="Arial"/>
          <w:sz w:val="20"/>
          <w:szCs w:val="20"/>
        </w:rPr>
        <w:t>genc</w:t>
      </w:r>
      <w:r w:rsidRPr="002F30DF">
        <w:rPr>
          <w:rFonts w:cs="Arial"/>
          <w:sz w:val="20"/>
          <w:szCs w:val="20"/>
        </w:rPr>
        <w:t>ije z drugimi organi, pristojnimi za varstvo konkurence, na forumu za razprave in sodelovanje v zvezi z uporabo in uveljavljanje</w:t>
      </w:r>
      <w:r w:rsidR="00CC0426" w:rsidRPr="002F30DF">
        <w:rPr>
          <w:rFonts w:cs="Arial"/>
          <w:sz w:val="20"/>
          <w:szCs w:val="20"/>
        </w:rPr>
        <w:t>m</w:t>
      </w:r>
      <w:r w:rsidRPr="002F30DF">
        <w:rPr>
          <w:rFonts w:cs="Arial"/>
          <w:sz w:val="20"/>
          <w:szCs w:val="20"/>
        </w:rPr>
        <w:t xml:space="preserve"> 101. ali 102. člena Pogodbe o delovanju, ki ga sestavljajo Evropska komisija ter organi, pristojni za varstvo konkurence države članice, za katerega se uporablja izraz »Evropska mreža za konkurenco«.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»postopek za uveljavljanje pravil konkurence« je postopek, ki teče pred organom, pristojnim za varstvo konkurence, in traja dokler ta organ tega postopka ne konča </w:t>
      </w:r>
      <w:r w:rsidR="000619EE" w:rsidRPr="002F30DF">
        <w:rPr>
          <w:rFonts w:cs="Arial"/>
          <w:sz w:val="20"/>
          <w:szCs w:val="20"/>
        </w:rPr>
        <w:t xml:space="preserve">z izdajo </w:t>
      </w:r>
      <w:r w:rsidRPr="002F30DF">
        <w:rPr>
          <w:rFonts w:cs="Arial"/>
          <w:sz w:val="20"/>
          <w:szCs w:val="20"/>
        </w:rPr>
        <w:t>odločbe, s katero se ugotovi kršitev konkurenčnega prava, ali sprejme zaveze, ali izreče sankcij</w:t>
      </w:r>
      <w:r w:rsidR="00E43FDB" w:rsidRPr="002F30DF">
        <w:rPr>
          <w:rFonts w:cs="Arial"/>
          <w:sz w:val="20"/>
          <w:szCs w:val="20"/>
        </w:rPr>
        <w:t>o</w:t>
      </w:r>
      <w:r w:rsidRPr="002F30DF">
        <w:rPr>
          <w:rFonts w:cs="Arial"/>
          <w:sz w:val="20"/>
          <w:szCs w:val="20"/>
        </w:rPr>
        <w:t>, ali dokler organ, pristojen  za varstvo konkurence, ne ugotovi, da ni nobenega razloga za njegovo nadaljnje ukrepanje. Opredelitev postopka za uveljavljanje pravil konkurence je potrebna, ker so na potek postopka vezani procesni roki in tek zastaralnih rokov.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»vloga za poravnavo« je vloga, ki jo podjetje ali od njega pooblaščena oseba prostovoljno predstavi organu, pristojnemu za varstvo konkurence, in v katerem opiše sodelovanje pri kršitvi konkurenčnega prava in prevzame odgovornost za to kršitev konkurenčnega prava ali se odpove ugovarjanju glede njegovega sodelovanja in odgovornosti, in je pripravljeno z namenom, da organu, pristojnemu za varstvo konkurence, omogoča uporabo postopka, na podlagi katerega lahko hitreje odloči o zadevi. </w:t>
      </w:r>
    </w:p>
    <w:p w:rsidR="007522E3" w:rsidRPr="002F30DF" w:rsidRDefault="007522E3" w:rsidP="0025166A">
      <w:pPr>
        <w:spacing w:line="260" w:lineRule="atLeast"/>
        <w:rPr>
          <w:rFonts w:cs="Arial"/>
          <w:sz w:val="20"/>
          <w:szCs w:val="20"/>
        </w:rPr>
      </w:pPr>
    </w:p>
    <w:p w:rsidR="00CC0426" w:rsidRPr="002F30DF" w:rsidRDefault="007522E3" w:rsidP="0025166A">
      <w:pPr>
        <w:spacing w:line="260" w:lineRule="atLeast"/>
        <w:rPr>
          <w:rFonts w:cs="Arial"/>
          <w:sz w:val="20"/>
          <w:szCs w:val="20"/>
        </w:rPr>
      </w:pPr>
      <w:r w:rsidRPr="002F30DF">
        <w:rPr>
          <w:rFonts w:cs="Arial"/>
          <w:sz w:val="20"/>
          <w:szCs w:val="20"/>
        </w:rPr>
        <w:t xml:space="preserve">Pojem »progam prizanesljivosti« se uporablja za program v zvezi z uporabo 5. člena tega zakona oziroma 101. člena PDEU, v katerem udeleženec v kartelu </w:t>
      </w:r>
      <w:r w:rsidRPr="002F30DF">
        <w:rPr>
          <w:rFonts w:cs="Arial"/>
          <w:sz w:val="20"/>
          <w:szCs w:val="20"/>
        </w:rPr>
        <w:lastRenderedPageBreak/>
        <w:t>neodvisno od drugih podjetij sodeluje v postopku preiskovalnega organa ali organa, pristojnega za varstvo konkurence, tako da prostovoljno razkrije informacije o kartelu in svojo vlogo v njem, z namenom odpustitve ali znižanja denarne sankcije v okviru programa prizanesljivosti. Ta program udeležencem omejevalnih sporazumov po cilju omogoča, da pod določenimi pogoji pridobijo možnost odpustitve denarne sankcije (imunitete pred denarno sankcijo) ali znižanje denarne sankcije. Program prizanesljivosti se pred organom, pristojnim za varstvo konkurence, začne na predlog udeleženca v kartelu, tako da organu, pristojnem</w:t>
      </w:r>
      <w:r w:rsidR="00CC0426" w:rsidRPr="002F30DF">
        <w:rPr>
          <w:rFonts w:cs="Arial"/>
          <w:sz w:val="20"/>
          <w:szCs w:val="20"/>
        </w:rPr>
        <w:t>u</w:t>
      </w:r>
      <w:r w:rsidRPr="002F30DF">
        <w:rPr>
          <w:rFonts w:cs="Arial"/>
          <w:sz w:val="20"/>
          <w:szCs w:val="20"/>
        </w:rPr>
        <w:t xml:space="preserve"> za varstvo konkurence, prostovoljno predloži </w:t>
      </w:r>
      <w:r w:rsidR="00F041F0" w:rsidRPr="002F30DF">
        <w:rPr>
          <w:rFonts w:cs="Arial"/>
          <w:sz w:val="20"/>
          <w:szCs w:val="20"/>
        </w:rPr>
        <w:t xml:space="preserve">izjavo </w:t>
      </w:r>
      <w:r w:rsidRPr="002F30DF">
        <w:rPr>
          <w:rFonts w:cs="Arial"/>
          <w:sz w:val="20"/>
          <w:szCs w:val="20"/>
        </w:rPr>
        <w:t>za</w:t>
      </w:r>
      <w:r w:rsidR="00F041F0" w:rsidRPr="002F30DF">
        <w:rPr>
          <w:rFonts w:cs="Arial"/>
          <w:sz w:val="20"/>
          <w:szCs w:val="20"/>
        </w:rPr>
        <w:t>radi</w:t>
      </w:r>
      <w:r w:rsidRPr="002F30DF">
        <w:rPr>
          <w:rFonts w:cs="Arial"/>
          <w:sz w:val="20"/>
          <w:szCs w:val="20"/>
        </w:rPr>
        <w:t xml:space="preserve"> prizanesljivost</w:t>
      </w:r>
      <w:r w:rsidR="00EF23E8" w:rsidRPr="002F30DF">
        <w:rPr>
          <w:rFonts w:cs="Arial"/>
          <w:sz w:val="20"/>
          <w:szCs w:val="20"/>
        </w:rPr>
        <w:t>i</w:t>
      </w:r>
      <w:r w:rsidRPr="002F30DF">
        <w:rPr>
          <w:rFonts w:cs="Arial"/>
          <w:sz w:val="20"/>
          <w:szCs w:val="20"/>
        </w:rPr>
        <w:t xml:space="preserve">. </w:t>
      </w:r>
    </w:p>
    <w:p w:rsidR="00CC0426" w:rsidRPr="002F30DF" w:rsidRDefault="00CC0426" w:rsidP="0025166A">
      <w:pPr>
        <w:spacing w:line="260" w:lineRule="atLeast"/>
        <w:rPr>
          <w:rFonts w:cs="Arial"/>
          <w:sz w:val="20"/>
          <w:szCs w:val="20"/>
        </w:rPr>
      </w:pPr>
    </w:p>
    <w:p w:rsidR="007522E3" w:rsidRPr="002F30DF" w:rsidRDefault="00AE0CD1" w:rsidP="0025166A">
      <w:pPr>
        <w:spacing w:line="260" w:lineRule="atLeast"/>
        <w:rPr>
          <w:rFonts w:cs="Arial"/>
          <w:sz w:val="20"/>
          <w:szCs w:val="20"/>
        </w:rPr>
      </w:pPr>
      <w:r w:rsidRPr="002F30DF">
        <w:rPr>
          <w:rFonts w:cs="Arial"/>
          <w:sz w:val="20"/>
          <w:szCs w:val="20"/>
        </w:rPr>
        <w:t xml:space="preserve">Pojem </w:t>
      </w:r>
      <w:r w:rsidR="001E712E" w:rsidRPr="002F30DF">
        <w:rPr>
          <w:rFonts w:cs="Arial"/>
          <w:sz w:val="20"/>
          <w:szCs w:val="20"/>
        </w:rPr>
        <w:t>»</w:t>
      </w:r>
      <w:r w:rsidRPr="002F30DF">
        <w:rPr>
          <w:rFonts w:cs="Arial"/>
          <w:sz w:val="20"/>
          <w:szCs w:val="20"/>
        </w:rPr>
        <w:t>i</w:t>
      </w:r>
      <w:r w:rsidR="00F041F0" w:rsidRPr="002F30DF">
        <w:rPr>
          <w:rFonts w:cs="Arial"/>
          <w:sz w:val="20"/>
          <w:szCs w:val="20"/>
        </w:rPr>
        <w:t xml:space="preserve">zjava </w:t>
      </w:r>
      <w:r w:rsidR="007522E3" w:rsidRPr="002F30DF">
        <w:rPr>
          <w:rFonts w:cs="Arial"/>
          <w:sz w:val="20"/>
          <w:szCs w:val="20"/>
        </w:rPr>
        <w:t>za</w:t>
      </w:r>
      <w:r w:rsidR="00F041F0" w:rsidRPr="002F30DF">
        <w:rPr>
          <w:rFonts w:cs="Arial"/>
          <w:sz w:val="20"/>
          <w:szCs w:val="20"/>
        </w:rPr>
        <w:t>radi</w:t>
      </w:r>
      <w:r w:rsidR="007522E3" w:rsidRPr="002F30DF">
        <w:rPr>
          <w:rFonts w:cs="Arial"/>
          <w:sz w:val="20"/>
          <w:szCs w:val="20"/>
        </w:rPr>
        <w:t xml:space="preserve"> prizanesljivost</w:t>
      </w:r>
      <w:r w:rsidR="001E712E" w:rsidRPr="002F30DF">
        <w:rPr>
          <w:rFonts w:cs="Arial"/>
          <w:sz w:val="20"/>
          <w:szCs w:val="20"/>
        </w:rPr>
        <w:t>«</w:t>
      </w:r>
      <w:r w:rsidRPr="002F30DF">
        <w:rPr>
          <w:rFonts w:cs="Arial"/>
          <w:sz w:val="20"/>
          <w:szCs w:val="20"/>
        </w:rPr>
        <w:t xml:space="preserve"> se nanaša na</w:t>
      </w:r>
      <w:r w:rsidR="007522E3" w:rsidRPr="002F30DF">
        <w:rPr>
          <w:rFonts w:cs="Arial"/>
          <w:sz w:val="20"/>
          <w:szCs w:val="20"/>
        </w:rPr>
        <w:t xml:space="preserve"> ustn</w:t>
      </w:r>
      <w:r w:rsidRPr="002F30DF">
        <w:rPr>
          <w:rFonts w:cs="Arial"/>
          <w:sz w:val="20"/>
          <w:szCs w:val="20"/>
        </w:rPr>
        <w:t>o</w:t>
      </w:r>
      <w:r w:rsidR="007522E3" w:rsidRPr="002F30DF">
        <w:rPr>
          <w:rFonts w:cs="Arial"/>
          <w:sz w:val="20"/>
          <w:szCs w:val="20"/>
        </w:rPr>
        <w:t xml:space="preserve"> ali pisn</w:t>
      </w:r>
      <w:r w:rsidRPr="002F30DF">
        <w:rPr>
          <w:rFonts w:cs="Arial"/>
          <w:sz w:val="20"/>
          <w:szCs w:val="20"/>
        </w:rPr>
        <w:t>o</w:t>
      </w:r>
      <w:r w:rsidR="007522E3" w:rsidRPr="002F30DF">
        <w:rPr>
          <w:rFonts w:cs="Arial"/>
          <w:sz w:val="20"/>
          <w:szCs w:val="20"/>
        </w:rPr>
        <w:t xml:space="preserve"> vlog</w:t>
      </w:r>
      <w:r w:rsidRPr="002F30DF">
        <w:rPr>
          <w:rFonts w:cs="Arial"/>
          <w:sz w:val="20"/>
          <w:szCs w:val="20"/>
        </w:rPr>
        <w:t>o</w:t>
      </w:r>
      <w:r w:rsidR="007522E3" w:rsidRPr="002F30DF">
        <w:rPr>
          <w:rFonts w:cs="Arial"/>
          <w:sz w:val="20"/>
          <w:szCs w:val="20"/>
        </w:rPr>
        <w:t xml:space="preserve">, ki jo podjetje ali od njega pooblaščena oseba prostovoljno predloži organu, pristojnemu za varstvo konkurence, in v kateri podjetje ali fizična oseba navede podatke o kartelu, s katerimi je seznanjena, ter </w:t>
      </w:r>
      <w:r w:rsidRPr="002F30DF">
        <w:rPr>
          <w:rFonts w:cs="Arial"/>
          <w:sz w:val="20"/>
          <w:szCs w:val="20"/>
        </w:rPr>
        <w:t>svojo</w:t>
      </w:r>
      <w:r w:rsidR="007522E3" w:rsidRPr="002F30DF">
        <w:rPr>
          <w:rFonts w:cs="Arial"/>
          <w:sz w:val="20"/>
          <w:szCs w:val="20"/>
        </w:rPr>
        <w:t xml:space="preserve"> vlog</w:t>
      </w:r>
      <w:r w:rsidRPr="002F30DF">
        <w:rPr>
          <w:rFonts w:cs="Arial"/>
          <w:sz w:val="20"/>
          <w:szCs w:val="20"/>
        </w:rPr>
        <w:t>o</w:t>
      </w:r>
      <w:r w:rsidR="007522E3" w:rsidRPr="002F30DF">
        <w:rPr>
          <w:rFonts w:cs="Arial"/>
          <w:sz w:val="20"/>
          <w:szCs w:val="20"/>
        </w:rPr>
        <w:t xml:space="preserve"> v njem</w:t>
      </w:r>
      <w:r w:rsidR="00E43FDB" w:rsidRPr="002F30DF">
        <w:rPr>
          <w:rFonts w:cs="Arial"/>
          <w:sz w:val="20"/>
          <w:szCs w:val="20"/>
        </w:rPr>
        <w:t xml:space="preserve">. Poleg tega mora biti </w:t>
      </w:r>
      <w:r w:rsidR="007522E3" w:rsidRPr="002F30DF">
        <w:rPr>
          <w:rFonts w:cs="Arial"/>
          <w:sz w:val="20"/>
          <w:szCs w:val="20"/>
        </w:rPr>
        <w:t xml:space="preserve">pripravljena posebej za organ, pristojen za varstvo konkurence, z namenom odpustitve ali znižanja denarne sankcije v okviru programa prizanesljivosti in ne vključuje predhodnih informacij.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Za informacije ali podatke, ki obstajajo neodvisno od postopka</w:t>
      </w:r>
      <w:r w:rsidR="00EA03D6" w:rsidRPr="002F30DF">
        <w:rPr>
          <w:rFonts w:cs="Arial"/>
          <w:sz w:val="20"/>
          <w:szCs w:val="20"/>
        </w:rPr>
        <w:t xml:space="preserve"> za uveljavljanje pravil konkurence</w:t>
      </w:r>
      <w:r w:rsidRPr="002F30DF">
        <w:rPr>
          <w:rFonts w:cs="Arial"/>
          <w:sz w:val="20"/>
          <w:szCs w:val="20"/>
        </w:rPr>
        <w:t xml:space="preserve">, ne glede na to, ali spis organa, pristojnega za varstvo konkurence te informacije in podatke vsebuje ali ne, se uporablja izraz </w:t>
      </w:r>
      <w:r w:rsidR="001E712E" w:rsidRPr="002F30DF">
        <w:rPr>
          <w:rFonts w:cs="Arial"/>
          <w:sz w:val="20"/>
          <w:szCs w:val="20"/>
        </w:rPr>
        <w:t>»</w:t>
      </w:r>
      <w:r w:rsidRPr="002F30DF">
        <w:rPr>
          <w:rFonts w:cs="Arial"/>
          <w:sz w:val="20"/>
          <w:szCs w:val="20"/>
        </w:rPr>
        <w:t>predhodne informacije</w:t>
      </w:r>
      <w:r w:rsidR="001E712E" w:rsidRPr="002F30DF">
        <w:rPr>
          <w:rFonts w:cs="Arial"/>
          <w:sz w:val="20"/>
          <w:szCs w:val="20"/>
        </w:rPr>
        <w:t>«</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Izraz </w:t>
      </w:r>
      <w:r w:rsidR="001E712E" w:rsidRPr="002F30DF">
        <w:rPr>
          <w:rFonts w:cs="Arial"/>
          <w:sz w:val="20"/>
          <w:szCs w:val="20"/>
        </w:rPr>
        <w:t>»</w:t>
      </w:r>
      <w:r w:rsidRPr="002F30DF">
        <w:rPr>
          <w:rFonts w:cs="Arial"/>
          <w:sz w:val="20"/>
          <w:szCs w:val="20"/>
        </w:rPr>
        <w:t>oseba, ki ji je odpuščena denarna sankcija</w:t>
      </w:r>
      <w:r w:rsidR="001E712E" w:rsidRPr="002F30DF">
        <w:rPr>
          <w:rFonts w:cs="Arial"/>
          <w:sz w:val="20"/>
          <w:szCs w:val="20"/>
        </w:rPr>
        <w:t>«</w:t>
      </w:r>
      <w:r w:rsidRPr="002F30DF">
        <w:rPr>
          <w:rFonts w:cs="Arial"/>
          <w:sz w:val="20"/>
          <w:szCs w:val="20"/>
        </w:rPr>
        <w:t xml:space="preserve"> se nanaša na podjetje ali njegovo odgovorno osebo, ki ji je organ, pristojen za varstvo konkurence, odpustil plačilo denarne sankcije v okviru programa prizanesljivosti. Ugodnosti oziroma izjem, ki jih je v skladu s tem zakonom deležna oseba, ki ji je odpuščena denarna sankcija, se v skladu z definicijo »programa prizanesljivosti«, nanaša le na podjetje ali njegovo odgovorno osebo, ki je sodelovala v kartelu in ji je organ, pristojen za varstvo konkurence, v celoti odpustil </w:t>
      </w:r>
      <w:r w:rsidR="00EA03D6" w:rsidRPr="002F30DF">
        <w:rPr>
          <w:rFonts w:cs="Arial"/>
          <w:sz w:val="20"/>
          <w:szCs w:val="20"/>
        </w:rPr>
        <w:t xml:space="preserve">administrativno </w:t>
      </w:r>
      <w:r w:rsidRPr="002F30DF">
        <w:rPr>
          <w:rFonts w:cs="Arial"/>
          <w:sz w:val="20"/>
          <w:szCs w:val="20"/>
        </w:rPr>
        <w:t>sankcijo</w:t>
      </w:r>
      <w:r w:rsidR="00EA03D6" w:rsidRPr="002F30DF">
        <w:rPr>
          <w:rFonts w:cs="Arial"/>
          <w:sz w:val="20"/>
          <w:szCs w:val="20"/>
        </w:rPr>
        <w:t xml:space="preserve"> ali globo</w:t>
      </w:r>
      <w:r w:rsidRPr="002F30DF">
        <w:rPr>
          <w:rFonts w:cs="Arial"/>
          <w:sz w:val="20"/>
          <w:szCs w:val="20"/>
        </w:rPr>
        <w:t>. Izraz oseba, ki ji je odpuščena denarna sankcija, ne vključuje oseb, ki jim je organ, pristojen za varstvo konkurence, znižal plačilo denarne sankcije v okviru programa prizanesljivosti.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Izraz </w:t>
      </w:r>
      <w:r w:rsidR="001E712E" w:rsidRPr="002F30DF">
        <w:rPr>
          <w:rFonts w:cs="Arial"/>
          <w:sz w:val="20"/>
          <w:szCs w:val="20"/>
        </w:rPr>
        <w:t>»</w:t>
      </w:r>
      <w:r w:rsidRPr="002F30DF">
        <w:rPr>
          <w:rFonts w:cs="Arial"/>
          <w:sz w:val="20"/>
          <w:szCs w:val="20"/>
        </w:rPr>
        <w:t>organ prosilec</w:t>
      </w:r>
      <w:r w:rsidR="001E712E" w:rsidRPr="002F30DF">
        <w:rPr>
          <w:rFonts w:cs="Arial"/>
          <w:sz w:val="20"/>
          <w:szCs w:val="20"/>
        </w:rPr>
        <w:t>«</w:t>
      </w:r>
      <w:r w:rsidRPr="002F30DF">
        <w:rPr>
          <w:rFonts w:cs="Arial"/>
          <w:sz w:val="20"/>
          <w:szCs w:val="20"/>
        </w:rPr>
        <w:t xml:space="preserve"> se nanaša na nacionalni organ, pristojen za varstvo konkurence druge države članice, ki zaprosi za mednarodno pomoč. Organi, pristojni za varstvo konkurence, medsebojno sodelujejo pri ugotavljanju, ali podjetja spoštujejo preiskovalne ukrepe in odločbe organa prosilca, izdane v postopkih, ki se </w:t>
      </w:r>
      <w:r w:rsidRPr="002F30DF">
        <w:rPr>
          <w:rFonts w:cs="Arial"/>
          <w:sz w:val="20"/>
          <w:szCs w:val="20"/>
        </w:rPr>
        <w:lastRenderedPageBreak/>
        <w:t>nanašajo na preiskavo, zahtevo za posredovanje podatkov, zbiranje informacij, odločbo o prenehanju s kršitvijo, začasne ukrepe ali zaveze ter pri vročitvi in izvršitvi odločb.</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drugem odstavku so opredeljeni pojmi uporabljeni pri pravilih glede povrnitve škode zaradi kršitev konkurenčnega prava.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w:t>
      </w:r>
      <w:r w:rsidR="001E712E" w:rsidRPr="002F30DF">
        <w:rPr>
          <w:rFonts w:cs="Arial"/>
          <w:sz w:val="20"/>
          <w:szCs w:val="20"/>
        </w:rPr>
        <w:t>»</w:t>
      </w:r>
      <w:r w:rsidRPr="002F30DF">
        <w:rPr>
          <w:rFonts w:cs="Arial"/>
          <w:sz w:val="20"/>
          <w:szCs w:val="20"/>
        </w:rPr>
        <w:t>kršitev konkurenčnega prava</w:t>
      </w:r>
      <w:r w:rsidR="001E712E" w:rsidRPr="002F30DF">
        <w:rPr>
          <w:rFonts w:cs="Arial"/>
          <w:sz w:val="20"/>
          <w:szCs w:val="20"/>
        </w:rPr>
        <w:t>«</w:t>
      </w:r>
      <w:r w:rsidRPr="002F30DF">
        <w:rPr>
          <w:rFonts w:cs="Arial"/>
          <w:sz w:val="20"/>
          <w:szCs w:val="20"/>
        </w:rPr>
        <w:t xml:space="preserve"> je opredeljena kot kršitev 5. ali 8. člena tega zakona oziroma 101. ali 102. člena PDEU oziroma tistih določb države članice, ki določajo enako prepoved omejevalnih sporazumov ali prepoved zlorabe prevladujočega položaja v smislu 101. ali 102. člena PDEU. Torej se kršitev konkurenčnega prava nanaša na kršitev določb o prepovedi omejevalnih sporazumov in prepovedi zlorabe prevladujočega položaja. Iz določb tega zakona izhaja, da je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pristojna za izvajanje nadzora </w:t>
      </w:r>
      <w:r w:rsidR="00CC0426" w:rsidRPr="002F30DF">
        <w:rPr>
          <w:rFonts w:cs="Arial"/>
          <w:sz w:val="20"/>
          <w:szCs w:val="20"/>
        </w:rPr>
        <w:t>5</w:t>
      </w:r>
      <w:r w:rsidRPr="002F30DF">
        <w:rPr>
          <w:rFonts w:cs="Arial"/>
          <w:sz w:val="20"/>
          <w:szCs w:val="20"/>
        </w:rPr>
        <w:t xml:space="preserve">. in </w:t>
      </w:r>
      <w:r w:rsidR="00CC0426" w:rsidRPr="002F30DF">
        <w:rPr>
          <w:rFonts w:cs="Arial"/>
          <w:sz w:val="20"/>
          <w:szCs w:val="20"/>
        </w:rPr>
        <w:t>8</w:t>
      </w:r>
      <w:r w:rsidRPr="002F30DF">
        <w:rPr>
          <w:rFonts w:cs="Arial"/>
          <w:sz w:val="20"/>
          <w:szCs w:val="20"/>
        </w:rPr>
        <w:t>. člena tega zakona ali 101. ali 102. člena PDEU, ne pa tudi določb o prepovedi omejevanja konkurence druge države članice. Evropska komisija je v skladu z Uredbo 1/2003 pristojna za izvajanje nadzora nad 101. ali 102. členom PDEU. Organi drugih držav članic pa so pristojni za izvajanje nadzora nad 101. ali 102. členom PDEU oziroma določb</w:t>
      </w:r>
      <w:r w:rsidR="00B757C1" w:rsidRPr="002F30DF">
        <w:rPr>
          <w:rFonts w:cs="Arial"/>
          <w:sz w:val="20"/>
          <w:szCs w:val="20"/>
        </w:rPr>
        <w:t>ami</w:t>
      </w:r>
      <w:r w:rsidRPr="002F30DF">
        <w:rPr>
          <w:rFonts w:cs="Arial"/>
          <w:sz w:val="20"/>
          <w:szCs w:val="20"/>
        </w:rPr>
        <w:t xml:space="preserve"> o prepovedi omejevanja konkurence, ki jih določa njihova nacionalna zakonodaja. Oškodovanci lahko v Republiki Sloveniji v skladu s pravili mednarodnega zasebnega prava uveljavljajo odškodnino, če je prišlo do kršitve konkurenčnega prava, kot je opredeljena v tem zakonu, PDEU ali v zakonodaji drugih držav članic. Zato je v pojem kršitev konkurenčnega prava vključena tudi kršitev določb drugih držav članic, ki določajo enako prepoved kot 101. ali 102. člena PDEU. Pojem kršitve konkurenčnega prava je treba ustrezno uporabiti pri posamezni določbi tega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w:t>
      </w:r>
      <w:r w:rsidR="001E712E" w:rsidRPr="002F30DF">
        <w:rPr>
          <w:rFonts w:cs="Arial"/>
          <w:sz w:val="20"/>
          <w:szCs w:val="20"/>
        </w:rPr>
        <w:t>»</w:t>
      </w:r>
      <w:r w:rsidRPr="002F30DF">
        <w:rPr>
          <w:rFonts w:cs="Arial"/>
          <w:sz w:val="20"/>
          <w:szCs w:val="20"/>
        </w:rPr>
        <w:t>kršitelj</w:t>
      </w:r>
      <w:r w:rsidR="001E712E" w:rsidRPr="002F30DF">
        <w:rPr>
          <w:rFonts w:cs="Arial"/>
          <w:sz w:val="20"/>
          <w:szCs w:val="20"/>
        </w:rPr>
        <w:t>«</w:t>
      </w:r>
      <w:r w:rsidRPr="002F30DF">
        <w:rPr>
          <w:rFonts w:cs="Arial"/>
          <w:sz w:val="20"/>
          <w:szCs w:val="20"/>
        </w:rPr>
        <w:t xml:space="preserve"> se nanaša na vsako podjetje, ki je kršilo 5. ali 8. člen tega zakona oziroma 101. ali 102. člen PDEU</w:t>
      </w:r>
      <w:r w:rsidRPr="002F30DF" w:rsidDel="005D032B">
        <w:rPr>
          <w:rFonts w:cs="Arial"/>
          <w:sz w:val="20"/>
          <w:szCs w:val="20"/>
        </w:rPr>
        <w:t xml:space="preserve"> </w:t>
      </w:r>
      <w:r w:rsidRPr="002F30DF">
        <w:rPr>
          <w:rFonts w:cs="Arial"/>
          <w:sz w:val="20"/>
          <w:szCs w:val="20"/>
        </w:rPr>
        <w:t xml:space="preserve">oziroma določbe države članice, ki določajo prepoved omejevalnih sporazumov ali prepoved zlorabe prevladujočega položaja v smislu 101. ali 102. člena PDEU. Torej zajema vsak subjekt, ki opravlja gospodarsko dejavnost, ne glede na njegovo pravnoorganizacijsko obliko in lastninsko pripadnost, vključno s podjetniškim združenjem, ki neposredno ne opravlja gospodarske dejavnosti, vendar vpliva ali bi lahko vplivalo na ravnanje podjetij. </w:t>
      </w:r>
    </w:p>
    <w:p w:rsidR="007522E3" w:rsidRPr="002F30DF" w:rsidRDefault="007522E3" w:rsidP="0025166A">
      <w:pPr>
        <w:spacing w:line="260" w:lineRule="atLeast"/>
        <w:rPr>
          <w:rFonts w:cs="Arial"/>
          <w:sz w:val="20"/>
          <w:szCs w:val="20"/>
        </w:rPr>
      </w:pPr>
    </w:p>
    <w:p w:rsidR="007522E3" w:rsidRPr="002F30DF" w:rsidRDefault="001E712E" w:rsidP="0025166A">
      <w:pPr>
        <w:spacing w:line="260" w:lineRule="atLeast"/>
        <w:rPr>
          <w:rFonts w:cs="Arial"/>
          <w:sz w:val="20"/>
          <w:szCs w:val="20"/>
        </w:rPr>
      </w:pPr>
      <w:r w:rsidRPr="002F30DF">
        <w:rPr>
          <w:rFonts w:cs="Arial"/>
          <w:sz w:val="20"/>
          <w:szCs w:val="20"/>
        </w:rPr>
        <w:t>»</w:t>
      </w:r>
      <w:r w:rsidR="007522E3" w:rsidRPr="002F30DF">
        <w:rPr>
          <w:rFonts w:cs="Arial"/>
          <w:sz w:val="20"/>
          <w:szCs w:val="20"/>
        </w:rPr>
        <w:t>Odločba o kršitvi</w:t>
      </w:r>
      <w:r w:rsidRPr="002F30DF">
        <w:rPr>
          <w:rFonts w:cs="Arial"/>
          <w:sz w:val="20"/>
          <w:szCs w:val="20"/>
        </w:rPr>
        <w:t>«</w:t>
      </w:r>
      <w:r w:rsidR="007522E3" w:rsidRPr="002F30DF">
        <w:rPr>
          <w:rFonts w:cs="Arial"/>
          <w:sz w:val="20"/>
          <w:szCs w:val="20"/>
        </w:rPr>
        <w:t xml:space="preserve"> je opredeljena kot odločba, s katero </w:t>
      </w:r>
      <w:r w:rsidR="007D472B"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ija ugotovi kršitev 5. ali 8. člena tega zakona oziroma 101. ali 102. člena PDEU, odločba, s katero Evropska komisija ugotovi kršitev 101. ali 102. člena PDEU oziroma odločba </w:t>
      </w:r>
      <w:r w:rsidR="007522E3" w:rsidRPr="002F30DF">
        <w:rPr>
          <w:rFonts w:cs="Arial"/>
          <w:sz w:val="20"/>
          <w:szCs w:val="20"/>
        </w:rPr>
        <w:lastRenderedPageBreak/>
        <w:t xml:space="preserve">organa, pristojnega za varstvo konkurence druge države članice, s katero ugotovi kršitev 101. ali 102. člena PDEU oziroma tistih nacionalnih določb države članice, ki določajo prepoved omejevalnih sporazumov ali prepoved zlorabe prevladujočega položaja v smislu 101. ali 102. člena PDEU. Pojem odločba o kršitvi zajema tudi odločbo sodišča, ki je na podlagi rednega pravnega sredstva presojalo odločbo </w:t>
      </w:r>
      <w:r w:rsidR="007D472B" w:rsidRPr="002F30DF">
        <w:rPr>
          <w:rFonts w:cs="Arial"/>
          <w:sz w:val="20"/>
          <w:szCs w:val="20"/>
        </w:rPr>
        <w:t>a</w:t>
      </w:r>
      <w:r w:rsidR="0045309B" w:rsidRPr="002F30DF">
        <w:rPr>
          <w:rFonts w:cs="Arial"/>
          <w:sz w:val="20"/>
          <w:szCs w:val="20"/>
        </w:rPr>
        <w:t>genc</w:t>
      </w:r>
      <w:r w:rsidR="007522E3" w:rsidRPr="002F30DF">
        <w:rPr>
          <w:rFonts w:cs="Arial"/>
          <w:sz w:val="20"/>
          <w:szCs w:val="20"/>
        </w:rPr>
        <w:t>ije ali organa, pristojnega za varstvo konkurence druge države članice.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 namenom spodbujanja izvensodnega reševanja sporov, se s predlogom zakona določa tudi nekatera pravila, ki se nanašajo na sporazumno reševanje sporov, pri čemer pojem »sporazumno reševanje sporov« zajema vsak mehanizem, ki strankam omogoči, da dosežejo izvensodno rešitev spora glede odškodninskega zahtevka. Direktiva 2014/104 kot primeroma navaja še zunajsodne poravnave (tudi tiste, pri katerih lahko sodnik razglasi zavezujočo poravnavo), arbitražo in mediacijo ali spravo. Predlagatelj ocenjuje, da je treba opredelitev pojma sporazumno reševanje sporov ohraniti v tem zakonu, saj niti Zakon o mediaciji v civilnih in gospodarskih zadevah (Uradni list RS, št.</w:t>
      </w:r>
      <w:r w:rsidR="00925BCB" w:rsidRPr="002F30DF">
        <w:rPr>
          <w:rFonts w:cs="Arial"/>
          <w:sz w:val="20"/>
          <w:szCs w:val="20"/>
        </w:rPr>
        <w:t xml:space="preserve"> 56/08</w:t>
      </w:r>
      <w:r w:rsidRPr="002F30DF">
        <w:rPr>
          <w:rFonts w:cs="Arial"/>
          <w:sz w:val="20"/>
          <w:szCs w:val="20"/>
        </w:rPr>
        <w:t xml:space="preserve">) niti Zakon o arbitraži (Uradni list RS, št. </w:t>
      </w:r>
      <w:hyperlink r:id="rId52" w:tgtFrame="_blank" w:tooltip="Zakon o arbitraži (ZArbit)" w:history="1">
        <w:r w:rsidRPr="002F30DF">
          <w:rPr>
            <w:rFonts w:cs="Arial"/>
            <w:sz w:val="20"/>
            <w:szCs w:val="20"/>
          </w:rPr>
          <w:t>45/08</w:t>
        </w:r>
      </w:hyperlink>
      <w:r w:rsidRPr="002F30DF">
        <w:rPr>
          <w:rFonts w:cs="Arial"/>
          <w:sz w:val="20"/>
          <w:szCs w:val="20"/>
        </w:rPr>
        <w:t xml:space="preserve">) ne opredeljujeta izraza sporazumno reševanje sporov na način, da bi zajemal tako postopke, v katerih stranke prostovoljno s pomočjo nevtralne tretje osebe (mediatorja) skušajo doseči mirno rešitev spora, ki izvira iz ali je povezan s pogodbenim ali drugim pravnim razmerjem, kot postopke pred arbitražo.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»poravnava« zajema vse sporazume, ki ga dve ali več strank dosežejo na podlagi sporazumne rešitve spora, ter vse odločitve, ki so sprejete v postopku sporazumnega reševanja sporov, na primer v arbitražni odločbi.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Škoda se lahko povzroči »neposrednemu kupcu«, torej fizični ali pravni osebi, ki je neposredno od kršitelja kupila izdelke ali storitve, ki so bile predmet kršitve konkurenčnega prava ali »posrednemu kupcu«, torej fizični ali pravni osebi, ki izdelke ali storitve, ki so bile predmet kršitve konkurenčnega prava, ali izdelke ali storitve, ki izhajajo iz takšnega blaga ali storitev, ni pridobila neposredno od kršitelja, temveč od neposrednega kupca ali nadaljnjega kupca.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Zakon o pravdnem postopku (Uradni list RS, št. </w:t>
      </w:r>
      <w:hyperlink r:id="rId53" w:tgtFrame="_blank" w:tooltip="Zakon o pravdnem postopku (uradno prečiščeno besedilo)" w:history="1">
        <w:r w:rsidRPr="002F30DF">
          <w:rPr>
            <w:rFonts w:cs="Arial"/>
            <w:sz w:val="20"/>
            <w:szCs w:val="20"/>
          </w:rPr>
          <w:t>73/07</w:t>
        </w:r>
      </w:hyperlink>
      <w:r w:rsidRPr="002F30DF">
        <w:rPr>
          <w:rFonts w:cs="Arial"/>
          <w:sz w:val="20"/>
          <w:szCs w:val="20"/>
        </w:rPr>
        <w:t xml:space="preserve"> – uradno prečiščeno besedilo, </w:t>
      </w:r>
      <w:hyperlink r:id="rId54" w:tgtFrame="_blank" w:tooltip="Zakon o arbitraži" w:history="1">
        <w:r w:rsidRPr="002F30DF">
          <w:rPr>
            <w:rFonts w:cs="Arial"/>
            <w:sz w:val="20"/>
            <w:szCs w:val="20"/>
          </w:rPr>
          <w:t>45/08</w:t>
        </w:r>
      </w:hyperlink>
      <w:r w:rsidRPr="002F30DF">
        <w:rPr>
          <w:rFonts w:cs="Arial"/>
          <w:sz w:val="20"/>
          <w:szCs w:val="20"/>
        </w:rPr>
        <w:t xml:space="preserve"> – ZArbit, </w:t>
      </w:r>
      <w:hyperlink r:id="rId55" w:tgtFrame="_blank" w:tooltip="Zakon o spremembah in dopolnitvah Zakona o pravdnem postopku" w:history="1">
        <w:r w:rsidRPr="002F30DF">
          <w:rPr>
            <w:rFonts w:cs="Arial"/>
            <w:sz w:val="20"/>
            <w:szCs w:val="20"/>
          </w:rPr>
          <w:t>45/08</w:t>
        </w:r>
      </w:hyperlink>
      <w:r w:rsidRPr="002F30DF">
        <w:rPr>
          <w:rFonts w:cs="Arial"/>
          <w:sz w:val="20"/>
          <w:szCs w:val="20"/>
        </w:rPr>
        <w:t xml:space="preserve">, </w:t>
      </w:r>
      <w:hyperlink r:id="rId56" w:tgtFrame="_blank" w:tooltip="Odločba o ugotovitvi, da je Zakon o pravdnem postopku v neskladju z Ustavo" w:history="1">
        <w:r w:rsidRPr="002F30DF">
          <w:rPr>
            <w:rFonts w:cs="Arial"/>
            <w:sz w:val="20"/>
            <w:szCs w:val="20"/>
          </w:rPr>
          <w:t>111/08</w:t>
        </w:r>
      </w:hyperlink>
      <w:r w:rsidRPr="002F30DF">
        <w:rPr>
          <w:rFonts w:cs="Arial"/>
          <w:sz w:val="20"/>
          <w:szCs w:val="20"/>
        </w:rPr>
        <w:t xml:space="preserve"> – odl. US, </w:t>
      </w:r>
      <w:hyperlink r:id="rId57" w:tgtFrame="_blank" w:tooltip="Odločba o razveljavitvi četrtega, petega in šestega odstavka 143. člena Zakona o pravdnem postopku" w:history="1">
        <w:r w:rsidRPr="002F30DF">
          <w:rPr>
            <w:rFonts w:cs="Arial"/>
            <w:sz w:val="20"/>
            <w:szCs w:val="20"/>
          </w:rPr>
          <w:t>57/09</w:t>
        </w:r>
      </w:hyperlink>
      <w:r w:rsidRPr="002F30DF">
        <w:rPr>
          <w:rFonts w:cs="Arial"/>
          <w:sz w:val="20"/>
          <w:szCs w:val="20"/>
        </w:rPr>
        <w:t xml:space="preserve"> – odl. US, </w:t>
      </w:r>
      <w:hyperlink r:id="rId58" w:tgtFrame="_blank" w:tooltip="Odločba o razveljavitvi drugega odstavka 282. člena Zakona o pravdnem postopku" w:history="1">
        <w:r w:rsidRPr="002F30DF">
          <w:rPr>
            <w:rFonts w:cs="Arial"/>
            <w:sz w:val="20"/>
            <w:szCs w:val="20"/>
          </w:rPr>
          <w:t>12/10</w:t>
        </w:r>
      </w:hyperlink>
      <w:r w:rsidRPr="002F30DF">
        <w:rPr>
          <w:rFonts w:cs="Arial"/>
          <w:sz w:val="20"/>
          <w:szCs w:val="20"/>
        </w:rPr>
        <w:t xml:space="preserve"> – odl. US, </w:t>
      </w:r>
      <w:hyperlink r:id="rId59" w:tgtFrame="_blank" w:tooltip="Odločba o razveljavitvi drugega odstavka 108. člena Zakona o pravdnem postopku" w:history="1">
        <w:r w:rsidRPr="002F30DF">
          <w:rPr>
            <w:rFonts w:cs="Arial"/>
            <w:sz w:val="20"/>
            <w:szCs w:val="20"/>
          </w:rPr>
          <w:t>50/10</w:t>
        </w:r>
      </w:hyperlink>
      <w:r w:rsidRPr="002F30DF">
        <w:rPr>
          <w:rFonts w:cs="Arial"/>
          <w:sz w:val="20"/>
          <w:szCs w:val="20"/>
        </w:rPr>
        <w:t xml:space="preserve"> – odl. US, </w:t>
      </w:r>
      <w:hyperlink r:id="rId60" w:tgtFrame="_blank" w:tooltip="Odločba o razveljavitvi prvega odstavka 282. člena Zakona o pravdnem postopku" w:history="1">
        <w:r w:rsidRPr="002F30DF">
          <w:rPr>
            <w:rFonts w:cs="Arial"/>
            <w:sz w:val="20"/>
            <w:szCs w:val="20"/>
          </w:rPr>
          <w:t>107/10</w:t>
        </w:r>
      </w:hyperlink>
      <w:r w:rsidRPr="002F30DF">
        <w:rPr>
          <w:rFonts w:cs="Arial"/>
          <w:sz w:val="20"/>
          <w:szCs w:val="20"/>
        </w:rPr>
        <w:t xml:space="preserve"> – odl. US, </w:t>
      </w:r>
      <w:hyperlink r:id="rId61" w:tgtFrame="_blank" w:tooltip="Odločba o delni razveljavitvi petega odstavka 98. člena Zakona o pravdnem postopku" w:history="1">
        <w:r w:rsidRPr="002F30DF">
          <w:rPr>
            <w:rFonts w:cs="Arial"/>
            <w:sz w:val="20"/>
            <w:szCs w:val="20"/>
          </w:rPr>
          <w:t>75/12</w:t>
        </w:r>
      </w:hyperlink>
      <w:r w:rsidRPr="002F30DF">
        <w:rPr>
          <w:rFonts w:cs="Arial"/>
          <w:sz w:val="20"/>
          <w:szCs w:val="20"/>
        </w:rPr>
        <w:t xml:space="preserve"> – odl. US, </w:t>
      </w:r>
      <w:hyperlink r:id="rId62" w:tgtFrame="_blank" w:tooltip="Odločba o razveljavitvi četrtega odstavka 282. člena Zakona o pravdnem postopku in o zavrženju zahteve za oceno ustavnosti petega odstavka 282. člena Zakona o pravdnem postopku" w:history="1">
        <w:r w:rsidRPr="002F30DF">
          <w:rPr>
            <w:rFonts w:cs="Arial"/>
            <w:sz w:val="20"/>
            <w:szCs w:val="20"/>
          </w:rPr>
          <w:t>40/13</w:t>
        </w:r>
      </w:hyperlink>
      <w:r w:rsidRPr="002F30DF">
        <w:rPr>
          <w:rFonts w:cs="Arial"/>
          <w:sz w:val="20"/>
          <w:szCs w:val="20"/>
        </w:rPr>
        <w:t xml:space="preserve"> – odl. US, </w:t>
      </w:r>
      <w:hyperlink r:id="rId63" w:tgtFrame="_blank" w:tooltip="Odločba o ugotovitvi, da je Zakon o pravdnem postopku v neskladju z Ustavo" w:history="1">
        <w:r w:rsidRPr="002F30DF">
          <w:rPr>
            <w:rFonts w:cs="Arial"/>
            <w:sz w:val="20"/>
            <w:szCs w:val="20"/>
          </w:rPr>
          <w:t>92/13</w:t>
        </w:r>
      </w:hyperlink>
      <w:r w:rsidRPr="002F30DF">
        <w:rPr>
          <w:rFonts w:cs="Arial"/>
          <w:sz w:val="20"/>
          <w:szCs w:val="20"/>
        </w:rPr>
        <w:t xml:space="preserve"> – odl. US, </w:t>
      </w:r>
      <w:hyperlink r:id="rId64" w:tgtFrame="_blank" w:tooltip="Odločba o delni razveljavitvi petega odstavka 98. člena Zakona o pravdnem postopku in o razveljavitvi sklepa Višjega sodišča v Mariboru ter sklepa Okrajnega sodišča v Ljubljani" w:history="1">
        <w:r w:rsidRPr="002F30DF">
          <w:rPr>
            <w:rFonts w:cs="Arial"/>
            <w:sz w:val="20"/>
            <w:szCs w:val="20"/>
          </w:rPr>
          <w:t>10/14</w:t>
        </w:r>
      </w:hyperlink>
      <w:r w:rsidRPr="002F30DF">
        <w:rPr>
          <w:rFonts w:cs="Arial"/>
          <w:sz w:val="20"/>
          <w:szCs w:val="20"/>
        </w:rPr>
        <w:t xml:space="preserve"> – odl. US, </w:t>
      </w:r>
      <w:hyperlink r:id="rId65" w:tgtFrame="_blank" w:tooltip="Odločba o razveljavitvi petega odstavka 98. člena in šestega odstavka 324. člena Zakona o pravdnem postopku" w:history="1">
        <w:r w:rsidRPr="002F30DF">
          <w:rPr>
            <w:rFonts w:cs="Arial"/>
            <w:sz w:val="20"/>
            <w:szCs w:val="20"/>
          </w:rPr>
          <w:t>48/15</w:t>
        </w:r>
      </w:hyperlink>
      <w:r w:rsidRPr="002F30DF">
        <w:rPr>
          <w:rFonts w:cs="Arial"/>
          <w:sz w:val="20"/>
          <w:szCs w:val="20"/>
        </w:rPr>
        <w:t xml:space="preserve"> – odl. US, </w:t>
      </w:r>
      <w:hyperlink r:id="rId66" w:tgtFrame="_blank" w:tooltip="Odločba o delni razveljavitvi tretjega odstavka 406. člena v zvezi s tretjim odstavkom 396. člena Zakona o pravdnem postopku" w:history="1">
        <w:r w:rsidRPr="002F30DF">
          <w:rPr>
            <w:rFonts w:cs="Arial"/>
            <w:sz w:val="20"/>
            <w:szCs w:val="20"/>
          </w:rPr>
          <w:t>6/17</w:t>
        </w:r>
      </w:hyperlink>
      <w:r w:rsidRPr="002F30DF">
        <w:rPr>
          <w:rFonts w:cs="Arial"/>
          <w:sz w:val="20"/>
          <w:szCs w:val="20"/>
        </w:rPr>
        <w:t xml:space="preserve"> – odl. US, </w:t>
      </w:r>
      <w:hyperlink r:id="rId67" w:tgtFrame="_blank" w:tooltip="Zakon o spremembah in dopolnitvah Zakona o pravdnem postopku" w:history="1">
        <w:r w:rsidRPr="002F30DF">
          <w:rPr>
            <w:rFonts w:cs="Arial"/>
            <w:sz w:val="20"/>
            <w:szCs w:val="20"/>
          </w:rPr>
          <w:t>10/17</w:t>
        </w:r>
      </w:hyperlink>
      <w:r w:rsidRPr="002F30DF">
        <w:rPr>
          <w:rFonts w:cs="Arial"/>
          <w:sz w:val="20"/>
          <w:szCs w:val="20"/>
        </w:rPr>
        <w:t xml:space="preserve">, </w:t>
      </w:r>
      <w:hyperlink r:id="rId68" w:tgtFrame="_blank" w:tooltip="Zakon o nepravdnem postopku" w:history="1">
        <w:r w:rsidRPr="002F30DF">
          <w:rPr>
            <w:rFonts w:cs="Arial"/>
            <w:sz w:val="20"/>
            <w:szCs w:val="20"/>
          </w:rPr>
          <w:t>16/19</w:t>
        </w:r>
      </w:hyperlink>
      <w:r w:rsidRPr="002F30DF">
        <w:rPr>
          <w:rFonts w:cs="Arial"/>
          <w:sz w:val="20"/>
          <w:szCs w:val="20"/>
        </w:rPr>
        <w:t xml:space="preserve"> – ZNP-1 in </w:t>
      </w:r>
      <w:hyperlink r:id="rId69" w:tgtFrame="_blank" w:tooltip="Odločba o ugotovitvi, da je tretji odstavek 396. člena Zakona o pravdnem postopku v zvezi z 9. točko 394. člena Zakona o pravdnem postopku v neskladju z Ustavo" w:history="1">
        <w:r w:rsidRPr="002F30DF">
          <w:rPr>
            <w:rFonts w:cs="Arial"/>
            <w:sz w:val="20"/>
            <w:szCs w:val="20"/>
          </w:rPr>
          <w:t>70/19</w:t>
        </w:r>
      </w:hyperlink>
      <w:r w:rsidRPr="002F30DF">
        <w:rPr>
          <w:rFonts w:cs="Arial"/>
          <w:sz w:val="20"/>
          <w:szCs w:val="20"/>
        </w:rPr>
        <w:t xml:space="preserve"> – odl. US, v nadaljevanju: ZPP) izrecno ne definira pojma dokazi, </w:t>
      </w:r>
      <w:r w:rsidR="00E43FDB" w:rsidRPr="002F30DF">
        <w:rPr>
          <w:rFonts w:cs="Arial"/>
          <w:sz w:val="20"/>
          <w:szCs w:val="20"/>
        </w:rPr>
        <w:t xml:space="preserve">se </w:t>
      </w:r>
      <w:r w:rsidRPr="002F30DF">
        <w:rPr>
          <w:rFonts w:cs="Arial"/>
          <w:sz w:val="20"/>
          <w:szCs w:val="20"/>
        </w:rPr>
        <w:t xml:space="preserve">je ta pojem zaradi pravilne implementacije Direktive 2014/104 </w:t>
      </w:r>
      <w:r w:rsidR="00E43FDB" w:rsidRPr="002F30DF">
        <w:rPr>
          <w:rFonts w:cs="Arial"/>
          <w:sz w:val="20"/>
          <w:szCs w:val="20"/>
        </w:rPr>
        <w:t xml:space="preserve">že </w:t>
      </w:r>
      <w:r w:rsidRPr="002F30DF">
        <w:rPr>
          <w:rFonts w:cs="Arial"/>
          <w:sz w:val="20"/>
          <w:szCs w:val="20"/>
        </w:rPr>
        <w:t>opredeli</w:t>
      </w:r>
      <w:r w:rsidR="00E43FDB" w:rsidRPr="002F30DF">
        <w:rPr>
          <w:rFonts w:cs="Arial"/>
          <w:sz w:val="20"/>
          <w:szCs w:val="20"/>
        </w:rPr>
        <w:t>l</w:t>
      </w:r>
      <w:r w:rsidRPr="002F30DF">
        <w:rPr>
          <w:rFonts w:cs="Arial"/>
          <w:sz w:val="20"/>
          <w:szCs w:val="20"/>
        </w:rPr>
        <w:t xml:space="preserve"> v ZPOmK-</w:t>
      </w:r>
      <w:r w:rsidRPr="002F30DF">
        <w:rPr>
          <w:rFonts w:cs="Arial"/>
          <w:sz w:val="20"/>
          <w:szCs w:val="20"/>
        </w:rPr>
        <w:lastRenderedPageBreak/>
        <w:t xml:space="preserve">1, in sicer na način, da pojem »dokazi« zajema vsa sredstva in predmete, s katerimi je dopustno dokazovati dejstva v skladu z zakonom, ki ureja pravdni postopek. Primeroma so navedene listine in drugi nosilci podatkov, na katerih so podatki shranjeni.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»tretja oseba« zajema vse osebe, vključno s fizično osebo, podjetjem, kot je opredeljen v 1. točki prvega odstavka 3. člena </w:t>
      </w:r>
      <w:r w:rsidR="00CC0426" w:rsidRPr="002F30DF">
        <w:rPr>
          <w:rFonts w:cs="Arial"/>
          <w:sz w:val="20"/>
          <w:szCs w:val="20"/>
        </w:rPr>
        <w:t>tega zakona</w:t>
      </w:r>
      <w:r w:rsidRPr="002F30DF">
        <w:rPr>
          <w:rFonts w:cs="Arial"/>
          <w:sz w:val="20"/>
          <w:szCs w:val="20"/>
        </w:rPr>
        <w:t>, državnim organom ali nosilcem javnega pooblastila, razen sodišča.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4. členu (uporaba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določa naslovnike zakona. To so osebe, ki so dolžne ravnati v skladu s tem zakonom in zato tudi odgovarjajo za njegovo kršitev. Tako kot ZPOmK-1 se tudi ta zakon uporablja za podjetja, torej za vse subjekte, ki opravljajo gospodarsko dejavnost, ne glede na njegovo pravnoorganizacijsko obliko in lastninsko pripadnost. Podjetje je tudi podjetniško združenje, ki neposredno ne opravlja gospodarske dejavnosti, vendar vpliva ali bi lahko vplivalo na ravnanje podjetij na trgu.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Poleg tega se</w:t>
      </w:r>
      <w:r w:rsidR="00E43FDB" w:rsidRPr="002F30DF">
        <w:rPr>
          <w:rFonts w:cs="Arial"/>
          <w:sz w:val="20"/>
          <w:szCs w:val="20"/>
        </w:rPr>
        <w:t xml:space="preserve"> ta zakon</w:t>
      </w:r>
      <w:r w:rsidRPr="002F30DF">
        <w:rPr>
          <w:rFonts w:cs="Arial"/>
          <w:sz w:val="20"/>
          <w:szCs w:val="20"/>
        </w:rPr>
        <w:t xml:space="preserve"> uporablja za kršitve določb 101. in 102. člena PDEU. V skladu s 4. členom Uredbe 1/2003 ima namreč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pri presojanju morebitnih kršitev </w:t>
      </w:r>
      <w:r w:rsidR="00CC0426" w:rsidRPr="002F30DF">
        <w:rPr>
          <w:rFonts w:cs="Arial"/>
          <w:sz w:val="20"/>
          <w:szCs w:val="20"/>
        </w:rPr>
        <w:t>5</w:t>
      </w:r>
      <w:r w:rsidRPr="002F30DF">
        <w:rPr>
          <w:rFonts w:cs="Arial"/>
          <w:sz w:val="20"/>
          <w:szCs w:val="20"/>
        </w:rPr>
        <w:t xml:space="preserve">. in </w:t>
      </w:r>
      <w:r w:rsidR="00CC0426" w:rsidRPr="002F30DF">
        <w:rPr>
          <w:rFonts w:cs="Arial"/>
          <w:sz w:val="20"/>
          <w:szCs w:val="20"/>
        </w:rPr>
        <w:t>8</w:t>
      </w:r>
      <w:r w:rsidRPr="002F30DF">
        <w:rPr>
          <w:rFonts w:cs="Arial"/>
          <w:sz w:val="20"/>
          <w:szCs w:val="20"/>
        </w:rPr>
        <w:t xml:space="preserve">. člena tega zakona, ko gre za čezmejne učinke omejevalnih ravnanj, tudi dolžnost uporabe 101. in 102. člena PDEU. V postopkih pred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ijo se, v skladu z Uredbo 1/2003, kljub temu vedno uporabljajo določbe tega zakona, ne glede na to, ali gre za presojanje kršitev slovenskega ali evropskega konkurenčnega prava.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Skladno s tretjim odstavkom ta zakon ne posega v razmerja med delodajalci in delavci.</w:t>
      </w:r>
    </w:p>
    <w:p w:rsidR="007522E3" w:rsidRPr="002F30DF" w:rsidRDefault="007522E3" w:rsidP="0025166A">
      <w:pPr>
        <w:spacing w:line="260" w:lineRule="atLeast"/>
        <w:ind w:left="360"/>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5. členu (prepoved omejevalnih sporazumov)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Zakon med omejevalna ravnanja uvršča omejevalne sporazume in zlorabo prevladujočega položaja.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prepoveduje omejevalne sporazume in v celoti ohranja ureditev iz </w:t>
      </w:r>
      <w:r w:rsidR="00E43FDB" w:rsidRPr="002F30DF">
        <w:rPr>
          <w:rFonts w:cs="Arial"/>
          <w:sz w:val="20"/>
          <w:szCs w:val="20"/>
        </w:rPr>
        <w:t xml:space="preserve">6. člena </w:t>
      </w:r>
      <w:r w:rsidRPr="002F30DF">
        <w:rPr>
          <w:rFonts w:cs="Arial"/>
          <w:sz w:val="20"/>
          <w:szCs w:val="20"/>
        </w:rPr>
        <w:t xml:space="preserve">ZPOmK-1. V primeru omejevalnih sporazumom gre za podjetniško sporazumno </w:t>
      </w:r>
      <w:r w:rsidRPr="002F30DF">
        <w:rPr>
          <w:rFonts w:cs="Arial"/>
          <w:sz w:val="20"/>
          <w:szCs w:val="20"/>
        </w:rPr>
        <w:lastRenderedPageBreak/>
        <w:t xml:space="preserve">omejevanje konkurence, pri katerem želijo samostojna podjetja s sklenitvijo sporazuma vzpostaviti omejitev konkurence. Določba </w:t>
      </w:r>
      <w:r w:rsidR="00CC0426" w:rsidRPr="002F30DF">
        <w:rPr>
          <w:rFonts w:cs="Arial"/>
          <w:sz w:val="20"/>
          <w:szCs w:val="20"/>
        </w:rPr>
        <w:t>5</w:t>
      </w:r>
      <w:r w:rsidRPr="002F30DF">
        <w:rPr>
          <w:rFonts w:cs="Arial"/>
          <w:sz w:val="20"/>
          <w:szCs w:val="20"/>
        </w:rPr>
        <w:t>. člena tega zakona je, tako vsebinsko kot tudi formalno, usklajena z evropsko ureditvijo, zlasti s 101. členom PDEU in Uredbo 1/2003.</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prepoveduje in določa za nične sporazume med podjetji, sklepe podjetniških združenj in usklajena ravnanja, katerih cilj ali učinek je preprečevati, omejevati ali izkrivljati konkurenco v Republiki Sloveniji. V okviru osnovne definicije (generalne klavzule) tako združuje različne oblike protikonkurenčnega nastopanja (t.j. sporazume, sklepe podjetniških združenj in usklajena ravnanja; v nadaljevanju: sporazumi), saj lahko do omejevanja konkurence pride v različnih oblikah. Ta zakon se omejuje zgolj na ozemlje Republike Slovenije, </w:t>
      </w:r>
      <w:r w:rsidR="003039EC" w:rsidRPr="002F30DF">
        <w:rPr>
          <w:rFonts w:cs="Arial"/>
          <w:sz w:val="20"/>
          <w:szCs w:val="20"/>
        </w:rPr>
        <w:t>če</w:t>
      </w:r>
      <w:r w:rsidRPr="002F30DF">
        <w:rPr>
          <w:rFonts w:cs="Arial"/>
          <w:sz w:val="20"/>
          <w:szCs w:val="20"/>
        </w:rPr>
        <w:t xml:space="preserve"> pa imajo omejevalni sporazumi čezmejne učinke, se presojajo tudi po 101. členu PDEU. Da gre za prepovedan sporazum zadošča že dejstvo, da ima tak sporazum za sam cilj preprečevati, omejevati ali izkrivljati konkurenco v Republiki Sloveniji, ni potrebno, da nastane tudi učinek. Civilnopravna sankcija takšnega sporazuma je ničnost. Podjetjem, ki sodelujejo pri omejevalnih sporazumih, se lahko izreče administrativna sankcija</w:t>
      </w:r>
      <w:r w:rsidR="003039EC" w:rsidRPr="002F30DF">
        <w:rPr>
          <w:rFonts w:cs="Arial"/>
          <w:sz w:val="20"/>
          <w:szCs w:val="20"/>
        </w:rPr>
        <w:t xml:space="preserve"> po tem zakonu</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drugem odstavku</w:t>
      </w:r>
      <w:r w:rsidRPr="002F30DF">
        <w:rPr>
          <w:rFonts w:cs="Arial"/>
          <w:sz w:val="20"/>
          <w:szCs w:val="20"/>
        </w:rPr>
        <w:t xml:space="preserve"> so primeroma našteti primeri sporazumov, ki so prepovedani, kar pa ne izključuje možnosti tudi drugih omejevalnih sporazumov. Gre za najbolj tipične primere omejevalnih sporazumov. V vsakem konkretnem primeru posebej </w:t>
      </w:r>
      <w:r w:rsidR="007D472B" w:rsidRPr="002F30DF">
        <w:rPr>
          <w:rFonts w:cs="Arial"/>
          <w:sz w:val="20"/>
          <w:szCs w:val="20"/>
        </w:rPr>
        <w:t>a</w:t>
      </w:r>
      <w:r w:rsidR="0045309B" w:rsidRPr="002F30DF">
        <w:rPr>
          <w:rFonts w:cs="Arial"/>
          <w:sz w:val="20"/>
          <w:szCs w:val="20"/>
        </w:rPr>
        <w:t>genc</w:t>
      </w:r>
      <w:r w:rsidRPr="002F30DF">
        <w:rPr>
          <w:rFonts w:cs="Arial"/>
          <w:sz w:val="20"/>
          <w:szCs w:val="20"/>
        </w:rPr>
        <w:t>ija presoja ali gre za prepovedan sporazum.</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Določene omejitve so razumne, utemeljene in potrebne, ker varujejo nekatere dobrine, ki so v konkretnem primeru pomembnejše kot učinkovita konkurenca. Te so opredeljene </w:t>
      </w:r>
      <w:r w:rsidRPr="002F30DF">
        <w:rPr>
          <w:rFonts w:cs="Arial"/>
          <w:sz w:val="20"/>
          <w:szCs w:val="20"/>
          <w:u w:val="single"/>
        </w:rPr>
        <w:t>v tretjem odstavku</w:t>
      </w:r>
      <w:r w:rsidRPr="002F30DF">
        <w:rPr>
          <w:rFonts w:cs="Arial"/>
          <w:sz w:val="20"/>
          <w:szCs w:val="20"/>
        </w:rPr>
        <w:t xml:space="preserve">, ki najprej izključuje uporabo prvega odstavka </w:t>
      </w:r>
      <w:r w:rsidR="00E43FDB" w:rsidRPr="002F30DF">
        <w:rPr>
          <w:rFonts w:cs="Arial"/>
          <w:sz w:val="20"/>
          <w:szCs w:val="20"/>
        </w:rPr>
        <w:t xml:space="preserve">tega člena </w:t>
      </w:r>
      <w:r w:rsidRPr="002F30DF">
        <w:rPr>
          <w:rFonts w:cs="Arial"/>
          <w:sz w:val="20"/>
          <w:szCs w:val="20"/>
        </w:rPr>
        <w:t xml:space="preserve">za določene sporazume, v nadaljevanju pa v prvem delu (to je v prvem stavku) določa pozitivne pogoje, v drugem </w:t>
      </w:r>
      <w:r w:rsidR="00E43FDB" w:rsidRPr="002F30DF">
        <w:rPr>
          <w:rFonts w:cs="Arial"/>
          <w:sz w:val="20"/>
          <w:szCs w:val="20"/>
        </w:rPr>
        <w:t xml:space="preserve">delu </w:t>
      </w:r>
      <w:r w:rsidRPr="002F30DF">
        <w:rPr>
          <w:rFonts w:cs="Arial"/>
          <w:sz w:val="20"/>
          <w:szCs w:val="20"/>
        </w:rPr>
        <w:t xml:space="preserve">(to je v drugem stavku) pa negativne pogoje. Dva izmed pozitivnih pogojev sta navedena alternativno (izboljšanje proizvodnje ali razdelitev dobrin ali pospeševanje tehničnega in gospodarskega razvoja), tretji pogoj </w:t>
      </w:r>
      <w:r w:rsidR="003039EC" w:rsidRPr="002F30DF">
        <w:rPr>
          <w:rFonts w:cs="Arial"/>
          <w:sz w:val="20"/>
          <w:szCs w:val="20"/>
        </w:rPr>
        <w:t xml:space="preserve">pa je naveden </w:t>
      </w:r>
      <w:r w:rsidRPr="002F30DF">
        <w:rPr>
          <w:rFonts w:cs="Arial"/>
          <w:sz w:val="20"/>
          <w:szCs w:val="20"/>
        </w:rPr>
        <w:t xml:space="preserve">kumulativno (pri tem pa zagotavljajo potrošnikom pravičen delež doseženih koristi). To pomeni, da mora biti tretji pogoj vedno izpolnjen, poleg enega izmed prvih dveh.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Uredba 1/2003 je z namenom, da se zagotovi učinkovito izvajanje pravil konkurence in hkrati spoštujejo pravice do obrambe, uredila dokazno breme iz 101. in 102. člena PDEU. Na podlagi </w:t>
      </w:r>
      <w:r w:rsidR="003039EC" w:rsidRPr="002F30DF">
        <w:rPr>
          <w:rFonts w:cs="Arial"/>
          <w:sz w:val="20"/>
          <w:szCs w:val="20"/>
        </w:rPr>
        <w:t>U</w:t>
      </w:r>
      <w:r w:rsidRPr="002F30DF">
        <w:rPr>
          <w:rFonts w:cs="Arial"/>
          <w:sz w:val="20"/>
          <w:szCs w:val="20"/>
        </w:rPr>
        <w:t>redbe</w:t>
      </w:r>
      <w:r w:rsidR="003039EC" w:rsidRPr="002F30DF">
        <w:rPr>
          <w:rFonts w:cs="Arial"/>
          <w:sz w:val="20"/>
          <w:szCs w:val="20"/>
        </w:rPr>
        <w:t xml:space="preserve"> 1/2003</w:t>
      </w:r>
      <w:r w:rsidRPr="002F30DF">
        <w:rPr>
          <w:rFonts w:cs="Arial"/>
          <w:sz w:val="20"/>
          <w:szCs w:val="20"/>
        </w:rPr>
        <w:t xml:space="preserve">, in v skladu z njo, tudi ta zakon </w:t>
      </w:r>
      <w:r w:rsidRPr="002F30DF">
        <w:rPr>
          <w:rFonts w:cs="Arial"/>
          <w:sz w:val="20"/>
          <w:szCs w:val="20"/>
          <w:u w:val="single"/>
        </w:rPr>
        <w:t xml:space="preserve">v </w:t>
      </w:r>
      <w:r w:rsidRPr="002F30DF">
        <w:rPr>
          <w:rFonts w:cs="Arial"/>
          <w:sz w:val="20"/>
          <w:szCs w:val="20"/>
          <w:u w:val="single"/>
        </w:rPr>
        <w:lastRenderedPageBreak/>
        <w:t>četrtem odstavku</w:t>
      </w:r>
      <w:r w:rsidRPr="002F30DF">
        <w:rPr>
          <w:rFonts w:cs="Arial"/>
          <w:sz w:val="20"/>
          <w:szCs w:val="20"/>
        </w:rPr>
        <w:t xml:space="preserve"> določa, da mora podjetje, ki trdi, da določen sporazum izpolnjuje pogoje iz tretjega odstavka tega člena, dokazati, da so tu pogoji izpolnjeni. Dokazno breme pri dokazovanju domnevne kršitve tega člena pa je na strani </w:t>
      </w:r>
      <w:r w:rsidR="007D472B" w:rsidRPr="002F30DF">
        <w:rPr>
          <w:rFonts w:cs="Arial"/>
          <w:sz w:val="20"/>
          <w:szCs w:val="20"/>
        </w:rPr>
        <w:t>a</w:t>
      </w:r>
      <w:r w:rsidR="0045309B" w:rsidRPr="002F30DF">
        <w:rPr>
          <w:rFonts w:cs="Arial"/>
          <w:sz w:val="20"/>
          <w:szCs w:val="20"/>
        </w:rPr>
        <w:t>genc</w:t>
      </w:r>
      <w:r w:rsidRPr="002F30DF">
        <w:rPr>
          <w:rFonts w:cs="Arial"/>
          <w:sz w:val="20"/>
          <w:szCs w:val="20"/>
        </w:rPr>
        <w:t>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6. členu (omejitve majhnega pomena)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primerjalnem pravu, teoriji in praksi je sprejeto stališče, da sporazumi, sklepi ali usklajena ravnanja niso podrejeni pravilu o prepovedi omejevalnih sporazumov, če ne vplivajo na konkurenco v znatni meri. To izhaja tudi iz Obvestila komisije o sporazumih manjšega pomena, ki neznatno omejujejo konkurenco v skladu s členom 101(1) Pogodbe o delovanju Evropske unije (obvestilo de minimis)</w:t>
      </w:r>
      <w:r w:rsidRPr="002F30DF">
        <w:rPr>
          <w:rStyle w:val="Sprotnaopomba-sklic"/>
          <w:rFonts w:cs="Arial"/>
          <w:sz w:val="20"/>
          <w:szCs w:val="20"/>
        </w:rPr>
        <w:footnoteReference w:id="5"/>
      </w:r>
      <w:r w:rsidRPr="002F30DF">
        <w:rPr>
          <w:rFonts w:cs="Arial"/>
          <w:sz w:val="20"/>
          <w:szCs w:val="20"/>
        </w:rPr>
        <w:t>. Čeprav to obvestilo za sodišča in organe držav članic ni zavezujoče, služi kot smernica pri uporabi 101. člena PDEU in je bilo s strani številnih držav članic Evropske unije splošno sprejeto in vključeno v zakonodajo. Tudi ta zakon iz splošne prepovedi omejevalnih sporazumov, v skladu z obvestilom, izvzema sporazume majhnega pomena in jih opredeljuje s pomočjo tržnih deležev (10% za horizontalne sporazume, 15% za vertikalne sporazume in 10% za mešane horizontalno-vertikalne sporazume oz. sporazume, ki jih je težko  opredeliti kot horizontalne ali vertikalne; 5% tržni delež pa se upošteva v primeru, da je konkurenca na upoštevnem trgu omejena zaradi kumulativnih učinkov, da katerih pride zaradi enakih ali podobnih sporazumov drugih podjetij).</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 namenom, da se zavaruje enoten trg, je potrebno, da se, ne glede na dosežene pragove, določene vrste horizontalnih in vertikalnih sporazumov izvzamejo iz pravila de minimis. Kot taki so po četrtem odstavku vselej prepovedani horizontalni sporazumi, katerih cilj je določanje cen, omejitev proizvodnje ali prodaje oz</w:t>
      </w:r>
      <w:r w:rsidR="00C86711" w:rsidRPr="002F30DF">
        <w:rPr>
          <w:rFonts w:cs="Arial"/>
          <w:sz w:val="20"/>
          <w:szCs w:val="20"/>
        </w:rPr>
        <w:t>iroma</w:t>
      </w:r>
      <w:r w:rsidRPr="002F30DF">
        <w:rPr>
          <w:rFonts w:cs="Arial"/>
          <w:sz w:val="20"/>
          <w:szCs w:val="20"/>
        </w:rPr>
        <w:t xml:space="preserve"> razdelitev trga ali virov nabave, in vertikalni sporazumi, katerih cilj je določanje maloprodajnih cen oz</w:t>
      </w:r>
      <w:r w:rsidR="00C86711" w:rsidRPr="002F30DF">
        <w:rPr>
          <w:rFonts w:cs="Arial"/>
          <w:sz w:val="20"/>
          <w:szCs w:val="20"/>
        </w:rPr>
        <w:t>iroma</w:t>
      </w:r>
      <w:r w:rsidRPr="002F30DF">
        <w:rPr>
          <w:rFonts w:cs="Arial"/>
          <w:sz w:val="20"/>
          <w:szCs w:val="20"/>
        </w:rPr>
        <w:t xml:space="preserve"> podelitev teritorialne zaščite udeleženim podjetjem ali tretjim osebam. Ti sporazumi namreč, ne glede na prag, prizadenejo trg in ne morejo biti deležni izjeme po prvih dveh odstavkih tega člena.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7. členu (skupinske izjeme)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 opredelitvijo skupinskih izjem pravna ureditev vnaprej dopušča določene vrste omejevalnih sporazumov. Skupinske izjeme so primerna oblika ureditve, zlasti za tista področja, ki so ekonomsko koristna in ne predstavljajo nevarnosti učinkoviti konkurenci. </w:t>
      </w:r>
      <w:r w:rsidR="00E43FDB" w:rsidRPr="002F30DF">
        <w:rPr>
          <w:rFonts w:cs="Arial"/>
          <w:sz w:val="20"/>
          <w:szCs w:val="20"/>
        </w:rPr>
        <w:t xml:space="preserve">Evropska komisija </w:t>
      </w:r>
      <w:r w:rsidRPr="002F30DF">
        <w:rPr>
          <w:rFonts w:cs="Arial"/>
          <w:sz w:val="20"/>
          <w:szCs w:val="20"/>
        </w:rPr>
        <w:t xml:space="preserve">je na podlagi pooblastil, določenih v 103. členu PDEU, sprejela številne uredbe o skupinskih izjemah, s katerimi je od splošne prepovedi omejevalnih sporazumov izvzela določene skupine sporazumov. Ker so uredbe, ki jih sprejemajo organi EU v celoti neposredno uporabljive, jih ni potrebno implementirati v pravni red držav članic. Tako za skupine omejevalnih sporazumov, ki izpolnjujejo pogoje, navedene v uredbah </w:t>
      </w:r>
      <w:r w:rsidR="00E43FDB" w:rsidRPr="002F30DF">
        <w:rPr>
          <w:rFonts w:cs="Arial"/>
          <w:sz w:val="20"/>
          <w:szCs w:val="20"/>
        </w:rPr>
        <w:t>Evropske komisije</w:t>
      </w:r>
      <w:r w:rsidRPr="002F30DF">
        <w:rPr>
          <w:rFonts w:cs="Arial"/>
          <w:sz w:val="20"/>
          <w:szCs w:val="20"/>
        </w:rPr>
        <w:t>, ni potrebno sprejemati predpisov v Republiki Sloveniji, temveč se neposredno uporabljajo določbe uredb Evropske unije. Da ne bi prihajalo do nasprotij, predvsem pri vodenju enotnega postopka po nacionalnih pravilih in pravilih Evropske unije, se ta zakon v prvem odstavku sklicuje na omenjene uredbe Evropske unije, ki se uporabljajo ne glede na to, ali je podan element skupnosti (torej tudi v primeru, ko ni izkazan vpliv na trgovanje med državami članicami Evropske unije).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Drugi odstavek daje pooblastilo Vladi Republike Slovenije (v nadaljnjem besedilu: vlada), da </w:t>
      </w:r>
      <w:r w:rsidR="00E43FDB" w:rsidRPr="002F30DF">
        <w:rPr>
          <w:rFonts w:cs="Arial"/>
          <w:sz w:val="20"/>
          <w:szCs w:val="20"/>
        </w:rPr>
        <w:t xml:space="preserve">lahko </w:t>
      </w:r>
      <w:r w:rsidRPr="002F30DF">
        <w:rPr>
          <w:rFonts w:cs="Arial"/>
          <w:sz w:val="20"/>
          <w:szCs w:val="20"/>
        </w:rPr>
        <w:t xml:space="preserve">z uredbo opredeli skupinske izjeme tudi za druge skupine sporazumov glede na posebnosti na trgu v Republiki Sloveniji. </w:t>
      </w:r>
      <w:r w:rsidR="00E43FDB" w:rsidRPr="002F30DF">
        <w:rPr>
          <w:rFonts w:cs="Arial"/>
          <w:sz w:val="20"/>
          <w:szCs w:val="20"/>
        </w:rPr>
        <w:t>T</w:t>
      </w:r>
      <w:r w:rsidRPr="002F30DF">
        <w:rPr>
          <w:rFonts w:cs="Arial"/>
          <w:sz w:val="20"/>
          <w:szCs w:val="20"/>
        </w:rPr>
        <w:t>udi ti sporazumi</w:t>
      </w:r>
      <w:r w:rsidR="00E43FDB" w:rsidRPr="002F30DF">
        <w:rPr>
          <w:rFonts w:cs="Arial"/>
          <w:sz w:val="20"/>
          <w:szCs w:val="20"/>
        </w:rPr>
        <w:t xml:space="preserve"> morajo</w:t>
      </w:r>
      <w:r w:rsidRPr="002F30DF">
        <w:rPr>
          <w:rFonts w:cs="Arial"/>
          <w:sz w:val="20"/>
          <w:szCs w:val="20"/>
        </w:rPr>
        <w:t xml:space="preserve"> izpolnjevati pogoje iz tretjega odstavka </w:t>
      </w:r>
      <w:r w:rsidR="00CC0426" w:rsidRPr="002F30DF">
        <w:rPr>
          <w:rFonts w:cs="Arial"/>
          <w:sz w:val="20"/>
          <w:szCs w:val="20"/>
        </w:rPr>
        <w:t>5</w:t>
      </w:r>
      <w:r w:rsidRPr="002F30DF">
        <w:rPr>
          <w:rFonts w:cs="Arial"/>
          <w:sz w:val="20"/>
          <w:szCs w:val="20"/>
        </w:rPr>
        <w:t xml:space="preserve">. člena tega zakona. Določitev skupinskih izjem ne pomeni, da je vsak konkretni sporazum neke skupine v skladu s tem členom. Če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pri posameznem sporazumu, kateremu je bila priznana ugodnost skupinskega izvzetja, ugotovi, da niso izpolnjeni pogoji iz tretjega odstavka </w:t>
      </w:r>
      <w:r w:rsidR="00CC0426" w:rsidRPr="002F30DF">
        <w:rPr>
          <w:rFonts w:cs="Arial"/>
          <w:sz w:val="20"/>
          <w:szCs w:val="20"/>
        </w:rPr>
        <w:t>5</w:t>
      </w:r>
      <w:r w:rsidRPr="002F30DF">
        <w:rPr>
          <w:rFonts w:cs="Arial"/>
          <w:sz w:val="20"/>
          <w:szCs w:val="20"/>
        </w:rPr>
        <w:t>. člena zakona, lahko ugodnost skupinskega izvzetja odpravi.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8. člen (prepoved zlorabe prevladujočega položaja)</w:t>
      </w:r>
    </w:p>
    <w:p w:rsidR="007522E3" w:rsidRPr="002F30DF" w:rsidRDefault="007522E3" w:rsidP="0025166A">
      <w:pPr>
        <w:spacing w:line="260" w:lineRule="atLeast"/>
        <w:rPr>
          <w:rFonts w:cs="Arial"/>
          <w:b/>
          <w:sz w:val="20"/>
          <w:szCs w:val="20"/>
        </w:rPr>
      </w:pPr>
    </w:p>
    <w:p w:rsidR="007522E3" w:rsidRPr="002F30DF" w:rsidRDefault="003417D1" w:rsidP="0025166A">
      <w:pPr>
        <w:spacing w:line="260" w:lineRule="atLeast"/>
        <w:rPr>
          <w:rFonts w:cs="Arial"/>
          <w:sz w:val="20"/>
          <w:szCs w:val="20"/>
        </w:rPr>
      </w:pPr>
      <w:r w:rsidRPr="002F30DF">
        <w:rPr>
          <w:rFonts w:cs="Arial"/>
          <w:sz w:val="20"/>
          <w:szCs w:val="20"/>
        </w:rPr>
        <w:t>Ohranja se t</w:t>
      </w:r>
      <w:r w:rsidR="007522E3" w:rsidRPr="002F30DF">
        <w:rPr>
          <w:rFonts w:cs="Arial"/>
          <w:sz w:val="20"/>
          <w:szCs w:val="20"/>
        </w:rPr>
        <w:t>udi dosedanja ureditev zlorabe prevladujočega položaja. Prevladujoči položaj na trgu uživa podjetje (ali več podjetij skupaj) v primeru, ko lahko v znatni meri ravna neodvisno od konkurentov, strank ali potrošnikov. Sam prevladujoči položaj ni prepovedan, prepovedana je zloraba takšnega položaja (</w:t>
      </w:r>
      <w:r w:rsidR="007522E3" w:rsidRPr="002F30DF">
        <w:rPr>
          <w:rFonts w:cs="Arial"/>
          <w:sz w:val="20"/>
          <w:szCs w:val="20"/>
          <w:u w:val="single"/>
        </w:rPr>
        <w:t>prvi odstavek</w:t>
      </w:r>
      <w:r w:rsidR="007522E3" w:rsidRPr="002F30DF">
        <w:rPr>
          <w:rFonts w:cs="Arial"/>
          <w:sz w:val="20"/>
          <w:szCs w:val="20"/>
        </w:rPr>
        <w:t>) in zanj je predpisana administrativna sankcija. Podjetje, ki uživa prevladujoči položaj, nosi posebno odgovornost</w:t>
      </w:r>
      <w:r w:rsidR="00E43FDB" w:rsidRPr="002F30DF">
        <w:rPr>
          <w:rFonts w:cs="Arial"/>
          <w:sz w:val="20"/>
          <w:szCs w:val="20"/>
        </w:rPr>
        <w:t>, saj n</w:t>
      </w:r>
      <w:r w:rsidR="007522E3" w:rsidRPr="002F30DF">
        <w:rPr>
          <w:rFonts w:cs="Arial"/>
          <w:sz w:val="20"/>
          <w:szCs w:val="20"/>
        </w:rPr>
        <w:t>e sme ravnati na način, ki bi ogrozil učinkovito konkurenco na trgu.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lastRenderedPageBreak/>
        <w:t>Drugi odstavek</w:t>
      </w:r>
      <w:r w:rsidRPr="002F30DF">
        <w:rPr>
          <w:rFonts w:cs="Arial"/>
          <w:sz w:val="20"/>
          <w:szCs w:val="20"/>
        </w:rPr>
        <w:t xml:space="preserve"> ureja domnevo, da ima podjetje ali več podjetij prevladujoč položaj takrat, kadar lahko v znatni meri ravna neodvisno od konkurentov, strank ali potrošnikov.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 ocenjevanju prevladujočega položaja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upošteva zlasti elemente, naštete v </w:t>
      </w:r>
      <w:r w:rsidRPr="002F30DF">
        <w:rPr>
          <w:rFonts w:cs="Arial"/>
          <w:sz w:val="20"/>
          <w:szCs w:val="20"/>
          <w:u w:val="single"/>
        </w:rPr>
        <w:t>tretjem odstavku</w:t>
      </w:r>
      <w:r w:rsidRPr="002F30DF">
        <w:rPr>
          <w:rFonts w:cs="Arial"/>
          <w:sz w:val="20"/>
          <w:szCs w:val="20"/>
        </w:rPr>
        <w:t xml:space="preserve">, in sicer: tržni delež, možnosti za financiranje, pravne ali dejanske ovire za vstop drugih podjetij na trg, dostop do dobaviteljev ali trga, obstoječo ali potencialno konkurenco. Poleg teh dejavnikov lahko </w:t>
      </w:r>
      <w:r w:rsidR="007D472B" w:rsidRPr="002F30DF">
        <w:rPr>
          <w:rFonts w:cs="Arial"/>
          <w:sz w:val="20"/>
          <w:szCs w:val="20"/>
        </w:rPr>
        <w:t>a</w:t>
      </w:r>
      <w:r w:rsidR="0045309B" w:rsidRPr="002F30DF">
        <w:rPr>
          <w:rFonts w:cs="Arial"/>
          <w:sz w:val="20"/>
          <w:szCs w:val="20"/>
        </w:rPr>
        <w:t>genc</w:t>
      </w:r>
      <w:r w:rsidRPr="002F30DF">
        <w:rPr>
          <w:rFonts w:cs="Arial"/>
          <w:sz w:val="20"/>
          <w:szCs w:val="20"/>
        </w:rPr>
        <w:t>ija pri ugotavljanju prevladujočega položaja upošteva tudi drugi dejavnike.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 vzoru 102. člena PDEU, tudi naš zakon </w:t>
      </w:r>
      <w:r w:rsidRPr="002F30DF">
        <w:rPr>
          <w:rFonts w:cs="Arial"/>
          <w:sz w:val="20"/>
          <w:szCs w:val="20"/>
          <w:u w:val="single"/>
        </w:rPr>
        <w:t>v četrtem odstavku</w:t>
      </w:r>
      <w:r w:rsidRPr="002F30DF">
        <w:rPr>
          <w:rFonts w:cs="Arial"/>
          <w:sz w:val="20"/>
          <w:szCs w:val="20"/>
        </w:rPr>
        <w:t xml:space="preserve"> primeroma našteva primere, ki pomenijo zlorabo prevladujočega položaja. Seznam primerov ni izčrpen, zakon namreč navaja zgolj najbolj tipične primere zlorab. Našteti primeri so enaki kot jih navaja 102. člen PDEU.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Peti in šesti odstavek</w:t>
      </w:r>
      <w:r w:rsidRPr="002F30DF">
        <w:rPr>
          <w:rFonts w:cs="Arial"/>
          <w:sz w:val="20"/>
          <w:szCs w:val="20"/>
        </w:rPr>
        <w:t xml:space="preserve"> vsebujeta opredelitev, kdaj se šteje ali ima podjetje oziroma dvoje ali več podjetij prevladujoč položaj. In sicer podjetje ima prevladujoč položaj, če njegov tržni delež na</w:t>
      </w:r>
      <w:r w:rsidR="00493EAD" w:rsidRPr="002F30DF">
        <w:rPr>
          <w:rFonts w:cs="Arial"/>
          <w:sz w:val="20"/>
          <w:szCs w:val="20"/>
        </w:rPr>
        <w:t xml:space="preserve"> upoštevnem</w:t>
      </w:r>
      <w:r w:rsidR="00F30C0F" w:rsidRPr="002F30DF">
        <w:rPr>
          <w:rFonts w:cs="Arial"/>
          <w:sz w:val="20"/>
          <w:szCs w:val="20"/>
        </w:rPr>
        <w:t xml:space="preserve"> </w:t>
      </w:r>
      <w:r w:rsidRPr="002F30DF">
        <w:rPr>
          <w:rFonts w:cs="Arial"/>
          <w:sz w:val="20"/>
          <w:szCs w:val="20"/>
        </w:rPr>
        <w:t>trgu presega 40 odstotkov. V primeru dveh ali več podjetij pa se šteje, da imata oziroma imajo prevladujoč položaj, če njun oziroma njihov tržni delež na</w:t>
      </w:r>
      <w:r w:rsidR="00F30C0F" w:rsidRPr="002F30DF">
        <w:rPr>
          <w:rFonts w:cs="Arial"/>
          <w:sz w:val="20"/>
          <w:szCs w:val="20"/>
        </w:rPr>
        <w:t xml:space="preserve"> </w:t>
      </w:r>
      <w:r w:rsidR="00493EAD" w:rsidRPr="002F30DF">
        <w:rPr>
          <w:rFonts w:cs="Arial"/>
          <w:sz w:val="20"/>
          <w:szCs w:val="20"/>
        </w:rPr>
        <w:t xml:space="preserve">upoštevnem </w:t>
      </w:r>
      <w:r w:rsidRPr="002F30DF">
        <w:rPr>
          <w:rFonts w:cs="Arial"/>
          <w:sz w:val="20"/>
          <w:szCs w:val="20"/>
        </w:rPr>
        <w:t>trgu presega 60 odstotkov.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9. členu (pojem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Poleg ugotavljanja obstoja omejevalnih ravnanj je tudi presoja skladnosti koncentracije s pravili varstva konkurence zelo pomembna. Združitve podjetij lahko omogočijo učinkovitejše razvijanje novih izdelkov ali zmanjšanje stroškov, kar posledično vpliva na trg, ki postane bolj konkurenčen, in na potrošnike, ki lahko izbirajo med kakovostnejšim blagom ali storitvami po nižjih cenah. Vendar pa niso vse združitve pozitivne za delovanje trga, saj nekatere združitve zmanjšujejo konkurenco na trgu, tako da npr. ustvarjajo ali krepijo prevladujoči položaj. Le to pa bi verjetno škodilo potrošnikom zaradi višjih cen, manjše izbire ali manj inovacij. Cilj pregleda predlaganih združitev je preprečiti škodljive učinke na konkurenco.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ohranja dosedanjo opredelitev koncentracije in določa, da zajema transakcije, ki povzročijo trajnejšo spremembo kontrole udeleženih podjetij in strukturo trga.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O koncentraciji govorimo, ko gre za trajnejše spremembe kontrole nad podjetjem pri združitvi dveh ali več predhodno neodvisnih podjetij ali delov podjetij ali kadar ena ali več fizičnih oseb, ki že obvladuje najmanj eno podjetje, ali kadar eno ali več podjetij z nakupom vrednostnih papirjev ali premoženja, s pogodbo ali kako drugače pridobi neposredno ali posredno kontrolo nad celoto ali deli enega ali več podjetij ali kadar dve ali več neodvisnih podjetij ustanovi skupno podjetje, ki opravlja vse funkcije samostojnega podjetja z daljšim trajanjem. Pojem združitve zajema transakcije, kjer se z novo pravno osebo nadomesti dve ali več prej neodvisnih podjetij ali delov podjetij oziroma transakcije, kjer podjetje prevzame drugo podjetje ali del podjetja, pri tem ohrani svojo pravno subjektiviteto, drugo podjetje pa kot pravna oseba preneha obstajati. Gre za spojitev in pripojitev v smislu določb Zakona o gospodarskih družbah (Uradni list RS, št. </w:t>
      </w:r>
      <w:hyperlink r:id="rId70" w:tgtFrame="_blank" w:tooltip="Zakon o gospodarskih družbah (uradno prečiščeno besedilo)" w:history="1">
        <w:r w:rsidRPr="002F30DF">
          <w:rPr>
            <w:rFonts w:cs="Arial"/>
            <w:sz w:val="20"/>
            <w:szCs w:val="20"/>
          </w:rPr>
          <w:t>65/09</w:t>
        </w:r>
      </w:hyperlink>
      <w:r w:rsidRPr="002F30DF">
        <w:rPr>
          <w:rFonts w:cs="Arial"/>
          <w:sz w:val="20"/>
          <w:szCs w:val="20"/>
        </w:rPr>
        <w:t xml:space="preserve"> – uradno prečiščeno besedilo, </w:t>
      </w:r>
      <w:hyperlink r:id="rId71" w:tgtFrame="_blank" w:tooltip="Zakon o dopolnitvah Zakona o gospodarskih družbah" w:history="1">
        <w:r w:rsidRPr="002F30DF">
          <w:rPr>
            <w:rFonts w:cs="Arial"/>
            <w:sz w:val="20"/>
            <w:szCs w:val="20"/>
          </w:rPr>
          <w:t>33/11</w:t>
        </w:r>
      </w:hyperlink>
      <w:r w:rsidRPr="002F30DF">
        <w:rPr>
          <w:rFonts w:cs="Arial"/>
          <w:sz w:val="20"/>
          <w:szCs w:val="20"/>
        </w:rPr>
        <w:t xml:space="preserve">, </w:t>
      </w:r>
      <w:hyperlink r:id="rId72" w:tgtFrame="_blank" w:tooltip="Zakon o dopolnitvah Zakona o gospodarskih družbah" w:history="1">
        <w:r w:rsidRPr="002F30DF">
          <w:rPr>
            <w:rFonts w:cs="Arial"/>
            <w:sz w:val="20"/>
            <w:szCs w:val="20"/>
          </w:rPr>
          <w:t>91/11</w:t>
        </w:r>
      </w:hyperlink>
      <w:r w:rsidRPr="002F30DF">
        <w:rPr>
          <w:rFonts w:cs="Arial"/>
          <w:sz w:val="20"/>
          <w:szCs w:val="20"/>
        </w:rPr>
        <w:t xml:space="preserve">, </w:t>
      </w:r>
      <w:hyperlink r:id="rId73" w:tgtFrame="_blank" w:tooltip="Zakon o spremembah in dopolnitvah Zakona o gospodarskih družbah" w:history="1">
        <w:r w:rsidRPr="002F30DF">
          <w:rPr>
            <w:rFonts w:cs="Arial"/>
            <w:sz w:val="20"/>
            <w:szCs w:val="20"/>
          </w:rPr>
          <w:t>32/12</w:t>
        </w:r>
      </w:hyperlink>
      <w:r w:rsidRPr="002F30DF">
        <w:rPr>
          <w:rFonts w:cs="Arial"/>
          <w:sz w:val="20"/>
          <w:szCs w:val="20"/>
        </w:rPr>
        <w:t xml:space="preserve">, </w:t>
      </w:r>
      <w:hyperlink r:id="rId74" w:tgtFrame="_blank" w:tooltip="Zakon o spremembah in dopolnitvah Zakona o gospodarskih družbah" w:history="1">
        <w:r w:rsidRPr="002F30DF">
          <w:rPr>
            <w:rFonts w:cs="Arial"/>
            <w:sz w:val="20"/>
            <w:szCs w:val="20"/>
          </w:rPr>
          <w:t>57/12</w:t>
        </w:r>
      </w:hyperlink>
      <w:r w:rsidRPr="002F30DF">
        <w:rPr>
          <w:rFonts w:cs="Arial"/>
          <w:sz w:val="20"/>
          <w:szCs w:val="20"/>
        </w:rPr>
        <w:t xml:space="preserve">, </w:t>
      </w:r>
      <w:hyperlink r:id="rId75"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2F30DF">
          <w:rPr>
            <w:rFonts w:cs="Arial"/>
            <w:sz w:val="20"/>
            <w:szCs w:val="20"/>
          </w:rPr>
          <w:t>44/13</w:t>
        </w:r>
      </w:hyperlink>
      <w:r w:rsidRPr="002F30DF">
        <w:rPr>
          <w:rFonts w:cs="Arial"/>
          <w:sz w:val="20"/>
          <w:szCs w:val="20"/>
        </w:rPr>
        <w:t xml:space="preserve"> – odl. US, </w:t>
      </w:r>
      <w:hyperlink r:id="rId76" w:tgtFrame="_blank" w:tooltip="Zakon o spremembah in dopolnitvah Zakona o gospodarskih družbah" w:history="1">
        <w:r w:rsidRPr="002F30DF">
          <w:rPr>
            <w:rFonts w:cs="Arial"/>
            <w:sz w:val="20"/>
            <w:szCs w:val="20"/>
          </w:rPr>
          <w:t>82/13</w:t>
        </w:r>
      </w:hyperlink>
      <w:r w:rsidRPr="002F30DF">
        <w:rPr>
          <w:rFonts w:cs="Arial"/>
          <w:sz w:val="20"/>
          <w:szCs w:val="20"/>
        </w:rPr>
        <w:t xml:space="preserve">, </w:t>
      </w:r>
      <w:hyperlink r:id="rId77" w:tgtFrame="_blank" w:tooltip="Zakon o spremembah in dopolnitvah Zakona o gospodarskih družbah" w:history="1">
        <w:r w:rsidRPr="002F30DF">
          <w:rPr>
            <w:rFonts w:cs="Arial"/>
            <w:sz w:val="20"/>
            <w:szCs w:val="20"/>
          </w:rPr>
          <w:t>55/15</w:t>
        </w:r>
      </w:hyperlink>
      <w:r w:rsidRPr="002F30DF">
        <w:rPr>
          <w:rFonts w:cs="Arial"/>
          <w:sz w:val="20"/>
          <w:szCs w:val="20"/>
        </w:rPr>
        <w:t xml:space="preserve">, </w:t>
      </w:r>
      <w:hyperlink r:id="rId78" w:tgtFrame="_blank" w:tooltip="Zakon o spremembah in dopolnitvah Zakona o gospodarskih družbah" w:history="1">
        <w:r w:rsidRPr="002F30DF">
          <w:rPr>
            <w:rFonts w:cs="Arial"/>
            <w:sz w:val="20"/>
            <w:szCs w:val="20"/>
          </w:rPr>
          <w:t>15/17</w:t>
        </w:r>
      </w:hyperlink>
      <w:r w:rsidR="003417D1" w:rsidRPr="002F30DF">
        <w:rPr>
          <w:rFonts w:cs="Arial"/>
          <w:sz w:val="20"/>
          <w:szCs w:val="20"/>
        </w:rPr>
        <w:t>,</w:t>
      </w:r>
      <w:r w:rsidRPr="002F30DF">
        <w:rPr>
          <w:rFonts w:cs="Arial"/>
          <w:sz w:val="20"/>
          <w:szCs w:val="20"/>
        </w:rPr>
        <w:t xml:space="preserve"> </w:t>
      </w:r>
      <w:hyperlink r:id="rId79" w:tgtFrame="_blank" w:tooltip="Zakon o poslovni skrivnosti" w:history="1">
        <w:r w:rsidRPr="002F30DF">
          <w:rPr>
            <w:rFonts w:cs="Arial"/>
            <w:sz w:val="20"/>
            <w:szCs w:val="20"/>
          </w:rPr>
          <w:t>22/19</w:t>
        </w:r>
      </w:hyperlink>
      <w:r w:rsidRPr="002F30DF">
        <w:rPr>
          <w:rFonts w:cs="Arial"/>
          <w:sz w:val="20"/>
          <w:szCs w:val="20"/>
        </w:rPr>
        <w:t xml:space="preserve"> – ZPosS</w:t>
      </w:r>
      <w:r w:rsidR="004757DE" w:rsidRPr="002F30DF">
        <w:rPr>
          <w:rFonts w:cs="Arial"/>
          <w:sz w:val="20"/>
          <w:szCs w:val="20"/>
        </w:rPr>
        <w:t>, 158/20 – ZIntPK-C in18/21</w:t>
      </w:r>
      <w:r w:rsidRPr="002F30DF">
        <w:rPr>
          <w:rFonts w:cs="Arial"/>
          <w:sz w:val="20"/>
          <w:szCs w:val="20"/>
        </w:rPr>
        <w:t xml:space="preserve">). Glede na to, da gre v primeru združitve za koncentracijo le, ko se združijo »predhodno neodvisna podjetja«, so iz presoje izključeni primeri formalnih združitev podjetij, ki so že pred statusnim preoblikovanjem predstavljala zaključeno ekonomsko celoto.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 koncentracijo gre tudi v primeru, ko ena ali več oseb, ki že obvladuje najmanj eno podjetje, ali ko eno ali več podjetij bodisi z nakupom vrednostnih papirjev ali premoženja, s pogodbo ali na kakršen koli drug način pridobi neposredno ali posredno kontrolo nad celoto ali deli enega ali več podjetij. Sem sodijo tudi spremembe izključne kontrole v skupno kontrolo in obratno. V obeh primerih gre za tako spremembo oblike kontrole, ki lahko pomembno vpliva na obnašanje podjetja na trgu.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Nazadnje gre za koncentracijo tudi v primerih, ko dve ali več neodvisnih podjetij ustanovi skupno podjetje, ki opravlja vse funkcije samostojnega gospodarskega subjekta z daljšim trajanjem, kar pomeni, da mora skupno podjetje delovati na trgu in opravljati vse funkcije, ki jih običajno opravljajo podjetja, delujoča na istem trgu.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opredeljuje pojem kontrole nad podjetjem ali njegovim delom. Za namen prvega odstavka tega člena predstavljajo kontrolo nad podjetjem ali njegovim delom pravice, pogodbe ali druga sredstva, ki ločeno ali skupaj in ob upoštevanju okoliščin ali predpisov omogočajo izvajanje odločilnega vpliva nad podjetjem ali delom podjetja. Kontrolo običajno pridobijo osebe ali podjetja, ki so imetniki pravic ali upravičenci do pravic, ki zagotavljajo kontrolo – obstajajo pa tudi izjeme. </w:t>
      </w:r>
      <w:r w:rsidRPr="002F30DF">
        <w:rPr>
          <w:rFonts w:cs="Arial"/>
          <w:sz w:val="20"/>
          <w:szCs w:val="20"/>
        </w:rPr>
        <w:lastRenderedPageBreak/>
        <w:t xml:space="preserve">Npr. podjetje za pridobitev kontrolnega deleža uporabi drugo osebo ali podjetje in uresničuje pravice preko te osebe ali podjetja, čeprav je slednji formalni imetnik pravic (t.i. parkiranja delnic). Za nastanek koncentracije ni potrebno dejansko izvrševanje odločilnega vpliva ampak zadostuje že sama možnost izvajanja odločilnega vpliva. </w:t>
      </w:r>
    </w:p>
    <w:p w:rsidR="004757DE" w:rsidRPr="002F30DF" w:rsidRDefault="004757DE" w:rsidP="0025166A">
      <w:pPr>
        <w:spacing w:line="260" w:lineRule="atLeast"/>
        <w:rPr>
          <w:rFonts w:cs="Arial"/>
          <w:sz w:val="20"/>
          <w:szCs w:val="20"/>
        </w:rPr>
      </w:pPr>
    </w:p>
    <w:p w:rsidR="004757DE" w:rsidRPr="002F30DF" w:rsidRDefault="004757DE"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pa opredeljuje pojem kontrole, in sicer kontrolo pridobijo osebe ali podjetja, ki so bodisi nosilci pravic ali upravičenci do njih na podlagi pogodbe, bodisi imajo možnost uveljavljanja pravic, ki izhajajo iz pogodb, čeprav niso nosilci pravic in upravičenci do njih na podlagi pogodb.</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določa izjeme in navaja primere, ki se ne štejejo za koncentracijo. Kot koncentracijo se ne šteje kratkoročnega pridobivanja poslovnih deležev v podjetju zaradi njihove nadaljnje prodaje, in sicer pri bankah, zavarovalnicah, borznoposredniških hišah, hranilnicah, pokojninskih družbah, družbah za upravljanje</w:t>
      </w:r>
      <w:r w:rsidR="00C86711" w:rsidRPr="002F30DF">
        <w:rPr>
          <w:rFonts w:cs="Arial"/>
          <w:sz w:val="20"/>
          <w:szCs w:val="20"/>
        </w:rPr>
        <w:t>,</w:t>
      </w:r>
      <w:r w:rsidRPr="002F30DF">
        <w:rPr>
          <w:rFonts w:cs="Arial"/>
          <w:sz w:val="20"/>
          <w:szCs w:val="20"/>
        </w:rPr>
        <w:t xml:space="preserve"> itd. Časovno obdobje, v katerem mora podjetje poslovne deleže odprodati je eno leto. Obdobje se lahko na zahtevo</w:t>
      </w:r>
      <w:r w:rsidR="00C86711" w:rsidRPr="002F30DF">
        <w:rPr>
          <w:rFonts w:cs="Arial"/>
          <w:sz w:val="20"/>
          <w:szCs w:val="20"/>
        </w:rPr>
        <w:t xml:space="preserve"> podjetja</w:t>
      </w:r>
      <w:r w:rsidRPr="002F30DF">
        <w:rPr>
          <w:rFonts w:cs="Arial"/>
          <w:sz w:val="20"/>
          <w:szCs w:val="20"/>
        </w:rPr>
        <w:t xml:space="preserve"> podaljša, če podjetje izkaže, da prodaje ni bilo mogoče ustrezno izpeljati v predpisanem roku. Pogoj za obstoj izjeme je, da pridobitelj v tem obdobju ni uveljavljal glasovalnih pravic na podlagi pridobljenih deležev na način, ki je vplival ali bi lahko vplival na konkurenčno vedenje podjetja, oziroma da je uveljavljal glasovalne pravice samo zato, da je pripravil prodajo poslovnih deležev.</w:t>
      </w:r>
      <w:r w:rsidR="00413091"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 10. členu (presoja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da so prepovedane tiste koncentracije, ki bistveno omejujejo učinkovito konkurenco na ozemlju Republike Slovenije ali njegovem znatnem delu, zlasti kot posledica ustvarjanja ali krepitve prevladujočega položaja. Dikcija sledi opredelitvi iz Uredbe 139/2004.</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opredeljuje elemente, ki jih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upošteva pri presoji koncentracije. Tako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presoja koncentracije zlasti glede na tržni položaj v koncentraciji udeleženih podjetij ter njihove možnosti za financiranje, strukturo trga, izbiro, ki jo imajo na voljo dobavitelji in uporabniki ter njihov dostop do virov ponudbe oziroma do samega trga, obstoj morebitnih pravnih ali dejanskih vstopnih ovir na trg, gibanje ponudbe in povpraševanja na upoštevnih trgih, koristi vmesnih in končnih uporabnikov ter tehnični in gospodarski razvoj, pod pogojem, da je v korist </w:t>
      </w:r>
      <w:r w:rsidRPr="002F30DF">
        <w:rPr>
          <w:rFonts w:cs="Arial"/>
          <w:sz w:val="20"/>
          <w:szCs w:val="20"/>
        </w:rPr>
        <w:lastRenderedPageBreak/>
        <w:t xml:space="preserve">potrošnikom in ne omejuje konkurence. Navedeni elementi niso kontrolna lista, ki bi jo </w:t>
      </w:r>
      <w:r w:rsidR="007D472B" w:rsidRPr="002F30DF">
        <w:rPr>
          <w:rFonts w:cs="Arial"/>
          <w:sz w:val="20"/>
          <w:szCs w:val="20"/>
        </w:rPr>
        <w:t>a</w:t>
      </w:r>
      <w:r w:rsidR="0045309B" w:rsidRPr="002F30DF">
        <w:rPr>
          <w:rFonts w:cs="Arial"/>
          <w:sz w:val="20"/>
          <w:szCs w:val="20"/>
        </w:rPr>
        <w:t>genc</w:t>
      </w:r>
      <w:r w:rsidRPr="002F30DF">
        <w:rPr>
          <w:rFonts w:cs="Arial"/>
          <w:sz w:val="20"/>
          <w:szCs w:val="20"/>
        </w:rPr>
        <w:t>ija uporabila na enak način v vsakem izmed obravnavanih primerov. Presoja vsakega posameznega primera temelji na celoviti analizi predvidenih učinkov koncentracije na trg. Vsi elementi niso ustrezni za presojo vsake koncentracije, prav tako niso v enaki meri pomembni. Med njimi ni hierarhije.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primeru ustanovitve skupnega podjetja, ki trajno opravlja vse funkcije samostojnega gospodarskega subjekta, </w:t>
      </w:r>
      <w:r w:rsidR="007D472B" w:rsidRPr="002F30DF">
        <w:rPr>
          <w:rFonts w:cs="Arial"/>
          <w:sz w:val="20"/>
          <w:szCs w:val="20"/>
        </w:rPr>
        <w:t>a</w:t>
      </w:r>
      <w:r w:rsidR="0045309B" w:rsidRPr="002F30DF">
        <w:rPr>
          <w:rFonts w:cs="Arial"/>
          <w:sz w:val="20"/>
          <w:szCs w:val="20"/>
        </w:rPr>
        <w:t>genc</w:t>
      </w:r>
      <w:r w:rsidRPr="002F30DF">
        <w:rPr>
          <w:rFonts w:cs="Arial"/>
          <w:sz w:val="20"/>
          <w:szCs w:val="20"/>
        </w:rPr>
        <w:t xml:space="preserve">ija pri presoji koncentracije skladno s </w:t>
      </w:r>
      <w:r w:rsidRPr="002F30DF">
        <w:rPr>
          <w:rFonts w:cs="Arial"/>
          <w:sz w:val="20"/>
          <w:szCs w:val="20"/>
          <w:u w:val="single"/>
        </w:rPr>
        <w:t>tretjim odstavkom</w:t>
      </w:r>
      <w:r w:rsidRPr="002F30DF">
        <w:rPr>
          <w:rFonts w:cs="Arial"/>
          <w:sz w:val="20"/>
          <w:szCs w:val="20"/>
        </w:rPr>
        <w:t xml:space="preserve"> upošteva tudi učinek usklajevanja med podjetji, ki ostanejo neodvisna (ustanovitelji skupnega podjetja, tretja podjetja). </w:t>
      </w:r>
      <w:r w:rsidR="0045309B" w:rsidRPr="002F30DF">
        <w:rPr>
          <w:rFonts w:cs="Arial"/>
          <w:sz w:val="20"/>
          <w:szCs w:val="20"/>
        </w:rPr>
        <w:t>Agenc</w:t>
      </w:r>
      <w:r w:rsidRPr="002F30DF">
        <w:rPr>
          <w:rFonts w:cs="Arial"/>
          <w:sz w:val="20"/>
          <w:szCs w:val="20"/>
        </w:rPr>
        <w:t>ija tako najprej presoja, ali sama ustanovitev skupnega podjetja bistveno omejuje učinkovito konkurenco na upoštevnem trgu. Če do omejevanja ne prihaja, mora v nadaljevanju presoditi, ali usklajevanje konkurenčnega ravnanja podjetij, ki ostanejo neodvisna, ni v nasprotju s 5. členom tega zakona. Če niso izpolnjeni pogoji iz tretjega odstavka 5. člena, koncentracijo prepove.</w:t>
      </w:r>
    </w:p>
    <w:p w:rsidR="00606B8B" w:rsidRPr="002F30DF" w:rsidRDefault="00606B8B" w:rsidP="0025166A">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11. členu (</w:t>
      </w:r>
      <w:r w:rsidR="001350A6" w:rsidRPr="002F30DF">
        <w:rPr>
          <w:rFonts w:cs="Arial"/>
          <w:b/>
          <w:sz w:val="20"/>
          <w:szCs w:val="20"/>
        </w:rPr>
        <w:t>Javna agencija Republike Slovenije za varstvo konkurence</w:t>
      </w:r>
      <w:r w:rsidRPr="002F30DF">
        <w:rPr>
          <w:rFonts w:cs="Arial"/>
          <w:b/>
          <w:sz w:val="20"/>
          <w:szCs w:val="20"/>
        </w:rPr>
        <w:t>)</w:t>
      </w:r>
    </w:p>
    <w:p w:rsidR="00AE0150" w:rsidRPr="002F30DF" w:rsidRDefault="00AE0150" w:rsidP="00AE0150">
      <w:pPr>
        <w:spacing w:line="260" w:lineRule="atLeast"/>
        <w:rPr>
          <w:rFonts w:cs="Arial"/>
          <w:sz w:val="20"/>
          <w:szCs w:val="20"/>
        </w:rPr>
      </w:pPr>
    </w:p>
    <w:p w:rsidR="00AE0150" w:rsidRPr="002F30DF" w:rsidRDefault="00680E5E" w:rsidP="00AE0150">
      <w:pPr>
        <w:spacing w:line="260" w:lineRule="atLeast"/>
        <w:rPr>
          <w:rFonts w:cs="Arial"/>
          <w:sz w:val="20"/>
          <w:szCs w:val="20"/>
        </w:rPr>
      </w:pPr>
      <w:r w:rsidRPr="002F30DF">
        <w:rPr>
          <w:rFonts w:cs="Arial"/>
          <w:sz w:val="20"/>
          <w:szCs w:val="20"/>
        </w:rPr>
        <w:t>Za izvajanje nalog in pristojnosti po tem zakonu je pristojna Javna agencija Republike Slovenije za varstvo konkurence</w:t>
      </w:r>
      <w:r w:rsidR="00AE0150" w:rsidRPr="002F30DF">
        <w:rPr>
          <w:rFonts w:cs="Arial"/>
          <w:sz w:val="20"/>
          <w:szCs w:val="20"/>
        </w:rPr>
        <w:t>, ki je pravna oseba javnega prava s pravicami, obveznostmi in odgovornostmi, ki jih določata ta zakon in Zakon o javnih agencijah (Uradni list RS, št. </w:t>
      </w:r>
      <w:hyperlink r:id="rId80" w:tgtFrame="_blank" w:tooltip="Zakon o javnih agencijah (ZJA)" w:history="1">
        <w:r w:rsidR="00AE0150" w:rsidRPr="002F30DF">
          <w:rPr>
            <w:rFonts w:cs="Arial"/>
            <w:sz w:val="20"/>
            <w:szCs w:val="20"/>
          </w:rPr>
          <w:t>52/02</w:t>
        </w:r>
      </w:hyperlink>
      <w:r w:rsidR="00AE0150" w:rsidRPr="002F30DF">
        <w:rPr>
          <w:rFonts w:cs="Arial"/>
          <w:sz w:val="20"/>
          <w:szCs w:val="20"/>
        </w:rPr>
        <w:t>, </w:t>
      </w:r>
      <w:hyperlink r:id="rId81" w:tgtFrame="_blank" w:tooltip="Zakon o spremembah in dopolnitvah energetskega zakona" w:history="1">
        <w:r w:rsidR="00AE0150" w:rsidRPr="002F30DF">
          <w:rPr>
            <w:rFonts w:cs="Arial"/>
            <w:sz w:val="20"/>
            <w:szCs w:val="20"/>
          </w:rPr>
          <w:t>51/04</w:t>
        </w:r>
      </w:hyperlink>
      <w:r w:rsidR="00AE0150" w:rsidRPr="002F30DF">
        <w:rPr>
          <w:rFonts w:cs="Arial"/>
          <w:sz w:val="20"/>
          <w:szCs w:val="20"/>
        </w:rPr>
        <w:t> – EZ-A in </w:t>
      </w:r>
      <w:hyperlink r:id="rId82" w:tgtFrame="_blank" w:tooltip="Zakon o spremembah in dopolnitvah Zakona o elektronskih komunikacijah" w:history="1">
        <w:r w:rsidR="00AE0150" w:rsidRPr="002F30DF">
          <w:rPr>
            <w:rFonts w:cs="Arial"/>
            <w:sz w:val="20"/>
            <w:szCs w:val="20"/>
          </w:rPr>
          <w:t>33/11</w:t>
        </w:r>
      </w:hyperlink>
      <w:r w:rsidR="00AE0150" w:rsidRPr="002F30DF">
        <w:rPr>
          <w:rFonts w:cs="Arial"/>
          <w:sz w:val="20"/>
          <w:szCs w:val="20"/>
        </w:rPr>
        <w:t> – ZEKom-C; v nadaljnjem besedilu: ZJA)</w:t>
      </w:r>
      <w:r w:rsidR="00AE0150" w:rsidRPr="002F30DF" w:rsidDel="00C111DF">
        <w:rPr>
          <w:rFonts w:cs="Arial"/>
          <w:sz w:val="20"/>
          <w:szCs w:val="20"/>
        </w:rPr>
        <w:t xml:space="preserve"> </w:t>
      </w:r>
      <w:r w:rsidR="00AE0150" w:rsidRPr="002F30DF">
        <w:rPr>
          <w:rFonts w:cs="Arial"/>
          <w:sz w:val="20"/>
          <w:szCs w:val="20"/>
        </w:rPr>
        <w:t>.</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 xml:space="preserve">Ustanoviteljica agencije je Republika Slovenija. Ustanoviteljske pravice in obveznosti uresničuje </w:t>
      </w:r>
      <w:r w:rsidR="00DF6D77" w:rsidRPr="002F30DF">
        <w:rPr>
          <w:rFonts w:cs="Arial"/>
          <w:sz w:val="20"/>
          <w:szCs w:val="20"/>
        </w:rPr>
        <w:t>vlada.</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Glede vprašanj organizacije in delovanja agencije, ki jih ne ureja ta zakona, se uporablja ZJA.</w:t>
      </w:r>
      <w:r w:rsidRPr="002F30DF" w:rsidDel="00C111DF">
        <w:rPr>
          <w:rFonts w:cs="Arial"/>
          <w:sz w:val="20"/>
          <w:szCs w:val="20"/>
        </w:rPr>
        <w:t xml:space="preserve"> </w:t>
      </w:r>
    </w:p>
    <w:p w:rsidR="00BD38EA" w:rsidRPr="002F30DF" w:rsidRDefault="00BD38EA" w:rsidP="00AE0150">
      <w:pPr>
        <w:spacing w:line="260" w:lineRule="atLeast"/>
        <w:rPr>
          <w:rFonts w:cs="Arial"/>
          <w:sz w:val="20"/>
          <w:szCs w:val="20"/>
        </w:rPr>
      </w:pPr>
    </w:p>
    <w:p w:rsidR="00BD38EA" w:rsidRPr="002F30DF" w:rsidRDefault="00BD38EA" w:rsidP="00BD38EA">
      <w:pPr>
        <w:spacing w:line="260" w:lineRule="atLeast"/>
        <w:rPr>
          <w:rFonts w:cs="Arial"/>
          <w:sz w:val="20"/>
          <w:szCs w:val="20"/>
        </w:rPr>
      </w:pPr>
      <w:r w:rsidRPr="002F30DF">
        <w:rPr>
          <w:rFonts w:cs="Arial"/>
          <w:sz w:val="20"/>
          <w:szCs w:val="20"/>
        </w:rPr>
        <w:t>Agencija sprejme poslovnik in druge splošne akte, v katerih podrobneje uredi notranjo organizacijo in poslovanje agencije.</w:t>
      </w:r>
    </w:p>
    <w:p w:rsidR="00AE0150" w:rsidRPr="002F30DF" w:rsidRDefault="00AE0150" w:rsidP="00AE0150">
      <w:pPr>
        <w:pStyle w:val="lennaslov"/>
        <w:spacing w:line="260" w:lineRule="atLeast"/>
        <w:jc w:val="left"/>
        <w:rPr>
          <w:rFonts w:eastAsia="Calibri"/>
          <w:sz w:val="20"/>
          <w:szCs w:val="20"/>
          <w:lang w:eastAsia="en-US"/>
        </w:rPr>
      </w:pPr>
    </w:p>
    <w:p w:rsidR="00AE0150" w:rsidRPr="002F30DF" w:rsidRDefault="00AE0150" w:rsidP="00AE0150">
      <w:pPr>
        <w:pStyle w:val="lennaslov"/>
        <w:spacing w:line="260" w:lineRule="atLeast"/>
        <w:jc w:val="left"/>
        <w:rPr>
          <w:sz w:val="20"/>
          <w:szCs w:val="20"/>
        </w:rPr>
      </w:pPr>
      <w:r w:rsidRPr="002F30DF">
        <w:rPr>
          <w:rFonts w:eastAsia="Calibri"/>
          <w:sz w:val="20"/>
          <w:szCs w:val="20"/>
          <w:lang w:eastAsia="en-US"/>
        </w:rPr>
        <w:t>K 12. členu (naloge</w:t>
      </w:r>
      <w:r w:rsidRPr="002F30DF">
        <w:rPr>
          <w:sz w:val="20"/>
          <w:szCs w:val="20"/>
        </w:rPr>
        <w:t xml:space="preserve"> in pristojnosti agencije)</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Agencija kot samostojna in neodvisna oseba javnega prava opravlja nadzor nad izvajanjem tega zakona ali 101. ali 102. člena PDEU, razen določb 13</w:t>
      </w:r>
      <w:r w:rsidR="00883623" w:rsidRPr="002F30DF">
        <w:rPr>
          <w:rFonts w:cs="Arial"/>
          <w:sz w:val="20"/>
          <w:szCs w:val="20"/>
        </w:rPr>
        <w:t>0</w:t>
      </w:r>
      <w:r w:rsidRPr="002F30DF">
        <w:rPr>
          <w:rFonts w:cs="Arial"/>
          <w:sz w:val="20"/>
          <w:szCs w:val="20"/>
        </w:rPr>
        <w:t>. in 13</w:t>
      </w:r>
      <w:r w:rsidR="00883623" w:rsidRPr="002F30DF">
        <w:rPr>
          <w:rFonts w:cs="Arial"/>
          <w:sz w:val="20"/>
          <w:szCs w:val="20"/>
        </w:rPr>
        <w:t>1</w:t>
      </w:r>
      <w:r w:rsidRPr="002F30DF">
        <w:rPr>
          <w:rFonts w:cs="Arial"/>
          <w:sz w:val="20"/>
          <w:szCs w:val="20"/>
        </w:rPr>
        <w:t xml:space="preserve">. </w:t>
      </w:r>
      <w:r w:rsidRPr="002F30DF">
        <w:rPr>
          <w:rFonts w:cs="Arial"/>
          <w:sz w:val="20"/>
          <w:szCs w:val="20"/>
        </w:rPr>
        <w:lastRenderedPageBreak/>
        <w:t xml:space="preserve">člena tega zakona, ki se nanašata na nelojalno konkurenco. Agencija opravlja z zakonom določene naloge v javnem interesu z namenom, da se zagotavlja varstvo konkurence na območju Republike Slovenije. </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V primeru ugotovitve, da je podjetje kršilo določbe tega zakona ali 101. ali 102. člena PDEU, agencija podjetju izreče administrativno sankcijo. Še vedno se ohranja prekrškovni postopek za odločanje o kršitvah določb tega zakona, ki jih storijo odgovorne osebe pravne osebne ali odgovorne osebe samostojnega podjetnika posameznika.</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določa, da agencija samostojno določa svoje prednostne naloge in pristojnosti ter v ta namen lahko prijave ali druge predloge za uvedbo postopka po tem ali drugem zakonu ali 101. ali 102. členu PDEU ne sprejme v obravnavo tudi zato, ker njihova obravnava ni uvrščena med prednostne naloge agencije. Ta določba ne posega v 129. člen Zakona o splošnem upravnem postopku (Uradni list RS, št. </w:t>
      </w:r>
      <w:hyperlink r:id="rId83" w:tgtFrame="_blank" w:tooltip="Zakon o splošnem upravnem postopku (uradno prečiščeno besedilo)" w:history="1">
        <w:r w:rsidRPr="002F30DF">
          <w:rPr>
            <w:rFonts w:cs="Arial"/>
            <w:sz w:val="20"/>
            <w:szCs w:val="20"/>
          </w:rPr>
          <w:t>24/06</w:t>
        </w:r>
      </w:hyperlink>
      <w:r w:rsidRPr="002F30DF">
        <w:rPr>
          <w:rFonts w:cs="Arial"/>
          <w:sz w:val="20"/>
          <w:szCs w:val="20"/>
        </w:rPr>
        <w:t> – uradno prečiščeno besedilo, </w:t>
      </w:r>
      <w:hyperlink r:id="rId84" w:tgtFrame="_blank" w:tooltip="Zakon o upravnem sporu" w:history="1">
        <w:r w:rsidRPr="002F30DF">
          <w:rPr>
            <w:rFonts w:cs="Arial"/>
            <w:sz w:val="20"/>
            <w:szCs w:val="20"/>
          </w:rPr>
          <w:t>105/06</w:t>
        </w:r>
      </w:hyperlink>
      <w:r w:rsidRPr="002F30DF">
        <w:rPr>
          <w:rFonts w:cs="Arial"/>
          <w:sz w:val="20"/>
          <w:szCs w:val="20"/>
        </w:rPr>
        <w:t> – ZUS-1, </w:t>
      </w:r>
      <w:hyperlink r:id="rId85" w:tgtFrame="_blank" w:tooltip="Zakon o spremembah in dopolnitvah Zakona o splošnem upravnem postopku" w:history="1">
        <w:r w:rsidRPr="002F30DF">
          <w:rPr>
            <w:rFonts w:cs="Arial"/>
            <w:sz w:val="20"/>
            <w:szCs w:val="20"/>
          </w:rPr>
          <w:t>126/07</w:t>
        </w:r>
      </w:hyperlink>
      <w:r w:rsidRPr="002F30DF">
        <w:rPr>
          <w:rFonts w:cs="Arial"/>
          <w:sz w:val="20"/>
          <w:szCs w:val="20"/>
        </w:rPr>
        <w:t>, </w:t>
      </w:r>
      <w:hyperlink r:id="rId86" w:tgtFrame="_blank" w:tooltip="Zakon o spremembi in dopolnitvah Zakona o splošnem upravnem postopku" w:history="1">
        <w:r w:rsidRPr="002F30DF">
          <w:rPr>
            <w:rFonts w:cs="Arial"/>
            <w:sz w:val="20"/>
            <w:szCs w:val="20"/>
          </w:rPr>
          <w:t>65/08</w:t>
        </w:r>
      </w:hyperlink>
      <w:r w:rsidRPr="002F30DF">
        <w:rPr>
          <w:rFonts w:cs="Arial"/>
          <w:sz w:val="20"/>
          <w:szCs w:val="20"/>
        </w:rPr>
        <w:t>, </w:t>
      </w:r>
      <w:hyperlink r:id="rId87" w:tgtFrame="_blank" w:tooltip="Zakon o spremembah in dopolnitvah Zakona o splošnem upravnem postopku" w:history="1">
        <w:r w:rsidRPr="002F30DF">
          <w:rPr>
            <w:rFonts w:cs="Arial"/>
            <w:sz w:val="20"/>
            <w:szCs w:val="20"/>
          </w:rPr>
          <w:t>8/10</w:t>
        </w:r>
      </w:hyperlink>
      <w:r w:rsidR="00CB2587" w:rsidRPr="002F30DF">
        <w:rPr>
          <w:rFonts w:cs="Arial"/>
          <w:sz w:val="20"/>
          <w:szCs w:val="20"/>
        </w:rPr>
        <w:t>,</w:t>
      </w:r>
      <w:r w:rsidR="00CB2587" w:rsidRPr="002F30DF" w:rsidDel="00CB2587">
        <w:rPr>
          <w:rFonts w:cs="Arial"/>
          <w:sz w:val="20"/>
          <w:szCs w:val="20"/>
        </w:rPr>
        <w:t xml:space="preserve"> </w:t>
      </w:r>
      <w:hyperlink r:id="rId88" w:tgtFrame="_blank" w:tooltip="Zakon o spremembah in dopolnitvi Zakona o splošnem upravnem postopku" w:history="1">
        <w:r w:rsidRPr="002F30DF">
          <w:rPr>
            <w:rFonts w:cs="Arial"/>
            <w:sz w:val="20"/>
            <w:szCs w:val="20"/>
          </w:rPr>
          <w:t>82/13</w:t>
        </w:r>
      </w:hyperlink>
      <w:r w:rsidR="00CB2587" w:rsidRPr="002F30DF">
        <w:rPr>
          <w:rFonts w:cs="Arial"/>
          <w:sz w:val="20"/>
          <w:szCs w:val="20"/>
        </w:rPr>
        <w:t xml:space="preserve"> in 175/20- ZIUOPDVE</w:t>
      </w:r>
      <w:r w:rsidRPr="002F30DF">
        <w:rPr>
          <w:rFonts w:cs="Arial"/>
          <w:sz w:val="20"/>
          <w:szCs w:val="20"/>
        </w:rPr>
        <w:t>; v nadaljnjem besedilu: ZUP), ki določa, da organ najprej preizkusi zahtevo in jo s sklepom zavrže, če zadeva, na katero se vloga nanaša, ni upravna zadeva, če vložnik v vlogi ne uveljavlja kakšne svoje pravice ali pravne koristi oziroma, če po tem zakonu ne more biti stranka, če zahteva ni bila vložena v predpisanem roku, če se o isti upravni zadevi že vodi upravni ali sodni postopek, ali je bilo o njej že pravnomočno odločeno, pa je stranka z odločbo pridobila kakšne pravice, ali so ji bile naložene kakšne obveznosti, ali če je bila izdana zavrnilna odločba in se dejansko stanje ali pravna podlaga, na katero se opira zahtevek, ni spremenilo.</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i/>
          <w:sz w:val="20"/>
          <w:szCs w:val="20"/>
        </w:rPr>
      </w:pPr>
      <w:r w:rsidRPr="002F30DF">
        <w:rPr>
          <w:rFonts w:cs="Arial"/>
          <w:sz w:val="20"/>
          <w:szCs w:val="20"/>
        </w:rPr>
        <w:t xml:space="preserve">S </w:t>
      </w:r>
      <w:r w:rsidRPr="002F30DF">
        <w:rPr>
          <w:rFonts w:cs="Arial"/>
          <w:sz w:val="20"/>
          <w:szCs w:val="20"/>
          <w:u w:val="single"/>
        </w:rPr>
        <w:t>četrtim odstavkom</w:t>
      </w:r>
      <w:r w:rsidRPr="002F30DF">
        <w:rPr>
          <w:rFonts w:cs="Arial"/>
          <w:sz w:val="20"/>
          <w:szCs w:val="20"/>
        </w:rPr>
        <w:t xml:space="preserve"> tega člena se prenaša peti odstavek 4. člena Direktive 2019/1, ki določa, </w:t>
      </w:r>
      <w:r w:rsidRPr="002F30DF">
        <w:rPr>
          <w:rFonts w:cs="Arial"/>
          <w:i/>
          <w:sz w:val="20"/>
          <w:szCs w:val="20"/>
        </w:rPr>
        <w:t>da so nacionalni upravni organi, pristojni za varstvo konkurence, pooblaščeni, da prednostno razporedijo svoje naloge za uporabo 101. in 102. člena PDEU, kot je navedeno v drugem odstavku 5. člena Direktive 2019/1. Kolikor so nacionalni upravni organi, pristojni za varstvo konkurence, obvezani obravnavati formalne pritožbe, so ti organi pooblaščeni, da takšne pritožbe zavržejo z utemeljitvijo, da obravnavo takšnih pritožb ne uvrščajo med svoje prednostne naloge. To ne posega v pooblastilo nacionalnih upravnih organov, pristojnih za varstvo konkurence, da pritožbe zavržejo iz drugih razlogov, določenih v nacionalnem pravu.</w:t>
      </w:r>
    </w:p>
    <w:p w:rsidR="00AE0150" w:rsidRPr="002F30DF" w:rsidRDefault="00AE0150" w:rsidP="00AE0150">
      <w:pPr>
        <w:spacing w:line="260" w:lineRule="atLeast"/>
        <w:rPr>
          <w:rFonts w:cs="Arial"/>
          <w:i/>
          <w:sz w:val="20"/>
          <w:szCs w:val="20"/>
        </w:rPr>
      </w:pPr>
    </w:p>
    <w:p w:rsidR="00AE0150" w:rsidRPr="002F30DF" w:rsidRDefault="00AE0150" w:rsidP="00AE0150">
      <w:pPr>
        <w:spacing w:line="260" w:lineRule="atLeast"/>
        <w:rPr>
          <w:rFonts w:cs="Arial"/>
          <w:sz w:val="20"/>
          <w:szCs w:val="20"/>
        </w:rPr>
      </w:pPr>
      <w:r w:rsidRPr="002F30DF">
        <w:rPr>
          <w:rFonts w:cs="Arial"/>
          <w:sz w:val="20"/>
          <w:szCs w:val="20"/>
          <w:u w:val="single"/>
        </w:rPr>
        <w:lastRenderedPageBreak/>
        <w:t>Peti odstavek</w:t>
      </w:r>
      <w:r w:rsidRPr="002F30DF">
        <w:rPr>
          <w:rFonts w:cs="Arial"/>
          <w:sz w:val="20"/>
          <w:szCs w:val="20"/>
        </w:rPr>
        <w:t xml:space="preserve"> omogoča agenciji, da pred pristojnim sodiščem vloži tožbo za ugotovitev ničnosti, če se izkaže, da so imeli oziroma imajo sporazumi med podjetji, sklepi podjetniških združenj in usklajena ravnanja podjetij cilj ali učinek preprečevati, omejevati ali izkrivljati konkurenco na ozemlju Republike Slovenije (prvi odstavek 5. člena). Poleg tega lahko agencija vloži tožbo za ugotovitev ničnosti dejanj, ki jih je podjetje storilo zaradi uresničevanja pravic in obveznosti, ki izhajajo iz koncentracije, za katero obstaja obveznosti priglasitve, in sicer za dejanja storjena do izdaje odločbe o skladnosti koncentracije s pravili konkurence ter za dejanja, ki jih je podjetje storilo v času od poziva agencije da priglasi koncentracijo (tretji odstavek </w:t>
      </w:r>
      <w:r w:rsidR="00883623" w:rsidRPr="002F30DF">
        <w:rPr>
          <w:rFonts w:cs="Arial"/>
          <w:sz w:val="20"/>
          <w:szCs w:val="20"/>
        </w:rPr>
        <w:t>69</w:t>
      </w:r>
      <w:r w:rsidRPr="002F30DF">
        <w:rPr>
          <w:rFonts w:cs="Arial"/>
          <w:sz w:val="20"/>
          <w:szCs w:val="20"/>
        </w:rPr>
        <w:t>. člena tega zakona).</w:t>
      </w:r>
    </w:p>
    <w:p w:rsidR="00AE0150" w:rsidRPr="002F30DF" w:rsidRDefault="00AE0150" w:rsidP="00AE0150">
      <w:pPr>
        <w:tabs>
          <w:tab w:val="left" w:pos="1467"/>
        </w:tabs>
        <w:spacing w:line="260" w:lineRule="atLeast"/>
        <w:rPr>
          <w:rFonts w:cs="Arial"/>
          <w:b/>
          <w:sz w:val="20"/>
          <w:szCs w:val="20"/>
        </w:rPr>
      </w:pPr>
    </w:p>
    <w:p w:rsidR="00AE0150" w:rsidRPr="002F30DF" w:rsidRDefault="00AE0150" w:rsidP="00AE0150">
      <w:pPr>
        <w:pStyle w:val="len"/>
        <w:spacing w:before="0" w:line="260" w:lineRule="atLeast"/>
        <w:jc w:val="left"/>
        <w:rPr>
          <w:sz w:val="20"/>
          <w:szCs w:val="20"/>
        </w:rPr>
      </w:pPr>
      <w:r w:rsidRPr="002F30DF">
        <w:rPr>
          <w:sz w:val="20"/>
          <w:szCs w:val="20"/>
        </w:rPr>
        <w:t>K 13. členu (neodvisnost)</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sz w:val="20"/>
          <w:szCs w:val="20"/>
        </w:rPr>
      </w:pPr>
      <w:r w:rsidRPr="002F30DF">
        <w:rPr>
          <w:rFonts w:cs="Arial"/>
          <w:sz w:val="20"/>
          <w:szCs w:val="20"/>
        </w:rPr>
        <w:t xml:space="preserve">Neodvisnost agencije pri vodenju postopkov ter prepoved dajanja navodil in usmeritev agenciji s strani vlade in državnega zbora je določal že ZPOmK-1 in se z izjemo manjših dopolnitev ohranja tudi s tem zakonom. </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Agencija še naprej ohranja neodvisnost in samostojnost pri izvajanju svojih nalog in pristojnosti ter opravlja svoje naloge in izvaja pooblastila nepristransko ter v interesu učinkovite in enotne uporabe določb tega zakona ali 101. ali 102. člena PDEU. Agencija ni vezana na usmeritve in navodila državnih ali drugih organov ali tretjih oseb. Vlada lahko sprejme politiko za izvajanje pravil varstva konkurence, ki je splošne narave in ne posega v vodenje postopkov oziroma odločanje o posamičnih zadevah ter se ne sme nanašati na sektorske raziskave (</w:t>
      </w:r>
      <w:r w:rsidRPr="002F30DF">
        <w:rPr>
          <w:rFonts w:cs="Arial"/>
          <w:sz w:val="20"/>
          <w:szCs w:val="20"/>
          <w:u w:val="single"/>
        </w:rPr>
        <w:t>prvi odstavek</w:t>
      </w:r>
      <w:r w:rsidRPr="002F30DF">
        <w:rPr>
          <w:rFonts w:cs="Arial"/>
          <w:sz w:val="20"/>
          <w:szCs w:val="20"/>
        </w:rPr>
        <w:t>). Neodvisnost delovanja ne izključuje sodne presoje ali parlamentarnega nadzora skladno z zakonodajo.</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se nanaša na delovanje članov organov upravljanja agencije (to sta svet in direktor) ter na javne uslužbence, zaposlene v agenciji, ki ravno tako ne smejo zahtevati ali sprejemati navodil od vlade ali katerega koli drugega javnega ali zasebnega subjekta.</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i/>
          <w:sz w:val="20"/>
          <w:szCs w:val="20"/>
        </w:rPr>
      </w:pPr>
      <w:r w:rsidRPr="002F30DF">
        <w:rPr>
          <w:rFonts w:cs="Arial"/>
          <w:sz w:val="20"/>
          <w:szCs w:val="20"/>
        </w:rPr>
        <w:t xml:space="preserve">Pomen neodvisnosti in samostojnosti tako organov, pristojnih za varstvo konkurence, kot javnih uslužbencev, zaposlenih v agenciji, poudarja tudi Direktiva 2019/1, ki v prvem odstavku 4. člena nalaga državam članicam, da </w:t>
      </w:r>
      <w:r w:rsidRPr="002F30DF">
        <w:rPr>
          <w:rFonts w:cs="Arial"/>
          <w:i/>
          <w:sz w:val="20"/>
          <w:szCs w:val="20"/>
        </w:rPr>
        <w:t xml:space="preserve">tem organom zagotovijo, da opravljajo svoje naloge in izvajajo svoja pooblastila nepristransko ter v interesu učinkovite in enotne uporabe zadevnih določb ter ob upoštevanju </w:t>
      </w:r>
      <w:r w:rsidRPr="002F30DF">
        <w:rPr>
          <w:rFonts w:cs="Arial"/>
          <w:i/>
          <w:sz w:val="20"/>
          <w:szCs w:val="20"/>
        </w:rPr>
        <w:lastRenderedPageBreak/>
        <w:t xml:space="preserve">sorazmernih zahtev glede odgovornosti. </w:t>
      </w:r>
      <w:r w:rsidRPr="002F30DF">
        <w:rPr>
          <w:rFonts w:cs="Arial"/>
          <w:sz w:val="20"/>
          <w:szCs w:val="20"/>
        </w:rPr>
        <w:t xml:space="preserve">Nadalje v točki a) drugega odstavka tega člena določa, da se </w:t>
      </w:r>
      <w:r w:rsidRPr="002F30DF">
        <w:rPr>
          <w:rFonts w:cs="Arial"/>
          <w:i/>
          <w:sz w:val="20"/>
          <w:szCs w:val="20"/>
        </w:rPr>
        <w:t>vsaj osebju in osebam, ki sprejemajo odločitve, s katerimi se izvajajo pooblastila iz 10. do 13. in 16. člena te direktive, zagotovi, da lahko opravljajo svoje naloge in izvajajo svoja pooblastila neodvisno od političnih in drugih zunanjih vplivov ter da ne zahtevajo in ne sprejemajo navodil od vlade ali katerega drugega javnega ali zasebnega subjekta pri opravljanju svojih nalog in izvajanju svojih pooblastil za uporabo 101. in 102. člena PDEU.</w:t>
      </w:r>
    </w:p>
    <w:p w:rsidR="00AE0150" w:rsidRPr="002F30DF" w:rsidRDefault="00AE0150" w:rsidP="00AE0150">
      <w:pPr>
        <w:spacing w:line="260" w:lineRule="atLeast"/>
        <w:rPr>
          <w:rFonts w:cs="Arial"/>
          <w:sz w:val="20"/>
          <w:szCs w:val="20"/>
        </w:rPr>
      </w:pPr>
    </w:p>
    <w:tbl>
      <w:tblPr>
        <w:tblW w:w="5000" w:type="pct"/>
        <w:tblCellSpacing w:w="0" w:type="dxa"/>
        <w:tblCellMar>
          <w:left w:w="0" w:type="dxa"/>
          <w:right w:w="0" w:type="dxa"/>
        </w:tblCellMar>
        <w:tblLook w:val="04A0" w:firstRow="1" w:lastRow="0" w:firstColumn="1" w:lastColumn="0" w:noHBand="0" w:noVBand="1"/>
      </w:tblPr>
      <w:tblGrid>
        <w:gridCol w:w="9065"/>
        <w:gridCol w:w="6"/>
      </w:tblGrid>
      <w:tr w:rsidR="00AE0150" w:rsidRPr="002F30DF" w:rsidTr="004A24A0">
        <w:trPr>
          <w:tblCellSpacing w:w="0" w:type="dxa"/>
        </w:trPr>
        <w:tc>
          <w:tcPr>
            <w:tcW w:w="0" w:type="auto"/>
            <w:hideMark/>
          </w:tcPr>
          <w:p w:rsidR="00AE0150" w:rsidRPr="002F30DF" w:rsidRDefault="00AE0150" w:rsidP="004A24A0">
            <w:pPr>
              <w:overflowPunct/>
              <w:autoSpaceDE/>
              <w:autoSpaceDN/>
              <w:adjustRightInd/>
              <w:spacing w:line="260" w:lineRule="atLeast"/>
              <w:textAlignment w:val="auto"/>
              <w:rPr>
                <w:rFonts w:cs="Arial"/>
                <w:sz w:val="20"/>
                <w:szCs w:val="20"/>
              </w:rPr>
            </w:pPr>
            <w:r w:rsidRPr="002F30DF">
              <w:rPr>
                <w:rFonts w:cs="Arial"/>
                <w:sz w:val="20"/>
                <w:szCs w:val="20"/>
              </w:rPr>
              <w:t xml:space="preserve">Za zagotavljanje neodvisnosti delovanja organa, pristojnega za varstvo konkurence, je pomembno, da osebe, ki sprejemajo odločitve delujejo neoporečno in se vzdržijo vsakršnega ravnanja, ki bi bilo nezdružljivo z opravljanjem njihovih nalog. Da ne bi bila ogrožena neodvisna presoja teh oseb, bi se le-te v času zaposlitve ali trajanja mandata ter še razumno obdobje po koncu zaposlitve ali trajanja mandata vzdržati vseh ravnanj, ki so nezdružljive z opravljanjem te funkcije oziroma zaposlitve. Direktiva 2019/1 v točki c) drugega odstavka 4. člena določa, da se </w:t>
            </w:r>
            <w:r w:rsidRPr="002F30DF">
              <w:rPr>
                <w:rFonts w:cs="Arial"/>
                <w:i/>
                <w:sz w:val="20"/>
                <w:szCs w:val="20"/>
              </w:rPr>
              <w:t xml:space="preserve">vsaj osebje in osebe, ki sprejemajo odločitve, s katerimi se izvajajo pooblastila iz 10. do 13. in 16. člena te direktive, v nacionalnih organih, pristojnih za varstvo konkurence, vzdržijo vsakršnega ravnanja, ki bi bilo nezdružljivo z opravljanjem njihovih nalog in/ali izvajanjem njihovih pooblastil za uporabo 101. in 102. člena PDEU, poleg tega pa za njih veljajo postopki za zagotovitev, da se v razumnem času po prenehanju mandata ali zaposlitve vzdržijo obravnave postopkov za uveljavljanje pravil konkurence, ki bi lahko povzročili nasprotje interesov. </w:t>
            </w:r>
            <w:r w:rsidRPr="002F30DF">
              <w:rPr>
                <w:rFonts w:cs="Arial"/>
                <w:sz w:val="20"/>
                <w:szCs w:val="20"/>
              </w:rPr>
              <w:t xml:space="preserve">V zvezi s tem 18. uvodna določba preambule pojasnjuje, da </w:t>
            </w:r>
            <w:r w:rsidRPr="002F30DF">
              <w:rPr>
                <w:rFonts w:cs="Arial"/>
                <w:i/>
                <w:sz w:val="20"/>
                <w:szCs w:val="20"/>
              </w:rPr>
              <w:t xml:space="preserve">bi se zagotovila neodvisnost delovanja nacionalnih upravnih organov, pristojnih za varstvo konkurence, bi morali njihovi vodilni zaposleni, osebje in tisti, ki sprejemajo odločitve, delovati neoporečno in se vzdržati vsakršnega ravnanja, ki bi bilo nezdružljivo z opravljanjem njihovih nalog. Da ne bi bila ogrožena neodvisna presoja vodilnih zaposlenih, osebja in tistih, ki sprejemajo odločitve, bi se morali ti v času svoje zaposlitve ali mandata ter za razumno obdobje po tem vzdržati vseh nezdružljivih ravnanj, tako pridobitnih kot nepridobitnih. </w:t>
            </w:r>
            <w:r w:rsidRPr="002F30DF">
              <w:rPr>
                <w:rFonts w:cs="Arial"/>
                <w:sz w:val="20"/>
                <w:szCs w:val="20"/>
              </w:rPr>
              <w:t>V 19. uvodni določbi preambule je pojasnjeno,</w:t>
            </w:r>
            <w:r w:rsidRPr="002F30DF">
              <w:rPr>
                <w:rFonts w:cs="Arial"/>
                <w:i/>
                <w:sz w:val="20"/>
                <w:szCs w:val="20"/>
              </w:rPr>
              <w:t xml:space="preserve"> da to pomeni, da osebju in tistim, ki sprejemajo odločitve, v času njihove zaposlitve ali mandata ne bi smelo biti omogočeno, da sodelujejo v postopkih za uporabo 101. ali 102. člena PDEU, v katere so bili vključeni ali ki se neposredno nanašajo na podjetja ali podjetniška združenja, v katerih so bili zaposleni ali s katerimi so drugače poklicno sodelovali, če bi to lahko ogrozilo njihovo nepristranskost v konkretni zadevi. Podobno osebje in tisti, ki sprejemajo odločitve, ter njihovi bližnji sorodniki ne bi smeli imeti interesa v zvezi s podjetji ali organizacijami, v zvezi s katerimi se izvajajo postopki za uporabo 101. ali 102. člena PDEU, v katere so vključeni, če bi to lahko ogrozilo njihovo nepristranskost v konkretni zadevi. Pri oceni, ali bi bila v posamezni zadevi njihova nepristranskost lahko ogrožena, bi bilo treba upoštevati naravo in obseg interesa ter raven vključenosti ali udejstvovanja zadevnega posameznika. Kadar je treba zagotoviti nepristranskost preiskave in postopka odločanja, bi se moral zadevni posameznik izločiti iz konkretne zadeve.</w:t>
            </w:r>
            <w:r w:rsidRPr="002F30DF">
              <w:rPr>
                <w:rFonts w:cs="Arial"/>
                <w:sz w:val="20"/>
                <w:szCs w:val="20"/>
              </w:rPr>
              <w:t xml:space="preserve"> </w:t>
            </w:r>
          </w:p>
          <w:p w:rsidR="00AE0150" w:rsidRPr="002F30DF" w:rsidRDefault="00AE0150" w:rsidP="004A24A0">
            <w:pPr>
              <w:overflowPunct/>
              <w:autoSpaceDE/>
              <w:autoSpaceDN/>
              <w:adjustRightInd/>
              <w:spacing w:line="260" w:lineRule="atLeast"/>
              <w:textAlignment w:val="auto"/>
              <w:rPr>
                <w:rFonts w:cs="Arial"/>
                <w:sz w:val="20"/>
                <w:szCs w:val="20"/>
              </w:rPr>
            </w:pPr>
          </w:p>
        </w:tc>
        <w:tc>
          <w:tcPr>
            <w:tcW w:w="0" w:type="auto"/>
            <w:hideMark/>
          </w:tcPr>
          <w:p w:rsidR="00AE0150" w:rsidRPr="002F30DF" w:rsidRDefault="00AE0150" w:rsidP="004A24A0">
            <w:pPr>
              <w:spacing w:line="260" w:lineRule="atLeast"/>
              <w:rPr>
                <w:rFonts w:cs="Arial"/>
                <w:i/>
                <w:sz w:val="20"/>
                <w:szCs w:val="20"/>
              </w:rPr>
            </w:pPr>
          </w:p>
        </w:tc>
      </w:tr>
    </w:tbl>
    <w:p w:rsidR="00AE0150" w:rsidRPr="002F30DF" w:rsidRDefault="00AE0150" w:rsidP="00AE0150">
      <w:pPr>
        <w:overflowPunct/>
        <w:autoSpaceDE/>
        <w:autoSpaceDN/>
        <w:adjustRightInd/>
        <w:spacing w:line="260" w:lineRule="atLeast"/>
        <w:jc w:val="left"/>
        <w:textAlignment w:val="auto"/>
        <w:rPr>
          <w:rFonts w:cs="Arial"/>
          <w:vanish/>
          <w:sz w:val="20"/>
          <w:szCs w:val="20"/>
        </w:rPr>
      </w:pPr>
    </w:p>
    <w:tbl>
      <w:tblPr>
        <w:tblW w:w="5000" w:type="pct"/>
        <w:tblCellSpacing w:w="0" w:type="dxa"/>
        <w:tblCellMar>
          <w:left w:w="0" w:type="dxa"/>
          <w:right w:w="0" w:type="dxa"/>
        </w:tblCellMar>
        <w:tblLook w:val="04A0" w:firstRow="1" w:lastRow="0" w:firstColumn="1" w:lastColumn="0" w:noHBand="0" w:noVBand="1"/>
      </w:tblPr>
      <w:tblGrid>
        <w:gridCol w:w="9065"/>
        <w:gridCol w:w="6"/>
      </w:tblGrid>
      <w:tr w:rsidR="00AE0150" w:rsidRPr="002F30DF" w:rsidTr="004A24A0">
        <w:trPr>
          <w:tblCellSpacing w:w="0" w:type="dxa"/>
        </w:trPr>
        <w:tc>
          <w:tcPr>
            <w:tcW w:w="0" w:type="auto"/>
          </w:tcPr>
          <w:p w:rsidR="00AE0150" w:rsidRPr="002F30DF" w:rsidRDefault="00AE0150" w:rsidP="004A24A0">
            <w:pPr>
              <w:spacing w:line="260" w:lineRule="atLeast"/>
              <w:rPr>
                <w:rFonts w:cs="Arial"/>
                <w:sz w:val="20"/>
                <w:szCs w:val="20"/>
              </w:rPr>
            </w:pPr>
            <w:r w:rsidRPr="002F30DF">
              <w:rPr>
                <w:rFonts w:cs="Arial"/>
                <w:sz w:val="20"/>
                <w:szCs w:val="20"/>
              </w:rPr>
              <w:t xml:space="preserve">Te določbe Direktive 2019/1 so prenesene v tretji in četrti odstavek tega člena. </w:t>
            </w:r>
            <w:r w:rsidRPr="002F30DF">
              <w:rPr>
                <w:rFonts w:cs="Arial"/>
                <w:sz w:val="20"/>
                <w:szCs w:val="20"/>
                <w:u w:val="single"/>
              </w:rPr>
              <w:t>Tretji odstavek se</w:t>
            </w:r>
            <w:r w:rsidRPr="002F30DF">
              <w:rPr>
                <w:rFonts w:cs="Arial"/>
                <w:sz w:val="20"/>
                <w:szCs w:val="20"/>
              </w:rPr>
              <w:t xml:space="preserve"> nanaša na čas trajanja zaposlitve javnih uslužbencev, zaposlenih v agenciji oziroma na čas trajanja mandata članov organov upravljanja agencije, </w:t>
            </w:r>
            <w:r w:rsidRPr="002F30DF">
              <w:rPr>
                <w:rFonts w:cs="Arial"/>
                <w:sz w:val="20"/>
                <w:szCs w:val="20"/>
                <w:u w:val="single"/>
              </w:rPr>
              <w:t>četrti odstavek</w:t>
            </w:r>
            <w:r w:rsidRPr="002F30DF">
              <w:rPr>
                <w:rFonts w:cs="Arial"/>
                <w:sz w:val="20"/>
                <w:szCs w:val="20"/>
              </w:rPr>
              <w:t xml:space="preserve"> se nanaša na čas po prenehanju zaposlitve javnih uslužbencev, zaposlenih v agenciji oziroma izteku mandata članov organov upravljanja agencije. </w:t>
            </w:r>
          </w:p>
          <w:p w:rsidR="00635AC6" w:rsidRPr="002F30DF" w:rsidRDefault="00635AC6" w:rsidP="004A24A0">
            <w:pPr>
              <w:spacing w:line="260" w:lineRule="atLeast"/>
              <w:rPr>
                <w:rFonts w:cs="Arial"/>
                <w:sz w:val="20"/>
                <w:szCs w:val="20"/>
              </w:rPr>
            </w:pPr>
          </w:p>
          <w:p w:rsidR="007A2148" w:rsidRPr="002F30DF" w:rsidRDefault="00635AC6" w:rsidP="00F31043">
            <w:pPr>
              <w:spacing w:line="260" w:lineRule="atLeast"/>
              <w:rPr>
                <w:rFonts w:cs="Arial"/>
                <w:i/>
                <w:sz w:val="20"/>
                <w:szCs w:val="20"/>
              </w:rPr>
            </w:pPr>
            <w:r w:rsidRPr="002F30DF">
              <w:rPr>
                <w:rFonts w:cs="Arial"/>
                <w:sz w:val="20"/>
                <w:szCs w:val="20"/>
                <w:u w:val="single"/>
              </w:rPr>
              <w:t>Peti odstavek</w:t>
            </w:r>
            <w:r w:rsidRPr="002F30DF">
              <w:rPr>
                <w:rFonts w:cs="Arial"/>
                <w:sz w:val="20"/>
                <w:szCs w:val="20"/>
              </w:rPr>
              <w:t xml:space="preserve"> določa, da agencija sprejme in objavi kodeks ravnanja glede nasprotij interesov</w:t>
            </w:r>
            <w:r w:rsidR="007A2148" w:rsidRPr="002F30DF">
              <w:rPr>
                <w:rFonts w:cs="Arial"/>
                <w:sz w:val="20"/>
                <w:szCs w:val="20"/>
              </w:rPr>
              <w:t>, kot je to pojasnjeno v</w:t>
            </w:r>
            <w:r w:rsidR="00565757" w:rsidRPr="002F30DF">
              <w:rPr>
                <w:rFonts w:cs="Arial"/>
                <w:sz w:val="20"/>
                <w:szCs w:val="20"/>
              </w:rPr>
              <w:t xml:space="preserve"> 21. </w:t>
            </w:r>
            <w:r w:rsidR="004B3B1A" w:rsidRPr="002F30DF">
              <w:rPr>
                <w:rFonts w:cs="Arial"/>
                <w:sz w:val="20"/>
                <w:szCs w:val="20"/>
              </w:rPr>
              <w:t xml:space="preserve">uvodni določbi </w:t>
            </w:r>
            <w:r w:rsidR="007A2148" w:rsidRPr="002F30DF">
              <w:rPr>
                <w:rFonts w:cs="Arial"/>
                <w:sz w:val="20"/>
                <w:szCs w:val="20"/>
              </w:rPr>
              <w:t>preambule Direktive 2009/1,</w:t>
            </w:r>
            <w:r w:rsidR="000A26E4" w:rsidRPr="002F30DF">
              <w:rPr>
                <w:rFonts w:cs="Arial"/>
                <w:sz w:val="20"/>
                <w:szCs w:val="20"/>
              </w:rPr>
              <w:t xml:space="preserve"> in sicer</w:t>
            </w:r>
            <w:r w:rsidR="007A2148" w:rsidRPr="002F30DF">
              <w:rPr>
                <w:rFonts w:cs="Arial"/>
                <w:sz w:val="20"/>
                <w:szCs w:val="20"/>
              </w:rPr>
              <w:t xml:space="preserve"> </w:t>
            </w:r>
            <w:r w:rsidR="007A2148" w:rsidRPr="002F30DF">
              <w:rPr>
                <w:rFonts w:cs="Arial"/>
                <w:i/>
                <w:sz w:val="20"/>
                <w:szCs w:val="20"/>
              </w:rPr>
              <w:t xml:space="preserve">da </w:t>
            </w:r>
            <w:r w:rsidR="000A26E4" w:rsidRPr="002F30DF">
              <w:rPr>
                <w:rFonts w:cs="Arial"/>
                <w:i/>
                <w:sz w:val="20"/>
                <w:szCs w:val="20"/>
              </w:rPr>
              <w:t xml:space="preserve">bi moral </w:t>
            </w:r>
            <w:r w:rsidR="007A2148" w:rsidRPr="002F30DF">
              <w:rPr>
                <w:rFonts w:cs="Arial"/>
                <w:i/>
                <w:sz w:val="20"/>
                <w:szCs w:val="20"/>
              </w:rPr>
              <w:t>vsak nacionalni upravni organ, pristojen za konkurenco, objaviti kodeks ravnanja, ki brez poseganja v uporabo strožjih nacionalnih pravil zajema pravila glede nasprotij interesov.</w:t>
            </w:r>
          </w:p>
          <w:p w:rsidR="00AE0150" w:rsidRPr="002F30DF" w:rsidRDefault="00AE0150" w:rsidP="00F31043">
            <w:pPr>
              <w:spacing w:line="260" w:lineRule="atLeast"/>
              <w:rPr>
                <w:rFonts w:cs="Arial"/>
                <w:i/>
                <w:sz w:val="20"/>
                <w:szCs w:val="20"/>
              </w:rPr>
            </w:pPr>
          </w:p>
        </w:tc>
        <w:tc>
          <w:tcPr>
            <w:tcW w:w="0" w:type="auto"/>
          </w:tcPr>
          <w:p w:rsidR="00AE0150" w:rsidRPr="002F30DF" w:rsidRDefault="00AE0150" w:rsidP="004A24A0">
            <w:pPr>
              <w:spacing w:line="260" w:lineRule="atLeast"/>
              <w:rPr>
                <w:rFonts w:cs="Arial"/>
                <w:i/>
                <w:sz w:val="20"/>
                <w:szCs w:val="20"/>
              </w:rPr>
            </w:pPr>
          </w:p>
        </w:tc>
      </w:tr>
    </w:tbl>
    <w:p w:rsidR="00AE0150" w:rsidRPr="002F30DF" w:rsidRDefault="00AE0150" w:rsidP="00AE0150">
      <w:pPr>
        <w:spacing w:line="260" w:lineRule="atLeast"/>
        <w:rPr>
          <w:rFonts w:cs="Arial"/>
          <w:b/>
          <w:sz w:val="20"/>
          <w:szCs w:val="20"/>
        </w:rPr>
      </w:pPr>
      <w:r w:rsidRPr="002F30DF">
        <w:rPr>
          <w:rFonts w:cs="Arial"/>
          <w:b/>
          <w:sz w:val="20"/>
          <w:szCs w:val="20"/>
        </w:rPr>
        <w:t>K</w:t>
      </w:r>
      <w:r w:rsidR="00D035AA" w:rsidRPr="002F30DF">
        <w:rPr>
          <w:rFonts w:cs="Arial"/>
          <w:b/>
          <w:sz w:val="20"/>
          <w:szCs w:val="20"/>
        </w:rPr>
        <w:t xml:space="preserve"> 14. členu (sredstva za delo, </w:t>
      </w:r>
      <w:r w:rsidR="00DF6D77" w:rsidRPr="002F30DF">
        <w:rPr>
          <w:rFonts w:cs="Arial"/>
          <w:b/>
          <w:sz w:val="20"/>
          <w:szCs w:val="20"/>
        </w:rPr>
        <w:t>tarifa</w:t>
      </w:r>
      <w:r w:rsidRPr="002F30DF">
        <w:rPr>
          <w:rFonts w:cs="Arial"/>
          <w:b/>
          <w:sz w:val="20"/>
          <w:szCs w:val="20"/>
        </w:rPr>
        <w:t xml:space="preserve"> </w:t>
      </w:r>
      <w:r w:rsidR="00D035AA" w:rsidRPr="002F30DF">
        <w:rPr>
          <w:rFonts w:cs="Arial"/>
          <w:b/>
          <w:sz w:val="20"/>
          <w:szCs w:val="20"/>
        </w:rPr>
        <w:t xml:space="preserve">in poročanje </w:t>
      </w:r>
      <w:r w:rsidRPr="002F30DF">
        <w:rPr>
          <w:rFonts w:cs="Arial"/>
          <w:b/>
          <w:sz w:val="20"/>
          <w:szCs w:val="20"/>
        </w:rPr>
        <w:t>agencije)</w:t>
      </w:r>
    </w:p>
    <w:p w:rsidR="00084DFF" w:rsidRPr="002F30DF" w:rsidRDefault="00084DFF" w:rsidP="00AE0150">
      <w:pPr>
        <w:spacing w:line="260" w:lineRule="atLeast"/>
        <w:rPr>
          <w:rFonts w:cs="Arial"/>
          <w:b/>
          <w:sz w:val="20"/>
          <w:szCs w:val="20"/>
        </w:rPr>
      </w:pPr>
    </w:p>
    <w:p w:rsidR="00084DFF" w:rsidRPr="002F30DF" w:rsidRDefault="00084DFF" w:rsidP="00AE0150">
      <w:pPr>
        <w:spacing w:line="260" w:lineRule="atLeast"/>
        <w:rPr>
          <w:rFonts w:cs="Arial"/>
          <w:sz w:val="20"/>
          <w:szCs w:val="20"/>
        </w:rPr>
      </w:pPr>
      <w:r w:rsidRPr="002F30DF">
        <w:rPr>
          <w:rFonts w:cs="Arial"/>
          <w:sz w:val="20"/>
          <w:szCs w:val="20"/>
        </w:rPr>
        <w:t xml:space="preserve">Agencija je posredni proračunski porabnik, kar pomeni, da se sredstva za njeno delovanje </w:t>
      </w:r>
      <w:r w:rsidR="0002244A" w:rsidRPr="002F30DF">
        <w:rPr>
          <w:rFonts w:cs="Arial"/>
          <w:sz w:val="20"/>
          <w:szCs w:val="20"/>
        </w:rPr>
        <w:t xml:space="preserve">v večji meri </w:t>
      </w:r>
      <w:r w:rsidRPr="002F30DF">
        <w:rPr>
          <w:rFonts w:cs="Arial"/>
          <w:sz w:val="20"/>
          <w:szCs w:val="20"/>
        </w:rPr>
        <w:t>zagotavljajo v Proračunu Republike Slovenije na predlog pristojnega ministrstva</w:t>
      </w:r>
      <w:r w:rsidR="0002244A" w:rsidRPr="002F30DF">
        <w:rPr>
          <w:rFonts w:cs="Arial"/>
          <w:sz w:val="20"/>
          <w:szCs w:val="20"/>
        </w:rPr>
        <w:t>, manjši del sredstev pa agencija pridobi z nadomestilom stroškov.</w:t>
      </w:r>
    </w:p>
    <w:p w:rsidR="00DF6D77" w:rsidRPr="002F30DF" w:rsidRDefault="00DF6D77" w:rsidP="00AE0150">
      <w:pPr>
        <w:spacing w:line="260" w:lineRule="atLeast"/>
        <w:rPr>
          <w:rFonts w:cs="Arial"/>
          <w:sz w:val="20"/>
          <w:szCs w:val="20"/>
        </w:rPr>
      </w:pPr>
    </w:p>
    <w:p w:rsidR="00DF6D77" w:rsidRPr="002F30DF" w:rsidRDefault="00DF6D77" w:rsidP="00AE0150">
      <w:pPr>
        <w:spacing w:line="260" w:lineRule="atLeast"/>
        <w:rPr>
          <w:rFonts w:cs="Arial"/>
          <w:sz w:val="20"/>
          <w:szCs w:val="20"/>
        </w:rPr>
      </w:pPr>
      <w:r w:rsidRPr="002F30DF">
        <w:rPr>
          <w:rFonts w:cs="Arial"/>
          <w:sz w:val="20"/>
          <w:szCs w:val="20"/>
        </w:rPr>
        <w:t>Agencija samostojno odloča o porabi sredstev in glede na razpoložljiva sredstva in znotraj finančnega načrta tekočega leta sama določi število zaposlenih.</w:t>
      </w:r>
    </w:p>
    <w:p w:rsidR="00DF6D77" w:rsidRPr="002F30DF" w:rsidRDefault="00DF6D77" w:rsidP="00AE0150">
      <w:pPr>
        <w:spacing w:line="260" w:lineRule="atLeast"/>
        <w:rPr>
          <w:rFonts w:cs="Arial"/>
          <w:sz w:val="20"/>
          <w:szCs w:val="20"/>
        </w:rPr>
      </w:pPr>
    </w:p>
    <w:p w:rsidR="00AE0150" w:rsidRPr="002F30DF" w:rsidRDefault="00DF6D77" w:rsidP="00AE0150">
      <w:pPr>
        <w:spacing w:line="260" w:lineRule="atLeast"/>
        <w:rPr>
          <w:rFonts w:cs="Arial"/>
          <w:sz w:val="20"/>
          <w:szCs w:val="20"/>
        </w:rPr>
      </w:pPr>
      <w:r w:rsidRPr="002F30DF">
        <w:rPr>
          <w:rFonts w:cs="Arial"/>
          <w:sz w:val="20"/>
          <w:szCs w:val="20"/>
        </w:rPr>
        <w:lastRenderedPageBreak/>
        <w:t>Agencija izda tarifo, v kateri določi višino plačil za storitve, ki jih opravlja, zlasti nadomestila stroškov, ki ji nastanejo med postopki ali zaradi postopkov, in nadomestila za opravljanje drugih nalog, ki jih izvaja po tem ali drugem zakonu. Tarifa agencije se objavi v Uradnem listu Republike Slovenije, pred objavo mora agencija pridobiti soglasje vlade.</w:t>
      </w:r>
    </w:p>
    <w:p w:rsidR="00445ED2" w:rsidRPr="002F30DF" w:rsidRDefault="00445ED2" w:rsidP="00AE0150">
      <w:pPr>
        <w:spacing w:line="260" w:lineRule="atLeast"/>
        <w:rPr>
          <w:rFonts w:cs="Arial"/>
          <w:sz w:val="20"/>
          <w:szCs w:val="20"/>
        </w:rPr>
      </w:pPr>
    </w:p>
    <w:p w:rsidR="00445ED2" w:rsidRPr="002F30DF" w:rsidRDefault="00D035AA" w:rsidP="00AE0150">
      <w:pPr>
        <w:spacing w:line="260" w:lineRule="atLeast"/>
        <w:rPr>
          <w:rFonts w:cs="Arial"/>
          <w:sz w:val="20"/>
          <w:szCs w:val="20"/>
        </w:rPr>
      </w:pPr>
      <w:r w:rsidRPr="002F30DF">
        <w:rPr>
          <w:rFonts w:cs="Arial"/>
          <w:sz w:val="20"/>
          <w:szCs w:val="20"/>
          <w:u w:val="single"/>
        </w:rPr>
        <w:t>Sedmi odstavek</w:t>
      </w:r>
      <w:r w:rsidRPr="002F30DF">
        <w:rPr>
          <w:rFonts w:cs="Arial"/>
          <w:sz w:val="20"/>
          <w:szCs w:val="20"/>
        </w:rPr>
        <w:t xml:space="preserve"> določa poročanje agencije, in sicer a</w:t>
      </w:r>
      <w:r w:rsidR="00445ED2" w:rsidRPr="002F30DF">
        <w:rPr>
          <w:rFonts w:cs="Arial"/>
          <w:sz w:val="20"/>
          <w:szCs w:val="20"/>
        </w:rPr>
        <w:t>gencija o svojem delu enkrat letno poroča državnemu zboru do 28. februarja za preteklo leto. Letno poročilo vsebuje tudi informacije o imenovanjih in razrešitvah članov organov upravljanja agencije ter oseb, ki odločajo v senatih, znesku dodeljenih sredstev in vseh spremembah tega zneska gl</w:t>
      </w:r>
      <w:r w:rsidRPr="002F30DF">
        <w:rPr>
          <w:rFonts w:cs="Arial"/>
          <w:sz w:val="20"/>
          <w:szCs w:val="20"/>
        </w:rPr>
        <w:t>ede na prejšnja leta. L</w:t>
      </w:r>
      <w:r w:rsidR="00445ED2" w:rsidRPr="002F30DF">
        <w:rPr>
          <w:rFonts w:cs="Arial"/>
          <w:sz w:val="20"/>
          <w:szCs w:val="20"/>
        </w:rPr>
        <w:t xml:space="preserve">etno poročilo </w:t>
      </w:r>
      <w:r w:rsidRPr="002F30DF">
        <w:rPr>
          <w:rFonts w:cs="Arial"/>
          <w:sz w:val="20"/>
          <w:szCs w:val="20"/>
        </w:rPr>
        <w:t xml:space="preserve">agencija </w:t>
      </w:r>
      <w:r w:rsidR="00445ED2" w:rsidRPr="002F30DF">
        <w:rPr>
          <w:rFonts w:cs="Arial"/>
          <w:sz w:val="20"/>
          <w:szCs w:val="20"/>
        </w:rPr>
        <w:t>objavi na svoji spletni strani.</w:t>
      </w:r>
      <w:r w:rsidRPr="002F30DF">
        <w:rPr>
          <w:rFonts w:cs="Arial"/>
          <w:sz w:val="20"/>
          <w:szCs w:val="20"/>
        </w:rPr>
        <w:t xml:space="preserve"> S tem odstavkom se prenaša četrti odstavek 5. člena Direktive 2019/1.</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15. členu (nadzor nad delom in poslovanjem)</w:t>
      </w:r>
    </w:p>
    <w:p w:rsidR="00AE0150" w:rsidRPr="002F30DF" w:rsidRDefault="00AE0150" w:rsidP="00AE0150">
      <w:pPr>
        <w:pStyle w:val="Odstavek"/>
        <w:spacing w:before="0" w:line="260" w:lineRule="atLeast"/>
        <w:ind w:firstLine="0"/>
        <w:rPr>
          <w:i/>
          <w:sz w:val="20"/>
          <w:szCs w:val="20"/>
        </w:rPr>
      </w:pPr>
    </w:p>
    <w:p w:rsidR="007E0199" w:rsidRPr="002F30DF" w:rsidRDefault="00AE0150" w:rsidP="00AE0150">
      <w:pPr>
        <w:pStyle w:val="Odstavek"/>
        <w:spacing w:before="0" w:line="260" w:lineRule="atLeast"/>
        <w:ind w:firstLine="0"/>
        <w:rPr>
          <w:sz w:val="20"/>
          <w:szCs w:val="20"/>
        </w:rPr>
      </w:pPr>
      <w:r w:rsidRPr="002F30DF">
        <w:rPr>
          <w:sz w:val="20"/>
          <w:szCs w:val="20"/>
        </w:rPr>
        <w:t xml:space="preserve">Z namenom zagotovitve neodvisnosti se </w:t>
      </w:r>
      <w:r w:rsidR="00C81A1E" w:rsidRPr="002F30DF">
        <w:rPr>
          <w:sz w:val="20"/>
          <w:szCs w:val="20"/>
        </w:rPr>
        <w:t>v tem členu</w:t>
      </w:r>
      <w:r w:rsidRPr="002F30DF">
        <w:rPr>
          <w:sz w:val="20"/>
          <w:szCs w:val="20"/>
        </w:rPr>
        <w:t xml:space="preserve"> določi, </w:t>
      </w:r>
      <w:r w:rsidR="007E0199" w:rsidRPr="002F30DF">
        <w:rPr>
          <w:sz w:val="20"/>
          <w:szCs w:val="20"/>
        </w:rPr>
        <w:t>da nadzor nad delom in poslovanjem agencije, ki ga opravlja pristojno ministrstvo</w:t>
      </w:r>
      <w:r w:rsidR="005E18C7" w:rsidRPr="002F30DF">
        <w:rPr>
          <w:sz w:val="20"/>
          <w:szCs w:val="20"/>
        </w:rPr>
        <w:t>, pristojno za varstvo konkurence</w:t>
      </w:r>
      <w:r w:rsidR="007E0199" w:rsidRPr="002F30DF">
        <w:rPr>
          <w:sz w:val="20"/>
          <w:szCs w:val="20"/>
        </w:rPr>
        <w:t xml:space="preserve">, ne pomeni pravice vpogleda v posamezne obravnavane zadeve. </w:t>
      </w:r>
    </w:p>
    <w:p w:rsidR="00AE0150" w:rsidRPr="002F30DF" w:rsidRDefault="00AE0150" w:rsidP="00AE0150">
      <w:pPr>
        <w:pStyle w:val="Odstavek"/>
        <w:spacing w:before="0" w:line="260" w:lineRule="atLeast"/>
        <w:ind w:firstLine="0"/>
        <w:rPr>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16. členu</w:t>
      </w:r>
      <w:r w:rsidRPr="002F30DF">
        <w:rPr>
          <w:rFonts w:cs="Arial"/>
          <w:sz w:val="20"/>
          <w:szCs w:val="20"/>
        </w:rPr>
        <w:t xml:space="preserve"> </w:t>
      </w:r>
      <w:r w:rsidRPr="002F30DF">
        <w:rPr>
          <w:rFonts w:cs="Arial"/>
          <w:b/>
          <w:sz w:val="20"/>
          <w:szCs w:val="20"/>
        </w:rPr>
        <w:t>(sodelovanje agencije pri oblikovanju politike konkurence in v mednarodnih odnosih)</w:t>
      </w:r>
    </w:p>
    <w:p w:rsidR="00AE0150" w:rsidRPr="002F30DF" w:rsidRDefault="00AE0150" w:rsidP="00AE0150">
      <w:pPr>
        <w:spacing w:line="260" w:lineRule="atLeast"/>
        <w:ind w:firstLine="708"/>
        <w:rPr>
          <w:rFonts w:cs="Arial"/>
          <w:b/>
          <w:sz w:val="20"/>
          <w:szCs w:val="20"/>
        </w:rPr>
      </w:pPr>
    </w:p>
    <w:p w:rsidR="00AE0150" w:rsidRPr="002F30DF" w:rsidRDefault="00AE0150" w:rsidP="00AE0150">
      <w:pPr>
        <w:pStyle w:val="Odstavek"/>
        <w:spacing w:before="0" w:line="260" w:lineRule="atLeast"/>
        <w:ind w:firstLine="0"/>
        <w:rPr>
          <w:sz w:val="20"/>
          <w:szCs w:val="20"/>
        </w:rPr>
      </w:pPr>
      <w:r w:rsidRPr="002F30DF">
        <w:rPr>
          <w:sz w:val="20"/>
          <w:szCs w:val="20"/>
        </w:rPr>
        <w:t>Predlog v tem členu ureja sodelovanje agencije pri oblikovanju politike konkurence (</w:t>
      </w:r>
      <w:r w:rsidRPr="002F30DF">
        <w:rPr>
          <w:sz w:val="20"/>
          <w:szCs w:val="20"/>
          <w:u w:val="single"/>
        </w:rPr>
        <w:t>prvi odstavek</w:t>
      </w:r>
      <w:r w:rsidRPr="002F30DF">
        <w:rPr>
          <w:sz w:val="20"/>
          <w:szCs w:val="20"/>
        </w:rPr>
        <w:t xml:space="preserve">) in v mednarodnih odnosih ter določa dolžnost direktorja, da o sodelovanju </w:t>
      </w:r>
      <w:r w:rsidR="00622AC5" w:rsidRPr="002F30DF">
        <w:rPr>
          <w:sz w:val="20"/>
          <w:szCs w:val="20"/>
        </w:rPr>
        <w:t>na področju varstva konkurence znotraj Evropske unije</w:t>
      </w:r>
      <w:r w:rsidRPr="002F30DF">
        <w:rPr>
          <w:sz w:val="20"/>
          <w:szCs w:val="20"/>
        </w:rPr>
        <w:t xml:space="preserve"> obvešča svet agencije in ministrstvo, pristojno za varstvo konkurence (</w:t>
      </w:r>
      <w:r w:rsidRPr="002F30DF">
        <w:rPr>
          <w:sz w:val="20"/>
          <w:szCs w:val="20"/>
          <w:u w:val="single"/>
        </w:rPr>
        <w:t>drugi odstavek</w:t>
      </w:r>
      <w:r w:rsidRPr="002F30DF">
        <w:rPr>
          <w:sz w:val="20"/>
          <w:szCs w:val="20"/>
        </w:rPr>
        <w:t>).</w:t>
      </w:r>
    </w:p>
    <w:p w:rsidR="002937A6" w:rsidRPr="002F30DF" w:rsidRDefault="002937A6" w:rsidP="00AE0150">
      <w:pPr>
        <w:pStyle w:val="Odstavek"/>
        <w:spacing w:before="0" w:line="260" w:lineRule="atLeast"/>
        <w:ind w:firstLine="0"/>
        <w:rPr>
          <w:sz w:val="20"/>
          <w:szCs w:val="20"/>
        </w:rPr>
      </w:pPr>
    </w:p>
    <w:p w:rsidR="002937A6" w:rsidRPr="002F30DF" w:rsidRDefault="002937A6" w:rsidP="00AE0150">
      <w:pPr>
        <w:pStyle w:val="Odstavek"/>
        <w:spacing w:before="0" w:line="260" w:lineRule="atLeast"/>
        <w:ind w:firstLine="0"/>
        <w:rPr>
          <w:sz w:val="20"/>
          <w:szCs w:val="20"/>
        </w:rPr>
      </w:pPr>
      <w:r w:rsidRPr="002F30DF">
        <w:rPr>
          <w:sz w:val="20"/>
          <w:szCs w:val="20"/>
          <w:u w:val="single"/>
        </w:rPr>
        <w:t>Tretji odstavek</w:t>
      </w:r>
      <w:r w:rsidRPr="002F30DF">
        <w:rPr>
          <w:sz w:val="20"/>
          <w:szCs w:val="20"/>
        </w:rPr>
        <w:t xml:space="preserve"> pa izrecno določa sodelovalno dolžnost agencije v okviru Evropske mreže za konkurenco. To sodelovanje je potrebno zaradi zagotovitve učinkovite in enotne uporabe 101. in 102. člena PDEU. S tem odstavkom se delno prenaša</w:t>
      </w:r>
      <w:r w:rsidR="00D035AA" w:rsidRPr="002F30DF">
        <w:rPr>
          <w:sz w:val="20"/>
          <w:szCs w:val="20"/>
        </w:rPr>
        <w:t>ta</w:t>
      </w:r>
      <w:r w:rsidRPr="002F30DF">
        <w:rPr>
          <w:sz w:val="20"/>
          <w:szCs w:val="20"/>
        </w:rPr>
        <w:t xml:space="preserve"> prvi odstavek 4. člena</w:t>
      </w:r>
      <w:r w:rsidR="00D035AA" w:rsidRPr="002F30DF">
        <w:rPr>
          <w:sz w:val="20"/>
          <w:szCs w:val="20"/>
        </w:rPr>
        <w:t xml:space="preserve"> in drugi odstavek 5. člena</w:t>
      </w:r>
      <w:r w:rsidRPr="002F30DF">
        <w:rPr>
          <w:sz w:val="20"/>
          <w:szCs w:val="20"/>
        </w:rPr>
        <w:t xml:space="preserve"> Direktive 2019/1.</w:t>
      </w:r>
    </w:p>
    <w:p w:rsidR="00AE0150" w:rsidRPr="002F30DF" w:rsidRDefault="00AE0150" w:rsidP="00AE0150">
      <w:pPr>
        <w:pStyle w:val="Odstavek"/>
        <w:spacing w:before="0" w:line="260" w:lineRule="atLeast"/>
        <w:ind w:firstLine="0"/>
        <w:rPr>
          <w:rFonts w:eastAsia="Calibri"/>
          <w:i/>
          <w:sz w:val="20"/>
          <w:szCs w:val="20"/>
          <w:lang w:eastAsia="en-US"/>
        </w:rPr>
      </w:pPr>
    </w:p>
    <w:p w:rsidR="00AE0150" w:rsidRPr="002F30DF" w:rsidRDefault="00AE0150" w:rsidP="00AE0150">
      <w:pPr>
        <w:spacing w:line="260" w:lineRule="atLeast"/>
        <w:rPr>
          <w:rFonts w:cs="Arial"/>
          <w:sz w:val="20"/>
          <w:szCs w:val="20"/>
        </w:rPr>
      </w:pPr>
      <w:r w:rsidRPr="002F30DF">
        <w:rPr>
          <w:rFonts w:cs="Arial"/>
          <w:b/>
          <w:sz w:val="20"/>
          <w:szCs w:val="20"/>
        </w:rPr>
        <w:t>K 17. členu (organa</w:t>
      </w:r>
      <w:r w:rsidR="009E4CCF" w:rsidRPr="002F30DF">
        <w:rPr>
          <w:rFonts w:cs="Arial"/>
          <w:b/>
          <w:sz w:val="20"/>
          <w:szCs w:val="20"/>
        </w:rPr>
        <w:t xml:space="preserve"> </w:t>
      </w:r>
      <w:r w:rsidRPr="002F30DF">
        <w:rPr>
          <w:rFonts w:cs="Arial"/>
          <w:b/>
          <w:sz w:val="20"/>
          <w:szCs w:val="20"/>
        </w:rPr>
        <w:t>agencije)</w:t>
      </w:r>
    </w:p>
    <w:p w:rsidR="00AE0150" w:rsidRPr="002F30DF" w:rsidRDefault="00AE0150" w:rsidP="00AE0150">
      <w:pPr>
        <w:spacing w:line="260" w:lineRule="atLeast"/>
        <w:rPr>
          <w:rFonts w:cs="Arial"/>
          <w:sz w:val="20"/>
          <w:szCs w:val="20"/>
        </w:rPr>
      </w:pPr>
    </w:p>
    <w:p w:rsidR="00AE0150" w:rsidRPr="002F30DF" w:rsidRDefault="00AE0150" w:rsidP="00AE0150">
      <w:pPr>
        <w:pStyle w:val="Odstavek"/>
        <w:spacing w:before="0" w:line="260" w:lineRule="atLeast"/>
        <w:ind w:firstLine="0"/>
        <w:rPr>
          <w:rFonts w:eastAsia="Calibri"/>
          <w:sz w:val="20"/>
          <w:szCs w:val="20"/>
          <w:lang w:eastAsia="en-US"/>
        </w:rPr>
      </w:pPr>
      <w:r w:rsidRPr="002F30DF">
        <w:rPr>
          <w:rFonts w:eastAsia="Calibri"/>
          <w:sz w:val="20"/>
          <w:szCs w:val="20"/>
          <w:lang w:eastAsia="en-US"/>
        </w:rPr>
        <w:t xml:space="preserve">Ohranjata se dosedanja organa agencije, in sicer svet agencije (v nadaljnjem besedilu: svet) in direktor agencije (v nadaljnjem besedilu: direktor). </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18. členu (sestava in imenovanje članov sveta)</w:t>
      </w:r>
    </w:p>
    <w:p w:rsidR="00AE0150" w:rsidRPr="002F30DF" w:rsidRDefault="00AE0150" w:rsidP="00AE0150">
      <w:pPr>
        <w:pStyle w:val="Odstavek"/>
        <w:spacing w:before="0" w:line="260" w:lineRule="atLeast"/>
        <w:ind w:firstLine="0"/>
        <w:rPr>
          <w:rFonts w:eastAsia="Calibri"/>
          <w:sz w:val="20"/>
          <w:szCs w:val="20"/>
          <w:lang w:eastAsia="en-US"/>
        </w:rPr>
      </w:pPr>
    </w:p>
    <w:p w:rsidR="00AE0150" w:rsidRPr="002F30DF" w:rsidRDefault="00AE0150" w:rsidP="00AE0150">
      <w:pPr>
        <w:pStyle w:val="Odstavek"/>
        <w:spacing w:before="0" w:line="260" w:lineRule="atLeast"/>
        <w:ind w:firstLine="0"/>
        <w:rPr>
          <w:rFonts w:eastAsia="Calibri"/>
          <w:sz w:val="20"/>
          <w:szCs w:val="20"/>
          <w:lang w:eastAsia="en-US"/>
        </w:rPr>
      </w:pPr>
      <w:r w:rsidRPr="002F30DF">
        <w:rPr>
          <w:rFonts w:eastAsia="Calibri"/>
          <w:sz w:val="20"/>
          <w:szCs w:val="20"/>
          <w:lang w:eastAsia="en-US"/>
        </w:rPr>
        <w:t xml:space="preserve">Svet je </w:t>
      </w:r>
      <w:r w:rsidR="009E4CCF" w:rsidRPr="002F30DF">
        <w:rPr>
          <w:rFonts w:eastAsia="Calibri"/>
          <w:sz w:val="20"/>
          <w:szCs w:val="20"/>
          <w:lang w:eastAsia="en-US"/>
        </w:rPr>
        <w:t>pet</w:t>
      </w:r>
      <w:r w:rsidRPr="002F30DF">
        <w:rPr>
          <w:rFonts w:eastAsia="Calibri"/>
          <w:sz w:val="20"/>
          <w:szCs w:val="20"/>
          <w:lang w:eastAsia="en-US"/>
        </w:rPr>
        <w:t xml:space="preserve">članski organ, od tega je eden predsednik sveta. </w:t>
      </w:r>
      <w:r w:rsidR="009E4CCF" w:rsidRPr="002F30DF">
        <w:rPr>
          <w:rFonts w:eastAsia="Calibri"/>
          <w:sz w:val="20"/>
          <w:szCs w:val="20"/>
          <w:lang w:eastAsia="en-US"/>
        </w:rPr>
        <w:t>Direktor je po funkciji tudi predsednik sveta.</w:t>
      </w:r>
    </w:p>
    <w:p w:rsidR="00AE0150" w:rsidRPr="002F30DF" w:rsidRDefault="00AE0150" w:rsidP="00AE0150">
      <w:pPr>
        <w:pStyle w:val="Odstavek"/>
        <w:spacing w:before="0" w:line="260" w:lineRule="atLeast"/>
        <w:ind w:firstLine="0"/>
        <w:rPr>
          <w:rFonts w:eastAsia="Calibri"/>
          <w:sz w:val="20"/>
          <w:szCs w:val="20"/>
          <w:lang w:eastAsia="en-US"/>
        </w:rPr>
      </w:pPr>
    </w:p>
    <w:p w:rsidR="00AE0150" w:rsidRPr="002F30DF" w:rsidRDefault="00FB1A4F" w:rsidP="00AE0150">
      <w:pPr>
        <w:pStyle w:val="Odstavek"/>
        <w:spacing w:before="0" w:line="260" w:lineRule="atLeast"/>
        <w:ind w:firstLine="0"/>
        <w:rPr>
          <w:rFonts w:eastAsia="Calibri"/>
          <w:sz w:val="20"/>
          <w:szCs w:val="20"/>
          <w:lang w:eastAsia="en-US"/>
        </w:rPr>
      </w:pPr>
      <w:r w:rsidRPr="002F30DF">
        <w:rPr>
          <w:rFonts w:eastAsia="Calibri"/>
          <w:sz w:val="20"/>
          <w:szCs w:val="20"/>
          <w:lang w:eastAsia="en-US"/>
        </w:rPr>
        <w:t>S</w:t>
      </w:r>
      <w:r w:rsidR="00AE0150" w:rsidRPr="002F30DF">
        <w:rPr>
          <w:rFonts w:eastAsia="Calibri"/>
          <w:sz w:val="20"/>
          <w:szCs w:val="20"/>
          <w:lang w:eastAsia="en-US"/>
        </w:rPr>
        <w:t xml:space="preserve"> predlogom tega zakona </w:t>
      </w:r>
      <w:r w:rsidRPr="002F30DF">
        <w:rPr>
          <w:rFonts w:eastAsia="Calibri"/>
          <w:sz w:val="20"/>
          <w:szCs w:val="20"/>
          <w:lang w:eastAsia="en-US"/>
        </w:rPr>
        <w:t xml:space="preserve">se </w:t>
      </w:r>
      <w:r w:rsidR="00AE0150" w:rsidRPr="002F30DF">
        <w:rPr>
          <w:rFonts w:eastAsia="Calibri"/>
          <w:sz w:val="20"/>
          <w:szCs w:val="20"/>
          <w:lang w:eastAsia="en-US"/>
        </w:rPr>
        <w:t xml:space="preserve">določa, da člane sveta imenuje državni zbor na predlog vlade. </w:t>
      </w:r>
      <w:r w:rsidRPr="002F30DF">
        <w:rPr>
          <w:rFonts w:eastAsia="Calibri"/>
          <w:sz w:val="20"/>
          <w:szCs w:val="20"/>
          <w:lang w:eastAsia="en-US"/>
        </w:rPr>
        <w:t>Vlada pri predlaganju kandidatov za člane sveta uporablja kriterij strokovnosti in usposobljenosti.</w:t>
      </w:r>
    </w:p>
    <w:p w:rsidR="00AE0150" w:rsidRPr="002F30DF" w:rsidRDefault="00AE0150" w:rsidP="00AE0150">
      <w:pPr>
        <w:pStyle w:val="Odstavek"/>
        <w:spacing w:before="0" w:line="260" w:lineRule="atLeast"/>
        <w:ind w:firstLine="0"/>
        <w:rPr>
          <w:rFonts w:eastAsia="Calibri"/>
          <w:sz w:val="20"/>
          <w:szCs w:val="20"/>
          <w:lang w:eastAsia="en-US"/>
        </w:rPr>
      </w:pPr>
    </w:p>
    <w:p w:rsidR="00AE0150" w:rsidRPr="002F30DF" w:rsidRDefault="00AE0150" w:rsidP="00AE0150">
      <w:pPr>
        <w:pStyle w:val="Odstavek"/>
        <w:spacing w:before="0" w:line="260" w:lineRule="atLeast"/>
        <w:ind w:firstLine="0"/>
        <w:rPr>
          <w:rFonts w:eastAsia="Calibri"/>
          <w:sz w:val="20"/>
          <w:szCs w:val="20"/>
          <w:lang w:eastAsia="en-US"/>
        </w:rPr>
      </w:pPr>
      <w:r w:rsidRPr="002F30DF">
        <w:rPr>
          <w:rFonts w:eastAsia="Calibri"/>
          <w:sz w:val="20"/>
          <w:szCs w:val="20"/>
          <w:lang w:eastAsia="en-US"/>
        </w:rPr>
        <w:t>Državni zbor o predlaganem kandidatu za člana sveta glasuje v 30</w:t>
      </w:r>
      <w:r w:rsidR="004B3B1A" w:rsidRPr="002F30DF">
        <w:rPr>
          <w:rFonts w:eastAsia="Calibri"/>
          <w:sz w:val="20"/>
          <w:szCs w:val="20"/>
          <w:lang w:eastAsia="en-US"/>
        </w:rPr>
        <w:t>.</w:t>
      </w:r>
      <w:r w:rsidRPr="002F30DF">
        <w:rPr>
          <w:rFonts w:eastAsia="Calibri"/>
          <w:sz w:val="20"/>
          <w:szCs w:val="20"/>
          <w:lang w:eastAsia="en-US"/>
        </w:rPr>
        <w:t xml:space="preserve"> dneh po vložitvi predloga. Za imenovanje kandidata je potrebna večina glasov navzočih poslancev. Če predlagani kandidat ne dobi predpisanega števila glasov, predsednik državnega zbora obvesti vlado. Le-ta v 14 dneh po prejemu obvestila sporoči predsedniku državnega zbora svojo odločitev o nadaljnjem postopku.</w:t>
      </w:r>
    </w:p>
    <w:p w:rsidR="00AE0150" w:rsidRPr="002F30DF" w:rsidRDefault="00AE0150" w:rsidP="00AE0150">
      <w:pPr>
        <w:spacing w:line="260" w:lineRule="atLeast"/>
        <w:ind w:firstLine="708"/>
        <w:rPr>
          <w:rFonts w:cs="Arial"/>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19. členu (mandat in pogoji za člane sveta)</w:t>
      </w:r>
    </w:p>
    <w:p w:rsidR="00AE0150" w:rsidRPr="002F30DF" w:rsidRDefault="00AE0150" w:rsidP="00AE0150">
      <w:pPr>
        <w:spacing w:line="260" w:lineRule="atLeast"/>
        <w:rPr>
          <w:rFonts w:cs="Arial"/>
          <w:sz w:val="20"/>
          <w:szCs w:val="20"/>
        </w:rPr>
      </w:pPr>
    </w:p>
    <w:p w:rsidR="00AE0150" w:rsidRPr="002F30DF" w:rsidRDefault="00AE0150" w:rsidP="00AE0150">
      <w:pPr>
        <w:pStyle w:val="Odstavek"/>
        <w:spacing w:before="0" w:line="260" w:lineRule="atLeast"/>
        <w:ind w:firstLine="0"/>
        <w:rPr>
          <w:rFonts w:eastAsia="Calibri"/>
          <w:sz w:val="20"/>
          <w:szCs w:val="20"/>
          <w:lang w:eastAsia="en-US"/>
        </w:rPr>
      </w:pPr>
      <w:r w:rsidRPr="002F30DF">
        <w:rPr>
          <w:rFonts w:eastAsia="Calibri"/>
          <w:sz w:val="20"/>
          <w:szCs w:val="20"/>
          <w:lang w:eastAsia="en-US"/>
        </w:rPr>
        <w:t>V tem členu se določa trajanje mandata, za katerega so imenovani člani sveta, in pogoji, ki jih morajo izpolnjevati osebe, ki so imenovane za člane sveta. Člane sveta imenuje državni zbor za obdobje pet let, pri čemer so lahko ponovno imenovani. Ohranjajo se enaki pogoji za člane sveta, kot jih je določal do sedaj veljavni ZPOmK-1.</w:t>
      </w:r>
    </w:p>
    <w:p w:rsidR="00AE0150" w:rsidRPr="002F30DF" w:rsidRDefault="00AE0150" w:rsidP="00AE0150">
      <w:pPr>
        <w:pStyle w:val="Odstavek"/>
        <w:spacing w:before="0" w:line="260" w:lineRule="atLeast"/>
        <w:ind w:firstLine="0"/>
        <w:rPr>
          <w:rFonts w:eastAsia="Calibri"/>
          <w:sz w:val="20"/>
          <w:szCs w:val="20"/>
          <w:lang w:eastAsia="en-US"/>
        </w:rPr>
      </w:pPr>
    </w:p>
    <w:p w:rsidR="00AE0150" w:rsidRPr="002F30DF" w:rsidRDefault="00AE0150" w:rsidP="00AE0150">
      <w:pPr>
        <w:pStyle w:val="Odstavek"/>
        <w:spacing w:before="0" w:line="260" w:lineRule="atLeast"/>
        <w:ind w:firstLine="0"/>
        <w:rPr>
          <w:sz w:val="20"/>
          <w:szCs w:val="20"/>
        </w:rPr>
      </w:pPr>
      <w:r w:rsidRPr="002F30DF">
        <w:rPr>
          <w:rFonts w:eastAsia="Calibri"/>
          <w:sz w:val="20"/>
          <w:szCs w:val="20"/>
          <w:lang w:eastAsia="en-US"/>
        </w:rPr>
        <w:t>Oseba, ki je lahko imenovana za člana sveta mora biti državljan</w:t>
      </w:r>
      <w:r w:rsidRPr="002F30DF">
        <w:rPr>
          <w:sz w:val="20"/>
          <w:szCs w:val="20"/>
        </w:rPr>
        <w:t xml:space="preserve"> Republike Slovenije, imeti mora najmanj raven izobrazbe, pridobljene po študijskih programih druge stopnje v skladu z zakonom, ki ureja visoko šolstvo, oziroma izobrazbo, ki ustreza ravni izobrazbe, pridobljene po študijskih programih druge stopnje, imeti mora najmanj pet let delovnih izkušenj, pri opravljanju katerih je zahtevana raven izobrazbe iz prejšnje alineje, biti mora ustrezno strokovno usposobljena za opravljanje nalog člana sveta, ter ne sme biti v kazenskem postopku zaradi kaznivega dejanja, ki se preganja po uradni dolžnosti in niti ne sme biti pravnomočno obsojena zaradi kaznivega dejanja, ki se preganja po uradni dolžnosti, na zaporno kazen več kot šest mesecev, pa izvršitev kazni ni bila pogojno odložena. Kandidat mora prijavi priložiti tudi izjavo o interesih in povezavah.</w:t>
      </w:r>
    </w:p>
    <w:p w:rsidR="000A4635" w:rsidRPr="002F30DF" w:rsidRDefault="000A4635" w:rsidP="00AE0150">
      <w:pPr>
        <w:pStyle w:val="Odstavek"/>
        <w:spacing w:before="0" w:line="260" w:lineRule="atLeast"/>
        <w:ind w:firstLine="0"/>
        <w:rPr>
          <w:sz w:val="20"/>
          <w:szCs w:val="20"/>
        </w:rPr>
      </w:pPr>
    </w:p>
    <w:p w:rsidR="000A4635" w:rsidRPr="002F30DF" w:rsidRDefault="000A4635" w:rsidP="00AE0150">
      <w:pPr>
        <w:pStyle w:val="Odstavek"/>
        <w:spacing w:before="0" w:line="260" w:lineRule="atLeast"/>
        <w:ind w:firstLine="0"/>
        <w:rPr>
          <w:sz w:val="20"/>
          <w:szCs w:val="20"/>
        </w:rPr>
      </w:pPr>
      <w:r w:rsidRPr="002F30DF">
        <w:rPr>
          <w:sz w:val="20"/>
          <w:szCs w:val="20"/>
        </w:rPr>
        <w:t>Za člana sveta je lahko imenovan tudi javni uslužbenec, zaposlen v agenciji.</w:t>
      </w:r>
    </w:p>
    <w:p w:rsidR="00AE0150" w:rsidRPr="002F30DF" w:rsidRDefault="00AE0150" w:rsidP="00AE0150">
      <w:pPr>
        <w:pStyle w:val="Odstavek"/>
        <w:spacing w:before="0" w:line="260" w:lineRule="atLeast"/>
        <w:ind w:firstLine="0"/>
        <w:rPr>
          <w:rFonts w:eastAsia="Calibri"/>
          <w:sz w:val="20"/>
          <w:szCs w:val="20"/>
          <w:lang w:eastAsia="en-US"/>
        </w:rPr>
      </w:pPr>
    </w:p>
    <w:p w:rsidR="00AE0150" w:rsidRPr="002F30DF" w:rsidRDefault="00AE0150" w:rsidP="00AE0150">
      <w:pPr>
        <w:pStyle w:val="Odstavek"/>
        <w:spacing w:before="0" w:line="260" w:lineRule="atLeast"/>
        <w:ind w:firstLine="0"/>
        <w:rPr>
          <w:rFonts w:eastAsia="Calibri"/>
          <w:b/>
          <w:sz w:val="20"/>
          <w:szCs w:val="20"/>
          <w:lang w:eastAsia="en-US"/>
        </w:rPr>
      </w:pPr>
      <w:r w:rsidRPr="002F30DF">
        <w:rPr>
          <w:rFonts w:eastAsia="Calibri"/>
          <w:b/>
          <w:sz w:val="20"/>
          <w:szCs w:val="20"/>
          <w:lang w:eastAsia="en-US"/>
        </w:rPr>
        <w:t>K 20. členu (izjava o interesih in povezavah)</w:t>
      </w:r>
    </w:p>
    <w:p w:rsidR="00AE0150" w:rsidRPr="002F30DF" w:rsidRDefault="00AE0150" w:rsidP="00AE0150">
      <w:pPr>
        <w:pStyle w:val="Odstavek"/>
        <w:spacing w:before="0" w:line="260" w:lineRule="atLeast"/>
        <w:ind w:firstLine="0"/>
        <w:rPr>
          <w:rFonts w:eastAsia="Calibri"/>
          <w:sz w:val="20"/>
          <w:szCs w:val="20"/>
          <w:lang w:eastAsia="en-US"/>
        </w:rPr>
      </w:pPr>
    </w:p>
    <w:p w:rsidR="00AE0150" w:rsidRPr="002F30DF" w:rsidRDefault="00AE0150" w:rsidP="00AE0150">
      <w:pPr>
        <w:pStyle w:val="Odstavek"/>
        <w:spacing w:before="0" w:line="260" w:lineRule="atLeast"/>
        <w:ind w:firstLine="0"/>
        <w:rPr>
          <w:rFonts w:eastAsia="Calibri"/>
          <w:sz w:val="20"/>
          <w:szCs w:val="20"/>
          <w:lang w:eastAsia="en-US"/>
        </w:rPr>
      </w:pPr>
      <w:r w:rsidRPr="002F30DF">
        <w:rPr>
          <w:rFonts w:eastAsia="Calibri"/>
          <w:sz w:val="20"/>
          <w:szCs w:val="20"/>
          <w:lang w:eastAsia="en-US"/>
        </w:rPr>
        <w:t xml:space="preserve">Zaradi preprečitve konflikta interesov morajo kandidati za člane sveta vnaprej predložiti izjavo o interesih in povezavah, v kateri razkrijejo svoje poslovne interese in povezave. Takšna transparentnost izhaja že iz zahteve, da član sveta ne sme biti v konfliktu med zasebnimi in javnimi interesi, prav tako takšna zahteva izhaja iz </w:t>
      </w:r>
      <w:r w:rsidRPr="002F30DF">
        <w:rPr>
          <w:sz w:val="20"/>
          <w:szCs w:val="20"/>
        </w:rPr>
        <w:t xml:space="preserve">4. člena Direktive 2019/1. </w:t>
      </w:r>
    </w:p>
    <w:p w:rsidR="00AE0150" w:rsidRPr="002F30DF" w:rsidRDefault="00AE0150" w:rsidP="00AE0150">
      <w:pPr>
        <w:pStyle w:val="Odstavek"/>
        <w:spacing w:before="0" w:line="260" w:lineRule="atLeast"/>
        <w:ind w:firstLine="0"/>
        <w:rPr>
          <w:sz w:val="20"/>
          <w:szCs w:val="20"/>
        </w:rPr>
      </w:pPr>
    </w:p>
    <w:p w:rsidR="00AE0150" w:rsidRPr="002F30DF" w:rsidRDefault="00AE0150" w:rsidP="00AE0150">
      <w:pPr>
        <w:pStyle w:val="Odstavek"/>
        <w:spacing w:before="0" w:line="260" w:lineRule="atLeast"/>
        <w:ind w:firstLine="0"/>
        <w:rPr>
          <w:sz w:val="20"/>
          <w:szCs w:val="20"/>
        </w:rPr>
      </w:pPr>
      <w:r w:rsidRPr="002F30DF">
        <w:rPr>
          <w:sz w:val="20"/>
          <w:szCs w:val="20"/>
        </w:rPr>
        <w:t>Kandidat za člana sveta mora v izjavi navesti interese in povezave, ki jih ima kot samostojni podjetnik posameznik, imetnik lastniškega deleža v gospodarski družbi oziroma član v upravnih ali nadzornih organih družb, ki opravljajo dejavnost na področju, ki ga je pristojna urejati agencija. V izjavi kandidat razkrije informacija o statusu samostojnega podjetnika posameznika, o lastniških deležih v gospodarskih družbah in o članstvu v upravnih in nazornih organih teh družb. V primeru obstoja drugih okoliščin, ki bi lahko vplivale na objektivno in nepristransko opravljanje nalog člana sveta kandidat za člana sveta razrije tudi te okoliščine</w:t>
      </w:r>
      <w:r w:rsidR="00962D70" w:rsidRPr="002F30DF">
        <w:rPr>
          <w:sz w:val="20"/>
          <w:szCs w:val="20"/>
        </w:rPr>
        <w:t xml:space="preserve"> </w:t>
      </w:r>
      <w:r w:rsidR="00962D70" w:rsidRPr="002F30DF">
        <w:rPr>
          <w:sz w:val="20"/>
          <w:szCs w:val="20"/>
          <w:u w:val="single"/>
        </w:rPr>
        <w:t>(prvi odstavek)</w:t>
      </w:r>
      <w:r w:rsidRPr="002F30DF">
        <w:rPr>
          <w:sz w:val="20"/>
          <w:szCs w:val="20"/>
          <w:u w:val="single"/>
        </w:rPr>
        <w:t>.</w:t>
      </w:r>
    </w:p>
    <w:p w:rsidR="00AE0150" w:rsidRPr="002F30DF" w:rsidRDefault="00AE0150" w:rsidP="00AE0150">
      <w:pPr>
        <w:pStyle w:val="Odstavek"/>
        <w:spacing w:before="0" w:line="260" w:lineRule="atLeast"/>
        <w:ind w:firstLine="0"/>
        <w:rPr>
          <w:sz w:val="20"/>
          <w:szCs w:val="20"/>
        </w:rPr>
      </w:pPr>
    </w:p>
    <w:p w:rsidR="00AE0150" w:rsidRPr="002F30DF" w:rsidRDefault="00AE0150" w:rsidP="00AE0150">
      <w:pPr>
        <w:pStyle w:val="Odstavek"/>
        <w:spacing w:before="0" w:line="260" w:lineRule="atLeast"/>
        <w:ind w:firstLine="0"/>
        <w:rPr>
          <w:sz w:val="20"/>
          <w:szCs w:val="20"/>
        </w:rPr>
      </w:pPr>
      <w:r w:rsidRPr="002F30DF">
        <w:rPr>
          <w:sz w:val="20"/>
          <w:szCs w:val="20"/>
          <w:u w:val="single"/>
        </w:rPr>
        <w:t>Drugi odstavek</w:t>
      </w:r>
      <w:r w:rsidRPr="002F30DF">
        <w:rPr>
          <w:sz w:val="20"/>
          <w:szCs w:val="20"/>
        </w:rPr>
        <w:t xml:space="preserve"> določa, da član sveta izjavo o interesih in povezavah posreduje </w:t>
      </w:r>
      <w:r w:rsidR="003F65CE" w:rsidRPr="002F30DF">
        <w:rPr>
          <w:sz w:val="20"/>
          <w:szCs w:val="20"/>
        </w:rPr>
        <w:t>svetu in ministrstvu, pristojnemu za varstvo konkurenco</w:t>
      </w:r>
      <w:r w:rsidRPr="002F30DF">
        <w:rPr>
          <w:sz w:val="20"/>
          <w:szCs w:val="20"/>
        </w:rPr>
        <w:t>, in sicer v roku 30 dni po imenovanju. To se predlaga zato, da se agenciji omogoči, da je seznanjena z obstojem interesov in povezav, kar agenciji omogoči, da člana sveta izloči iz postopka o posamični zadev, če agencija oceni, da bi obstoj povezav vplivala na neodvisno in objektivno delovanje člana sveta.</w:t>
      </w:r>
    </w:p>
    <w:p w:rsidR="004B3B1A" w:rsidRPr="002F30DF" w:rsidRDefault="004B3B1A" w:rsidP="00AE0150">
      <w:pPr>
        <w:pStyle w:val="Odstavek"/>
        <w:spacing w:before="0" w:line="260" w:lineRule="atLeast"/>
        <w:ind w:firstLine="0"/>
        <w:rPr>
          <w:sz w:val="20"/>
          <w:szCs w:val="20"/>
        </w:rPr>
      </w:pPr>
    </w:p>
    <w:p w:rsidR="00AE0150" w:rsidRPr="002F30DF" w:rsidRDefault="006A65C1" w:rsidP="00AE0150">
      <w:pPr>
        <w:pStyle w:val="Odstavek"/>
        <w:spacing w:before="0" w:line="260" w:lineRule="atLeast"/>
        <w:ind w:firstLine="0"/>
        <w:rPr>
          <w:sz w:val="20"/>
          <w:szCs w:val="20"/>
        </w:rPr>
      </w:pPr>
      <w:r w:rsidRPr="002F30DF">
        <w:rPr>
          <w:sz w:val="20"/>
          <w:szCs w:val="20"/>
        </w:rPr>
        <w:t>Ko pride do spremembi interesov in povezav je član sveta agencije dolžan skladno s tretjim odstavkom pisno obvestiti agencijo in svet ter prenehati z delom v zadevah, v katerih bi ti interesi in povezave lahko vplivali na objektivno in nepristransko opravljanje njegovih nalog.</w:t>
      </w:r>
    </w:p>
    <w:p w:rsidR="006A65C1" w:rsidRPr="002F30DF" w:rsidRDefault="006A65C1" w:rsidP="00AE0150">
      <w:pPr>
        <w:pStyle w:val="Odstavek"/>
        <w:spacing w:before="0" w:line="260" w:lineRule="atLeast"/>
        <w:ind w:firstLine="0"/>
        <w:rPr>
          <w:rFonts w:eastAsia="Calibri"/>
          <w:sz w:val="20"/>
          <w:szCs w:val="20"/>
          <w:lang w:eastAsia="en-US"/>
        </w:rPr>
      </w:pPr>
    </w:p>
    <w:p w:rsidR="00AE0150" w:rsidRPr="002F30DF" w:rsidRDefault="00AE0150" w:rsidP="00AE0150">
      <w:pPr>
        <w:spacing w:line="260" w:lineRule="atLeast"/>
        <w:rPr>
          <w:rFonts w:cs="Arial"/>
          <w:b/>
          <w:sz w:val="20"/>
          <w:szCs w:val="20"/>
        </w:rPr>
      </w:pPr>
      <w:r w:rsidRPr="002F30DF">
        <w:rPr>
          <w:rFonts w:cs="Arial"/>
          <w:b/>
          <w:sz w:val="20"/>
          <w:szCs w:val="20"/>
        </w:rPr>
        <w:t>K 21. členu (pristojnosti sveta)</w:t>
      </w:r>
    </w:p>
    <w:p w:rsidR="00AE0150" w:rsidRPr="002F30DF" w:rsidRDefault="00AE0150" w:rsidP="00AE0150">
      <w:pPr>
        <w:pStyle w:val="Navadensplet"/>
        <w:spacing w:after="0" w:line="260" w:lineRule="atLeast"/>
        <w:rPr>
          <w:rFonts w:ascii="Arial" w:hAnsi="Arial" w:cs="Arial"/>
          <w:color w:val="auto"/>
          <w:sz w:val="20"/>
          <w:szCs w:val="20"/>
        </w:rPr>
      </w:pPr>
    </w:p>
    <w:p w:rsidR="00AE0150" w:rsidRPr="002F30DF" w:rsidRDefault="00AE0150" w:rsidP="003F65CE">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 xml:space="preserve">V </w:t>
      </w:r>
      <w:r w:rsidRPr="002F30DF">
        <w:rPr>
          <w:rFonts w:ascii="Arial" w:hAnsi="Arial" w:cs="Arial"/>
          <w:color w:val="auto"/>
          <w:sz w:val="20"/>
          <w:szCs w:val="20"/>
          <w:u w:val="single"/>
        </w:rPr>
        <w:t>prvem odstavku</w:t>
      </w:r>
      <w:r w:rsidRPr="002F30DF">
        <w:rPr>
          <w:rFonts w:ascii="Arial" w:hAnsi="Arial" w:cs="Arial"/>
          <w:color w:val="auto"/>
          <w:sz w:val="20"/>
          <w:szCs w:val="20"/>
        </w:rPr>
        <w:t xml:space="preserve"> so določene naloge sveta kot enega izmed dveh organov upravljanja agencije. Svet je pristojen za sprejem poslovnika, s katerim se podrobneje določi poslovanje agencije in drugih splošnih aktov agencije, kadar tako določa zakon, sprejme letno poročilo o delu agencije, letni program dela, finančni načrt, </w:t>
      </w:r>
      <w:r w:rsidRPr="002F30DF">
        <w:rPr>
          <w:rFonts w:ascii="Arial" w:hAnsi="Arial" w:cs="Arial"/>
          <w:color w:val="auto"/>
          <w:sz w:val="20"/>
          <w:szCs w:val="20"/>
        </w:rPr>
        <w:lastRenderedPageBreak/>
        <w:t>zaključni račun in druge akte, za katere zakon določa, da jih sprejme agencija. Svet odloča o izločitvi direktorja</w:t>
      </w:r>
      <w:r w:rsidR="004C427B" w:rsidRPr="002F30DF">
        <w:rPr>
          <w:rFonts w:ascii="Arial" w:hAnsi="Arial" w:cs="Arial"/>
          <w:color w:val="auto"/>
          <w:sz w:val="20"/>
          <w:szCs w:val="20"/>
        </w:rPr>
        <w:t>, predsednika ali</w:t>
      </w:r>
      <w:r w:rsidRPr="002F30DF">
        <w:rPr>
          <w:rFonts w:ascii="Arial" w:hAnsi="Arial" w:cs="Arial"/>
          <w:color w:val="auto"/>
          <w:sz w:val="20"/>
          <w:szCs w:val="20"/>
        </w:rPr>
        <w:t xml:space="preserve"> člana senata iz postopka o odločanju o posamični zadevi, torej bodisi v upravnem ali prekrškovnem postopku. Svet </w:t>
      </w:r>
      <w:r w:rsidR="004C427B" w:rsidRPr="002F30DF">
        <w:rPr>
          <w:rFonts w:ascii="Arial" w:hAnsi="Arial" w:cs="Arial"/>
          <w:color w:val="auto"/>
          <w:sz w:val="20"/>
          <w:szCs w:val="20"/>
        </w:rPr>
        <w:t>odloča tudi o izločitvi pooblaščene uradne osebe iz</w:t>
      </w:r>
      <w:r w:rsidR="00CA5091" w:rsidRPr="002F30DF">
        <w:rPr>
          <w:rFonts w:ascii="Arial" w:hAnsi="Arial" w:cs="Arial"/>
          <w:color w:val="auto"/>
          <w:sz w:val="20"/>
          <w:szCs w:val="20"/>
        </w:rPr>
        <w:t xml:space="preserve"> postopka vodenje posamične zadeve, izvaja postopke predčasne razrešitve članov sveta in direktorja ter</w:t>
      </w:r>
      <w:r w:rsidRPr="002F30DF">
        <w:rPr>
          <w:rFonts w:ascii="Arial" w:hAnsi="Arial" w:cs="Arial"/>
          <w:color w:val="auto"/>
          <w:sz w:val="20"/>
          <w:szCs w:val="20"/>
        </w:rPr>
        <w:t xml:space="preserve"> </w:t>
      </w:r>
      <w:r w:rsidR="003F65CE" w:rsidRPr="002F30DF">
        <w:rPr>
          <w:rFonts w:ascii="Arial" w:hAnsi="Arial" w:cs="Arial"/>
          <w:color w:val="auto"/>
          <w:sz w:val="20"/>
          <w:szCs w:val="20"/>
        </w:rPr>
        <w:t>opravlja druge naloge iz pristojnosti agencije, če ni v zakonu določeno, da je za to pristojen drug organ agencije.</w:t>
      </w:r>
    </w:p>
    <w:p w:rsidR="00AE0150" w:rsidRPr="002F30DF" w:rsidRDefault="00AE0150" w:rsidP="00AE0150">
      <w:pPr>
        <w:pStyle w:val="Navadensplet"/>
        <w:tabs>
          <w:tab w:val="left" w:pos="3675"/>
        </w:tabs>
        <w:spacing w:after="0" w:line="260" w:lineRule="atLeast"/>
        <w:rPr>
          <w:rFonts w:ascii="Arial" w:hAnsi="Arial" w:cs="Arial"/>
          <w:color w:val="auto"/>
          <w:sz w:val="20"/>
          <w:szCs w:val="20"/>
        </w:rPr>
      </w:pPr>
      <w:r w:rsidRPr="002F30DF">
        <w:rPr>
          <w:rFonts w:ascii="Arial" w:hAnsi="Arial" w:cs="Arial"/>
          <w:color w:val="auto"/>
          <w:sz w:val="20"/>
          <w:szCs w:val="20"/>
        </w:rPr>
        <w:tab/>
      </w:r>
    </w:p>
    <w:p w:rsidR="00AE0150" w:rsidRPr="002F30DF" w:rsidRDefault="00AE0150" w:rsidP="00AE0150">
      <w:pPr>
        <w:pStyle w:val="Navadensplet"/>
        <w:spacing w:after="0" w:line="260" w:lineRule="atLeast"/>
        <w:rPr>
          <w:rFonts w:ascii="Arial" w:hAnsi="Arial" w:cs="Arial"/>
          <w:b/>
          <w:sz w:val="20"/>
          <w:szCs w:val="20"/>
        </w:rPr>
      </w:pPr>
      <w:r w:rsidRPr="002F30DF">
        <w:rPr>
          <w:rFonts w:ascii="Arial" w:hAnsi="Arial" w:cs="Arial"/>
          <w:color w:val="auto"/>
          <w:sz w:val="20"/>
          <w:szCs w:val="20"/>
          <w:u w:val="single"/>
        </w:rPr>
        <w:t>Drugi odstavek</w:t>
      </w:r>
      <w:r w:rsidRPr="002F30DF">
        <w:rPr>
          <w:rFonts w:ascii="Arial" w:hAnsi="Arial" w:cs="Arial"/>
          <w:color w:val="auto"/>
          <w:sz w:val="20"/>
          <w:szCs w:val="20"/>
        </w:rPr>
        <w:t xml:space="preserve"> določa, da </w:t>
      </w:r>
      <w:r w:rsidR="00CA5091" w:rsidRPr="002F30DF">
        <w:rPr>
          <w:rFonts w:ascii="Arial" w:hAnsi="Arial" w:cs="Arial"/>
          <w:color w:val="auto"/>
          <w:sz w:val="20"/>
          <w:szCs w:val="20"/>
        </w:rPr>
        <w:t xml:space="preserve">direktor, predsednik in član senata </w:t>
      </w:r>
      <w:r w:rsidRPr="002F30DF">
        <w:rPr>
          <w:rFonts w:ascii="Arial" w:hAnsi="Arial" w:cs="Arial"/>
          <w:color w:val="auto"/>
          <w:sz w:val="20"/>
          <w:szCs w:val="20"/>
        </w:rPr>
        <w:t>ne sme sodelovati v postopku odločanja o njegovi izločitvi</w:t>
      </w:r>
      <w:r w:rsidR="00CA5091" w:rsidRPr="002F30DF">
        <w:rPr>
          <w:rFonts w:ascii="Arial" w:hAnsi="Arial" w:cs="Arial"/>
          <w:color w:val="auto"/>
          <w:sz w:val="20"/>
          <w:szCs w:val="20"/>
        </w:rPr>
        <w:t xml:space="preserve"> in predčasni razrešitvi</w:t>
      </w:r>
      <w:r w:rsidRPr="002F30DF">
        <w:rPr>
          <w:rFonts w:ascii="Arial" w:hAnsi="Arial" w:cs="Arial"/>
          <w:color w:val="auto"/>
          <w:sz w:val="20"/>
          <w:szCs w:val="20"/>
        </w:rPr>
        <w:t xml:space="preserve">. Za postopek odločanja o izločitvi se uporabljajo določbe ZUP, kot je določeno v </w:t>
      </w:r>
      <w:r w:rsidRPr="002F30DF">
        <w:rPr>
          <w:rFonts w:ascii="Arial" w:hAnsi="Arial" w:cs="Arial"/>
          <w:color w:val="auto"/>
          <w:sz w:val="20"/>
          <w:szCs w:val="20"/>
          <w:u w:val="single"/>
        </w:rPr>
        <w:t>tretjem odstavku</w:t>
      </w:r>
      <w:r w:rsidRPr="002F30DF">
        <w:rPr>
          <w:rFonts w:ascii="Arial" w:hAnsi="Arial" w:cs="Arial"/>
          <w:color w:val="auto"/>
          <w:sz w:val="20"/>
          <w:szCs w:val="20"/>
        </w:rPr>
        <w:t>.</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22. členu (nezdružljivost)</w:t>
      </w:r>
    </w:p>
    <w:p w:rsidR="00AE0150" w:rsidRPr="002F30DF" w:rsidRDefault="00AE0150" w:rsidP="00AE0150">
      <w:pPr>
        <w:pStyle w:val="Navadensplet"/>
        <w:spacing w:after="0" w:line="260" w:lineRule="atLeast"/>
        <w:rPr>
          <w:rFonts w:ascii="Arial" w:hAnsi="Arial" w:cs="Arial"/>
          <w:color w:val="auto"/>
          <w:sz w:val="20"/>
          <w:szCs w:val="20"/>
        </w:rPr>
      </w:pPr>
    </w:p>
    <w:p w:rsidR="00FC1ADF" w:rsidRPr="002F30DF" w:rsidRDefault="00AE0150" w:rsidP="00AE0150">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V tem členu se izrecno določa kdo ne more biti član sveta, in sicer so to: funkcionarji v izvršilni veji oblasti, zakonodajni veji oblasti, sodni veji oblasti, funkcionar</w:t>
      </w:r>
      <w:r w:rsidR="000A4635" w:rsidRPr="002F30DF">
        <w:rPr>
          <w:rFonts w:ascii="Arial" w:hAnsi="Arial" w:cs="Arial"/>
          <w:color w:val="auto"/>
          <w:sz w:val="20"/>
          <w:szCs w:val="20"/>
        </w:rPr>
        <w:t>ji</w:t>
      </w:r>
      <w:r w:rsidRPr="002F30DF">
        <w:rPr>
          <w:rFonts w:ascii="Arial" w:hAnsi="Arial" w:cs="Arial"/>
          <w:color w:val="auto"/>
          <w:sz w:val="20"/>
          <w:szCs w:val="20"/>
        </w:rPr>
        <w:t xml:space="preserve"> v drugih državnih organih in lokalnih skupnostih, član vodstev in organov političnih strank ali osebe, za katere obstaja možnost konflikta med njihovimi zasebnimi interesi in javnimi interesi, ki jih uresničuje agencija. </w:t>
      </w:r>
    </w:p>
    <w:p w:rsidR="00FC1ADF" w:rsidRPr="002F30DF" w:rsidRDefault="00FC1ADF" w:rsidP="00AE0150">
      <w:pPr>
        <w:pStyle w:val="Navadensplet"/>
        <w:spacing w:after="0" w:line="260" w:lineRule="atLeast"/>
        <w:rPr>
          <w:rFonts w:ascii="Arial" w:hAnsi="Arial" w:cs="Arial"/>
          <w:color w:val="auto"/>
          <w:sz w:val="20"/>
          <w:szCs w:val="20"/>
        </w:rPr>
      </w:pPr>
    </w:p>
    <w:p w:rsidR="00AE0150" w:rsidRPr="002F30DF" w:rsidRDefault="00FC1ADF" w:rsidP="00AE0150">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Član sveta mora svoj položaj uskladiti s prejšnjim odstavkom v enem mesecu po imenovanju, v nasprotnem primeru s potekom tega roka preneha veljati sklep državnega zbora o imenovanju</w:t>
      </w:r>
      <w:r w:rsidR="00F47DE9" w:rsidRPr="002F30DF">
        <w:rPr>
          <w:rFonts w:ascii="Arial" w:hAnsi="Arial" w:cs="Arial"/>
          <w:color w:val="auto"/>
          <w:sz w:val="20"/>
          <w:szCs w:val="20"/>
        </w:rPr>
        <w:t>.</w:t>
      </w:r>
    </w:p>
    <w:p w:rsidR="00AE0150" w:rsidRPr="002F30DF" w:rsidRDefault="00AE0150" w:rsidP="00AE0150">
      <w:pPr>
        <w:pStyle w:val="Navadensplet"/>
        <w:spacing w:after="0" w:line="260" w:lineRule="atLeast"/>
        <w:rPr>
          <w:rFonts w:ascii="Arial" w:hAnsi="Arial" w:cs="Arial"/>
          <w:color w:val="auto"/>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23. členu (predčasna razrešitev)</w:t>
      </w:r>
    </w:p>
    <w:p w:rsidR="00AE0150" w:rsidRPr="002F30DF" w:rsidRDefault="00AE0150" w:rsidP="00AE0150">
      <w:pPr>
        <w:pStyle w:val="Navadensplet"/>
        <w:spacing w:after="0" w:line="260" w:lineRule="atLeast"/>
        <w:rPr>
          <w:rFonts w:ascii="Arial" w:hAnsi="Arial" w:cs="Arial"/>
          <w:color w:val="auto"/>
          <w:sz w:val="20"/>
          <w:szCs w:val="20"/>
        </w:rPr>
      </w:pPr>
    </w:p>
    <w:p w:rsidR="00AE0150" w:rsidRPr="002F30DF" w:rsidRDefault="00AE0150" w:rsidP="00AE0150">
      <w:pPr>
        <w:pStyle w:val="Navaden4"/>
        <w:shd w:val="clear" w:color="auto" w:fill="FFFFFF"/>
        <w:spacing w:before="0" w:beforeAutospacing="0" w:after="0" w:afterAutospacing="0" w:line="260" w:lineRule="atLeast"/>
        <w:jc w:val="both"/>
        <w:rPr>
          <w:rFonts w:ascii="Arial" w:hAnsi="Arial" w:cs="Arial"/>
          <w:i/>
          <w:sz w:val="20"/>
          <w:szCs w:val="20"/>
        </w:rPr>
      </w:pPr>
      <w:r w:rsidRPr="002F30DF">
        <w:rPr>
          <w:rFonts w:ascii="Arial" w:hAnsi="Arial" w:cs="Arial"/>
          <w:sz w:val="20"/>
          <w:szCs w:val="20"/>
        </w:rPr>
        <w:t xml:space="preserve">Neodvisnost nacionalnih organov, pristojnih za varstvo konkurence, je v Direktivi 2019/1 poudarjena tudi pri imenovanju in predčasni razrešitvi oseb, ki sprejemajo odločitve, s katerimi se izvajajo pooblastila od 10. do 13. člena ter iz 16. člena Direktive 2019/1. S tem namenom tretji odstavek 4. člena Direktive 2019/1 določa, da </w:t>
      </w:r>
      <w:r w:rsidRPr="002F30DF">
        <w:rPr>
          <w:rFonts w:ascii="Arial" w:hAnsi="Arial" w:cs="Arial"/>
          <w:i/>
          <w:sz w:val="20"/>
          <w:szCs w:val="20"/>
        </w:rPr>
        <w:t xml:space="preserve">se oseb, ki sprejemajo odločitve, s katerimi se izvajajo pooblastila iz 10. do 13. in 16 člena te direktive, v nacionalnih upravnih organih, pristojnih za konkurenco, iz teh organov ne sme razrešiti zaradi razlogov, povezanih s pravilnim opravljanjem njihovih nalog ali pravilnim izvajanjem njihovih pooblastil za uporabo 101. in 102. člena PDEU, kot je opredeljeno v drugem odstavku 5. člena te direktive. Razrešijo se lahko samo, če ne izpolnjujejo več pogojev, ki se zahtevajo za opravljanje njihovih nalog, ali če so storili hujšo kršitev po nacionalnem pravu. Pogoji, ki </w:t>
      </w:r>
      <w:r w:rsidRPr="002F30DF">
        <w:rPr>
          <w:rFonts w:ascii="Arial" w:hAnsi="Arial" w:cs="Arial"/>
          <w:i/>
          <w:sz w:val="20"/>
          <w:szCs w:val="20"/>
        </w:rPr>
        <w:lastRenderedPageBreak/>
        <w:t>se zahtevajo za opravljanje njihovih nalog, in opredelitev hujše kršitve se vnaprej določijo v nacionalnem pravu, pri čemer se upošteva potreba po zagotovitvi učinkovitega uveljavljanja pravil konkurence.</w:t>
      </w:r>
    </w:p>
    <w:p w:rsidR="00AE0150" w:rsidRPr="002F30DF" w:rsidRDefault="00AE0150" w:rsidP="00AE0150">
      <w:pPr>
        <w:pStyle w:val="Navaden4"/>
        <w:shd w:val="clear" w:color="auto" w:fill="FFFFFF"/>
        <w:spacing w:before="0" w:beforeAutospacing="0" w:after="0" w:afterAutospacing="0" w:line="260" w:lineRule="atLeast"/>
        <w:jc w:val="both"/>
        <w:rPr>
          <w:rFonts w:ascii="Arial" w:hAnsi="Arial" w:cs="Arial"/>
          <w:i/>
          <w:sz w:val="20"/>
          <w:szCs w:val="20"/>
        </w:rPr>
      </w:pPr>
    </w:p>
    <w:p w:rsidR="00AE0150" w:rsidRPr="002F30DF" w:rsidRDefault="00AE0150" w:rsidP="00AE0150">
      <w:pPr>
        <w:pStyle w:val="Navaden4"/>
        <w:shd w:val="clear" w:color="auto" w:fill="FFFFFF"/>
        <w:spacing w:before="0" w:beforeAutospacing="0" w:after="0" w:afterAutospacing="0" w:line="260" w:lineRule="atLeast"/>
        <w:jc w:val="both"/>
        <w:rPr>
          <w:rFonts w:ascii="Arial" w:hAnsi="Arial" w:cs="Arial"/>
          <w:sz w:val="20"/>
          <w:szCs w:val="20"/>
        </w:rPr>
      </w:pPr>
      <w:r w:rsidRPr="002F30DF">
        <w:rPr>
          <w:rFonts w:ascii="Arial" w:hAnsi="Arial" w:cs="Arial"/>
          <w:sz w:val="20"/>
          <w:szCs w:val="20"/>
        </w:rPr>
        <w:t xml:space="preserve">Skladno s tem so v </w:t>
      </w:r>
      <w:r w:rsidRPr="002F30DF">
        <w:rPr>
          <w:rFonts w:ascii="Arial" w:hAnsi="Arial" w:cs="Arial"/>
          <w:sz w:val="20"/>
          <w:szCs w:val="20"/>
          <w:u w:val="single"/>
        </w:rPr>
        <w:t>prvem odstavku</w:t>
      </w:r>
      <w:r w:rsidRPr="002F30DF">
        <w:rPr>
          <w:rFonts w:ascii="Arial" w:hAnsi="Arial" w:cs="Arial"/>
          <w:sz w:val="20"/>
          <w:szCs w:val="20"/>
        </w:rPr>
        <w:t xml:space="preserve">  določeni razlogi, zaradi katerih je lahko član sveta predčasno razrešen. Ti razlogi so: če to sam zahteva, če trajno izgubi delovno zmožnost za opravljanje dela, če krši obveznost varovanja zaupnih podatkov, določeno v tem ali drugem zakonu, </w:t>
      </w:r>
      <w:r w:rsidR="00F4455C" w:rsidRPr="002F30DF">
        <w:rPr>
          <w:rFonts w:ascii="Arial" w:hAnsi="Arial" w:cs="Arial"/>
          <w:sz w:val="20"/>
          <w:szCs w:val="20"/>
        </w:rPr>
        <w:t>če huje krši poslovnik agencije,</w:t>
      </w:r>
      <w:r w:rsidRPr="002F30DF">
        <w:rPr>
          <w:rFonts w:ascii="Arial" w:hAnsi="Arial" w:cs="Arial"/>
          <w:sz w:val="20"/>
          <w:szCs w:val="20"/>
        </w:rPr>
        <w:t xml:space="preserve"> če se ugotovi, da ne izpolnjuje več z zakonom predpisanih pogojev za imenovanje, če nastopi položaj nezdružljivosti iz prvega odstavka 22. člena tega zakona ali če ne opravlja svojih nalog člana sveta agencije, določenih v tem zakonu in poslovniku agencije, ali če jih opravlja nevestno ali nestrokovno. </w:t>
      </w:r>
    </w:p>
    <w:p w:rsidR="00AE0150" w:rsidRPr="002F30DF" w:rsidRDefault="00AE0150" w:rsidP="00AE0150">
      <w:pPr>
        <w:pStyle w:val="Navadensplet"/>
        <w:spacing w:after="0" w:line="260" w:lineRule="atLeast"/>
        <w:rPr>
          <w:rFonts w:ascii="Arial" w:hAnsi="Arial" w:cs="Arial"/>
          <w:color w:val="auto"/>
          <w:sz w:val="20"/>
          <w:szCs w:val="20"/>
        </w:rPr>
      </w:pPr>
    </w:p>
    <w:p w:rsidR="00AE0150" w:rsidRPr="002F30DF" w:rsidRDefault="00AE0150" w:rsidP="00AE0150">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 xml:space="preserve">V </w:t>
      </w:r>
      <w:r w:rsidRPr="002F30DF">
        <w:rPr>
          <w:rFonts w:ascii="Arial" w:hAnsi="Arial" w:cs="Arial"/>
          <w:color w:val="auto"/>
          <w:sz w:val="20"/>
          <w:szCs w:val="20"/>
          <w:u w:val="single"/>
        </w:rPr>
        <w:t>drugem odstavku</w:t>
      </w:r>
      <w:r w:rsidRPr="002F30DF">
        <w:rPr>
          <w:rFonts w:ascii="Arial" w:hAnsi="Arial" w:cs="Arial"/>
          <w:color w:val="auto"/>
          <w:sz w:val="20"/>
          <w:szCs w:val="20"/>
        </w:rPr>
        <w:t xml:space="preserve"> je izrecno določeno, da se razlog za predčasno razrešitev člana sveta ne sme nanašati na pravilno opravljanje nalog ali pravilno izvajanje pooblastil v posamičnih zadevah iz pristojnosti agencije.</w:t>
      </w:r>
    </w:p>
    <w:p w:rsidR="00AE0150" w:rsidRPr="002F30DF" w:rsidRDefault="00AE0150" w:rsidP="00AE0150">
      <w:pPr>
        <w:pStyle w:val="Navadensplet"/>
        <w:tabs>
          <w:tab w:val="left" w:pos="921"/>
        </w:tabs>
        <w:spacing w:after="0" w:line="260" w:lineRule="atLeast"/>
        <w:rPr>
          <w:rFonts w:ascii="Arial" w:hAnsi="Arial" w:cs="Arial"/>
          <w:color w:val="auto"/>
          <w:sz w:val="20"/>
          <w:szCs w:val="20"/>
        </w:rPr>
      </w:pPr>
    </w:p>
    <w:p w:rsidR="00AE0150" w:rsidRPr="002F30DF" w:rsidRDefault="00AE0150" w:rsidP="00AE0150">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 xml:space="preserve">V </w:t>
      </w:r>
      <w:r w:rsidRPr="002F30DF">
        <w:rPr>
          <w:rFonts w:ascii="Arial" w:hAnsi="Arial" w:cs="Arial"/>
          <w:color w:val="auto"/>
          <w:sz w:val="20"/>
          <w:szCs w:val="20"/>
          <w:u w:val="single"/>
        </w:rPr>
        <w:t>tretjem odstavku</w:t>
      </w:r>
      <w:r w:rsidRPr="002F30DF">
        <w:rPr>
          <w:rFonts w:ascii="Arial" w:hAnsi="Arial" w:cs="Arial"/>
          <w:color w:val="auto"/>
          <w:sz w:val="20"/>
          <w:szCs w:val="20"/>
        </w:rPr>
        <w:t xml:space="preserve"> je določeno, da postopek presoje utemeljenosti razlogov za predčasno razrešitev člana sveta izvede svet</w:t>
      </w:r>
      <w:r w:rsidR="00F4455C" w:rsidRPr="002F30DF">
        <w:rPr>
          <w:rFonts w:ascii="Arial" w:hAnsi="Arial" w:cs="Arial"/>
          <w:color w:val="auto"/>
          <w:sz w:val="20"/>
          <w:szCs w:val="20"/>
        </w:rPr>
        <w:t xml:space="preserve"> v skladu s poslovnikom agencije. Član sveta, katerega razrešitev se predlaga, ne sme sodelovati pri izvedbi postopka predčasne razrešitve. </w:t>
      </w:r>
    </w:p>
    <w:p w:rsidR="00AE0150" w:rsidRPr="002F30DF" w:rsidRDefault="00AE0150" w:rsidP="00AE0150">
      <w:pPr>
        <w:pStyle w:val="Navadensplet"/>
        <w:tabs>
          <w:tab w:val="left" w:pos="3567"/>
        </w:tabs>
        <w:spacing w:after="0" w:line="260" w:lineRule="atLeast"/>
        <w:rPr>
          <w:rFonts w:ascii="Arial" w:hAnsi="Arial" w:cs="Arial"/>
          <w:color w:val="auto"/>
          <w:sz w:val="20"/>
          <w:szCs w:val="20"/>
        </w:rPr>
      </w:pPr>
      <w:r w:rsidRPr="002F30DF">
        <w:rPr>
          <w:rFonts w:ascii="Arial" w:hAnsi="Arial" w:cs="Arial"/>
          <w:color w:val="auto"/>
          <w:sz w:val="20"/>
          <w:szCs w:val="20"/>
        </w:rPr>
        <w:tab/>
      </w:r>
    </w:p>
    <w:p w:rsidR="00AE0150" w:rsidRPr="002F30DF" w:rsidRDefault="00021F9B" w:rsidP="00AE0150">
      <w:pPr>
        <w:pStyle w:val="Navadensplet"/>
        <w:tabs>
          <w:tab w:val="left" w:pos="3567"/>
        </w:tabs>
        <w:spacing w:after="0" w:line="260" w:lineRule="atLeast"/>
        <w:rPr>
          <w:rFonts w:ascii="Arial" w:hAnsi="Arial" w:cs="Arial"/>
          <w:color w:val="auto"/>
          <w:sz w:val="20"/>
          <w:szCs w:val="20"/>
        </w:rPr>
      </w:pPr>
      <w:r w:rsidRPr="002F30DF">
        <w:rPr>
          <w:rFonts w:ascii="Arial" w:hAnsi="Arial" w:cs="Arial"/>
          <w:color w:val="auto"/>
          <w:sz w:val="20"/>
          <w:szCs w:val="20"/>
          <w:u w:val="single"/>
        </w:rPr>
        <w:t xml:space="preserve">Četrti </w:t>
      </w:r>
      <w:r w:rsidR="00AE0150" w:rsidRPr="002F30DF">
        <w:rPr>
          <w:rFonts w:ascii="Arial" w:hAnsi="Arial" w:cs="Arial"/>
          <w:color w:val="auto"/>
          <w:sz w:val="20"/>
          <w:szCs w:val="20"/>
          <w:u w:val="single"/>
        </w:rPr>
        <w:t>odstavek</w:t>
      </w:r>
      <w:r w:rsidR="00AE0150" w:rsidRPr="002F30DF">
        <w:rPr>
          <w:rFonts w:ascii="Arial" w:hAnsi="Arial" w:cs="Arial"/>
          <w:color w:val="auto"/>
          <w:sz w:val="20"/>
          <w:szCs w:val="20"/>
        </w:rPr>
        <w:t xml:space="preserve"> določa, da </w:t>
      </w:r>
      <w:r w:rsidRPr="002F30DF">
        <w:rPr>
          <w:rFonts w:ascii="Arial" w:hAnsi="Arial" w:cs="Arial"/>
          <w:color w:val="auto"/>
          <w:sz w:val="20"/>
          <w:szCs w:val="20"/>
        </w:rPr>
        <w:t>člana sveta predčasno razreši državni</w:t>
      </w:r>
      <w:r w:rsidR="00AE0150" w:rsidRPr="002F30DF">
        <w:rPr>
          <w:rFonts w:ascii="Arial" w:hAnsi="Arial" w:cs="Arial"/>
          <w:color w:val="auto"/>
          <w:sz w:val="20"/>
          <w:szCs w:val="20"/>
        </w:rPr>
        <w:t xml:space="preserve"> zbor</w:t>
      </w:r>
      <w:r w:rsidRPr="002F30DF">
        <w:rPr>
          <w:rFonts w:ascii="Arial" w:hAnsi="Arial" w:cs="Arial"/>
          <w:color w:val="auto"/>
          <w:sz w:val="20"/>
          <w:szCs w:val="20"/>
        </w:rPr>
        <w:t xml:space="preserve"> na predlog vlade.</w:t>
      </w:r>
    </w:p>
    <w:p w:rsidR="00AE0150" w:rsidRPr="002F30DF" w:rsidRDefault="00AE0150" w:rsidP="00AE0150">
      <w:pPr>
        <w:pStyle w:val="Navadensplet"/>
        <w:tabs>
          <w:tab w:val="left" w:pos="3567"/>
        </w:tabs>
        <w:spacing w:after="0" w:line="260" w:lineRule="atLeast"/>
        <w:rPr>
          <w:rFonts w:ascii="Arial" w:hAnsi="Arial" w:cs="Arial"/>
          <w:color w:val="auto"/>
          <w:sz w:val="20"/>
          <w:szCs w:val="20"/>
        </w:rPr>
      </w:pPr>
    </w:p>
    <w:p w:rsidR="00AE0150" w:rsidRPr="002F30DF" w:rsidRDefault="00021F9B" w:rsidP="00AE0150">
      <w:pPr>
        <w:pStyle w:val="Odstavek"/>
        <w:spacing w:before="0" w:line="260" w:lineRule="atLeast"/>
        <w:ind w:firstLine="0"/>
        <w:rPr>
          <w:sz w:val="20"/>
          <w:szCs w:val="20"/>
        </w:rPr>
      </w:pPr>
      <w:r w:rsidRPr="002F30DF">
        <w:rPr>
          <w:sz w:val="20"/>
          <w:szCs w:val="20"/>
          <w:u w:val="single"/>
        </w:rPr>
        <w:t xml:space="preserve">Peti </w:t>
      </w:r>
      <w:r w:rsidR="00AE0150" w:rsidRPr="002F30DF">
        <w:rPr>
          <w:sz w:val="20"/>
          <w:szCs w:val="20"/>
          <w:u w:val="single"/>
        </w:rPr>
        <w:t>odstavek</w:t>
      </w:r>
      <w:r w:rsidR="00AE0150" w:rsidRPr="002F30DF">
        <w:rPr>
          <w:sz w:val="20"/>
          <w:szCs w:val="20"/>
        </w:rPr>
        <w:t xml:space="preserve"> določa, da je zoper odločitev o razrešitvi dovoljen upravni spor.</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24. členu (sklic seje in odločanje sveta)</w:t>
      </w:r>
    </w:p>
    <w:p w:rsidR="00AE0150" w:rsidRPr="002F30DF" w:rsidRDefault="00AE0150" w:rsidP="00AE0150">
      <w:pPr>
        <w:pStyle w:val="Navadensplet"/>
        <w:tabs>
          <w:tab w:val="left" w:pos="536"/>
        </w:tabs>
        <w:spacing w:after="0" w:line="260" w:lineRule="atLeast"/>
        <w:rPr>
          <w:rFonts w:ascii="Arial" w:hAnsi="Arial" w:cs="Arial"/>
          <w:color w:val="auto"/>
          <w:sz w:val="20"/>
          <w:szCs w:val="20"/>
        </w:rPr>
      </w:pPr>
      <w:r w:rsidRPr="002F30DF">
        <w:rPr>
          <w:rFonts w:ascii="Arial" w:hAnsi="Arial" w:cs="Arial"/>
          <w:color w:val="auto"/>
          <w:sz w:val="20"/>
          <w:szCs w:val="20"/>
        </w:rPr>
        <w:tab/>
      </w:r>
    </w:p>
    <w:p w:rsidR="000B544E" w:rsidRPr="002F30DF" w:rsidRDefault="00AE0150" w:rsidP="00F31043">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Svet odloča na sejah, ki jih skliče predsednik sveta. Predsednik sveta skliče sejo na lastno pobudo</w:t>
      </w:r>
      <w:r w:rsidR="00724646" w:rsidRPr="002F30DF">
        <w:rPr>
          <w:rFonts w:ascii="Arial" w:hAnsi="Arial" w:cs="Arial"/>
          <w:color w:val="auto"/>
          <w:sz w:val="20"/>
          <w:szCs w:val="20"/>
        </w:rPr>
        <w:t xml:space="preserve"> ali </w:t>
      </w:r>
      <w:r w:rsidRPr="002F30DF">
        <w:rPr>
          <w:rFonts w:ascii="Arial" w:hAnsi="Arial" w:cs="Arial"/>
          <w:color w:val="auto"/>
          <w:sz w:val="20"/>
          <w:szCs w:val="20"/>
        </w:rPr>
        <w:t xml:space="preserve"> na pobudo vsaj dveh članov sveta</w:t>
      </w:r>
      <w:r w:rsidR="00724646" w:rsidRPr="002F30DF">
        <w:rPr>
          <w:rFonts w:ascii="Arial" w:hAnsi="Arial" w:cs="Arial"/>
          <w:color w:val="auto"/>
          <w:sz w:val="20"/>
          <w:szCs w:val="20"/>
        </w:rPr>
        <w:t xml:space="preserve">. </w:t>
      </w:r>
      <w:r w:rsidRPr="002F30DF">
        <w:rPr>
          <w:rFonts w:ascii="Arial" w:hAnsi="Arial" w:cs="Arial"/>
          <w:color w:val="auto"/>
          <w:sz w:val="20"/>
          <w:szCs w:val="20"/>
        </w:rPr>
        <w:t xml:space="preserve">Svet veljavno odloča, če </w:t>
      </w:r>
      <w:r w:rsidR="00724646" w:rsidRPr="002F30DF">
        <w:rPr>
          <w:rFonts w:ascii="Arial" w:hAnsi="Arial" w:cs="Arial"/>
          <w:color w:val="auto"/>
          <w:sz w:val="20"/>
          <w:szCs w:val="20"/>
        </w:rPr>
        <w:t>je na seji navzoča večina članov sveta.</w:t>
      </w:r>
      <w:r w:rsidRPr="002F30DF">
        <w:rPr>
          <w:rFonts w:ascii="Arial" w:hAnsi="Arial" w:cs="Arial"/>
          <w:color w:val="auto"/>
          <w:sz w:val="20"/>
          <w:szCs w:val="20"/>
        </w:rPr>
        <w:t xml:space="preserve"> </w:t>
      </w:r>
      <w:r w:rsidR="00724646" w:rsidRPr="002F30DF">
        <w:rPr>
          <w:rFonts w:ascii="Arial" w:hAnsi="Arial" w:cs="Arial"/>
          <w:color w:val="auto"/>
          <w:sz w:val="20"/>
          <w:szCs w:val="20"/>
        </w:rPr>
        <w:t xml:space="preserve">Svet sprejema odločitve po posvetovanju z glasovanjem na seji. </w:t>
      </w:r>
      <w:r w:rsidRPr="002F30DF">
        <w:rPr>
          <w:rFonts w:ascii="Arial" w:hAnsi="Arial" w:cs="Arial"/>
          <w:color w:val="auto"/>
          <w:sz w:val="20"/>
          <w:szCs w:val="20"/>
        </w:rPr>
        <w:t xml:space="preserve">Odločitev je sprejeta, če zanjo glasuje večina navzočih članov sveta. </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25. členu</w:t>
      </w:r>
      <w:r w:rsidRPr="002F30DF">
        <w:rPr>
          <w:rFonts w:cs="Arial"/>
          <w:sz w:val="20"/>
          <w:szCs w:val="20"/>
        </w:rPr>
        <w:t xml:space="preserve"> </w:t>
      </w:r>
      <w:r w:rsidRPr="002F30DF">
        <w:rPr>
          <w:rFonts w:cs="Arial"/>
          <w:b/>
          <w:sz w:val="20"/>
          <w:szCs w:val="20"/>
        </w:rPr>
        <w:t>(prejemki članov sveta</w:t>
      </w:r>
      <w:r w:rsidR="00875F8B" w:rsidRPr="002F30DF">
        <w:rPr>
          <w:rFonts w:cs="Arial"/>
          <w:b/>
          <w:sz w:val="20"/>
          <w:szCs w:val="20"/>
        </w:rPr>
        <w:t>, senata in prekškovnega senata</w:t>
      </w:r>
      <w:r w:rsidRPr="002F30DF">
        <w:rPr>
          <w:rFonts w:cs="Arial"/>
          <w:b/>
          <w:sz w:val="20"/>
          <w:szCs w:val="20"/>
        </w:rPr>
        <w:t>)</w:t>
      </w:r>
    </w:p>
    <w:p w:rsidR="00AE0150" w:rsidRPr="002F30DF" w:rsidRDefault="00AE0150" w:rsidP="00AE0150">
      <w:pPr>
        <w:pStyle w:val="Odstavek"/>
        <w:spacing w:before="0" w:line="260" w:lineRule="atLeast"/>
        <w:ind w:firstLine="0"/>
        <w:rPr>
          <w:sz w:val="20"/>
          <w:szCs w:val="20"/>
        </w:rPr>
      </w:pPr>
    </w:p>
    <w:p w:rsidR="00724646" w:rsidRPr="002F30DF" w:rsidRDefault="00AE0150" w:rsidP="00AE0150">
      <w:pPr>
        <w:pStyle w:val="Odstavek"/>
        <w:spacing w:before="0" w:line="260" w:lineRule="atLeast"/>
        <w:ind w:firstLine="0"/>
        <w:rPr>
          <w:sz w:val="20"/>
          <w:szCs w:val="20"/>
        </w:rPr>
      </w:pPr>
      <w:r w:rsidRPr="002F30DF">
        <w:rPr>
          <w:sz w:val="20"/>
          <w:szCs w:val="20"/>
        </w:rPr>
        <w:lastRenderedPageBreak/>
        <w:t>Člani sveta</w:t>
      </w:r>
      <w:r w:rsidR="00875F8B" w:rsidRPr="002F30DF">
        <w:rPr>
          <w:sz w:val="20"/>
          <w:szCs w:val="20"/>
        </w:rPr>
        <w:t>, senata in prekškovnega senata</w:t>
      </w:r>
      <w:r w:rsidRPr="002F30DF">
        <w:rPr>
          <w:sz w:val="20"/>
          <w:szCs w:val="20"/>
        </w:rPr>
        <w:t xml:space="preserve"> so upravičeni do sejnin in povračil stroškov (v nadaljnjem besedilu: prejemki), v skladu z Uredbo o sejninah in povračilih stroškov v javnih skladih, javnih agencijah, javnih zavodih in javnih gospodarskih zavodih (Uradni list RS, št. </w:t>
      </w:r>
      <w:hyperlink r:id="rId89" w:tgtFrame="_blank" w:tooltip="Uredba o sejninah in povračilih stroškov v javnih skladih, javnih agencijah, javnih zavodih in javnih gospodarskih zavodih" w:history="1">
        <w:r w:rsidRPr="002F30DF">
          <w:rPr>
            <w:sz w:val="20"/>
            <w:szCs w:val="20"/>
          </w:rPr>
          <w:t>16/09</w:t>
        </w:r>
      </w:hyperlink>
      <w:r w:rsidRPr="002F30DF">
        <w:rPr>
          <w:sz w:val="20"/>
          <w:szCs w:val="20"/>
        </w:rPr>
        <w:t>, </w:t>
      </w:r>
      <w:hyperlink r:id="rId90" w:tgtFrame="_blank" w:tooltip="Uredba o spremembi Uredbe o sejninah in povračilih stroškov v javnih skladih, javnih agencijah, javnih zavodih in javnih gospodarskih zavodih" w:history="1">
        <w:r w:rsidRPr="002F30DF">
          <w:rPr>
            <w:sz w:val="20"/>
            <w:szCs w:val="20"/>
          </w:rPr>
          <w:t>107/10</w:t>
        </w:r>
      </w:hyperlink>
      <w:r w:rsidRPr="002F30DF">
        <w:rPr>
          <w:sz w:val="20"/>
          <w:szCs w:val="20"/>
        </w:rPr>
        <w:t>, </w:t>
      </w:r>
      <w:hyperlink r:id="rId91" w:tgtFrame="_blank" w:tooltip="Uredba o spremembi Uredbe o sejninah in povračilih stroškov v javnih skladih, javnih agencijah, javnih zavodih in javnih gospodarskih zavodih" w:history="1">
        <w:r w:rsidRPr="002F30DF">
          <w:rPr>
            <w:sz w:val="20"/>
            <w:szCs w:val="20"/>
          </w:rPr>
          <w:t>66/12</w:t>
        </w:r>
      </w:hyperlink>
      <w:r w:rsidRPr="002F30DF">
        <w:rPr>
          <w:sz w:val="20"/>
          <w:szCs w:val="20"/>
        </w:rPr>
        <w:t>, </w:t>
      </w:r>
      <w:hyperlink r:id="rId92" w:tgtFrame="_blank" w:tooltip="Uredba o spremembah Uredbe o sejninah in povračilih stroškov v javnih skladih, javnih agencijah, javnih zavodih in javnih gospodarskih zavodih" w:history="1">
        <w:r w:rsidRPr="002F30DF">
          <w:rPr>
            <w:sz w:val="20"/>
            <w:szCs w:val="20"/>
          </w:rPr>
          <w:t>51/13</w:t>
        </w:r>
      </w:hyperlink>
      <w:r w:rsidRPr="002F30DF">
        <w:rPr>
          <w:sz w:val="20"/>
          <w:szCs w:val="20"/>
        </w:rPr>
        <w:t> in </w:t>
      </w:r>
      <w:hyperlink r:id="rId93" w:tgtFrame="_blank" w:tooltip="Uredba o spremembah Uredbe o sejninah in povračilih stroškov v javnih skladih, javnih agencijah, javnih zavodih in javnih gospodarskih zavodih" w:history="1">
        <w:r w:rsidRPr="002F30DF">
          <w:rPr>
            <w:sz w:val="20"/>
            <w:szCs w:val="20"/>
          </w:rPr>
          <w:t>6/15</w:t>
        </w:r>
      </w:hyperlink>
      <w:r w:rsidRPr="002F30DF">
        <w:rPr>
          <w:sz w:val="20"/>
          <w:szCs w:val="20"/>
        </w:rPr>
        <w:t xml:space="preserve">). </w:t>
      </w:r>
      <w:r w:rsidR="00724646" w:rsidRPr="002F30DF">
        <w:rPr>
          <w:sz w:val="20"/>
          <w:szCs w:val="20"/>
        </w:rPr>
        <w:t xml:space="preserve">Navedena uredba se smiselno uporablja tudi za člane senata in prekrškovnega senata. </w:t>
      </w:r>
    </w:p>
    <w:p w:rsidR="00724646" w:rsidRPr="002F30DF" w:rsidRDefault="00724646" w:rsidP="00AE0150">
      <w:pPr>
        <w:pStyle w:val="Odstavek"/>
        <w:spacing w:before="0" w:line="260" w:lineRule="atLeast"/>
        <w:ind w:firstLine="0"/>
        <w:rPr>
          <w:sz w:val="20"/>
          <w:szCs w:val="20"/>
        </w:rPr>
      </w:pPr>
    </w:p>
    <w:p w:rsidR="00AE0150" w:rsidRPr="002F30DF" w:rsidRDefault="00724646" w:rsidP="00AE0150">
      <w:pPr>
        <w:pStyle w:val="Odstavek"/>
        <w:spacing w:before="0" w:line="260" w:lineRule="atLeast"/>
        <w:ind w:firstLine="0"/>
        <w:rPr>
          <w:sz w:val="20"/>
          <w:szCs w:val="20"/>
        </w:rPr>
      </w:pPr>
      <w:r w:rsidRPr="002F30DF">
        <w:rPr>
          <w:sz w:val="20"/>
          <w:szCs w:val="20"/>
        </w:rPr>
        <w:t>Javni uslužbenci, zaposleni v agenciji, svoje delo v okviru sveta, senata in prekrškovnega senata opravljajo izven svojega rednega delovnega časa.</w:t>
      </w:r>
    </w:p>
    <w:p w:rsidR="00AE0150" w:rsidRPr="002F30DF" w:rsidRDefault="00AE0150" w:rsidP="00AE0150">
      <w:pPr>
        <w:pStyle w:val="Odstavek"/>
        <w:spacing w:before="0" w:line="260" w:lineRule="atLeast"/>
        <w:ind w:firstLine="0"/>
        <w:rPr>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26. členu</w:t>
      </w:r>
      <w:r w:rsidRPr="002F30DF">
        <w:rPr>
          <w:rFonts w:cs="Arial"/>
          <w:sz w:val="20"/>
          <w:szCs w:val="20"/>
        </w:rPr>
        <w:t xml:space="preserve"> </w:t>
      </w:r>
      <w:r w:rsidRPr="002F30DF">
        <w:rPr>
          <w:rFonts w:cs="Arial"/>
          <w:b/>
          <w:sz w:val="20"/>
          <w:szCs w:val="20"/>
        </w:rPr>
        <w:t>(pogoji za direktorja)</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 xml:space="preserve">V </w:t>
      </w:r>
      <w:r w:rsidR="009B5C6E" w:rsidRPr="002F30DF">
        <w:rPr>
          <w:rFonts w:cs="Arial"/>
          <w:sz w:val="20"/>
          <w:szCs w:val="20"/>
          <w:u w:val="single"/>
        </w:rPr>
        <w:t>prvem</w:t>
      </w:r>
      <w:r w:rsidRPr="002F30DF">
        <w:rPr>
          <w:rFonts w:cs="Arial"/>
          <w:sz w:val="20"/>
          <w:szCs w:val="20"/>
          <w:u w:val="single"/>
        </w:rPr>
        <w:t xml:space="preserve"> odstavku</w:t>
      </w:r>
      <w:r w:rsidRPr="002F30DF">
        <w:rPr>
          <w:rFonts w:cs="Arial"/>
          <w:sz w:val="20"/>
          <w:szCs w:val="20"/>
        </w:rPr>
        <w:t xml:space="preserve"> so določeni pogoji, ki jih mora izpolnjevati direktor. Za direktorja je tako lahko imenovala oseba, ki je državljan Republike Slovenije, ima zahtevano raven in smer izobrazbe, ima najmanj 10 let delovnih izkušenj, </w:t>
      </w:r>
      <w:r w:rsidR="003F65CE" w:rsidRPr="002F30DF">
        <w:rPr>
          <w:rFonts w:cs="Arial"/>
          <w:sz w:val="20"/>
          <w:szCs w:val="20"/>
        </w:rPr>
        <w:t>je strokovnjak za varstvo konkurence in ima domače in/ali mednarodne izkušnje s tega področja</w:t>
      </w:r>
      <w:r w:rsidRPr="002F30DF">
        <w:rPr>
          <w:rFonts w:cs="Arial"/>
          <w:sz w:val="20"/>
          <w:szCs w:val="20"/>
        </w:rPr>
        <w:t>, ima opravljen preizkus znanja za vodenje in odločanje v prekrškovnem postopku, ima opravljen strokovni izpit za vodenje upravnega postopka, ima</w:t>
      </w:r>
      <w:r w:rsidR="00FC26F2" w:rsidRPr="002F30DF">
        <w:rPr>
          <w:rFonts w:cs="Arial"/>
          <w:sz w:val="20"/>
          <w:szCs w:val="20"/>
        </w:rPr>
        <w:t xml:space="preserve"> </w:t>
      </w:r>
      <w:r w:rsidRPr="002F30DF">
        <w:rPr>
          <w:rFonts w:cs="Arial"/>
          <w:sz w:val="20"/>
          <w:szCs w:val="20"/>
        </w:rPr>
        <w:t>znanj</w:t>
      </w:r>
      <w:r w:rsidR="00FC26F2" w:rsidRPr="002F30DF">
        <w:rPr>
          <w:rFonts w:cs="Arial"/>
          <w:sz w:val="20"/>
          <w:szCs w:val="20"/>
        </w:rPr>
        <w:t>e</w:t>
      </w:r>
      <w:r w:rsidRPr="002F30DF">
        <w:rPr>
          <w:rFonts w:cs="Arial"/>
          <w:sz w:val="20"/>
          <w:szCs w:val="20"/>
        </w:rPr>
        <w:t xml:space="preserve"> </w:t>
      </w:r>
      <w:r w:rsidR="00FC26F2" w:rsidRPr="002F30DF">
        <w:rPr>
          <w:rFonts w:cs="Arial"/>
          <w:sz w:val="20"/>
          <w:szCs w:val="20"/>
        </w:rPr>
        <w:t>vsaj enega tujega jezika</w:t>
      </w:r>
      <w:r w:rsidRPr="002F30DF">
        <w:rPr>
          <w:rFonts w:cs="Arial"/>
          <w:sz w:val="20"/>
          <w:szCs w:val="20"/>
        </w:rPr>
        <w:t>, ni v kazenskem postopku zaradi kaznivega dejanja, ki se preganja po uradni dolžnosti, ni bila pravnomočno obsojena zaradi kaznivega dejanja, ki se preganja po uradni dolžnosti na zaporno kazen več kot šest mesecev, pa izvršitev kazni ni bila pogojno odložena in predloži izjavo o interesih in povezavah iz 20. člena tega zakona.</w:t>
      </w:r>
    </w:p>
    <w:p w:rsidR="00AE0150" w:rsidRPr="002F30DF" w:rsidRDefault="00AE0150" w:rsidP="00AE0150">
      <w:pPr>
        <w:tabs>
          <w:tab w:val="left" w:pos="3818"/>
        </w:tabs>
        <w:spacing w:line="260" w:lineRule="atLeast"/>
        <w:rPr>
          <w:rFonts w:cs="Arial"/>
          <w:sz w:val="20"/>
          <w:szCs w:val="20"/>
        </w:rPr>
      </w:pPr>
      <w:r w:rsidRPr="002F30DF">
        <w:rPr>
          <w:rFonts w:cs="Arial"/>
          <w:sz w:val="20"/>
          <w:szCs w:val="20"/>
        </w:rPr>
        <w:tab/>
      </w:r>
    </w:p>
    <w:p w:rsidR="00AE0150" w:rsidRPr="002F30DF" w:rsidRDefault="00AE0150" w:rsidP="00AE0150">
      <w:pPr>
        <w:spacing w:line="260" w:lineRule="atLeast"/>
        <w:rPr>
          <w:rFonts w:cs="Arial"/>
          <w:sz w:val="20"/>
          <w:szCs w:val="20"/>
        </w:rPr>
      </w:pPr>
      <w:r w:rsidRPr="002F30DF">
        <w:rPr>
          <w:rFonts w:cs="Arial"/>
          <w:sz w:val="20"/>
          <w:szCs w:val="20"/>
        </w:rPr>
        <w:t>Ker je direktor član senata, ki odloča v posamičnih zadevah v upravnem postopku ter odloča v prekrškovnih postopkih mora imeti opravljen preizkus znanja za vodenje in odločanje v prekrškovnem postopku ter za vodenje upravnega postopka, ki ju mora opraviti najkasneje v roku treh mesecev od nastopa mandata. Če direktor ob imenovanju nima opravljenih teh dveh preizkusov znanja ter ju ne opravi v treh mesecih od imenovanja, mu preneha mandat in delovno razmerje po samem zakonu, torej z dnem izteka trimesečnega roka</w:t>
      </w:r>
      <w:r w:rsidR="009B5C6E" w:rsidRPr="002F30DF">
        <w:rPr>
          <w:rFonts w:cs="Arial"/>
          <w:sz w:val="20"/>
          <w:szCs w:val="20"/>
        </w:rPr>
        <w:t xml:space="preserve"> </w:t>
      </w:r>
      <w:r w:rsidR="009B5C6E" w:rsidRPr="002F30DF">
        <w:rPr>
          <w:rFonts w:cs="Arial"/>
          <w:sz w:val="20"/>
          <w:szCs w:val="20"/>
          <w:u w:val="single"/>
        </w:rPr>
        <w:t>(drugi odstavek).</w:t>
      </w:r>
    </w:p>
    <w:p w:rsidR="00FC26F2" w:rsidRPr="002F30DF" w:rsidRDefault="00FC26F2" w:rsidP="00AE0150">
      <w:pPr>
        <w:spacing w:line="260" w:lineRule="atLeast"/>
        <w:rPr>
          <w:rFonts w:cs="Arial"/>
          <w:sz w:val="20"/>
          <w:szCs w:val="20"/>
        </w:rPr>
      </w:pPr>
    </w:p>
    <w:p w:rsidR="00FC26F2" w:rsidRPr="002F30DF" w:rsidRDefault="00FC26F2" w:rsidP="00AE0150">
      <w:pPr>
        <w:spacing w:line="260" w:lineRule="atLeast"/>
        <w:rPr>
          <w:rFonts w:cs="Arial"/>
          <w:sz w:val="20"/>
          <w:szCs w:val="20"/>
        </w:rPr>
      </w:pPr>
      <w:r w:rsidRPr="002F30DF">
        <w:rPr>
          <w:rFonts w:cs="Arial"/>
          <w:sz w:val="20"/>
          <w:szCs w:val="20"/>
        </w:rPr>
        <w:t>Pogoji za imenovanje direktorja se podrobneje določijo v aktu o notranji organizaciji in sistemizaciji delovnih mest</w:t>
      </w:r>
      <w:r w:rsidR="009B5C6E" w:rsidRPr="002F30DF">
        <w:rPr>
          <w:rFonts w:cs="Arial"/>
          <w:sz w:val="20"/>
          <w:szCs w:val="20"/>
        </w:rPr>
        <w:t xml:space="preserve"> (</w:t>
      </w:r>
      <w:r w:rsidR="009B5C6E" w:rsidRPr="002F30DF">
        <w:rPr>
          <w:rFonts w:cs="Arial"/>
          <w:sz w:val="20"/>
          <w:szCs w:val="20"/>
          <w:u w:val="single"/>
        </w:rPr>
        <w:t>tretji odstavek)</w:t>
      </w:r>
      <w:r w:rsidRPr="002F30DF">
        <w:rPr>
          <w:rFonts w:cs="Arial"/>
          <w:sz w:val="20"/>
          <w:szCs w:val="20"/>
          <w:u w:val="single"/>
        </w:rPr>
        <w:t>,</w:t>
      </w:r>
      <w:r w:rsidRPr="002F30DF">
        <w:rPr>
          <w:rFonts w:cs="Arial"/>
          <w:sz w:val="20"/>
          <w:szCs w:val="20"/>
        </w:rPr>
        <w:t xml:space="preserve"> prijavi na javni natečaj mora </w:t>
      </w:r>
      <w:r w:rsidR="009B5C6E" w:rsidRPr="002F30DF">
        <w:rPr>
          <w:rFonts w:cs="Arial"/>
          <w:sz w:val="20"/>
          <w:szCs w:val="20"/>
        </w:rPr>
        <w:t xml:space="preserve">kandidat </w:t>
      </w:r>
      <w:r w:rsidRPr="002F30DF">
        <w:rPr>
          <w:rFonts w:cs="Arial"/>
          <w:sz w:val="20"/>
          <w:szCs w:val="20"/>
        </w:rPr>
        <w:t>prilož</w:t>
      </w:r>
      <w:r w:rsidR="009B5C6E" w:rsidRPr="002F30DF">
        <w:rPr>
          <w:rFonts w:cs="Arial"/>
          <w:sz w:val="20"/>
          <w:szCs w:val="20"/>
        </w:rPr>
        <w:t>iti tudi</w:t>
      </w:r>
      <w:r w:rsidRPr="002F30DF">
        <w:rPr>
          <w:rFonts w:cs="Arial"/>
          <w:sz w:val="20"/>
          <w:szCs w:val="20"/>
        </w:rPr>
        <w:t xml:space="preserve"> program dela in razvoj agencij</w:t>
      </w:r>
      <w:r w:rsidR="009B5C6E" w:rsidRPr="002F30DF">
        <w:rPr>
          <w:rFonts w:cs="Arial"/>
          <w:sz w:val="20"/>
          <w:szCs w:val="20"/>
        </w:rPr>
        <w:t xml:space="preserve">e za naslednje mandatno obdobje </w:t>
      </w:r>
      <w:r w:rsidR="009B5C6E" w:rsidRPr="002F30DF">
        <w:rPr>
          <w:rFonts w:cs="Arial"/>
          <w:sz w:val="20"/>
          <w:szCs w:val="20"/>
          <w:u w:val="single"/>
        </w:rPr>
        <w:t>(četrti odstavek).</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27. členu</w:t>
      </w:r>
      <w:r w:rsidR="009B5C6E" w:rsidRPr="002F30DF">
        <w:rPr>
          <w:rFonts w:cs="Arial"/>
          <w:sz w:val="20"/>
          <w:szCs w:val="20"/>
        </w:rPr>
        <w:t xml:space="preserve"> </w:t>
      </w:r>
      <w:r w:rsidRPr="002F30DF">
        <w:rPr>
          <w:rFonts w:cs="Arial"/>
          <w:b/>
          <w:sz w:val="20"/>
          <w:szCs w:val="20"/>
        </w:rPr>
        <w:t>(</w:t>
      </w:r>
      <w:r w:rsidR="009B5C6E" w:rsidRPr="002F30DF">
        <w:rPr>
          <w:rFonts w:cs="Arial"/>
          <w:b/>
          <w:sz w:val="20"/>
          <w:szCs w:val="20"/>
        </w:rPr>
        <w:t xml:space="preserve">mandat in </w:t>
      </w:r>
      <w:r w:rsidRPr="002F30DF">
        <w:rPr>
          <w:rFonts w:cs="Arial"/>
          <w:b/>
          <w:sz w:val="20"/>
          <w:szCs w:val="20"/>
        </w:rPr>
        <w:t>imenovanje direktorja)</w:t>
      </w:r>
    </w:p>
    <w:p w:rsidR="00AE0150" w:rsidRPr="002F30DF" w:rsidRDefault="00AE0150" w:rsidP="00AE0150">
      <w:pPr>
        <w:spacing w:line="260" w:lineRule="atLeast"/>
        <w:rPr>
          <w:rFonts w:cs="Arial"/>
          <w:sz w:val="20"/>
          <w:szCs w:val="20"/>
        </w:rPr>
      </w:pPr>
    </w:p>
    <w:p w:rsidR="00AE0150" w:rsidRPr="002F30DF" w:rsidRDefault="00AE0150" w:rsidP="00F31043">
      <w:pPr>
        <w:pStyle w:val="alineazaodstavkom0"/>
        <w:spacing w:before="0" w:beforeAutospacing="0" w:after="0" w:afterAutospacing="0" w:line="260" w:lineRule="atLeast"/>
        <w:jc w:val="both"/>
        <w:rPr>
          <w:rFonts w:ascii="Arial" w:hAnsi="Arial" w:cs="Arial"/>
          <w:sz w:val="20"/>
          <w:szCs w:val="20"/>
        </w:rPr>
      </w:pPr>
      <w:r w:rsidRPr="002F30DF">
        <w:rPr>
          <w:rFonts w:ascii="Arial" w:hAnsi="Arial" w:cs="Arial"/>
          <w:sz w:val="20"/>
          <w:szCs w:val="20"/>
        </w:rPr>
        <w:t xml:space="preserve">Četrti odstavek 4. člena Direktive 2019/1 nalaga državam članicam, da </w:t>
      </w:r>
      <w:r w:rsidRPr="002F30DF">
        <w:rPr>
          <w:rFonts w:ascii="Arial" w:hAnsi="Arial" w:cs="Arial"/>
          <w:i/>
          <w:sz w:val="20"/>
          <w:szCs w:val="20"/>
        </w:rPr>
        <w:t xml:space="preserve">zagotovijo, da se osebe, ki sprejemajo odločitve, s katerimi se izvajajo pooblastila iz 10. do 13. in člena 16. člena te direktive v nacionalnih upravnih organih, pristojnih za varstvo konkurence, izberejo, zaposlijo ali imenujejo v skladu z jasnimi, preglednimi in v nacionalnem pravu vnaprej določenimi postopki. </w:t>
      </w:r>
      <w:r w:rsidRPr="002F30DF">
        <w:rPr>
          <w:rFonts w:ascii="Arial" w:hAnsi="Arial" w:cs="Arial"/>
          <w:sz w:val="20"/>
          <w:szCs w:val="20"/>
        </w:rPr>
        <w:t>Zato se v tem členu določa postopek imenovanja direktorja.</w:t>
      </w:r>
    </w:p>
    <w:p w:rsidR="00B67787" w:rsidRPr="002F30DF" w:rsidRDefault="00B67787" w:rsidP="00B67787">
      <w:pPr>
        <w:spacing w:line="260" w:lineRule="atLeast"/>
        <w:rPr>
          <w:rFonts w:cs="Arial"/>
          <w:sz w:val="20"/>
          <w:szCs w:val="20"/>
        </w:rPr>
      </w:pPr>
    </w:p>
    <w:p w:rsidR="00B67787" w:rsidRPr="002F30DF" w:rsidRDefault="00B67787" w:rsidP="00B67787">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je določeno, da direktorja imenuje državni zbor na predlog vlade. Minister, pristojen za varstvo konkurence vladi predlaga kandidata, ki ga izbere po izvedenem javnem natečaju.</w:t>
      </w:r>
    </w:p>
    <w:p w:rsidR="009B5C6E" w:rsidRPr="002F30DF" w:rsidRDefault="009B5C6E" w:rsidP="009B5C6E">
      <w:pPr>
        <w:spacing w:line="260" w:lineRule="atLeast"/>
        <w:rPr>
          <w:rFonts w:cs="Arial"/>
          <w:b/>
          <w:sz w:val="20"/>
          <w:szCs w:val="20"/>
        </w:rPr>
      </w:pPr>
    </w:p>
    <w:p w:rsidR="009B5C6E" w:rsidRPr="002F30DF" w:rsidRDefault="009B5C6E" w:rsidP="009B5C6E">
      <w:pPr>
        <w:spacing w:line="260" w:lineRule="atLeast"/>
        <w:rPr>
          <w:rFonts w:cs="Arial"/>
          <w:sz w:val="20"/>
          <w:szCs w:val="20"/>
        </w:rPr>
      </w:pPr>
      <w:r w:rsidRPr="002F30DF">
        <w:rPr>
          <w:rFonts w:cs="Arial"/>
          <w:sz w:val="20"/>
          <w:szCs w:val="20"/>
        </w:rPr>
        <w:t xml:space="preserve">Tako kot je določal že ZPOmK-1 se tudi s tem zakonom </w:t>
      </w:r>
      <w:r w:rsidRPr="002F30DF">
        <w:rPr>
          <w:rFonts w:cs="Arial"/>
          <w:sz w:val="20"/>
          <w:szCs w:val="20"/>
          <w:u w:val="single"/>
        </w:rPr>
        <w:t xml:space="preserve">v </w:t>
      </w:r>
      <w:r w:rsidR="00B67787" w:rsidRPr="002F30DF">
        <w:rPr>
          <w:rFonts w:cs="Arial"/>
          <w:sz w:val="20"/>
          <w:szCs w:val="20"/>
          <w:u w:val="single"/>
        </w:rPr>
        <w:t>drug</w:t>
      </w:r>
      <w:r w:rsidR="00FA6C79" w:rsidRPr="002F30DF">
        <w:rPr>
          <w:rFonts w:cs="Arial"/>
          <w:sz w:val="20"/>
          <w:szCs w:val="20"/>
          <w:u w:val="single"/>
        </w:rPr>
        <w:t>emu</w:t>
      </w:r>
      <w:r w:rsidR="00B67787" w:rsidRPr="002F30DF">
        <w:rPr>
          <w:rFonts w:cs="Arial"/>
          <w:sz w:val="20"/>
          <w:szCs w:val="20"/>
          <w:u w:val="single"/>
        </w:rPr>
        <w:t xml:space="preserve"> </w:t>
      </w:r>
      <w:r w:rsidRPr="002F30DF">
        <w:rPr>
          <w:rFonts w:cs="Arial"/>
          <w:sz w:val="20"/>
          <w:szCs w:val="20"/>
          <w:u w:val="single"/>
        </w:rPr>
        <w:t>odstavku</w:t>
      </w:r>
      <w:r w:rsidRPr="002F30DF">
        <w:rPr>
          <w:rFonts w:cs="Arial"/>
          <w:sz w:val="20"/>
          <w:szCs w:val="20"/>
        </w:rPr>
        <w:t xml:space="preserve"> ohranja časovna omejitev trajanja mandata direktorja, in sicer direktor je lahko imenovan za obdobje petih let in je lahko po izvedenem javnem natečaju ponovno imenovan. Direktor je lahko ponovno imenovan največ enkrat.</w:t>
      </w:r>
    </w:p>
    <w:p w:rsidR="009B5C6E" w:rsidRPr="002F30DF" w:rsidRDefault="009B5C6E" w:rsidP="00F31043">
      <w:pPr>
        <w:tabs>
          <w:tab w:val="left" w:pos="3818"/>
        </w:tabs>
        <w:spacing w:line="260" w:lineRule="atLeast"/>
        <w:rPr>
          <w:rFonts w:cs="Arial"/>
          <w:sz w:val="20"/>
          <w:szCs w:val="20"/>
        </w:rPr>
      </w:pPr>
      <w:r w:rsidRPr="002F30DF">
        <w:rPr>
          <w:rFonts w:cs="Arial"/>
          <w:sz w:val="20"/>
          <w:szCs w:val="20"/>
        </w:rPr>
        <w:tab/>
      </w:r>
    </w:p>
    <w:p w:rsidR="009B5C6E" w:rsidRPr="002F30DF" w:rsidRDefault="009B5C6E" w:rsidP="009B5C6E">
      <w:pPr>
        <w:spacing w:line="260" w:lineRule="atLeast"/>
        <w:rPr>
          <w:rFonts w:cs="Arial"/>
          <w:b/>
          <w:sz w:val="20"/>
          <w:szCs w:val="20"/>
        </w:rPr>
      </w:pPr>
      <w:r w:rsidRPr="002F30DF">
        <w:rPr>
          <w:rFonts w:cs="Arial"/>
          <w:sz w:val="20"/>
          <w:szCs w:val="20"/>
        </w:rPr>
        <w:t xml:space="preserve">O predlaganem kandidatu za direktorja glasuje državni zbor, in sicer v roku 30 dni po vložitvi predloga. Za imenovanje kandidata je potrebna večina glasov navzočih poslancev. Če predlagani kandidat ne dobi predpisanega števila glasov, predsednik državnega zbora obvesti vlado. Le-ta v 14 dneh po prejemu obvestila sporoči predsedniku državnega zbora svojo odločitev o nadaljnjem postopku </w:t>
      </w:r>
      <w:r w:rsidRPr="002F30DF">
        <w:rPr>
          <w:rFonts w:cs="Arial"/>
          <w:sz w:val="20"/>
          <w:szCs w:val="20"/>
          <w:u w:val="single"/>
        </w:rPr>
        <w:t xml:space="preserve">(tretji odstavek). </w:t>
      </w:r>
    </w:p>
    <w:p w:rsidR="009B5C6E" w:rsidRPr="002F30DF" w:rsidRDefault="009B5C6E"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Direktor mora opravljati svoje naloge na podlagi pogodbe o zaposlitvi</w:t>
      </w:r>
      <w:r w:rsidR="00FC1ADF" w:rsidRPr="002F30DF">
        <w:rPr>
          <w:rFonts w:cs="Arial"/>
          <w:sz w:val="20"/>
          <w:szCs w:val="20"/>
        </w:rPr>
        <w:t xml:space="preserve"> z agencijo, ki jo z direktorjem sklene minister, pristojen za varstvo konkurence</w:t>
      </w:r>
      <w:r w:rsidR="009B5C6E" w:rsidRPr="002F30DF">
        <w:rPr>
          <w:rFonts w:cs="Arial"/>
          <w:sz w:val="20"/>
          <w:szCs w:val="20"/>
        </w:rPr>
        <w:t xml:space="preserve"> </w:t>
      </w:r>
      <w:r w:rsidR="009B5C6E" w:rsidRPr="002F30DF">
        <w:rPr>
          <w:rFonts w:cs="Arial"/>
          <w:sz w:val="20"/>
          <w:szCs w:val="20"/>
          <w:u w:val="single"/>
        </w:rPr>
        <w:t>(četrti odstavek)</w:t>
      </w:r>
      <w:r w:rsidR="00FC1ADF" w:rsidRPr="002F30DF">
        <w:rPr>
          <w:rFonts w:cs="Arial"/>
          <w:sz w:val="20"/>
          <w:szCs w:val="20"/>
          <w:u w:val="single"/>
        </w:rPr>
        <w:t>.</w:t>
      </w:r>
      <w:r w:rsidR="00FC1ADF" w:rsidRPr="002F30DF">
        <w:rPr>
          <w:rFonts w:cs="Arial"/>
          <w:sz w:val="20"/>
          <w:szCs w:val="20"/>
        </w:rPr>
        <w:t xml:space="preserve"> </w:t>
      </w:r>
      <w:r w:rsidRPr="002F30DF">
        <w:rPr>
          <w:rFonts w:cs="Arial"/>
          <w:sz w:val="20"/>
          <w:szCs w:val="20"/>
        </w:rPr>
        <w:t xml:space="preserve"> </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28. členu</w:t>
      </w:r>
      <w:r w:rsidRPr="002F30DF">
        <w:rPr>
          <w:rFonts w:cs="Arial"/>
          <w:sz w:val="20"/>
          <w:szCs w:val="20"/>
        </w:rPr>
        <w:t xml:space="preserve"> </w:t>
      </w:r>
      <w:r w:rsidRPr="002F30DF">
        <w:rPr>
          <w:rFonts w:cs="Arial"/>
          <w:b/>
          <w:sz w:val="20"/>
          <w:szCs w:val="20"/>
        </w:rPr>
        <w:t>(pristojnosti in odgovornosti direktorja)</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V tem členu so določene naloge direktorja, in sicer direktor zastopa, predstavlja in vodi agencijo ter organizira njeno delo.</w:t>
      </w:r>
    </w:p>
    <w:p w:rsidR="00FC1ADF" w:rsidRPr="002F30DF" w:rsidRDefault="00FC1ADF" w:rsidP="00AE0150">
      <w:pPr>
        <w:spacing w:line="260" w:lineRule="atLeast"/>
        <w:rPr>
          <w:rFonts w:cs="Arial"/>
          <w:sz w:val="20"/>
          <w:szCs w:val="20"/>
        </w:rPr>
      </w:pPr>
    </w:p>
    <w:p w:rsidR="00FC1ADF" w:rsidRPr="002F30DF" w:rsidRDefault="00FC1ADF" w:rsidP="00AE0150">
      <w:pPr>
        <w:spacing w:line="260" w:lineRule="atLeast"/>
        <w:rPr>
          <w:rFonts w:cs="Arial"/>
          <w:sz w:val="20"/>
          <w:szCs w:val="20"/>
        </w:rPr>
      </w:pPr>
      <w:r w:rsidRPr="002F30DF">
        <w:rPr>
          <w:rFonts w:cs="Arial"/>
          <w:sz w:val="20"/>
          <w:szCs w:val="20"/>
        </w:rPr>
        <w:t>Direktor mora zagotoviti, da agencija izvaja svoje pristojnosti in naloge, ki jih ima po tem ali drugem zakonu ter posluje skladno s tem zakonom, ustanovitvenim aktom in poslovnikom.</w:t>
      </w:r>
    </w:p>
    <w:p w:rsidR="00FC1ADF" w:rsidRPr="002F30DF" w:rsidRDefault="00FC1ADF" w:rsidP="00AE0150">
      <w:pPr>
        <w:spacing w:line="260" w:lineRule="atLeast"/>
        <w:rPr>
          <w:rFonts w:cs="Arial"/>
          <w:sz w:val="20"/>
          <w:szCs w:val="20"/>
        </w:rPr>
      </w:pPr>
    </w:p>
    <w:p w:rsidR="00FC1ADF" w:rsidRPr="002F30DF" w:rsidRDefault="00FC1ADF" w:rsidP="00AE0150">
      <w:pPr>
        <w:spacing w:line="260" w:lineRule="atLeast"/>
        <w:rPr>
          <w:rFonts w:cs="Arial"/>
          <w:sz w:val="20"/>
          <w:szCs w:val="20"/>
        </w:rPr>
      </w:pPr>
      <w:r w:rsidRPr="002F30DF">
        <w:rPr>
          <w:rFonts w:cs="Arial"/>
          <w:sz w:val="20"/>
          <w:szCs w:val="20"/>
        </w:rPr>
        <w:lastRenderedPageBreak/>
        <w:t>Direktor vodi agencijo in postopke, daje pooblastila za vodenje postopkov v zadevah iz pristojnosti agencije ter izdaja pravne akte v posamičnih zadevah iz pristojnosti agencije, razen v primerih, ko je skladno s tem zakonom, za izdajo pravnih aktov pristojen senat.</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29. členu (nezdružljivost)</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Direktor ne more biti funkcionar v izvršilni, zakonodajni in sodni veji oblasti, funkcionar v drugih državnih organih in lokaln</w:t>
      </w:r>
      <w:r w:rsidR="00FC1ADF" w:rsidRPr="002F30DF">
        <w:rPr>
          <w:rFonts w:cs="Arial"/>
          <w:sz w:val="20"/>
          <w:szCs w:val="20"/>
        </w:rPr>
        <w:t>ih</w:t>
      </w:r>
      <w:r w:rsidRPr="002F30DF">
        <w:rPr>
          <w:rFonts w:cs="Arial"/>
          <w:sz w:val="20"/>
          <w:szCs w:val="20"/>
        </w:rPr>
        <w:t xml:space="preserve"> skupnosti</w:t>
      </w:r>
      <w:r w:rsidR="00FC1ADF" w:rsidRPr="002F30DF">
        <w:rPr>
          <w:rFonts w:cs="Arial"/>
          <w:sz w:val="20"/>
          <w:szCs w:val="20"/>
        </w:rPr>
        <w:t>h</w:t>
      </w:r>
      <w:r w:rsidRPr="002F30DF">
        <w:rPr>
          <w:rFonts w:cs="Arial"/>
          <w:sz w:val="20"/>
          <w:szCs w:val="20"/>
        </w:rPr>
        <w:t>, član vodstva ali organa politične stranke ali oseba, za katero obstaja konflikt med njenimi zasebnimi interesi in javnimi interesi, ki jih uresničuje agencija.</w:t>
      </w:r>
    </w:p>
    <w:p w:rsidR="00AE0150" w:rsidRPr="002F30DF" w:rsidRDefault="00AE0150" w:rsidP="00AE0150">
      <w:pPr>
        <w:spacing w:line="260" w:lineRule="atLeast"/>
        <w:rPr>
          <w:rFonts w:cs="Arial"/>
          <w:sz w:val="20"/>
          <w:szCs w:val="20"/>
        </w:rPr>
      </w:pPr>
    </w:p>
    <w:p w:rsidR="00AE0150" w:rsidRPr="002F30DF" w:rsidRDefault="00AE0150" w:rsidP="00AE0150">
      <w:pPr>
        <w:pStyle w:val="Odstavek"/>
        <w:spacing w:before="0" w:line="260" w:lineRule="atLeast"/>
        <w:ind w:firstLine="0"/>
        <w:rPr>
          <w:sz w:val="20"/>
          <w:szCs w:val="20"/>
        </w:rPr>
      </w:pPr>
      <w:r w:rsidRPr="002F30DF">
        <w:rPr>
          <w:sz w:val="20"/>
          <w:szCs w:val="20"/>
        </w:rPr>
        <w:t>Direktor mora svoj položaj uskladiti s prejšnjim odstavkom v enem mesecu po imenovanju, v nasprotnem primeru s potekom tega roka preneha veljati sklep državnega zbora o imenovanju ter pogodba o zaposlitvi.</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30. členu (predčasna razrešitev direktorja)</w:t>
      </w:r>
    </w:p>
    <w:p w:rsidR="00AE0150" w:rsidRPr="002F30DF" w:rsidRDefault="00AE0150" w:rsidP="00AE0150">
      <w:pPr>
        <w:spacing w:line="260" w:lineRule="atLeast"/>
        <w:ind w:firstLine="708"/>
        <w:rPr>
          <w:rFonts w:cs="Arial"/>
          <w:b/>
          <w:sz w:val="20"/>
          <w:szCs w:val="20"/>
        </w:rPr>
      </w:pPr>
    </w:p>
    <w:p w:rsidR="00AE0150" w:rsidRPr="002F30DF" w:rsidRDefault="00AE0150" w:rsidP="00AE0150">
      <w:pPr>
        <w:overflowPunct/>
        <w:autoSpaceDE/>
        <w:autoSpaceDN/>
        <w:adjustRightInd/>
        <w:spacing w:line="260" w:lineRule="atLeast"/>
        <w:textAlignment w:val="auto"/>
        <w:rPr>
          <w:rFonts w:eastAsia="Calibri" w:cs="Arial"/>
          <w:i/>
          <w:sz w:val="20"/>
          <w:szCs w:val="20"/>
        </w:rPr>
      </w:pPr>
      <w:r w:rsidRPr="002F30DF">
        <w:rPr>
          <w:rFonts w:eastAsia="Calibri" w:cs="Arial"/>
          <w:sz w:val="20"/>
          <w:szCs w:val="20"/>
        </w:rPr>
        <w:t xml:space="preserve">V tem členu se določajo razlogi, zaradi katerih je lahko direktor agencije predčasno razrešen. Tudi pri določitvi teh razlogov je upoštevan tretji odstavek 4. člena Direktive 2019/1, ki določa, da se </w:t>
      </w:r>
      <w:r w:rsidRPr="002F30DF">
        <w:rPr>
          <w:rFonts w:eastAsia="Calibri" w:cs="Arial"/>
          <w:i/>
          <w:sz w:val="20"/>
          <w:szCs w:val="20"/>
        </w:rPr>
        <w:t>oseb, ki sprejemajo odločitve, s katerimi se izvajajo pooblastila iz 10. do 13. in 16. člena te direktive, v nacionalnih upravnih organih, pristojnih za varstvo konkurence, iz teh organov ne sme razrešiti zaradi razlogov, povezanih s pravilnim opravljanjem njihovih nalog ali pravilnim izvajanjem njihovih pooblastil za uporabo 101. in 102. člena PDEU, kot je opredeljeno v drugem odstavku 5. člena te direktive. Razrešijo se lahko samo, če ne izpolnjujejo več pogojev, ki se zahtevajo za opravljanje njihovih nalog, ali če so storili hujšo kršitev po nacionalnem pravu. Pogoji, ki se zahtevajo za opravljanje njihovih nalog, in opredelitev hujše kršitve se vnaprej določijo v nacionalnem pravu, pri čemer se upošteva potreba po zagotovitvi učinkovitega uveljavljanja pravil konkurence.</w:t>
      </w:r>
    </w:p>
    <w:p w:rsidR="00AE0150" w:rsidRPr="002F30DF" w:rsidRDefault="00AE0150" w:rsidP="00AE0150">
      <w:pPr>
        <w:overflowPunct/>
        <w:autoSpaceDE/>
        <w:autoSpaceDN/>
        <w:adjustRightInd/>
        <w:spacing w:line="260" w:lineRule="atLeast"/>
        <w:textAlignment w:val="auto"/>
        <w:rPr>
          <w:rFonts w:eastAsia="Calibri" w:cs="Arial"/>
          <w:sz w:val="20"/>
          <w:szCs w:val="20"/>
        </w:rPr>
      </w:pPr>
    </w:p>
    <w:p w:rsidR="0044089D" w:rsidRPr="002F30DF" w:rsidRDefault="0044089D" w:rsidP="00F62A36">
      <w:pPr>
        <w:pStyle w:val="Alineazaodstavkom"/>
        <w:numPr>
          <w:ilvl w:val="0"/>
          <w:numId w:val="0"/>
        </w:numPr>
        <w:spacing w:line="260" w:lineRule="atLeast"/>
        <w:rPr>
          <w:rFonts w:eastAsia="Calibri"/>
          <w:sz w:val="20"/>
          <w:szCs w:val="20"/>
        </w:rPr>
      </w:pPr>
      <w:r w:rsidRPr="002F30DF">
        <w:rPr>
          <w:rFonts w:eastAsia="Calibri"/>
          <w:sz w:val="20"/>
          <w:szCs w:val="20"/>
        </w:rPr>
        <w:t xml:space="preserve">Skladno s tem so v </w:t>
      </w:r>
      <w:r w:rsidRPr="002F30DF">
        <w:rPr>
          <w:rFonts w:eastAsia="Calibri"/>
          <w:sz w:val="20"/>
          <w:szCs w:val="20"/>
          <w:u w:val="single"/>
        </w:rPr>
        <w:t>prvem odstavku</w:t>
      </w:r>
      <w:r w:rsidRPr="002F30DF">
        <w:rPr>
          <w:rFonts w:eastAsia="Calibri"/>
          <w:sz w:val="20"/>
          <w:szCs w:val="20"/>
        </w:rPr>
        <w:t xml:space="preserve"> določeni razlogi, zaradi katerih je lahko direktor predčasno razrešen. Ti razlogi so: če to sam zahteva, če trajno izgubi delovno zmožnost za opravljanje dela, če krši obveznost varovanja zaupnih podatkov, določeno v tem ali drugem zakonu, če huje krši poslovnik agencije, če se ugotovi, da ne izpolnjuje več z zakonom pre</w:t>
      </w:r>
      <w:r w:rsidR="00F62A36">
        <w:rPr>
          <w:rFonts w:eastAsia="Calibri"/>
          <w:sz w:val="20"/>
          <w:szCs w:val="20"/>
        </w:rPr>
        <w:t>dpisanih pogojev za imenovanje</w:t>
      </w:r>
      <w:r w:rsidRPr="002F30DF">
        <w:rPr>
          <w:rFonts w:eastAsia="Calibri"/>
          <w:sz w:val="20"/>
          <w:szCs w:val="20"/>
        </w:rPr>
        <w:t>, če nastopi položaj nezdružljivosti iz 29. člena tega zakona ali</w:t>
      </w:r>
      <w:r w:rsidR="00F62A36">
        <w:rPr>
          <w:rFonts w:eastAsia="Calibri"/>
          <w:sz w:val="20"/>
          <w:szCs w:val="20"/>
        </w:rPr>
        <w:t>,</w:t>
      </w:r>
      <w:r w:rsidRPr="002F30DF">
        <w:rPr>
          <w:rFonts w:eastAsia="Calibri"/>
          <w:sz w:val="20"/>
          <w:szCs w:val="20"/>
        </w:rPr>
        <w:t xml:space="preserve"> če ne opravlja svojih nalog </w:t>
      </w:r>
      <w:r w:rsidRPr="002F30DF">
        <w:rPr>
          <w:rFonts w:eastAsia="Calibri"/>
          <w:sz w:val="20"/>
          <w:szCs w:val="20"/>
        </w:rPr>
        <w:lastRenderedPageBreak/>
        <w:t xml:space="preserve">direktorja, določenih v tem zakonu in poslovniku agencije, </w:t>
      </w:r>
      <w:r w:rsidR="00F62A36">
        <w:rPr>
          <w:rFonts w:eastAsia="Calibri"/>
          <w:sz w:val="20"/>
          <w:szCs w:val="20"/>
        </w:rPr>
        <w:t>oziroma</w:t>
      </w:r>
      <w:r w:rsidRPr="002F30DF">
        <w:rPr>
          <w:rFonts w:eastAsia="Calibri"/>
          <w:sz w:val="20"/>
          <w:szCs w:val="20"/>
        </w:rPr>
        <w:t xml:space="preserve"> jih opravlja nevestno ali nestrokovno.</w:t>
      </w:r>
    </w:p>
    <w:p w:rsidR="009C736D" w:rsidRPr="002F30DF" w:rsidRDefault="009C736D" w:rsidP="0044089D">
      <w:pPr>
        <w:pStyle w:val="Alineazaodstavkom"/>
        <w:numPr>
          <w:ilvl w:val="0"/>
          <w:numId w:val="0"/>
        </w:numPr>
        <w:spacing w:line="260" w:lineRule="atLeast"/>
        <w:rPr>
          <w:rFonts w:eastAsia="Calibri"/>
          <w:sz w:val="20"/>
          <w:szCs w:val="20"/>
        </w:rPr>
      </w:pPr>
    </w:p>
    <w:p w:rsidR="009C736D" w:rsidRPr="002F30DF" w:rsidRDefault="009C736D" w:rsidP="0044089D">
      <w:pPr>
        <w:pStyle w:val="Alineazaodstavkom"/>
        <w:numPr>
          <w:ilvl w:val="0"/>
          <w:numId w:val="0"/>
        </w:numPr>
        <w:spacing w:line="260" w:lineRule="atLeast"/>
        <w:rPr>
          <w:rFonts w:eastAsia="Calibri"/>
          <w:sz w:val="20"/>
          <w:szCs w:val="20"/>
        </w:rPr>
      </w:pPr>
      <w:r w:rsidRPr="002F30DF">
        <w:rPr>
          <w:rFonts w:eastAsia="Calibri"/>
          <w:sz w:val="20"/>
          <w:szCs w:val="20"/>
          <w:u w:val="single"/>
        </w:rPr>
        <w:t>Drugi odstavek</w:t>
      </w:r>
      <w:r w:rsidRPr="002F30DF">
        <w:rPr>
          <w:rFonts w:eastAsia="Calibri"/>
          <w:sz w:val="20"/>
          <w:szCs w:val="20"/>
        </w:rPr>
        <w:t xml:space="preserve"> določa, da se razlogi za predčasno razrešitev se ne smejo nanašati na pravilno opravljanje nalog ali pravilno izvajanje pooblastil v posamičnih zadevah iz pristojnosti agencije.</w:t>
      </w:r>
    </w:p>
    <w:p w:rsidR="0044089D" w:rsidRPr="002F30DF" w:rsidRDefault="0044089D" w:rsidP="0044089D">
      <w:pPr>
        <w:pStyle w:val="Alineazaodstavkom"/>
        <w:numPr>
          <w:ilvl w:val="0"/>
          <w:numId w:val="0"/>
        </w:numPr>
        <w:spacing w:line="260" w:lineRule="atLeast"/>
        <w:rPr>
          <w:rFonts w:eastAsia="Calibri"/>
          <w:sz w:val="20"/>
          <w:szCs w:val="20"/>
        </w:rPr>
      </w:pPr>
    </w:p>
    <w:p w:rsidR="00AE0150" w:rsidRPr="002F30DF" w:rsidRDefault="009C736D" w:rsidP="00AE0150">
      <w:pPr>
        <w:pStyle w:val="Alineazaodstavkom"/>
        <w:numPr>
          <w:ilvl w:val="0"/>
          <w:numId w:val="0"/>
        </w:numPr>
        <w:spacing w:line="260" w:lineRule="atLeast"/>
        <w:rPr>
          <w:rFonts w:eastAsia="Calibri"/>
          <w:sz w:val="20"/>
          <w:szCs w:val="20"/>
        </w:rPr>
      </w:pPr>
      <w:r w:rsidRPr="002F30DF">
        <w:rPr>
          <w:rFonts w:eastAsia="Calibri"/>
          <w:sz w:val="20"/>
          <w:szCs w:val="20"/>
        </w:rPr>
        <w:t xml:space="preserve">Direktorja predčasno razreši državni zbor na predlog vlade </w:t>
      </w:r>
      <w:r w:rsidRPr="002F30DF">
        <w:rPr>
          <w:rFonts w:eastAsia="Calibri"/>
          <w:sz w:val="20"/>
          <w:szCs w:val="20"/>
          <w:u w:val="single"/>
        </w:rPr>
        <w:t>(tretji odstavek).</w:t>
      </w:r>
      <w:r w:rsidRPr="002F30DF">
        <w:rPr>
          <w:rFonts w:eastAsia="Calibri"/>
          <w:sz w:val="20"/>
          <w:szCs w:val="20"/>
        </w:rPr>
        <w:t xml:space="preserve"> Svet je pristojen za izvedbo postopka predčasne razrešitve direktorja, ki je določen s poslovnikom agencije. Direktor ne sme sodelovati pri izvedbi postopka njegove predčasne razrešitve </w:t>
      </w:r>
      <w:r w:rsidRPr="002F30DF">
        <w:rPr>
          <w:rFonts w:eastAsia="Calibri"/>
          <w:sz w:val="20"/>
          <w:szCs w:val="20"/>
          <w:u w:val="single"/>
        </w:rPr>
        <w:t>(četrti odstavek).</w:t>
      </w:r>
      <w:r w:rsidRPr="002F30DF">
        <w:rPr>
          <w:rFonts w:eastAsia="Calibri"/>
          <w:sz w:val="20"/>
          <w:szCs w:val="20"/>
        </w:rPr>
        <w:t xml:space="preserve"> </w:t>
      </w:r>
    </w:p>
    <w:p w:rsidR="00AE0150" w:rsidRPr="002F30DF" w:rsidRDefault="00AE0150" w:rsidP="00AE0150">
      <w:pPr>
        <w:pStyle w:val="Alineazaodstavkom"/>
        <w:numPr>
          <w:ilvl w:val="0"/>
          <w:numId w:val="0"/>
        </w:numPr>
        <w:spacing w:line="260" w:lineRule="atLeast"/>
        <w:rPr>
          <w:rFonts w:eastAsia="Calibri"/>
          <w:sz w:val="20"/>
          <w:szCs w:val="20"/>
        </w:rPr>
      </w:pPr>
    </w:p>
    <w:p w:rsidR="00AE0150" w:rsidRPr="002F30DF" w:rsidRDefault="00AE0150" w:rsidP="00AE0150">
      <w:pPr>
        <w:pStyle w:val="Alineazaodstavkom"/>
        <w:numPr>
          <w:ilvl w:val="0"/>
          <w:numId w:val="0"/>
        </w:numPr>
        <w:spacing w:line="260" w:lineRule="atLeast"/>
        <w:rPr>
          <w:rFonts w:eastAsia="Calibri"/>
          <w:sz w:val="20"/>
          <w:szCs w:val="20"/>
        </w:rPr>
      </w:pPr>
      <w:r w:rsidRPr="002F30DF">
        <w:rPr>
          <w:rFonts w:eastAsia="Calibri"/>
          <w:sz w:val="20"/>
          <w:szCs w:val="20"/>
        </w:rPr>
        <w:t>Zoper odločitev o razrešitvi je dovoljen upravni spor</w:t>
      </w:r>
      <w:r w:rsidR="009C736D" w:rsidRPr="002F30DF">
        <w:rPr>
          <w:rFonts w:eastAsia="Calibri"/>
          <w:sz w:val="20"/>
          <w:szCs w:val="20"/>
        </w:rPr>
        <w:t xml:space="preserve"> </w:t>
      </w:r>
      <w:r w:rsidR="009C736D" w:rsidRPr="002F30DF">
        <w:rPr>
          <w:rFonts w:eastAsia="Calibri"/>
          <w:sz w:val="20"/>
          <w:szCs w:val="20"/>
          <w:u w:val="single"/>
        </w:rPr>
        <w:t>(peti odstavek).</w:t>
      </w:r>
    </w:p>
    <w:p w:rsidR="00AE0150" w:rsidRPr="002F30DF" w:rsidRDefault="00AE0150" w:rsidP="00AE0150">
      <w:pPr>
        <w:pStyle w:val="Alineazaodstavkom"/>
        <w:numPr>
          <w:ilvl w:val="0"/>
          <w:numId w:val="0"/>
        </w:numPr>
        <w:spacing w:line="260" w:lineRule="atLeast"/>
        <w:rPr>
          <w:rFonts w:eastAsia="Calibri"/>
          <w:sz w:val="20"/>
          <w:szCs w:val="20"/>
        </w:rPr>
      </w:pPr>
    </w:p>
    <w:p w:rsidR="00AE0150" w:rsidRPr="002F30DF" w:rsidRDefault="00AE0150" w:rsidP="00AE0150">
      <w:pPr>
        <w:pStyle w:val="Alineazaodstavkom"/>
        <w:numPr>
          <w:ilvl w:val="0"/>
          <w:numId w:val="0"/>
        </w:numPr>
        <w:spacing w:line="260" w:lineRule="atLeast"/>
        <w:rPr>
          <w:rFonts w:eastAsia="Calibri"/>
          <w:sz w:val="20"/>
          <w:szCs w:val="20"/>
        </w:rPr>
      </w:pPr>
      <w:r w:rsidRPr="002F30DF">
        <w:rPr>
          <w:rFonts w:eastAsia="Calibri"/>
          <w:sz w:val="20"/>
          <w:szCs w:val="20"/>
        </w:rPr>
        <w:t xml:space="preserve">Če je direktor predčasno razrešen, </w:t>
      </w:r>
      <w:r w:rsidR="009C736D" w:rsidRPr="002F30DF">
        <w:rPr>
          <w:rFonts w:eastAsia="Calibri"/>
          <w:sz w:val="20"/>
          <w:szCs w:val="20"/>
        </w:rPr>
        <w:t xml:space="preserve">vlada </w:t>
      </w:r>
      <w:r w:rsidRPr="002F30DF">
        <w:rPr>
          <w:rFonts w:eastAsia="Calibri"/>
          <w:sz w:val="20"/>
          <w:szCs w:val="20"/>
        </w:rPr>
        <w:t>do imenovanja novega direktorja, vendar največ za šest mesecev, brez javnega natečaja imenuje vršilca dolžnosti direktorja</w:t>
      </w:r>
      <w:r w:rsidR="009C736D" w:rsidRPr="002F30DF">
        <w:rPr>
          <w:rFonts w:eastAsia="Calibri"/>
          <w:sz w:val="20"/>
          <w:szCs w:val="20"/>
        </w:rPr>
        <w:t xml:space="preserve"> </w:t>
      </w:r>
      <w:r w:rsidR="009C736D" w:rsidRPr="002F30DF">
        <w:rPr>
          <w:rFonts w:eastAsia="Calibri"/>
          <w:sz w:val="20"/>
          <w:szCs w:val="20"/>
          <w:u w:val="single"/>
        </w:rPr>
        <w:t>(šesti odstavek).</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31. členu (organ postopka)</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V tem členu se določa, da je organ postopka za odločanje v posamičnih upravnih zadevah senat.</w:t>
      </w:r>
      <w:r w:rsidR="0082397F" w:rsidRPr="002F30DF">
        <w:rPr>
          <w:rFonts w:cs="Arial"/>
          <w:sz w:val="20"/>
          <w:szCs w:val="20"/>
        </w:rPr>
        <w:t xml:space="preserve"> P</w:t>
      </w:r>
      <w:r w:rsidRPr="002F30DF">
        <w:rPr>
          <w:rFonts w:cs="Arial"/>
          <w:sz w:val="20"/>
          <w:szCs w:val="20"/>
        </w:rPr>
        <w:t xml:space="preserve">ristojnosti </w:t>
      </w:r>
      <w:r w:rsidR="0082397F" w:rsidRPr="002F30DF">
        <w:rPr>
          <w:rFonts w:cs="Arial"/>
          <w:sz w:val="20"/>
          <w:szCs w:val="20"/>
        </w:rPr>
        <w:t xml:space="preserve">in sestavo </w:t>
      </w:r>
      <w:r w:rsidRPr="002F30DF">
        <w:rPr>
          <w:rFonts w:cs="Arial"/>
          <w:sz w:val="20"/>
          <w:szCs w:val="20"/>
        </w:rPr>
        <w:t>senata ureja 32. člen tega zakona.</w:t>
      </w:r>
    </w:p>
    <w:p w:rsidR="00AE0150" w:rsidRPr="002F30DF" w:rsidRDefault="00AE0150" w:rsidP="00AE0150">
      <w:pPr>
        <w:spacing w:line="260" w:lineRule="atLeast"/>
        <w:rPr>
          <w:rFonts w:cs="Arial"/>
          <w:sz w:val="20"/>
          <w:szCs w:val="20"/>
        </w:rPr>
      </w:pPr>
    </w:p>
    <w:tbl>
      <w:tblPr>
        <w:tblW w:w="5000" w:type="pct"/>
        <w:tblCellSpacing w:w="0" w:type="dxa"/>
        <w:tblCellMar>
          <w:left w:w="0" w:type="dxa"/>
          <w:right w:w="0" w:type="dxa"/>
        </w:tblCellMar>
        <w:tblLook w:val="04A0" w:firstRow="1" w:lastRow="0" w:firstColumn="1" w:lastColumn="0" w:noHBand="0" w:noVBand="1"/>
      </w:tblPr>
      <w:tblGrid>
        <w:gridCol w:w="9065"/>
        <w:gridCol w:w="6"/>
      </w:tblGrid>
      <w:tr w:rsidR="00AE0150" w:rsidRPr="002F30DF" w:rsidTr="004A24A0">
        <w:trPr>
          <w:trHeight w:val="735"/>
          <w:tblCellSpacing w:w="0" w:type="dxa"/>
        </w:trPr>
        <w:tc>
          <w:tcPr>
            <w:tcW w:w="0" w:type="auto"/>
          </w:tcPr>
          <w:p w:rsidR="00AE0150" w:rsidRPr="002F30DF" w:rsidRDefault="00AE0150" w:rsidP="004A24A0">
            <w:pPr>
              <w:spacing w:line="260" w:lineRule="atLeast"/>
              <w:rPr>
                <w:rFonts w:cs="Arial"/>
                <w:sz w:val="20"/>
                <w:szCs w:val="20"/>
              </w:rPr>
            </w:pPr>
            <w:r w:rsidRPr="002F30DF">
              <w:rPr>
                <w:rFonts w:cs="Arial"/>
                <w:sz w:val="20"/>
                <w:szCs w:val="20"/>
              </w:rPr>
              <w:t xml:space="preserve">Direktiva 2019/1 v točki c) drugega odstavka 4. člena nalaga državam članicam, da zagotovijo </w:t>
            </w:r>
            <w:r w:rsidRPr="002F30DF">
              <w:rPr>
                <w:rFonts w:cs="Arial"/>
                <w:i/>
                <w:sz w:val="20"/>
                <w:szCs w:val="20"/>
              </w:rPr>
              <w:t>vsaj, da se osebje in osebe, ki sprejemajo odločitve, s katerimi se izvajajo pooblastila iz 10. do 13. in 16. člena te direktive, v nacionalnih upravnih organih, pristojnih za varstvo konkurence, vzdržijo vsakršnega ravnanja, ki bi bilo nezdružljivo z opravljanjem njihovih nalog in/ali izvajanjem njihovih pooblastil za uporabo 101. in 102. člena PDEU, poleg tega pa za njih veljajo postopki za zagotovitev, da se v razumnem času po prenehanju mandata ali zaposlitve vzdržijo obravnave postopkov za uveljavljanje pravil konkurence, ki bi lahko povzročili nasprotje interesov</w:t>
            </w:r>
            <w:r w:rsidRPr="002F30DF">
              <w:rPr>
                <w:rFonts w:cs="Arial"/>
                <w:sz w:val="20"/>
                <w:szCs w:val="20"/>
              </w:rPr>
              <w:t xml:space="preserve">. Zato se v </w:t>
            </w:r>
            <w:r w:rsidRPr="002F30DF">
              <w:rPr>
                <w:rFonts w:cs="Arial"/>
                <w:sz w:val="20"/>
                <w:szCs w:val="20"/>
                <w:u w:val="single"/>
              </w:rPr>
              <w:t>drugem odstavku</w:t>
            </w:r>
            <w:r w:rsidRPr="002F30DF">
              <w:rPr>
                <w:rFonts w:cs="Arial"/>
                <w:sz w:val="20"/>
                <w:szCs w:val="20"/>
              </w:rPr>
              <w:t xml:space="preserve"> določi, da člani senata </w:t>
            </w:r>
            <w:r w:rsidR="0082397F" w:rsidRPr="002F30DF">
              <w:rPr>
                <w:rFonts w:cs="Arial"/>
                <w:sz w:val="20"/>
                <w:szCs w:val="20"/>
              </w:rPr>
              <w:t xml:space="preserve">in ostali zaposleni v agenciji na področju varstva konkurence </w:t>
            </w:r>
            <w:r w:rsidRPr="002F30DF">
              <w:rPr>
                <w:rFonts w:cs="Arial"/>
                <w:sz w:val="20"/>
                <w:szCs w:val="20"/>
              </w:rPr>
              <w:t>ne smejo izvajati nalog, ki so nezdružljive z opravljanjem njihovih nalog in izvajanjem njihovih pooblastil.</w:t>
            </w:r>
          </w:p>
          <w:p w:rsidR="00AE0150" w:rsidRPr="002F30DF" w:rsidRDefault="00AE0150" w:rsidP="004A24A0">
            <w:pPr>
              <w:spacing w:line="260" w:lineRule="atLeast"/>
              <w:rPr>
                <w:rFonts w:cs="Arial"/>
                <w:sz w:val="20"/>
                <w:szCs w:val="20"/>
              </w:rPr>
            </w:pPr>
          </w:p>
          <w:p w:rsidR="00AE0150" w:rsidRPr="002F30DF" w:rsidRDefault="00AE0150" w:rsidP="004A24A0">
            <w:pPr>
              <w:spacing w:line="260" w:lineRule="atLeast"/>
              <w:rPr>
                <w:rFonts w:cs="Arial"/>
                <w:sz w:val="20"/>
                <w:szCs w:val="20"/>
              </w:rPr>
            </w:pPr>
            <w:r w:rsidRPr="002F30DF">
              <w:rPr>
                <w:rFonts w:cs="Arial"/>
                <w:sz w:val="20"/>
                <w:szCs w:val="20"/>
              </w:rPr>
              <w:t>Predsednik senata, člani senata in javni uslužbenci, zaposleni v agenciji, ki opravljajo posamezna dejanja v postopkih odločanja o posamičnih zadevah, za katere je pristojna agencija po tem zakonu, ne odgovarjajo za škodo, ki jo povzročijo strankam ali drugim osebam pri opravljanju dejanj v teh postopkih, razen če je škoda povzročena namenoma ali iz hude malomarnosti.</w:t>
            </w:r>
          </w:p>
        </w:tc>
        <w:tc>
          <w:tcPr>
            <w:tcW w:w="0" w:type="auto"/>
          </w:tcPr>
          <w:p w:rsidR="00AE0150" w:rsidRPr="002F30DF" w:rsidRDefault="00AE0150" w:rsidP="004A24A0">
            <w:pPr>
              <w:spacing w:line="260" w:lineRule="atLeast"/>
              <w:rPr>
                <w:rFonts w:cs="Arial"/>
                <w:sz w:val="20"/>
                <w:szCs w:val="20"/>
              </w:rPr>
            </w:pPr>
          </w:p>
        </w:tc>
      </w:tr>
    </w:tbl>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32. členu (pristojnosti in sestava senata)</w:t>
      </w:r>
    </w:p>
    <w:p w:rsidR="00AE0150" w:rsidRPr="002F30DF" w:rsidRDefault="00AE0150" w:rsidP="00AE0150">
      <w:pPr>
        <w:pStyle w:val="Navadensplet"/>
        <w:spacing w:after="0" w:line="260" w:lineRule="atLeast"/>
        <w:rPr>
          <w:rFonts w:ascii="Arial" w:hAnsi="Arial" w:cs="Arial"/>
          <w:color w:val="auto"/>
          <w:sz w:val="20"/>
          <w:szCs w:val="20"/>
        </w:rPr>
      </w:pPr>
    </w:p>
    <w:p w:rsidR="003E7307" w:rsidRPr="002F30DF" w:rsidRDefault="00AE0150" w:rsidP="00AE0150">
      <w:pPr>
        <w:pStyle w:val="Odstavek"/>
        <w:spacing w:before="0" w:line="260" w:lineRule="atLeast"/>
        <w:ind w:firstLine="0"/>
        <w:rPr>
          <w:sz w:val="20"/>
          <w:szCs w:val="20"/>
        </w:rPr>
      </w:pPr>
      <w:r w:rsidRPr="002F30DF">
        <w:rPr>
          <w:sz w:val="20"/>
          <w:szCs w:val="20"/>
        </w:rPr>
        <w:t xml:space="preserve">Senat v posamičnih zadevah v upravnem postopku sestavljajo </w:t>
      </w:r>
      <w:r w:rsidR="003E7307" w:rsidRPr="002F30DF">
        <w:rPr>
          <w:sz w:val="20"/>
          <w:szCs w:val="20"/>
        </w:rPr>
        <w:t xml:space="preserve">vsi člani sveta, od katerih je eden predsednik senata, ki se določi na način, določen v poslovniku agencije. </w:t>
      </w:r>
    </w:p>
    <w:p w:rsidR="00AE0150" w:rsidRPr="002F30DF" w:rsidRDefault="00AE0150" w:rsidP="00AE0150">
      <w:pPr>
        <w:pStyle w:val="Odstavek"/>
        <w:spacing w:before="0" w:line="260" w:lineRule="atLeast"/>
        <w:ind w:firstLine="0"/>
        <w:rPr>
          <w:sz w:val="20"/>
          <w:szCs w:val="20"/>
        </w:rPr>
      </w:pPr>
    </w:p>
    <w:p w:rsidR="00AE0150" w:rsidRPr="002F30DF" w:rsidRDefault="00AE0150" w:rsidP="00AE0150">
      <w:pPr>
        <w:pStyle w:val="Odstavek"/>
        <w:spacing w:before="0" w:line="260" w:lineRule="atLeast"/>
        <w:ind w:firstLine="0"/>
        <w:rPr>
          <w:sz w:val="20"/>
          <w:szCs w:val="20"/>
        </w:rPr>
      </w:pPr>
      <w:r w:rsidRPr="002F30DF">
        <w:rPr>
          <w:sz w:val="20"/>
          <w:szCs w:val="20"/>
        </w:rPr>
        <w:lastRenderedPageBreak/>
        <w:t xml:space="preserve">Senat odloča o posamičnih zadevah iz pristojnosti agencije v upravnem postopku, v katerih se po tem zakonu izdajo akti, s katerimi se postopek pred agencijo konča. Senat v okviru teh postopkov, če tako določa ta zakona, odloča tudi o administrativnem sankcioniranju podjetjih. </w:t>
      </w:r>
    </w:p>
    <w:p w:rsidR="00AE0150" w:rsidRPr="002F30DF" w:rsidRDefault="00AE0150" w:rsidP="00AE0150">
      <w:pPr>
        <w:pStyle w:val="Odstavek"/>
        <w:spacing w:before="0" w:line="260" w:lineRule="atLeast"/>
        <w:ind w:firstLine="0"/>
        <w:rPr>
          <w:sz w:val="20"/>
          <w:szCs w:val="20"/>
        </w:rPr>
      </w:pPr>
    </w:p>
    <w:p w:rsidR="00FC3097" w:rsidRPr="002F30DF" w:rsidRDefault="00AE0150" w:rsidP="00FC3097">
      <w:pPr>
        <w:pStyle w:val="Odstavek"/>
        <w:spacing w:before="0" w:line="260" w:lineRule="atLeast"/>
        <w:ind w:firstLine="0"/>
        <w:rPr>
          <w:sz w:val="20"/>
          <w:szCs w:val="20"/>
        </w:rPr>
      </w:pPr>
      <w:r w:rsidRPr="002F30DF">
        <w:rPr>
          <w:sz w:val="20"/>
          <w:szCs w:val="20"/>
        </w:rPr>
        <w:t xml:space="preserve">Postopek do izdaje odločbe vodi javni uslužbenec, zaposlen v agenciji, ki izpolnjuje pogoje za vodenje postopka in ga za to pooblasti direktor. </w:t>
      </w:r>
      <w:r w:rsidR="003E7307" w:rsidRPr="002F30DF">
        <w:rPr>
          <w:sz w:val="20"/>
          <w:szCs w:val="20"/>
        </w:rPr>
        <w:t>Javni uslužbenec, ki je vodil postopek, predloži senatu pisno poročilo in predlog odločbe.</w:t>
      </w:r>
    </w:p>
    <w:p w:rsidR="00FC3097" w:rsidRPr="002F30DF" w:rsidRDefault="00FC3097" w:rsidP="00FC3097">
      <w:pPr>
        <w:pStyle w:val="Odstavek"/>
        <w:spacing w:before="0" w:line="260" w:lineRule="atLeast"/>
        <w:ind w:firstLine="0"/>
        <w:rPr>
          <w:sz w:val="20"/>
          <w:szCs w:val="20"/>
        </w:rPr>
      </w:pPr>
    </w:p>
    <w:p w:rsidR="00FC3097" w:rsidRPr="002F30DF" w:rsidRDefault="00FC3097" w:rsidP="006809D3">
      <w:pPr>
        <w:pStyle w:val="Odstavek"/>
        <w:spacing w:before="0" w:line="260" w:lineRule="atLeast"/>
        <w:ind w:firstLine="0"/>
        <w:rPr>
          <w:sz w:val="20"/>
          <w:szCs w:val="20"/>
        </w:rPr>
      </w:pPr>
      <w:r w:rsidRPr="002F30DF">
        <w:rPr>
          <w:sz w:val="20"/>
          <w:szCs w:val="20"/>
        </w:rPr>
        <w:t>Ker javni uslužbenci, zaposleni v agenciji, sodelujejo kot pooblaščene osebe za vodenje postopkov ali kot člani senata ali kot nadomestni člani izločenih članov senata v posamičnih zadevah iz pristojnosti agencije, je treba zanje skladno s tretjim odstavkom 4. člena Direktive 2019/1 določiti specifične odpovedne razloge. Tretji odstavek 4. člena Direktive 2019/1 namreč določa</w:t>
      </w:r>
      <w:r w:rsidRPr="002F30DF">
        <w:rPr>
          <w:i/>
          <w:sz w:val="20"/>
          <w:szCs w:val="20"/>
        </w:rPr>
        <w:t xml:space="preserve">, da oseb, ki  sprejemajo odločitve, s katerimi se izvajajo pooblastila iz 10. do 13. člena in 16. člena te direktive, v nacionalnih upravnih organih, pristojnih za konkurenco, se iz teh organov ne sme razrešiti zaradi razlogov, povezanih s pravilnim opravljanjem njihovih nalog ali pravilnim izvajanjem njihovih pooblastil za uporabo 101. in 102. člena PDEU, kot je opredeljeno v drugem odstavku 5. člena te direktive. Razrešijo se lahko samo, če ne izpolnjujejo več pogojev, ki se zahtevajo za opravljanje njihovih nalog, ali če so storili hujšo kršitev po nacionalnem pravu. Pogoji, ki se zahtevajo za opravljanje njihovih nalog, in opredelitev hujše kršitve se vnaprej določijo v nacionalnem pravu, pri čemer se upošteva potreba po zagotovitvi učinkovitega uveljavljanja pravil konkurence. </w:t>
      </w:r>
      <w:r w:rsidRPr="002F30DF">
        <w:rPr>
          <w:sz w:val="20"/>
          <w:szCs w:val="20"/>
        </w:rPr>
        <w:t xml:space="preserve">Skladno s to zahtevo Direktive 2019/1 je v </w:t>
      </w:r>
      <w:r w:rsidRPr="002F30DF">
        <w:rPr>
          <w:sz w:val="20"/>
          <w:szCs w:val="20"/>
          <w:u w:val="single"/>
        </w:rPr>
        <w:t>četrtem odstavku</w:t>
      </w:r>
      <w:r w:rsidRPr="002F30DF">
        <w:rPr>
          <w:sz w:val="20"/>
          <w:szCs w:val="20"/>
        </w:rPr>
        <w:t xml:space="preserve"> določeno, da se javnemu uslužbencu, zaposlenemu v agenciji, ki vodi postopek do izdaje odločbe ali opravlja naloge v senatu, ne sme odpovedati pogodbe o zaposlitvi zaradi </w:t>
      </w:r>
      <w:r w:rsidR="00E10362" w:rsidRPr="002F30DF">
        <w:rPr>
          <w:sz w:val="20"/>
          <w:szCs w:val="20"/>
        </w:rPr>
        <w:t xml:space="preserve">pravilnega </w:t>
      </w:r>
      <w:r w:rsidRPr="002F30DF">
        <w:rPr>
          <w:sz w:val="20"/>
          <w:szCs w:val="20"/>
        </w:rPr>
        <w:t>opravljanja njegovih nalog, razen če ne izpolnjuje več pogojev, ki se zahtevajo za opravljanje njegovih nalog ali če je storil hujšo kršitev</w:t>
      </w:r>
      <w:r w:rsidR="00E10362" w:rsidRPr="002F30DF">
        <w:rPr>
          <w:sz w:val="20"/>
          <w:szCs w:val="20"/>
        </w:rPr>
        <w:t xml:space="preserve"> pogodbene obveznosti ali druge obveznosti iz delovnega razmerja</w:t>
      </w:r>
      <w:r w:rsidR="00080675" w:rsidRPr="002F30DF">
        <w:rPr>
          <w:sz w:val="20"/>
          <w:szCs w:val="20"/>
        </w:rPr>
        <w:t xml:space="preserve"> </w:t>
      </w:r>
      <w:r w:rsidR="00080675" w:rsidRPr="002F30DF">
        <w:rPr>
          <w:sz w:val="20"/>
          <w:szCs w:val="20"/>
          <w:u w:val="single"/>
        </w:rPr>
        <w:t>(peti odstavek)</w:t>
      </w:r>
      <w:r w:rsidRPr="002F30DF">
        <w:rPr>
          <w:sz w:val="20"/>
          <w:szCs w:val="20"/>
          <w:u w:val="single"/>
        </w:rPr>
        <w:t>.</w:t>
      </w:r>
      <w:r w:rsidRPr="002F30DF">
        <w:rPr>
          <w:sz w:val="20"/>
          <w:szCs w:val="20"/>
        </w:rPr>
        <w:t xml:space="preserve"> </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33. členu (seja senata)</w:t>
      </w:r>
    </w:p>
    <w:p w:rsidR="00AE0150" w:rsidRPr="002F30DF" w:rsidRDefault="00AE0150" w:rsidP="00AE0150">
      <w:pPr>
        <w:pStyle w:val="Navadensplet"/>
        <w:spacing w:after="0" w:line="260" w:lineRule="atLeast"/>
        <w:rPr>
          <w:rFonts w:ascii="Arial" w:hAnsi="Arial" w:cs="Arial"/>
          <w:color w:val="auto"/>
          <w:sz w:val="20"/>
          <w:szCs w:val="20"/>
        </w:rPr>
      </w:pPr>
    </w:p>
    <w:p w:rsidR="00AE0150" w:rsidRPr="002F30DF" w:rsidRDefault="00AE0150" w:rsidP="00AE0150">
      <w:pPr>
        <w:pStyle w:val="Navadensplet"/>
        <w:spacing w:after="0" w:line="260" w:lineRule="atLeast"/>
        <w:rPr>
          <w:rFonts w:ascii="Arial" w:hAnsi="Arial" w:cs="Arial"/>
          <w:color w:val="auto"/>
          <w:sz w:val="20"/>
          <w:szCs w:val="20"/>
        </w:rPr>
      </w:pPr>
      <w:r w:rsidRPr="002F30DF">
        <w:rPr>
          <w:rFonts w:ascii="Arial" w:hAnsi="Arial" w:cs="Arial"/>
          <w:color w:val="auto"/>
          <w:sz w:val="20"/>
          <w:szCs w:val="20"/>
        </w:rPr>
        <w:t xml:space="preserve">Senat sprejema odločitve po posvetovanju z glasovanjem na seji, ki ni javna. Sejo senata skliče predsednik senata na lastno pobudo ali na zahtevo direktorja. Direktor zahtevo za sklic senata obrazloži. Senat veljavno odloča, če je na seji navzoča večina članov senata, torej najmanj trije člani. Odločitev je veljavno sprejeta, </w:t>
      </w:r>
      <w:r w:rsidRPr="002F30DF">
        <w:rPr>
          <w:rFonts w:ascii="Arial" w:hAnsi="Arial" w:cs="Arial"/>
          <w:color w:val="auto"/>
          <w:sz w:val="20"/>
          <w:szCs w:val="20"/>
        </w:rPr>
        <w:lastRenderedPageBreak/>
        <w:t>če zanjo glasuje večina prisotnih članov senata. Predsednik senata vodi posvetovanje in glasovanje, ter glasuje zadnji. V primeru neodločenega izida glasovanja je odločilen glas predsednika senata</w:t>
      </w:r>
      <w:r w:rsidR="00C62DCC" w:rsidRPr="002F30DF">
        <w:rPr>
          <w:rFonts w:ascii="Arial" w:hAnsi="Arial" w:cs="Arial"/>
          <w:color w:val="auto"/>
          <w:sz w:val="20"/>
          <w:szCs w:val="20"/>
        </w:rPr>
        <w:t>.</w:t>
      </w:r>
    </w:p>
    <w:p w:rsidR="00AE0150" w:rsidRPr="002F30DF" w:rsidRDefault="00AE0150" w:rsidP="00AE0150">
      <w:pPr>
        <w:pStyle w:val="Navadensplet"/>
        <w:spacing w:after="0" w:line="260" w:lineRule="atLeast"/>
        <w:rPr>
          <w:rFonts w:ascii="Arial" w:hAnsi="Arial" w:cs="Arial"/>
          <w:color w:val="auto"/>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34. členu  (zapisnik o posvetovanju in glasovanju)</w:t>
      </w:r>
    </w:p>
    <w:p w:rsidR="00AE0150" w:rsidRPr="002F30DF" w:rsidRDefault="00AE0150" w:rsidP="00AE0150">
      <w:pPr>
        <w:spacing w:line="260" w:lineRule="atLeast"/>
        <w:rPr>
          <w:rFonts w:cs="Arial"/>
          <w:sz w:val="20"/>
          <w:szCs w:val="20"/>
        </w:rPr>
      </w:pPr>
    </w:p>
    <w:p w:rsidR="00AE0150" w:rsidRPr="002F30DF" w:rsidRDefault="00AE0150" w:rsidP="00AE0150">
      <w:pPr>
        <w:spacing w:line="260" w:lineRule="atLeast"/>
        <w:rPr>
          <w:rFonts w:cs="Arial"/>
          <w:sz w:val="20"/>
          <w:szCs w:val="20"/>
        </w:rPr>
      </w:pPr>
      <w:r w:rsidRPr="002F30DF">
        <w:rPr>
          <w:rFonts w:cs="Arial"/>
          <w:sz w:val="20"/>
          <w:szCs w:val="20"/>
        </w:rPr>
        <w:t>O posvetovanju in glasovanju se vodi zapisnik, ki ga podpišejo vsi člani senata in zapisnikar</w:t>
      </w:r>
      <w:r w:rsidR="00C62DCC" w:rsidRPr="002F30DF">
        <w:rPr>
          <w:rFonts w:cs="Arial"/>
          <w:sz w:val="20"/>
          <w:szCs w:val="20"/>
        </w:rPr>
        <w:t xml:space="preserve"> ter obsega potek glasovanja in sprejeti akt.</w:t>
      </w:r>
      <w:r w:rsidRPr="002F30DF">
        <w:rPr>
          <w:rFonts w:cs="Arial"/>
          <w:sz w:val="20"/>
          <w:szCs w:val="20"/>
        </w:rPr>
        <w:t xml:space="preserve"> Zapisnik se zapre v poseben ovitek. Vpogled v zapisnik je dovoljen le pristojnim sodiščem, ki odločajo o postopku sodnega varstva.</w:t>
      </w:r>
    </w:p>
    <w:p w:rsidR="00AE0150" w:rsidRPr="002F30DF" w:rsidRDefault="00AE0150" w:rsidP="00AE0150">
      <w:pPr>
        <w:spacing w:line="260" w:lineRule="atLeast"/>
        <w:rPr>
          <w:rFonts w:cs="Arial"/>
          <w:b/>
          <w:sz w:val="20"/>
          <w:szCs w:val="20"/>
        </w:rPr>
      </w:pPr>
    </w:p>
    <w:p w:rsidR="00AE0150" w:rsidRPr="002F30DF" w:rsidRDefault="00AE0150" w:rsidP="00AE0150">
      <w:pPr>
        <w:spacing w:line="260" w:lineRule="atLeast"/>
        <w:rPr>
          <w:rFonts w:cs="Arial"/>
          <w:b/>
          <w:sz w:val="20"/>
          <w:szCs w:val="20"/>
        </w:rPr>
      </w:pPr>
      <w:r w:rsidRPr="002F30DF">
        <w:rPr>
          <w:rFonts w:cs="Arial"/>
          <w:b/>
          <w:sz w:val="20"/>
          <w:szCs w:val="20"/>
        </w:rPr>
        <w:t>K 35. členu (odločanje v prekrškovnem postopku)</w:t>
      </w:r>
    </w:p>
    <w:p w:rsidR="00AE0150" w:rsidRPr="002F30DF" w:rsidRDefault="00AE0150" w:rsidP="00AE0150">
      <w:pPr>
        <w:spacing w:line="260" w:lineRule="atLeast"/>
        <w:rPr>
          <w:rFonts w:cs="Arial"/>
          <w:sz w:val="20"/>
          <w:szCs w:val="20"/>
        </w:rPr>
      </w:pPr>
    </w:p>
    <w:p w:rsidR="00814830" w:rsidRPr="002F30DF" w:rsidRDefault="004308B6" w:rsidP="00F31043">
      <w:pPr>
        <w:spacing w:line="260" w:lineRule="atLeast"/>
        <w:rPr>
          <w:rFonts w:cs="Arial"/>
          <w:sz w:val="20"/>
          <w:szCs w:val="20"/>
        </w:rPr>
      </w:pPr>
      <w:r w:rsidRPr="002F30DF">
        <w:rPr>
          <w:rFonts w:cs="Arial"/>
          <w:sz w:val="20"/>
          <w:szCs w:val="20"/>
        </w:rPr>
        <w:t xml:space="preserve">V </w:t>
      </w:r>
      <w:r w:rsidR="00814830" w:rsidRPr="002F30DF">
        <w:rPr>
          <w:rFonts w:cs="Arial"/>
          <w:sz w:val="20"/>
          <w:szCs w:val="20"/>
          <w:u w:val="single"/>
        </w:rPr>
        <w:t>prvem odstavku</w:t>
      </w:r>
      <w:r w:rsidR="00814830" w:rsidRPr="002F30DF">
        <w:rPr>
          <w:rFonts w:cs="Arial"/>
          <w:sz w:val="20"/>
          <w:szCs w:val="20"/>
        </w:rPr>
        <w:t xml:space="preserve"> </w:t>
      </w:r>
      <w:r w:rsidRPr="002F30DF">
        <w:rPr>
          <w:rFonts w:cs="Arial"/>
          <w:sz w:val="20"/>
          <w:szCs w:val="20"/>
        </w:rPr>
        <w:t xml:space="preserve">se </w:t>
      </w:r>
      <w:r w:rsidR="00814830" w:rsidRPr="002F30DF">
        <w:rPr>
          <w:rFonts w:cs="Arial"/>
          <w:sz w:val="20"/>
          <w:szCs w:val="20"/>
        </w:rPr>
        <w:t xml:space="preserve">določi, da o posamičnih zadevah v prekrškovnem postopku odloča senat </w:t>
      </w:r>
      <w:r w:rsidR="00814830" w:rsidRPr="002F30DF">
        <w:rPr>
          <w:rFonts w:cs="Arial"/>
          <w:sz w:val="20"/>
          <w:szCs w:val="20"/>
          <w:lang w:eastAsia="ar-SA"/>
        </w:rPr>
        <w:t>treh članov (v nadaljnjem besedilu: prekrškovni senat)</w:t>
      </w:r>
      <w:r w:rsidRPr="002F30DF">
        <w:rPr>
          <w:rFonts w:cs="Arial"/>
          <w:sz w:val="20"/>
          <w:szCs w:val="20"/>
          <w:lang w:eastAsia="ar-SA"/>
        </w:rPr>
        <w:t xml:space="preserve">, ki je sestavljen iz članov sveta in javnih uslužbencev, zaposlenih v agenciji. </w:t>
      </w:r>
      <w:r w:rsidR="00814830" w:rsidRPr="002F30DF">
        <w:rPr>
          <w:rFonts w:cs="Arial"/>
          <w:sz w:val="20"/>
          <w:szCs w:val="20"/>
          <w:lang w:eastAsia="ar-SA"/>
        </w:rPr>
        <w:t>Način imenovanja bo agencija določila v poslovniku agencije. Člani prekrškovnega senata morajo izpolnjevati pogoj</w:t>
      </w:r>
      <w:r w:rsidRPr="002F30DF">
        <w:rPr>
          <w:rFonts w:cs="Arial"/>
          <w:sz w:val="20"/>
          <w:szCs w:val="20"/>
          <w:lang w:eastAsia="ar-SA"/>
        </w:rPr>
        <w:t xml:space="preserve">e po zakonu, ki ureja prekrške. Eden izmed članov prekrškovnega senata je predsednik prekrškovnega senata, ki se določi na način, določen s poslovnikom agencije. </w:t>
      </w:r>
      <w:r w:rsidR="00814830" w:rsidRPr="002F30DF">
        <w:rPr>
          <w:rFonts w:cs="Arial"/>
          <w:sz w:val="20"/>
          <w:szCs w:val="20"/>
          <w:lang w:eastAsia="ar-SA"/>
        </w:rPr>
        <w:t xml:space="preserve"> </w:t>
      </w:r>
    </w:p>
    <w:p w:rsidR="00814830" w:rsidRPr="002F30DF" w:rsidRDefault="00814830" w:rsidP="00F31043">
      <w:pPr>
        <w:spacing w:line="260" w:lineRule="atLeast"/>
        <w:rPr>
          <w:rFonts w:cs="Arial"/>
          <w:sz w:val="20"/>
          <w:szCs w:val="20"/>
        </w:rPr>
      </w:pPr>
    </w:p>
    <w:p w:rsidR="004308B6" w:rsidRPr="002F30DF" w:rsidRDefault="004308B6" w:rsidP="00F31043">
      <w:pPr>
        <w:spacing w:line="260" w:lineRule="atLeast"/>
        <w:rPr>
          <w:rFonts w:cs="Arial"/>
          <w:sz w:val="20"/>
          <w:szCs w:val="20"/>
        </w:rPr>
      </w:pPr>
      <w:r w:rsidRPr="002F30DF">
        <w:rPr>
          <w:rFonts w:cs="Arial"/>
          <w:sz w:val="20"/>
          <w:szCs w:val="20"/>
        </w:rPr>
        <w:t>Predsednik prekrškovnega senata skliče sejo prekrškovnega senata, ki sprejema odločbe po posvetovanju z glasovanjem na seji, ki ni javna. Predsednik prekrškovnega senata vodi posvetovanje in glasovanje ter glasuje zadnji</w:t>
      </w:r>
      <w:r w:rsidR="00B37E45" w:rsidRPr="002F30DF">
        <w:rPr>
          <w:rFonts w:cs="Arial"/>
          <w:sz w:val="20"/>
          <w:szCs w:val="20"/>
        </w:rPr>
        <w:t xml:space="preserve"> </w:t>
      </w:r>
      <w:r w:rsidR="00B37E45" w:rsidRPr="002F30DF">
        <w:rPr>
          <w:rFonts w:cs="Arial"/>
          <w:sz w:val="20"/>
          <w:szCs w:val="20"/>
          <w:u w:val="single"/>
        </w:rPr>
        <w:t>(drugi odstavek).</w:t>
      </w:r>
      <w:r w:rsidRPr="002F30DF">
        <w:rPr>
          <w:rFonts w:cs="Arial"/>
          <w:sz w:val="20"/>
          <w:szCs w:val="20"/>
        </w:rPr>
        <w:t xml:space="preserve"> </w:t>
      </w:r>
    </w:p>
    <w:p w:rsidR="004308B6" w:rsidRPr="002F30DF" w:rsidRDefault="004308B6" w:rsidP="00F31043">
      <w:pPr>
        <w:spacing w:line="260" w:lineRule="atLeast"/>
        <w:rPr>
          <w:rFonts w:cs="Arial"/>
          <w:sz w:val="20"/>
          <w:szCs w:val="20"/>
        </w:rPr>
      </w:pPr>
    </w:p>
    <w:p w:rsidR="00893C48" w:rsidRPr="002F30DF" w:rsidRDefault="00814830" w:rsidP="00F31043">
      <w:pPr>
        <w:spacing w:line="260" w:lineRule="atLeast"/>
        <w:rPr>
          <w:rFonts w:cs="Arial"/>
          <w:sz w:val="20"/>
          <w:szCs w:val="20"/>
        </w:rPr>
      </w:pPr>
      <w:r w:rsidRPr="002F30DF">
        <w:rPr>
          <w:rFonts w:cs="Arial"/>
          <w:sz w:val="20"/>
          <w:szCs w:val="20"/>
        </w:rPr>
        <w:t xml:space="preserve">Postopek do izdaje odločbe bo, tako kot je to določal že ZPOmK-1, vodil javni uslužbenec, zaposlen v agenciji, ki ima pooblastilo </w:t>
      </w:r>
      <w:r w:rsidR="004308B6" w:rsidRPr="002F30DF">
        <w:rPr>
          <w:rFonts w:cs="Arial"/>
          <w:sz w:val="20"/>
          <w:szCs w:val="20"/>
        </w:rPr>
        <w:t>direktorja</w:t>
      </w:r>
      <w:r w:rsidRPr="002F30DF">
        <w:rPr>
          <w:rFonts w:cs="Arial"/>
          <w:sz w:val="20"/>
          <w:szCs w:val="20"/>
        </w:rPr>
        <w:t xml:space="preserve"> za vodenje postopka ter izpolnjuje pogoje po zakonu, ki ureja prekrške.</w:t>
      </w:r>
      <w:r w:rsidR="00893C48" w:rsidRPr="002F30DF">
        <w:rPr>
          <w:rFonts w:cs="Arial"/>
          <w:sz w:val="20"/>
          <w:szCs w:val="20"/>
        </w:rPr>
        <w:t xml:space="preserve"> Javni uslužbenec, ki je vodil postopek, predloži senatu za odločanje pisno poročilo in predlog odločbe. Odločitev je veljavno sprejeta, če zanjo glasuje večina članov prekrškovnega senata</w:t>
      </w:r>
      <w:r w:rsidR="00B37E45" w:rsidRPr="002F30DF">
        <w:rPr>
          <w:rFonts w:cs="Arial"/>
          <w:sz w:val="20"/>
          <w:szCs w:val="20"/>
        </w:rPr>
        <w:t xml:space="preserve"> </w:t>
      </w:r>
      <w:r w:rsidR="00B37E45" w:rsidRPr="002F30DF">
        <w:rPr>
          <w:rFonts w:cs="Arial"/>
          <w:sz w:val="20"/>
          <w:szCs w:val="20"/>
          <w:u w:val="single"/>
        </w:rPr>
        <w:t>(tretji odstavek</w:t>
      </w:r>
      <w:r w:rsidR="00B37E45" w:rsidRPr="002F30DF">
        <w:rPr>
          <w:rFonts w:cs="Arial"/>
          <w:sz w:val="20"/>
          <w:szCs w:val="20"/>
        </w:rPr>
        <w:t>)</w:t>
      </w:r>
      <w:r w:rsidR="00893C48" w:rsidRPr="002F30DF">
        <w:rPr>
          <w:rFonts w:cs="Arial"/>
          <w:sz w:val="20"/>
          <w:szCs w:val="20"/>
        </w:rPr>
        <w:t>.</w:t>
      </w:r>
    </w:p>
    <w:p w:rsidR="00BC6999" w:rsidRPr="002F30DF" w:rsidRDefault="00BC6999" w:rsidP="00F31043">
      <w:pPr>
        <w:spacing w:line="260" w:lineRule="atLeast"/>
        <w:rPr>
          <w:rFonts w:cs="Arial"/>
          <w:sz w:val="20"/>
          <w:szCs w:val="20"/>
        </w:rPr>
      </w:pPr>
    </w:p>
    <w:p w:rsidR="00893C48" w:rsidRPr="002F30DF" w:rsidRDefault="00941617" w:rsidP="00F31043">
      <w:pPr>
        <w:spacing w:line="260" w:lineRule="atLeast"/>
        <w:rPr>
          <w:rFonts w:cs="Arial"/>
          <w:sz w:val="20"/>
          <w:szCs w:val="20"/>
        </w:rPr>
      </w:pPr>
      <w:r w:rsidRPr="002F30DF">
        <w:rPr>
          <w:rFonts w:cs="Arial"/>
          <w:sz w:val="20"/>
          <w:szCs w:val="20"/>
        </w:rPr>
        <w:t xml:space="preserve">Tako kot za javne uslužbence, ki sodelujejo v upravnih postopkih, se določa tudi omejitev odpovednih razlogov za javne uslužbence, ki bodo odločali ali vodili postopke v prekrškovnih postopkih. </w:t>
      </w:r>
      <w:r w:rsidR="00BC6999" w:rsidRPr="002F30DF">
        <w:rPr>
          <w:rFonts w:cs="Arial"/>
          <w:sz w:val="20"/>
          <w:szCs w:val="20"/>
        </w:rPr>
        <w:t xml:space="preserve">V </w:t>
      </w:r>
      <w:r w:rsidR="00BC6999" w:rsidRPr="002F30DF">
        <w:rPr>
          <w:rFonts w:cs="Arial"/>
          <w:sz w:val="20"/>
          <w:szCs w:val="20"/>
          <w:u w:val="single"/>
        </w:rPr>
        <w:t>četrtem odstavku</w:t>
      </w:r>
      <w:r w:rsidR="00BC6999" w:rsidRPr="002F30DF">
        <w:rPr>
          <w:rFonts w:cs="Arial"/>
          <w:sz w:val="20"/>
          <w:szCs w:val="20"/>
        </w:rPr>
        <w:t xml:space="preserve"> je določeno,</w:t>
      </w:r>
      <w:r w:rsidR="005B58E9" w:rsidRPr="002F30DF">
        <w:rPr>
          <w:rFonts w:cs="Arial"/>
          <w:sz w:val="20"/>
          <w:szCs w:val="20"/>
        </w:rPr>
        <w:t xml:space="preserve"> da se javnemu uslužbencu, zaposlenemu v agenciji, ki vodi postopek do izdaje odločbe ali opravlja naloge v senatu, se ne sme odpovedati pogodbe o zaposlitvi zaradi pravilnega </w:t>
      </w:r>
      <w:r w:rsidR="005B58E9" w:rsidRPr="002F30DF">
        <w:rPr>
          <w:rFonts w:cs="Arial"/>
          <w:sz w:val="20"/>
          <w:szCs w:val="20"/>
        </w:rPr>
        <w:lastRenderedPageBreak/>
        <w:t>opravljanja njegovih nalog.  V</w:t>
      </w:r>
      <w:r w:rsidR="005B58E9" w:rsidRPr="002F30DF">
        <w:rPr>
          <w:rFonts w:cs="Arial"/>
          <w:sz w:val="20"/>
          <w:szCs w:val="20"/>
          <w:u w:val="single"/>
        </w:rPr>
        <w:t xml:space="preserve"> petem odstavku </w:t>
      </w:r>
      <w:r w:rsidR="005B58E9" w:rsidRPr="002F30DF">
        <w:rPr>
          <w:rFonts w:cs="Arial"/>
          <w:sz w:val="20"/>
          <w:szCs w:val="20"/>
        </w:rPr>
        <w:t xml:space="preserve">pa, </w:t>
      </w:r>
      <w:r w:rsidR="00BC6999" w:rsidRPr="002F30DF">
        <w:rPr>
          <w:rFonts w:cs="Arial"/>
          <w:sz w:val="20"/>
          <w:szCs w:val="20"/>
        </w:rPr>
        <w:t xml:space="preserve">da se javnemu uslužbencu, </w:t>
      </w:r>
      <w:r w:rsidR="006809D3" w:rsidRPr="002F30DF">
        <w:rPr>
          <w:rFonts w:cs="Arial"/>
          <w:sz w:val="20"/>
          <w:szCs w:val="20"/>
        </w:rPr>
        <w:t>zaposlenemu v agenciji, ki vodi postopek do izdaje odločbe ali opravlja naloge v senatu se odpove pogodba o zaposlitvi, če ne izpolnjuje več pogojev, ki se zahtevajo za opravljanje njegovih nalog ali če je storil hujšo kršitev pogodbene obveznosti ali druge obveznosti iz delovnega razmerja.</w:t>
      </w:r>
    </w:p>
    <w:p w:rsidR="00893C48" w:rsidRPr="002F30DF" w:rsidRDefault="00893C48" w:rsidP="00F31043">
      <w:pPr>
        <w:spacing w:line="260" w:lineRule="atLeast"/>
        <w:rPr>
          <w:rFonts w:cs="Arial"/>
          <w:sz w:val="20"/>
          <w:szCs w:val="20"/>
        </w:rPr>
      </w:pPr>
      <w:r w:rsidRPr="002F30DF">
        <w:rPr>
          <w:rFonts w:cs="Arial"/>
          <w:sz w:val="20"/>
          <w:szCs w:val="20"/>
        </w:rPr>
        <w:t xml:space="preserve">Za odločanje v prekrškovnem postopku se uporabljajo določbe o nezdružljivosti funkcij </w:t>
      </w:r>
      <w:r w:rsidR="00DC397E" w:rsidRPr="002F30DF">
        <w:rPr>
          <w:rFonts w:cs="Arial"/>
          <w:sz w:val="20"/>
          <w:szCs w:val="20"/>
        </w:rPr>
        <w:t>in razbremenitvi za škodo pri opravljanju dejanj v postopku</w:t>
      </w:r>
      <w:r w:rsidR="00FA6C79" w:rsidRPr="002F30DF">
        <w:rPr>
          <w:rFonts w:cs="Arial"/>
          <w:sz w:val="20"/>
          <w:szCs w:val="20"/>
        </w:rPr>
        <w:t xml:space="preserve"> </w:t>
      </w:r>
      <w:r w:rsidRPr="002F30DF">
        <w:rPr>
          <w:rFonts w:cs="Arial"/>
          <w:sz w:val="20"/>
          <w:szCs w:val="20"/>
        </w:rPr>
        <w:t>(drugi</w:t>
      </w:r>
      <w:r w:rsidR="00DC397E" w:rsidRPr="002F30DF">
        <w:rPr>
          <w:rFonts w:cs="Arial"/>
          <w:sz w:val="20"/>
          <w:szCs w:val="20"/>
        </w:rPr>
        <w:t xml:space="preserve"> in tretji</w:t>
      </w:r>
      <w:r w:rsidRPr="002F30DF">
        <w:rPr>
          <w:rFonts w:cs="Arial"/>
          <w:sz w:val="20"/>
          <w:szCs w:val="20"/>
        </w:rPr>
        <w:t xml:space="preserve"> odstavek 31. člena tega zakona) in sestavi zapisnika o posvetovanju in glasovanju (34. člen tega zakona).</w:t>
      </w:r>
    </w:p>
    <w:p w:rsidR="00AD11E5" w:rsidRPr="002F30DF" w:rsidRDefault="00AD11E5" w:rsidP="00AD11E5">
      <w:pPr>
        <w:pStyle w:val="Odstavek"/>
        <w:spacing w:before="0" w:line="260" w:lineRule="atLeast"/>
        <w:ind w:firstLine="0"/>
        <w:rPr>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36</w:t>
      </w:r>
      <w:r w:rsidRPr="002F30DF">
        <w:rPr>
          <w:rFonts w:cs="Arial"/>
          <w:b/>
          <w:sz w:val="20"/>
          <w:szCs w:val="20"/>
        </w:rPr>
        <w:t>. členu (dolžnost varovanja zaupnih podatkov)</w:t>
      </w:r>
    </w:p>
    <w:p w:rsidR="00893C48" w:rsidRPr="002F30DF" w:rsidRDefault="00893C48" w:rsidP="0025166A">
      <w:pPr>
        <w:spacing w:line="260" w:lineRule="atLeast"/>
        <w:rPr>
          <w:rFonts w:cs="Arial"/>
          <w:sz w:val="20"/>
          <w:szCs w:val="20"/>
        </w:rPr>
      </w:pPr>
    </w:p>
    <w:p w:rsidR="007522E3" w:rsidRPr="002F30DF" w:rsidRDefault="00893C48" w:rsidP="0025166A">
      <w:pPr>
        <w:spacing w:line="260" w:lineRule="atLeast"/>
        <w:rPr>
          <w:rFonts w:cs="Arial"/>
          <w:sz w:val="20"/>
          <w:szCs w:val="20"/>
        </w:rPr>
      </w:pPr>
      <w:r w:rsidRPr="002F30DF">
        <w:rPr>
          <w:rFonts w:cs="Arial"/>
          <w:sz w:val="20"/>
          <w:szCs w:val="20"/>
        </w:rPr>
        <w:t>J</w:t>
      </w:r>
      <w:r w:rsidR="007522E3" w:rsidRPr="002F30DF">
        <w:rPr>
          <w:rFonts w:cs="Arial"/>
          <w:sz w:val="20"/>
          <w:szCs w:val="20"/>
        </w:rPr>
        <w:t>avni uslužbenci</w:t>
      </w:r>
      <w:r w:rsidRPr="002F30DF">
        <w:rPr>
          <w:rFonts w:cs="Arial"/>
          <w:sz w:val="20"/>
          <w:szCs w:val="20"/>
        </w:rPr>
        <w:t xml:space="preserve"> agencije</w:t>
      </w:r>
      <w:r w:rsidR="007522E3" w:rsidRPr="002F30DF">
        <w:rPr>
          <w:rFonts w:cs="Arial"/>
          <w:sz w:val="20"/>
          <w:szCs w:val="20"/>
        </w:rPr>
        <w:t xml:space="preserve">, zaposleni v </w:t>
      </w:r>
      <w:r w:rsidR="00970444"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iji, osebe, ki so imenovane v organe </w:t>
      </w:r>
      <w:r w:rsidR="00970444" w:rsidRPr="002F30DF">
        <w:rPr>
          <w:rFonts w:cs="Arial"/>
          <w:sz w:val="20"/>
          <w:szCs w:val="20"/>
        </w:rPr>
        <w:t>a</w:t>
      </w:r>
      <w:r w:rsidR="0045309B" w:rsidRPr="002F30DF">
        <w:rPr>
          <w:rFonts w:cs="Arial"/>
          <w:sz w:val="20"/>
          <w:szCs w:val="20"/>
        </w:rPr>
        <w:t>genc</w:t>
      </w:r>
      <w:r w:rsidR="00E464C5" w:rsidRPr="002F30DF">
        <w:rPr>
          <w:rFonts w:cs="Arial"/>
          <w:sz w:val="20"/>
          <w:szCs w:val="20"/>
        </w:rPr>
        <w:t>ije in osebe, ki sodelujejo z</w:t>
      </w:r>
      <w:r w:rsidR="007522E3" w:rsidRPr="002F30DF">
        <w:rPr>
          <w:rFonts w:cs="Arial"/>
          <w:sz w:val="20"/>
          <w:szCs w:val="20"/>
        </w:rPr>
        <w:t xml:space="preserve"> </w:t>
      </w:r>
      <w:r w:rsidR="00970444"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ijo pri izvajanju nalog, se pri izvajanju nalog srečujejo z zaupnimi podatki. </w:t>
      </w:r>
      <w:r w:rsidR="00827ED1" w:rsidRPr="002F30DF">
        <w:rPr>
          <w:rFonts w:cs="Arial"/>
          <w:sz w:val="20"/>
          <w:szCs w:val="20"/>
        </w:rPr>
        <w:t xml:space="preserve">Skladno s </w:t>
      </w:r>
      <w:r w:rsidR="00B43818" w:rsidRPr="002F30DF">
        <w:rPr>
          <w:rFonts w:cs="Arial"/>
          <w:sz w:val="20"/>
          <w:szCs w:val="20"/>
        </w:rPr>
        <w:t>17</w:t>
      </w:r>
      <w:r w:rsidR="00827ED1" w:rsidRPr="002F30DF">
        <w:rPr>
          <w:rFonts w:cs="Arial"/>
          <w:sz w:val="20"/>
          <w:szCs w:val="20"/>
        </w:rPr>
        <w:t xml:space="preserve">. točko prvega odstavka 3. člena tega zakona so zaupni podatki </w:t>
      </w:r>
      <w:r w:rsidR="004B56A8" w:rsidRPr="002F30DF">
        <w:rPr>
          <w:rFonts w:cs="Arial"/>
          <w:sz w:val="20"/>
          <w:szCs w:val="20"/>
        </w:rPr>
        <w:t>poslovn</w:t>
      </w:r>
      <w:r w:rsidR="00970444" w:rsidRPr="002F30DF">
        <w:rPr>
          <w:rFonts w:cs="Arial"/>
          <w:sz w:val="20"/>
          <w:szCs w:val="20"/>
        </w:rPr>
        <w:t>e</w:t>
      </w:r>
      <w:r w:rsidR="00827ED1" w:rsidRPr="002F30DF">
        <w:rPr>
          <w:rFonts w:cs="Arial"/>
          <w:sz w:val="20"/>
          <w:szCs w:val="20"/>
        </w:rPr>
        <w:t xml:space="preserve"> skrivnost</w:t>
      </w:r>
      <w:r w:rsidR="00970444" w:rsidRPr="002F30DF">
        <w:rPr>
          <w:rFonts w:cs="Arial"/>
          <w:sz w:val="20"/>
          <w:szCs w:val="20"/>
        </w:rPr>
        <w:t>i</w:t>
      </w:r>
      <w:r w:rsidR="00827ED1" w:rsidRPr="002F30DF">
        <w:rPr>
          <w:rFonts w:cs="Arial"/>
          <w:sz w:val="20"/>
          <w:szCs w:val="20"/>
        </w:rPr>
        <w:t xml:space="preserve"> ter osebni podatki in vsi drugi podatki, za katere so s tem zakonom ali drugimi predpisi določeni posebni režimi njihovega varstva in posebni pogoji za dostop do njih, sem pa ne spadajo podatki, ki so javno dostopni. </w:t>
      </w:r>
      <w:r w:rsidR="00970444" w:rsidRPr="002F30DF">
        <w:rPr>
          <w:rFonts w:cs="Arial"/>
          <w:sz w:val="20"/>
          <w:szCs w:val="20"/>
        </w:rPr>
        <w:t xml:space="preserve">Poslovne skrivnosti se nanašajo na podatke in poslovno korespondenco, ki se nanaša na gospodarsko dejavnost podjetja, če je z njimi seznanjeno omejeno število ljudi, če njihovo razkritje resno škodi osebi, ki jih da na voljo, ali tretjim in če so interesi, ki so z razkritem podatkov lahko prizadeti, objektivno vredni zaščite. </w:t>
      </w:r>
      <w:r w:rsidR="007522E3" w:rsidRPr="002F30DF">
        <w:rPr>
          <w:rFonts w:cs="Arial"/>
          <w:sz w:val="20"/>
          <w:szCs w:val="20"/>
        </w:rPr>
        <w:t xml:space="preserve">Ker bi razkritje zaupnih podatkov lahko povzročilo veliko škode podjetjem ali drugim osebam, na katere se zaupni podatki nanašajo, se v </w:t>
      </w:r>
      <w:r w:rsidR="007522E3" w:rsidRPr="002F30DF">
        <w:rPr>
          <w:rFonts w:cs="Arial"/>
          <w:sz w:val="20"/>
          <w:szCs w:val="20"/>
          <w:u w:val="single"/>
        </w:rPr>
        <w:t>prvem odstavku</w:t>
      </w:r>
      <w:r w:rsidR="007522E3" w:rsidRPr="002F30DF">
        <w:rPr>
          <w:rFonts w:cs="Arial"/>
          <w:sz w:val="20"/>
          <w:szCs w:val="20"/>
        </w:rPr>
        <w:t xml:space="preserve"> določi obveznost varovanja teh podatkov. </w:t>
      </w:r>
    </w:p>
    <w:p w:rsidR="007522E3" w:rsidRPr="002F30DF" w:rsidRDefault="007522E3" w:rsidP="0025166A">
      <w:pPr>
        <w:spacing w:line="260" w:lineRule="atLeast"/>
        <w:rPr>
          <w:rFonts w:cs="Arial"/>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rPr>
        <w:t>V skladu s prvim odstavkom 9. člena Zakon</w:t>
      </w:r>
      <w:r w:rsidR="006F4460" w:rsidRPr="002F30DF">
        <w:rPr>
          <w:rFonts w:cs="Arial"/>
          <w:sz w:val="20"/>
          <w:szCs w:val="20"/>
        </w:rPr>
        <w:t>a</w:t>
      </w:r>
      <w:r w:rsidRPr="002F30DF">
        <w:rPr>
          <w:rFonts w:cs="Arial"/>
          <w:sz w:val="20"/>
          <w:szCs w:val="20"/>
        </w:rPr>
        <w:t xml:space="preserve"> o varstvu osebnih podatkov (Uradni list RS, št. </w:t>
      </w:r>
      <w:hyperlink r:id="rId94" w:tgtFrame="_blank" w:tooltip="Zakon o varstvu osebnih podatkov (uradno prečiščeno besedilo)" w:history="1">
        <w:r w:rsidRPr="002F30DF">
          <w:rPr>
            <w:rFonts w:cs="Arial"/>
            <w:sz w:val="20"/>
            <w:szCs w:val="20"/>
          </w:rPr>
          <w:t>94/07</w:t>
        </w:r>
      </w:hyperlink>
      <w:r w:rsidRPr="002F30DF">
        <w:rPr>
          <w:rFonts w:cs="Arial"/>
          <w:sz w:val="20"/>
          <w:szCs w:val="20"/>
        </w:rPr>
        <w:t xml:space="preserve"> – uradno prečiščeno besedilo</w:t>
      </w:r>
      <w:r w:rsidR="00EE34EE" w:rsidRPr="002F30DF">
        <w:rPr>
          <w:rFonts w:cs="Arial"/>
          <w:sz w:val="20"/>
          <w:szCs w:val="20"/>
        </w:rPr>
        <w:t xml:space="preserve"> in 177/20</w:t>
      </w:r>
      <w:r w:rsidRPr="002F30DF">
        <w:rPr>
          <w:rFonts w:cs="Arial"/>
          <w:sz w:val="20"/>
          <w:szCs w:val="20"/>
        </w:rPr>
        <w:t xml:space="preserve">), ki določa, da se lahko osebni podatki v javnem sektorju obdelujejo, če obdelavo osebnih podatkov in osebne podatke, ki se obdelujejo, določa zakon, se v </w:t>
      </w:r>
      <w:r w:rsidRPr="002F30DF">
        <w:rPr>
          <w:rFonts w:cs="Arial"/>
          <w:sz w:val="20"/>
          <w:szCs w:val="20"/>
          <w:u w:val="single"/>
        </w:rPr>
        <w:t>drugem odstavku</w:t>
      </w:r>
      <w:r w:rsidRPr="002F30DF">
        <w:rPr>
          <w:rFonts w:cs="Arial"/>
          <w:sz w:val="20"/>
          <w:szCs w:val="20"/>
        </w:rPr>
        <w:t xml:space="preserve"> ureja pravna podlaga za obdelavo osebnih podatkov. Na podlagi drugega odstavka bodo javni uslužbenci </w:t>
      </w:r>
      <w:r w:rsidR="008065C9" w:rsidRPr="002F30DF">
        <w:rPr>
          <w:rFonts w:cs="Arial"/>
          <w:sz w:val="20"/>
          <w:szCs w:val="20"/>
        </w:rPr>
        <w:t>a</w:t>
      </w:r>
      <w:r w:rsidR="0045309B" w:rsidRPr="002F30DF">
        <w:rPr>
          <w:rFonts w:cs="Arial"/>
          <w:sz w:val="20"/>
          <w:szCs w:val="20"/>
        </w:rPr>
        <w:t>genc</w:t>
      </w:r>
      <w:r w:rsidRPr="002F30DF">
        <w:rPr>
          <w:rFonts w:cs="Arial"/>
          <w:sz w:val="20"/>
          <w:szCs w:val="20"/>
        </w:rPr>
        <w:t xml:space="preserve">ije, osebe, ki so imenovane v organe </w:t>
      </w:r>
      <w:r w:rsidR="008065C9" w:rsidRPr="002F30DF">
        <w:rPr>
          <w:rFonts w:cs="Arial"/>
          <w:sz w:val="20"/>
          <w:szCs w:val="20"/>
        </w:rPr>
        <w:t>a</w:t>
      </w:r>
      <w:r w:rsidR="0045309B" w:rsidRPr="002F30DF">
        <w:rPr>
          <w:rFonts w:cs="Arial"/>
          <w:sz w:val="20"/>
          <w:szCs w:val="20"/>
        </w:rPr>
        <w:t>genc</w:t>
      </w:r>
      <w:r w:rsidR="00E464C5" w:rsidRPr="002F30DF">
        <w:rPr>
          <w:rFonts w:cs="Arial"/>
          <w:sz w:val="20"/>
          <w:szCs w:val="20"/>
        </w:rPr>
        <w:t>ije in osebe, ki sodelujejo z</w:t>
      </w:r>
      <w:r w:rsidRPr="002F30DF">
        <w:rPr>
          <w:rFonts w:cs="Arial"/>
          <w:sz w:val="20"/>
          <w:szCs w:val="20"/>
        </w:rPr>
        <w:t xml:space="preserve"> </w:t>
      </w:r>
      <w:r w:rsidR="008065C9" w:rsidRPr="002F30DF">
        <w:rPr>
          <w:rFonts w:cs="Arial"/>
          <w:sz w:val="20"/>
          <w:szCs w:val="20"/>
        </w:rPr>
        <w:t>a</w:t>
      </w:r>
      <w:r w:rsidR="0045309B" w:rsidRPr="002F30DF">
        <w:rPr>
          <w:rFonts w:cs="Arial"/>
          <w:sz w:val="20"/>
          <w:szCs w:val="20"/>
        </w:rPr>
        <w:t>genc</w:t>
      </w:r>
      <w:r w:rsidRPr="002F30DF">
        <w:rPr>
          <w:rFonts w:cs="Arial"/>
          <w:sz w:val="20"/>
          <w:szCs w:val="20"/>
        </w:rPr>
        <w:t xml:space="preserve">ijo pri izvajanju nalog, lahko obdelovale osebne podatke oziroma zbirke osebnih podatkov. Pojem obdelave osebnih podatkov skladno z Zakonom o varstvu osebnih podatkov pomeni kakršnokoli delovanje ali niz delovanj, ki se izvaja v zvezi z osebnimi podatki, ki so avtomatizirano obdelani ali ki so pri ročni obdelavi del zbirke osebnih podatkov ali so namenjeni vključitvi v zbirko osebnih podatkov, zlasti zbiranje, pridobivanje, vpis, urejanje, shranjevanje, </w:t>
      </w:r>
      <w:r w:rsidRPr="002F30DF">
        <w:rPr>
          <w:rFonts w:cs="Arial"/>
          <w:sz w:val="20"/>
          <w:szCs w:val="20"/>
        </w:rPr>
        <w:lastRenderedPageBreak/>
        <w:t>prilagajanje ali spreminjanje, priklicanje, vpogled, uporaba, razkritje s prenosom, sporočanje, širjenje ali drugo dajanje na razpolago, razvrstitev ali povezovanje, blokiranje, anonimiziranje, izbris ali uničenje; obdelava je lahko ročna ali avtomatizirana (sredstva obdelave).</w:t>
      </w:r>
    </w:p>
    <w:p w:rsidR="007522E3" w:rsidRPr="002F30DF" w:rsidRDefault="007522E3" w:rsidP="0025166A">
      <w:pPr>
        <w:spacing w:line="260" w:lineRule="atLeast"/>
        <w:rPr>
          <w:rFonts w:cs="Arial"/>
          <w:sz w:val="20"/>
          <w:szCs w:val="20"/>
        </w:rPr>
      </w:pPr>
    </w:p>
    <w:p w:rsidR="007522E3" w:rsidRPr="002F30DF" w:rsidRDefault="006F4460" w:rsidP="0025166A">
      <w:pPr>
        <w:spacing w:line="260" w:lineRule="atLeast"/>
        <w:rPr>
          <w:rFonts w:cs="Arial"/>
          <w:sz w:val="20"/>
          <w:szCs w:val="20"/>
        </w:rPr>
      </w:pPr>
      <w:r w:rsidRPr="002F30DF">
        <w:rPr>
          <w:rFonts w:cs="Arial"/>
          <w:sz w:val="20"/>
          <w:szCs w:val="20"/>
        </w:rPr>
        <w:t>S</w:t>
      </w:r>
      <w:r w:rsidR="007522E3" w:rsidRPr="002F30DF">
        <w:rPr>
          <w:rFonts w:cs="Arial"/>
          <w:sz w:val="20"/>
          <w:szCs w:val="20"/>
        </w:rPr>
        <w:t xml:space="preserve"> </w:t>
      </w:r>
      <w:r w:rsidR="007522E3" w:rsidRPr="002F30DF">
        <w:rPr>
          <w:rFonts w:cs="Arial"/>
          <w:sz w:val="20"/>
          <w:szCs w:val="20"/>
          <w:u w:val="single"/>
        </w:rPr>
        <w:t>tretj</w:t>
      </w:r>
      <w:r w:rsidRPr="002F30DF">
        <w:rPr>
          <w:rFonts w:cs="Arial"/>
          <w:sz w:val="20"/>
          <w:szCs w:val="20"/>
          <w:u w:val="single"/>
        </w:rPr>
        <w:t>im</w:t>
      </w:r>
      <w:r w:rsidR="007522E3" w:rsidRPr="002F30DF">
        <w:rPr>
          <w:rFonts w:cs="Arial"/>
          <w:sz w:val="20"/>
          <w:szCs w:val="20"/>
          <w:u w:val="single"/>
        </w:rPr>
        <w:t xml:space="preserve"> odstavk</w:t>
      </w:r>
      <w:r w:rsidRPr="002F30DF">
        <w:rPr>
          <w:rFonts w:cs="Arial"/>
          <w:sz w:val="20"/>
          <w:szCs w:val="20"/>
          <w:u w:val="single"/>
        </w:rPr>
        <w:t>om</w:t>
      </w:r>
      <w:r w:rsidRPr="002F30DF">
        <w:rPr>
          <w:rFonts w:cs="Arial"/>
          <w:sz w:val="20"/>
          <w:szCs w:val="20"/>
        </w:rPr>
        <w:t xml:space="preserve"> s</w:t>
      </w:r>
      <w:r w:rsidR="007522E3" w:rsidRPr="002F30DF">
        <w:rPr>
          <w:rFonts w:cs="Arial"/>
          <w:sz w:val="20"/>
          <w:szCs w:val="20"/>
        </w:rPr>
        <w:t>e obdelava teh podatkov omej</w:t>
      </w:r>
      <w:r w:rsidRPr="002F30DF">
        <w:rPr>
          <w:rFonts w:cs="Arial"/>
          <w:sz w:val="20"/>
          <w:szCs w:val="20"/>
        </w:rPr>
        <w:t>uje</w:t>
      </w:r>
      <w:r w:rsidR="007522E3" w:rsidRPr="002F30DF">
        <w:rPr>
          <w:rFonts w:cs="Arial"/>
          <w:sz w:val="20"/>
          <w:szCs w:val="20"/>
        </w:rPr>
        <w:t xml:space="preserve"> na namene, ki jih določa ta zakon.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tem členom se v naš pravni sistem prenaša drugi odstavek 31. člena Direktive 2019/1, ki </w:t>
      </w:r>
      <w:r w:rsidRPr="002F30DF">
        <w:rPr>
          <w:rFonts w:cs="Arial"/>
          <w:i/>
          <w:sz w:val="20"/>
          <w:szCs w:val="20"/>
        </w:rPr>
        <w:t>državam članicam nalaga, da zagotovijo, da nacionalni organi, pristojni za varstvo konkurenco, njihovi uradniki, uslužbenci in druge osebe, ki delajo pod nadzorom teh organov, ne razkrijejo informacij, ki jih pridobijo na podlagi pooblastil iz te direktive in za katere velja obveznost poklicne molčečnosti, razen če tako razkritje dovoljuje nacionalno pravo.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37</w:t>
      </w:r>
      <w:r w:rsidRPr="002F30DF">
        <w:rPr>
          <w:rFonts w:cs="Arial"/>
          <w:b/>
          <w:sz w:val="20"/>
          <w:szCs w:val="20"/>
        </w:rPr>
        <w:t>. členu (razkritje podatkov)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Sodelovanje med organi je pomembno</w:t>
      </w:r>
      <w:r w:rsidR="004B56A8" w:rsidRPr="002F30DF">
        <w:rPr>
          <w:rFonts w:cs="Arial"/>
          <w:sz w:val="20"/>
          <w:szCs w:val="20"/>
        </w:rPr>
        <w:t>,</w:t>
      </w:r>
      <w:r w:rsidRPr="002F30DF">
        <w:rPr>
          <w:rFonts w:cs="Arial"/>
          <w:sz w:val="20"/>
          <w:szCs w:val="20"/>
        </w:rPr>
        <w:t xml:space="preserve"> zato se v </w:t>
      </w:r>
      <w:r w:rsidR="00EA15E0" w:rsidRPr="002F30DF">
        <w:rPr>
          <w:rFonts w:cs="Arial"/>
          <w:sz w:val="20"/>
          <w:szCs w:val="20"/>
        </w:rPr>
        <w:t>tem členu</w:t>
      </w:r>
      <w:r w:rsidRPr="002F30DF">
        <w:rPr>
          <w:rFonts w:cs="Arial"/>
          <w:sz w:val="20"/>
          <w:szCs w:val="20"/>
        </w:rPr>
        <w:t xml:space="preserve"> urejajo nekatera pravila glede razkritja podatkov do katerih pride </w:t>
      </w:r>
      <w:r w:rsidR="00D111EB" w:rsidRPr="002F30DF">
        <w:rPr>
          <w:rFonts w:cs="Arial"/>
          <w:sz w:val="20"/>
          <w:szCs w:val="20"/>
        </w:rPr>
        <w:t>a</w:t>
      </w:r>
      <w:r w:rsidR="0045309B" w:rsidRPr="002F30DF">
        <w:rPr>
          <w:rFonts w:cs="Arial"/>
          <w:sz w:val="20"/>
          <w:szCs w:val="20"/>
        </w:rPr>
        <w:t>genc</w:t>
      </w:r>
      <w:r w:rsidRPr="002F30DF">
        <w:rPr>
          <w:rFonts w:cs="Arial"/>
          <w:sz w:val="20"/>
          <w:szCs w:val="20"/>
        </w:rPr>
        <w:t xml:space="preserve">ija pri izvajanju svojih pooblastil. </w:t>
      </w:r>
      <w:r w:rsidR="00EA15E0" w:rsidRPr="002F30DF">
        <w:rPr>
          <w:rFonts w:cs="Arial"/>
          <w:sz w:val="20"/>
          <w:szCs w:val="20"/>
        </w:rPr>
        <w:t xml:space="preserve">V </w:t>
      </w:r>
      <w:r w:rsidR="00EA15E0" w:rsidRPr="002F30DF">
        <w:rPr>
          <w:rFonts w:cs="Arial"/>
          <w:sz w:val="20"/>
          <w:szCs w:val="20"/>
          <w:u w:val="single"/>
        </w:rPr>
        <w:t>prvem odstavku</w:t>
      </w:r>
      <w:r w:rsidR="00EA15E0" w:rsidRPr="002F30DF">
        <w:rPr>
          <w:rFonts w:cs="Arial"/>
          <w:sz w:val="20"/>
          <w:szCs w:val="20"/>
        </w:rPr>
        <w:t xml:space="preserve"> je določeno, da lahko </w:t>
      </w:r>
      <w:r w:rsidR="00D111EB" w:rsidRPr="002F30DF">
        <w:rPr>
          <w:rFonts w:cs="Arial"/>
          <w:sz w:val="20"/>
          <w:szCs w:val="20"/>
        </w:rPr>
        <w:t>a</w:t>
      </w:r>
      <w:r w:rsidR="0045309B" w:rsidRPr="002F30DF">
        <w:rPr>
          <w:rFonts w:cs="Arial"/>
          <w:sz w:val="20"/>
          <w:szCs w:val="20"/>
        </w:rPr>
        <w:t>genc</w:t>
      </w:r>
      <w:r w:rsidRPr="002F30DF">
        <w:rPr>
          <w:rFonts w:cs="Arial"/>
          <w:sz w:val="20"/>
          <w:szCs w:val="20"/>
        </w:rPr>
        <w:t xml:space="preserve">ija pridobljene podatke razkrije upravnim organom, drugim državnim organom in nosilcem javnih pooblastil, vendar </w:t>
      </w:r>
      <w:r w:rsidR="00681F77" w:rsidRPr="002F30DF">
        <w:rPr>
          <w:rFonts w:cs="Arial"/>
          <w:sz w:val="20"/>
          <w:szCs w:val="20"/>
        </w:rPr>
        <w:t xml:space="preserve">le če za to organi zaprosijo z obrazloženim pisnim zahtevkom </w:t>
      </w:r>
      <w:r w:rsidR="00893C48" w:rsidRPr="002F30DF">
        <w:rPr>
          <w:rFonts w:cs="Arial"/>
          <w:sz w:val="20"/>
          <w:szCs w:val="20"/>
        </w:rPr>
        <w:t xml:space="preserve">predstojnika </w:t>
      </w:r>
      <w:r w:rsidR="00681F77" w:rsidRPr="002F30DF">
        <w:rPr>
          <w:rFonts w:cs="Arial"/>
          <w:sz w:val="20"/>
          <w:szCs w:val="20"/>
        </w:rPr>
        <w:t>ali z njegove strani pooblaščene osebe, iz katerega mora biti jasno razviden namen zahtevka</w:t>
      </w:r>
      <w:r w:rsidRPr="002F30DF">
        <w:rPr>
          <w:rFonts w:cs="Arial"/>
          <w:sz w:val="20"/>
          <w:szCs w:val="20"/>
        </w:rPr>
        <w:t>.</w:t>
      </w:r>
      <w:r w:rsidR="004D748A" w:rsidRPr="002F30DF">
        <w:rPr>
          <w:rFonts w:cs="Arial"/>
          <w:sz w:val="20"/>
          <w:szCs w:val="20"/>
        </w:rPr>
        <w:t xml:space="preserve"> </w:t>
      </w:r>
    </w:p>
    <w:p w:rsidR="007522E3" w:rsidRPr="002F30DF" w:rsidRDefault="007522E3" w:rsidP="0025166A">
      <w:pPr>
        <w:spacing w:line="260" w:lineRule="atLeast"/>
        <w:ind w:firstLine="1021"/>
        <w:rPr>
          <w:rFonts w:cs="Arial"/>
          <w:sz w:val="20"/>
          <w:szCs w:val="20"/>
        </w:rPr>
      </w:pPr>
    </w:p>
    <w:p w:rsidR="00893C48" w:rsidRPr="002F30DF" w:rsidRDefault="00893C48" w:rsidP="00F31043">
      <w:pPr>
        <w:spacing w:line="260" w:lineRule="atLeast"/>
        <w:rPr>
          <w:rFonts w:cs="Arial"/>
          <w:i/>
          <w:sz w:val="20"/>
          <w:szCs w:val="20"/>
        </w:rPr>
      </w:pPr>
      <w:r w:rsidRPr="002F30DF">
        <w:rPr>
          <w:rFonts w:cs="Arial"/>
          <w:sz w:val="20"/>
          <w:szCs w:val="20"/>
        </w:rPr>
        <w:t>Agencija razkrije podatke tudi Evropski komisiji in organom držav članic EU, pristojnim za varstvo konkurence, v skladu s postopkom iz Uredbe 1/2003/ES</w:t>
      </w:r>
      <w:r w:rsidR="00AF1A82" w:rsidRPr="002F30DF">
        <w:rPr>
          <w:rFonts w:cs="Arial"/>
          <w:sz w:val="20"/>
          <w:szCs w:val="20"/>
        </w:rPr>
        <w:t xml:space="preserve"> in pooblaščenim organom tujih držav, če je tako določeno v mednarodnih pogodbah, ki obvezujejo Republiko Slovenijo. S tem členom se v </w:t>
      </w:r>
      <w:r w:rsidR="00AC455F" w:rsidRPr="002F30DF">
        <w:rPr>
          <w:rFonts w:cs="Arial"/>
          <w:sz w:val="20"/>
          <w:szCs w:val="20"/>
          <w:u w:val="single"/>
        </w:rPr>
        <w:t>drugi odstavek</w:t>
      </w:r>
      <w:r w:rsidR="00AF1A82" w:rsidRPr="002F30DF">
        <w:rPr>
          <w:rFonts w:cs="Arial"/>
          <w:sz w:val="20"/>
          <w:szCs w:val="20"/>
          <w:u w:val="single"/>
        </w:rPr>
        <w:t xml:space="preserve"> </w:t>
      </w:r>
      <w:r w:rsidR="00AF1A82" w:rsidRPr="002F30DF">
        <w:rPr>
          <w:rFonts w:cs="Arial"/>
          <w:sz w:val="20"/>
          <w:szCs w:val="20"/>
        </w:rPr>
        <w:t>prenaša 24. člen Direktive 2019/1, ki državam članicam nalaga</w:t>
      </w:r>
      <w:r w:rsidR="00AC455F" w:rsidRPr="002F30DF">
        <w:rPr>
          <w:rFonts w:cs="Arial"/>
          <w:sz w:val="20"/>
          <w:szCs w:val="20"/>
        </w:rPr>
        <w:t xml:space="preserve"> sodelovanje </w:t>
      </w:r>
      <w:r w:rsidR="00AF1A82" w:rsidRPr="002F30DF">
        <w:rPr>
          <w:rFonts w:cs="Arial"/>
          <w:sz w:val="20"/>
          <w:szCs w:val="20"/>
        </w:rPr>
        <w:t xml:space="preserve">med nacionalnimi organi, pristojnimi za konkurenco, </w:t>
      </w:r>
      <w:r w:rsidR="00AC455F" w:rsidRPr="002F30DF">
        <w:rPr>
          <w:rFonts w:cs="Arial"/>
          <w:sz w:val="20"/>
          <w:szCs w:val="20"/>
        </w:rPr>
        <w:t xml:space="preserve">in sicer določa, </w:t>
      </w:r>
      <w:r w:rsidR="00AF1A82" w:rsidRPr="002F30DF">
        <w:rPr>
          <w:rFonts w:cs="Arial"/>
          <w:i/>
          <w:sz w:val="20"/>
          <w:szCs w:val="20"/>
        </w:rPr>
        <w:t>da</w:t>
      </w:r>
      <w:r w:rsidR="00AF1A82" w:rsidRPr="002F30DF">
        <w:rPr>
          <w:rFonts w:cs="Arial"/>
          <w:sz w:val="20"/>
          <w:szCs w:val="20"/>
        </w:rPr>
        <w:t xml:space="preserve"> </w:t>
      </w:r>
      <w:r w:rsidR="00AF1A82" w:rsidRPr="002F30DF">
        <w:rPr>
          <w:rFonts w:cs="Arial"/>
          <w:i/>
          <w:sz w:val="20"/>
          <w:szCs w:val="20"/>
        </w:rPr>
        <w:t>sta nacionalni organ prosilec, pristojen za konkurenco, in zaprošeni nacionalni organ, pristojen za konkurenco, pooblaščena, da si ob upoštevanju omejitev iz člena 12 Uredbe (ES) št. 1/2003 izmenjujeta informacije in jih uporabita kot dokazno sredstvo za ta namen.</w:t>
      </w:r>
    </w:p>
    <w:p w:rsidR="00AF1A82" w:rsidRPr="002F30DF" w:rsidRDefault="00AF1A82"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je namen učinkovitega izvrševanja pravil konkurence tudi odvračilni učinek, je treba zagotoviti, da podjetje plača izrečeno administrativno sankcijo. Če podjetje </w:t>
      </w:r>
      <w:r w:rsidRPr="002F30DF">
        <w:rPr>
          <w:rFonts w:cs="Arial"/>
          <w:sz w:val="20"/>
          <w:szCs w:val="20"/>
        </w:rPr>
        <w:lastRenderedPageBreak/>
        <w:t xml:space="preserve">tega ne stori prostovoljno, </w:t>
      </w:r>
      <w:r w:rsidR="00D111EB" w:rsidRPr="002F30DF">
        <w:rPr>
          <w:rFonts w:cs="Arial"/>
          <w:sz w:val="20"/>
          <w:szCs w:val="20"/>
        </w:rPr>
        <w:t>a</w:t>
      </w:r>
      <w:r w:rsidR="0045309B" w:rsidRPr="002F30DF">
        <w:rPr>
          <w:rFonts w:cs="Arial"/>
          <w:sz w:val="20"/>
          <w:szCs w:val="20"/>
        </w:rPr>
        <w:t>genc</w:t>
      </w:r>
      <w:r w:rsidRPr="002F30DF">
        <w:rPr>
          <w:rFonts w:cs="Arial"/>
          <w:sz w:val="20"/>
          <w:szCs w:val="20"/>
        </w:rPr>
        <w:t>ija predlaga pristojnemu organu prisilno izterjavo. Z</w:t>
      </w:r>
      <w:r w:rsidR="009D1C55" w:rsidRPr="002F30DF">
        <w:rPr>
          <w:rFonts w:cs="Arial"/>
          <w:sz w:val="20"/>
          <w:szCs w:val="20"/>
        </w:rPr>
        <w:t xml:space="preserve"> namenom izvršitve prisilne izterjave je v </w:t>
      </w:r>
      <w:r w:rsidR="00AC455F" w:rsidRPr="002F30DF">
        <w:rPr>
          <w:rFonts w:cs="Arial"/>
          <w:sz w:val="20"/>
          <w:szCs w:val="20"/>
          <w:u w:val="single"/>
        </w:rPr>
        <w:t xml:space="preserve">tretjem </w:t>
      </w:r>
      <w:r w:rsidRPr="002F30DF">
        <w:rPr>
          <w:rFonts w:cs="Arial"/>
          <w:sz w:val="20"/>
          <w:szCs w:val="20"/>
          <w:u w:val="single"/>
        </w:rPr>
        <w:t>odstavku</w:t>
      </w:r>
      <w:r w:rsidRPr="002F30DF">
        <w:rPr>
          <w:rFonts w:cs="Arial"/>
          <w:sz w:val="20"/>
          <w:szCs w:val="20"/>
        </w:rPr>
        <w:t xml:space="preserve"> določ</w:t>
      </w:r>
      <w:r w:rsidR="009D1C55" w:rsidRPr="002F30DF">
        <w:rPr>
          <w:rFonts w:cs="Arial"/>
          <w:sz w:val="20"/>
          <w:szCs w:val="20"/>
        </w:rPr>
        <w:t>eno</w:t>
      </w:r>
      <w:r w:rsidRPr="002F30DF">
        <w:rPr>
          <w:rFonts w:cs="Arial"/>
          <w:sz w:val="20"/>
          <w:szCs w:val="20"/>
        </w:rPr>
        <w:t xml:space="preserve">, da </w:t>
      </w:r>
      <w:r w:rsidR="00D111EB" w:rsidRPr="002F30DF">
        <w:rPr>
          <w:rFonts w:cs="Arial"/>
          <w:sz w:val="20"/>
          <w:szCs w:val="20"/>
        </w:rPr>
        <w:t>a</w:t>
      </w:r>
      <w:r w:rsidR="0045309B" w:rsidRPr="002F30DF">
        <w:rPr>
          <w:rFonts w:cs="Arial"/>
          <w:sz w:val="20"/>
          <w:szCs w:val="20"/>
        </w:rPr>
        <w:t>genc</w:t>
      </w:r>
      <w:r w:rsidRPr="002F30DF">
        <w:rPr>
          <w:rFonts w:cs="Arial"/>
          <w:sz w:val="20"/>
          <w:szCs w:val="20"/>
        </w:rPr>
        <w:t xml:space="preserve">ija razkrije pristojnemu organu podatke, ki so potrebni, da se lahko opravi izvršba. </w:t>
      </w:r>
    </w:p>
    <w:p w:rsidR="007522E3" w:rsidRPr="002F30DF" w:rsidRDefault="007522E3" w:rsidP="0025166A">
      <w:pPr>
        <w:spacing w:line="260" w:lineRule="atLeast"/>
        <w:rPr>
          <w:rFonts w:cs="Arial"/>
          <w:sz w:val="20"/>
          <w:szCs w:val="20"/>
        </w:rPr>
      </w:pPr>
    </w:p>
    <w:p w:rsidR="007522E3" w:rsidRPr="002F30DF" w:rsidRDefault="00AC455F" w:rsidP="0025166A">
      <w:pPr>
        <w:spacing w:line="260" w:lineRule="atLeast"/>
        <w:rPr>
          <w:rFonts w:cs="Arial"/>
          <w:sz w:val="20"/>
          <w:szCs w:val="20"/>
        </w:rPr>
      </w:pPr>
      <w:r w:rsidRPr="002F30DF">
        <w:rPr>
          <w:rFonts w:cs="Arial"/>
          <w:sz w:val="20"/>
          <w:szCs w:val="20"/>
          <w:u w:val="single"/>
        </w:rPr>
        <w:t xml:space="preserve">Četrti </w:t>
      </w:r>
      <w:r w:rsidR="007522E3" w:rsidRPr="002F30DF">
        <w:rPr>
          <w:rFonts w:cs="Arial"/>
          <w:sz w:val="20"/>
          <w:szCs w:val="20"/>
          <w:u w:val="single"/>
        </w:rPr>
        <w:t>odstavek</w:t>
      </w:r>
      <w:r w:rsidR="007522E3" w:rsidRPr="002F30DF">
        <w:rPr>
          <w:rFonts w:cs="Arial"/>
          <w:sz w:val="20"/>
          <w:szCs w:val="20"/>
        </w:rPr>
        <w:t xml:space="preserve"> ureja izjemo od Zakona o dostopu do informacija javnega značaja (Uradni list RS, št. </w:t>
      </w:r>
      <w:hyperlink r:id="rId95" w:tgtFrame="_blank" w:tooltip="Zakon o dostopu do informacij javnega značaja (uradno prečiščeno besedilo)" w:history="1">
        <w:r w:rsidR="007522E3" w:rsidRPr="002F30DF">
          <w:rPr>
            <w:rFonts w:cs="Arial"/>
            <w:sz w:val="20"/>
            <w:szCs w:val="20"/>
          </w:rPr>
          <w:t>51/06</w:t>
        </w:r>
      </w:hyperlink>
      <w:r w:rsidR="007522E3" w:rsidRPr="002F30DF">
        <w:rPr>
          <w:rFonts w:cs="Arial"/>
          <w:sz w:val="20"/>
          <w:szCs w:val="20"/>
        </w:rPr>
        <w:t xml:space="preserve"> – uradno prečiščeno besedilo, </w:t>
      </w:r>
      <w:hyperlink r:id="rId96" w:tgtFrame="_blank" w:tooltip="Zakon o davčnem postopku" w:history="1">
        <w:r w:rsidR="007522E3" w:rsidRPr="002F30DF">
          <w:rPr>
            <w:rFonts w:cs="Arial"/>
            <w:sz w:val="20"/>
            <w:szCs w:val="20"/>
          </w:rPr>
          <w:t>117/06</w:t>
        </w:r>
      </w:hyperlink>
      <w:r w:rsidR="007522E3" w:rsidRPr="002F30DF">
        <w:rPr>
          <w:rFonts w:cs="Arial"/>
          <w:sz w:val="20"/>
          <w:szCs w:val="20"/>
        </w:rPr>
        <w:t xml:space="preserve"> – ZDavP-2, </w:t>
      </w:r>
      <w:hyperlink r:id="rId97" w:tgtFrame="_blank" w:tooltip="Zakon o spremembah in dopolnitvah Zakona o dostopu do informacij javnega značaja" w:history="1">
        <w:r w:rsidR="007522E3" w:rsidRPr="002F30DF">
          <w:rPr>
            <w:rFonts w:cs="Arial"/>
            <w:sz w:val="20"/>
            <w:szCs w:val="20"/>
          </w:rPr>
          <w:t>23/14</w:t>
        </w:r>
      </w:hyperlink>
      <w:r w:rsidR="007522E3" w:rsidRPr="002F30DF">
        <w:rPr>
          <w:rFonts w:cs="Arial"/>
          <w:sz w:val="20"/>
          <w:szCs w:val="20"/>
        </w:rPr>
        <w:t xml:space="preserve">, </w:t>
      </w:r>
      <w:hyperlink r:id="rId98" w:tgtFrame="_blank" w:tooltip="Zakon o spremembah in dopolnitvah Zakona o dostopu do informacij javnega značaja" w:history="1">
        <w:r w:rsidR="007522E3" w:rsidRPr="002F30DF">
          <w:rPr>
            <w:rFonts w:cs="Arial"/>
            <w:sz w:val="20"/>
            <w:szCs w:val="20"/>
          </w:rPr>
          <w:t>50/14</w:t>
        </w:r>
      </w:hyperlink>
      <w:r w:rsidR="007522E3" w:rsidRPr="002F30DF">
        <w:rPr>
          <w:rFonts w:cs="Arial"/>
          <w:sz w:val="20"/>
          <w:szCs w:val="20"/>
        </w:rPr>
        <w:t xml:space="preserve">, </w:t>
      </w:r>
      <w:hyperlink r:id="rId99" w:tgtFrame="_blank" w:tooltip="Odločba o delni razveljavitvi petega odstavka 6.a člena in o razveljavitvi drugega stavka sedmega odstavka 6.a člena, trinajstega odstavka 10.a člena in osmega odstavka 39. člena Zakona o dostopu do informacij javnega značaja ter o razveljavitvi  4. člena Zako" w:history="1">
        <w:r w:rsidR="007522E3" w:rsidRPr="002F30DF">
          <w:rPr>
            <w:rFonts w:cs="Arial"/>
            <w:sz w:val="20"/>
            <w:szCs w:val="20"/>
          </w:rPr>
          <w:t>19/15</w:t>
        </w:r>
      </w:hyperlink>
      <w:r w:rsidR="007522E3" w:rsidRPr="002F30DF">
        <w:rPr>
          <w:rFonts w:cs="Arial"/>
          <w:sz w:val="20"/>
          <w:szCs w:val="20"/>
        </w:rPr>
        <w:t xml:space="preserve"> – odl. US, </w:t>
      </w:r>
      <w:hyperlink r:id="rId100" w:tgtFrame="_blank" w:tooltip="Zakon o spremembah in dopolnitvah Zakona o dostopu do informacij javnega značaja" w:history="1">
        <w:r w:rsidR="007522E3" w:rsidRPr="002F30DF">
          <w:rPr>
            <w:rFonts w:cs="Arial"/>
            <w:sz w:val="20"/>
            <w:szCs w:val="20"/>
          </w:rPr>
          <w:t>102/15</w:t>
        </w:r>
      </w:hyperlink>
      <w:r w:rsidR="007522E3" w:rsidRPr="002F30DF">
        <w:rPr>
          <w:rFonts w:cs="Arial"/>
          <w:sz w:val="20"/>
          <w:szCs w:val="20"/>
        </w:rPr>
        <w:t xml:space="preserve"> in </w:t>
      </w:r>
      <w:hyperlink r:id="rId101" w:tgtFrame="_blank" w:tooltip="Zakon o dopolnitvi Zakona o dostopu do informacij javnega značaja" w:history="1">
        <w:r w:rsidR="007522E3" w:rsidRPr="002F30DF">
          <w:rPr>
            <w:rFonts w:cs="Arial"/>
            <w:sz w:val="20"/>
            <w:szCs w:val="20"/>
          </w:rPr>
          <w:t>7/18</w:t>
        </w:r>
      </w:hyperlink>
      <w:r w:rsidR="007522E3" w:rsidRPr="002F30DF">
        <w:rPr>
          <w:rFonts w:cs="Arial"/>
          <w:sz w:val="20"/>
          <w:szCs w:val="20"/>
        </w:rPr>
        <w:t xml:space="preserve">). </w:t>
      </w:r>
      <w:r w:rsidR="0045309B" w:rsidRPr="002F30DF">
        <w:rPr>
          <w:rFonts w:cs="Arial"/>
          <w:sz w:val="20"/>
          <w:szCs w:val="20"/>
        </w:rPr>
        <w:t>Agenc</w:t>
      </w:r>
      <w:r w:rsidR="007522E3" w:rsidRPr="002F30DF">
        <w:rPr>
          <w:rFonts w:cs="Arial"/>
          <w:sz w:val="20"/>
          <w:szCs w:val="20"/>
        </w:rPr>
        <w:t xml:space="preserve">ija namreč v postopku ugotavljanja kršitev pravil </w:t>
      </w:r>
      <w:r w:rsidR="006F4460" w:rsidRPr="002F30DF">
        <w:rPr>
          <w:rFonts w:cs="Arial"/>
          <w:sz w:val="20"/>
          <w:szCs w:val="20"/>
        </w:rPr>
        <w:t>varstva konkurence</w:t>
      </w:r>
      <w:r w:rsidR="007522E3" w:rsidRPr="002F30DF">
        <w:rPr>
          <w:rFonts w:cs="Arial"/>
          <w:sz w:val="20"/>
          <w:szCs w:val="20"/>
        </w:rPr>
        <w:t xml:space="preserve"> ali presoje koncentracije pride do </w:t>
      </w:r>
      <w:r w:rsidR="0016552D" w:rsidRPr="002F30DF">
        <w:rPr>
          <w:rFonts w:cs="Arial"/>
          <w:sz w:val="20"/>
          <w:szCs w:val="20"/>
        </w:rPr>
        <w:t>zaupnih podatkov</w:t>
      </w:r>
      <w:r w:rsidR="007522E3" w:rsidRPr="002F30DF">
        <w:rPr>
          <w:rFonts w:cs="Arial"/>
          <w:sz w:val="20"/>
          <w:szCs w:val="20"/>
        </w:rPr>
        <w:t xml:space="preserve">, katerih razkritje lahko povzroči temu podjetju veliko škode, zato je zaščita pred razkritjem teh podatkov izrednega pomena. </w:t>
      </w:r>
      <w:r w:rsidR="0045309B" w:rsidRPr="002F30DF">
        <w:rPr>
          <w:rFonts w:cs="Arial"/>
          <w:sz w:val="20"/>
          <w:szCs w:val="20"/>
        </w:rPr>
        <w:t>Agenc</w:t>
      </w:r>
      <w:r w:rsidR="007522E3" w:rsidRPr="002F30DF">
        <w:rPr>
          <w:rFonts w:cs="Arial"/>
          <w:sz w:val="20"/>
          <w:szCs w:val="20"/>
        </w:rPr>
        <w:t xml:space="preserve">ija pa lahko pridobi informacije tudi od različnih oseb, katere identiteto je treba zaščiti. </w:t>
      </w:r>
      <w:r w:rsidR="0045309B" w:rsidRPr="002F30DF">
        <w:rPr>
          <w:rFonts w:cs="Arial"/>
          <w:sz w:val="20"/>
          <w:szCs w:val="20"/>
        </w:rPr>
        <w:t>Agenc</w:t>
      </w:r>
      <w:r w:rsidR="007522E3" w:rsidRPr="002F30DF">
        <w:rPr>
          <w:rFonts w:cs="Arial"/>
          <w:sz w:val="20"/>
          <w:szCs w:val="20"/>
        </w:rPr>
        <w:t xml:space="preserve">ija bo tako lahko na podlagi tega odstavka zavrnila prošnjo za dostop do podatkov, ki se nanašajo na tajnost vira, in do </w:t>
      </w:r>
      <w:r w:rsidR="00E51E7E" w:rsidRPr="002F30DF">
        <w:rPr>
          <w:rFonts w:cs="Arial"/>
          <w:sz w:val="20"/>
          <w:szCs w:val="20"/>
        </w:rPr>
        <w:t>zaupnih podatkov podjetij.</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38</w:t>
      </w:r>
      <w:r w:rsidRPr="002F30DF">
        <w:rPr>
          <w:rFonts w:cs="Arial"/>
          <w:b/>
          <w:sz w:val="20"/>
          <w:szCs w:val="20"/>
        </w:rPr>
        <w:t>. členu (</w:t>
      </w:r>
      <w:r w:rsidR="003B5F29" w:rsidRPr="002F30DF">
        <w:rPr>
          <w:rFonts w:cs="Arial"/>
          <w:b/>
          <w:sz w:val="20"/>
          <w:szCs w:val="20"/>
        </w:rPr>
        <w:t>sodelovanje z agencijo</w:t>
      </w:r>
      <w:r w:rsidRPr="002F30DF">
        <w:rPr>
          <w:rFonts w:cs="Arial"/>
          <w:b/>
          <w:sz w:val="20"/>
          <w:szCs w:val="20"/>
        </w:rPr>
        <w:t>)</w:t>
      </w:r>
    </w:p>
    <w:p w:rsidR="007522E3" w:rsidRPr="002F30DF" w:rsidRDefault="007522E3" w:rsidP="0025166A">
      <w:pPr>
        <w:spacing w:line="260" w:lineRule="atLeast"/>
        <w:rPr>
          <w:rFonts w:cs="Arial"/>
          <w:sz w:val="20"/>
          <w:szCs w:val="20"/>
        </w:rPr>
      </w:pPr>
    </w:p>
    <w:p w:rsidR="007B36F5" w:rsidRPr="002F30DF" w:rsidRDefault="007522E3" w:rsidP="0025166A">
      <w:pPr>
        <w:spacing w:line="260" w:lineRule="atLeast"/>
        <w:rPr>
          <w:rFonts w:cs="Arial"/>
          <w:sz w:val="20"/>
          <w:szCs w:val="20"/>
        </w:rPr>
      </w:pPr>
      <w:r w:rsidRPr="002F30DF">
        <w:rPr>
          <w:rFonts w:cs="Arial"/>
          <w:sz w:val="20"/>
          <w:szCs w:val="20"/>
        </w:rPr>
        <w:t>Z namenom, da se zagotovi učinkovito sodelovanje z drugimi državnimi organi</w:t>
      </w:r>
      <w:r w:rsidR="002C1D77" w:rsidRPr="002F30DF">
        <w:rPr>
          <w:rFonts w:cs="Arial"/>
          <w:sz w:val="20"/>
          <w:szCs w:val="20"/>
        </w:rPr>
        <w:t xml:space="preserve">, organi lokalnih skupnosti, nosilci javnih pooblastil ter drugimi osebami in organizacijami, ki razpolagajo s podatki, potrebnimi za </w:t>
      </w:r>
      <w:r w:rsidRPr="002F30DF">
        <w:rPr>
          <w:rFonts w:cs="Arial"/>
          <w:sz w:val="20"/>
          <w:szCs w:val="20"/>
        </w:rPr>
        <w:t xml:space="preserve">učinkovito izvrševanje nalog po tem zakonu, so ti organi dolžni </w:t>
      </w:r>
      <w:r w:rsidR="008065C9" w:rsidRPr="002F30DF">
        <w:rPr>
          <w:rFonts w:cs="Arial"/>
          <w:sz w:val="20"/>
          <w:szCs w:val="20"/>
        </w:rPr>
        <w:t>a</w:t>
      </w:r>
      <w:r w:rsidR="0045309B" w:rsidRPr="002F30DF">
        <w:rPr>
          <w:rFonts w:cs="Arial"/>
          <w:sz w:val="20"/>
          <w:szCs w:val="20"/>
        </w:rPr>
        <w:t>genc</w:t>
      </w:r>
      <w:r w:rsidRPr="002F30DF">
        <w:rPr>
          <w:rFonts w:cs="Arial"/>
          <w:sz w:val="20"/>
          <w:szCs w:val="20"/>
        </w:rPr>
        <w:t xml:space="preserve">iji </w:t>
      </w:r>
      <w:r w:rsidR="002C1D77" w:rsidRPr="002F30DF">
        <w:rPr>
          <w:rFonts w:cs="Arial"/>
          <w:sz w:val="20"/>
          <w:szCs w:val="20"/>
        </w:rPr>
        <w:t xml:space="preserve">brezplačno </w:t>
      </w:r>
      <w:r w:rsidRPr="002F30DF">
        <w:rPr>
          <w:rFonts w:cs="Arial"/>
          <w:sz w:val="20"/>
          <w:szCs w:val="20"/>
        </w:rPr>
        <w:t xml:space="preserve">predložiti </w:t>
      </w:r>
      <w:r w:rsidR="002C1D77" w:rsidRPr="002F30DF">
        <w:rPr>
          <w:rFonts w:cs="Arial"/>
          <w:sz w:val="20"/>
          <w:szCs w:val="20"/>
        </w:rPr>
        <w:t xml:space="preserve">te </w:t>
      </w:r>
      <w:r w:rsidRPr="002F30DF">
        <w:rPr>
          <w:rFonts w:cs="Arial"/>
          <w:sz w:val="20"/>
          <w:szCs w:val="20"/>
        </w:rPr>
        <w:t>podatke</w:t>
      </w:r>
      <w:r w:rsidR="002C1D77" w:rsidRPr="002F30DF">
        <w:rPr>
          <w:rFonts w:cs="Arial"/>
          <w:sz w:val="20"/>
          <w:szCs w:val="20"/>
        </w:rPr>
        <w:t>.</w:t>
      </w:r>
    </w:p>
    <w:p w:rsidR="00E42A5E" w:rsidRPr="002F30DF" w:rsidRDefault="00E42A5E"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39</w:t>
      </w:r>
      <w:r w:rsidRPr="002F30DF">
        <w:rPr>
          <w:rFonts w:cs="Arial"/>
          <w:b/>
          <w:sz w:val="20"/>
          <w:szCs w:val="20"/>
        </w:rPr>
        <w:t>. členu (uporaba določb o postopku)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ureja uporabo zakona, ki ga </w:t>
      </w:r>
      <w:r w:rsidR="00D111EB" w:rsidRPr="002F30DF">
        <w:rPr>
          <w:rFonts w:cs="Arial"/>
          <w:sz w:val="20"/>
          <w:szCs w:val="20"/>
        </w:rPr>
        <w:t>a</w:t>
      </w:r>
      <w:r w:rsidR="0045309B" w:rsidRPr="002F30DF">
        <w:rPr>
          <w:rFonts w:cs="Arial"/>
          <w:sz w:val="20"/>
          <w:szCs w:val="20"/>
        </w:rPr>
        <w:t>genc</w:t>
      </w:r>
      <w:r w:rsidRPr="002F30DF">
        <w:rPr>
          <w:rFonts w:cs="Arial"/>
          <w:sz w:val="20"/>
          <w:szCs w:val="20"/>
        </w:rPr>
        <w:t>ija uporablja v</w:t>
      </w:r>
      <w:r w:rsidR="003D4CCD" w:rsidRPr="002F30DF">
        <w:rPr>
          <w:rFonts w:cs="Arial"/>
          <w:sz w:val="20"/>
          <w:szCs w:val="20"/>
        </w:rPr>
        <w:t xml:space="preserve"> upravnem</w:t>
      </w:r>
      <w:r w:rsidRPr="002F30DF">
        <w:rPr>
          <w:rFonts w:cs="Arial"/>
          <w:sz w:val="20"/>
          <w:szCs w:val="20"/>
        </w:rPr>
        <w:t xml:space="preserve"> postopku </w:t>
      </w:r>
      <w:r w:rsidR="003D4CCD" w:rsidRPr="002F30DF">
        <w:rPr>
          <w:rFonts w:cs="Arial"/>
          <w:sz w:val="20"/>
          <w:szCs w:val="20"/>
        </w:rPr>
        <w:t xml:space="preserve">pri </w:t>
      </w:r>
      <w:r w:rsidR="00186D3B" w:rsidRPr="002F30DF">
        <w:rPr>
          <w:rFonts w:cs="Arial"/>
          <w:sz w:val="20"/>
          <w:szCs w:val="20"/>
        </w:rPr>
        <w:t>omejevalnih</w:t>
      </w:r>
      <w:r w:rsidR="003D4CCD" w:rsidRPr="002F30DF">
        <w:rPr>
          <w:rFonts w:cs="Arial"/>
          <w:sz w:val="20"/>
          <w:szCs w:val="20"/>
        </w:rPr>
        <w:t xml:space="preserve"> ravnanjih in koncentracijah ter </w:t>
      </w:r>
      <w:r w:rsidRPr="002F30DF">
        <w:rPr>
          <w:rFonts w:cs="Arial"/>
          <w:sz w:val="20"/>
          <w:szCs w:val="20"/>
        </w:rPr>
        <w:t xml:space="preserve">ugotavljanja kršitev tega zakona ali 101. ali 102. člena PDEU. Čeprav bi </w:t>
      </w:r>
      <w:r w:rsidR="00D111EB" w:rsidRPr="002F30DF">
        <w:rPr>
          <w:rFonts w:cs="Arial"/>
          <w:sz w:val="20"/>
          <w:szCs w:val="20"/>
        </w:rPr>
        <w:t>a</w:t>
      </w:r>
      <w:r w:rsidR="0045309B" w:rsidRPr="002F30DF">
        <w:rPr>
          <w:rFonts w:cs="Arial"/>
          <w:sz w:val="20"/>
          <w:szCs w:val="20"/>
        </w:rPr>
        <w:t>genc</w:t>
      </w:r>
      <w:r w:rsidRPr="002F30DF">
        <w:rPr>
          <w:rFonts w:cs="Arial"/>
          <w:sz w:val="20"/>
          <w:szCs w:val="20"/>
        </w:rPr>
        <w:t xml:space="preserve">ija glede na naravo zadev, o katerih odloča, uporabljala splošni upravni postopek, pa ta postopek zaradi posebnosti konkurenčnopravnih zadev ni ustrezen v celoti. Zato se s tem zakonom določena vprašanja postopka uredijo posebej, kot na primer preiskovalni postopek, varstvo zaupnih podatkov, vpogled v spis.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zakon ne ureja vseh procesnih institutov, ki se uporabljajo v postopku, ki ga vodi </w:t>
      </w:r>
      <w:r w:rsidR="00D111EB" w:rsidRPr="002F30DF">
        <w:rPr>
          <w:rFonts w:cs="Arial"/>
          <w:sz w:val="20"/>
          <w:szCs w:val="20"/>
        </w:rPr>
        <w:t>a</w:t>
      </w:r>
      <w:r w:rsidR="0045309B" w:rsidRPr="002F30DF">
        <w:rPr>
          <w:rFonts w:cs="Arial"/>
          <w:sz w:val="20"/>
          <w:szCs w:val="20"/>
        </w:rPr>
        <w:t>genc</w:t>
      </w:r>
      <w:r w:rsidRPr="002F30DF">
        <w:rPr>
          <w:rFonts w:cs="Arial"/>
          <w:sz w:val="20"/>
          <w:szCs w:val="20"/>
        </w:rPr>
        <w:t>ija, ampak le dodatna pravila. Tako kot do sedaj se tudi s tem zakonom ohranja subsidiarna uporaba pravil ZUP.</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Glede na to, da je </w:t>
      </w:r>
      <w:r w:rsidR="00D111EB" w:rsidRPr="002F30DF">
        <w:rPr>
          <w:rFonts w:cs="Arial"/>
          <w:sz w:val="20"/>
          <w:szCs w:val="20"/>
        </w:rPr>
        <w:t>a</w:t>
      </w:r>
      <w:r w:rsidR="0045309B" w:rsidRPr="002F30DF">
        <w:rPr>
          <w:rFonts w:cs="Arial"/>
          <w:sz w:val="20"/>
          <w:szCs w:val="20"/>
        </w:rPr>
        <w:t>genc</w:t>
      </w:r>
      <w:r w:rsidRPr="002F30DF">
        <w:rPr>
          <w:rFonts w:cs="Arial"/>
          <w:sz w:val="20"/>
          <w:szCs w:val="20"/>
        </w:rPr>
        <w:t>ija pri izvajanju svojih nalog neodvisna in samostojna, je potrebno zagotoviti, da njene odločbe niso podvržene instančnemu nadzoru drugega državnega organa (npr. ministrstva oz</w:t>
      </w:r>
      <w:r w:rsidR="005B3AD5" w:rsidRPr="002F30DF">
        <w:rPr>
          <w:rFonts w:cs="Arial"/>
          <w:sz w:val="20"/>
          <w:szCs w:val="20"/>
        </w:rPr>
        <w:t>iroma</w:t>
      </w:r>
      <w:r w:rsidRPr="002F30DF">
        <w:rPr>
          <w:rFonts w:cs="Arial"/>
          <w:sz w:val="20"/>
          <w:szCs w:val="20"/>
        </w:rPr>
        <w:t xml:space="preserve"> vlade). Zato je v tretjem odstavku določeno, da zoper akte </w:t>
      </w:r>
      <w:r w:rsidR="00D111EB" w:rsidRPr="002F30DF">
        <w:rPr>
          <w:rFonts w:cs="Arial"/>
          <w:sz w:val="20"/>
          <w:szCs w:val="20"/>
        </w:rPr>
        <w:t>a</w:t>
      </w:r>
      <w:r w:rsidR="0045309B" w:rsidRPr="002F30DF">
        <w:rPr>
          <w:rFonts w:cs="Arial"/>
          <w:sz w:val="20"/>
          <w:szCs w:val="20"/>
        </w:rPr>
        <w:t>genc</w:t>
      </w:r>
      <w:r w:rsidRPr="002F30DF">
        <w:rPr>
          <w:rFonts w:cs="Arial"/>
          <w:sz w:val="20"/>
          <w:szCs w:val="20"/>
        </w:rPr>
        <w:t xml:space="preserve">ije ni pritožbe. Pritožba je lahko v skladu s prvim odstavkom 13. člena ZUP izključena zgolj v primeru, da zakon predpiše, da v posameznih upravnih zadevah ni dovoljena pritožba. Je pa zoper akte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ije skladno s </w:t>
      </w:r>
      <w:r w:rsidR="00EE34EE" w:rsidRPr="002F30DF">
        <w:rPr>
          <w:rFonts w:cs="Arial"/>
          <w:sz w:val="20"/>
          <w:szCs w:val="20"/>
        </w:rPr>
        <w:t>97</w:t>
      </w:r>
      <w:r w:rsidRPr="002F30DF">
        <w:rPr>
          <w:rFonts w:cs="Arial"/>
          <w:sz w:val="20"/>
          <w:szCs w:val="20"/>
        </w:rPr>
        <w:t xml:space="preserve">. členom dovoljeno sodno varstvo in s tem je zagotovljena ustavna pravica do pritožbe ali drugega pravnega sredstva.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40</w:t>
      </w:r>
      <w:r w:rsidRPr="002F30DF">
        <w:rPr>
          <w:rFonts w:cs="Arial"/>
          <w:b/>
          <w:sz w:val="20"/>
          <w:szCs w:val="20"/>
        </w:rPr>
        <w:t>. členu (stranke v postopku)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Položaj stranke v postopku pomeni, da se mora ta oseba ravnati v skladu z obveznostmi, ki jih nalaga ta zakon in v skladu s sprejetimi odločitvami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ije, istočasno pa taki osebi pripadajo določene pravice v postopku, ki jih drugi morebitni udeleženci postopka niso deležni (npr. pravica da se izjavi, pravica pregledati dokumente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ije). Zaradi specifičnosti postopkov pred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ijo, so </w:t>
      </w:r>
      <w:r w:rsidRPr="002F30DF">
        <w:rPr>
          <w:rFonts w:cs="Arial"/>
          <w:sz w:val="20"/>
          <w:szCs w:val="20"/>
          <w:u w:val="single"/>
        </w:rPr>
        <w:t>v prvem odstavku</w:t>
      </w:r>
      <w:r w:rsidRPr="002F30DF">
        <w:rPr>
          <w:rFonts w:cs="Arial"/>
          <w:sz w:val="20"/>
          <w:szCs w:val="20"/>
        </w:rPr>
        <w:t xml:space="preserve"> stranke izrecno opredeljene. Stranke postopka so tako podjetja, proti katerim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ija vodi postopek, kot tudi priglasitelji koncentracije. V kolikor bi imel položaj stranke v postopku pred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ijo tudi vlagatelj pobude ali prijave, bi to pomenilo, da ima v skladu z ZUP enake pravice v postopku pred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ijo kot stranka, proti kateri se vodi postopek. Imel bi možnost vpogleda v spis, pravico da se izjavi itd. Ker se konkurenčni postopki vodijo v javnem interesu, vlagatelj pobude, prijave, sporočila ali druge vloge ne more imeti položaja stranke. Zaradi navedenega je v </w:t>
      </w:r>
      <w:r w:rsidRPr="002F30DF">
        <w:rPr>
          <w:rFonts w:cs="Arial"/>
          <w:sz w:val="20"/>
          <w:szCs w:val="20"/>
          <w:u w:val="single"/>
        </w:rPr>
        <w:t>drugem odstavku</w:t>
      </w:r>
      <w:r w:rsidRPr="002F30DF">
        <w:rPr>
          <w:rFonts w:cs="Arial"/>
          <w:sz w:val="20"/>
          <w:szCs w:val="20"/>
        </w:rPr>
        <w:t xml:space="preserve"> izrecno navedeno, da vlagatelj</w:t>
      </w:r>
      <w:r w:rsidR="006F4460" w:rsidRPr="002F30DF">
        <w:rPr>
          <w:rFonts w:cs="Arial"/>
          <w:sz w:val="20"/>
          <w:szCs w:val="20"/>
        </w:rPr>
        <w:t xml:space="preserve"> pobude, sporočila ali druge vloge</w:t>
      </w:r>
      <w:r w:rsidRPr="002F30DF">
        <w:rPr>
          <w:rFonts w:cs="Arial"/>
          <w:sz w:val="20"/>
          <w:szCs w:val="20"/>
        </w:rPr>
        <w:t xml:space="preserve"> nima položaja stranke.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postopku pred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ijo se lahko zahteva stranska udeležba, vendar je časovni rok za prijavo stanske udeležbe omejen na 30 dni od dneva objave </w:t>
      </w:r>
      <w:r w:rsidR="00B36087" w:rsidRPr="002F30DF">
        <w:rPr>
          <w:rFonts w:cs="Arial"/>
          <w:sz w:val="20"/>
          <w:szCs w:val="20"/>
        </w:rPr>
        <w:t xml:space="preserve">podatka </w:t>
      </w:r>
      <w:r w:rsidRPr="002F30DF">
        <w:rPr>
          <w:rFonts w:cs="Arial"/>
          <w:sz w:val="20"/>
          <w:szCs w:val="20"/>
        </w:rPr>
        <w:t xml:space="preserve">o uvedbi postopka na spletni strani </w:t>
      </w:r>
      <w:r w:rsidR="007A25FA" w:rsidRPr="002F30DF">
        <w:rPr>
          <w:rFonts w:cs="Arial"/>
          <w:sz w:val="20"/>
          <w:szCs w:val="20"/>
        </w:rPr>
        <w:t>a</w:t>
      </w:r>
      <w:r w:rsidR="0045309B" w:rsidRPr="002F30DF">
        <w:rPr>
          <w:rFonts w:cs="Arial"/>
          <w:sz w:val="20"/>
          <w:szCs w:val="20"/>
        </w:rPr>
        <w:t>genc</w:t>
      </w:r>
      <w:r w:rsidRPr="002F30DF">
        <w:rPr>
          <w:rFonts w:cs="Arial"/>
          <w:sz w:val="20"/>
          <w:szCs w:val="20"/>
        </w:rPr>
        <w:t>ije (</w:t>
      </w:r>
      <w:r w:rsidRPr="002F30DF">
        <w:rPr>
          <w:rFonts w:cs="Arial"/>
          <w:sz w:val="20"/>
          <w:szCs w:val="20"/>
          <w:u w:val="single"/>
        </w:rPr>
        <w:t>tretji odstavek</w:t>
      </w:r>
      <w:r w:rsidRPr="002F30DF">
        <w:rPr>
          <w:rFonts w:cs="Arial"/>
          <w:sz w:val="20"/>
          <w:szCs w:val="20"/>
        </w:rPr>
        <w:t>). Kdor zahteva  položaj stranskega udeleženca mora v zahtevi navesti razloge in predložiti dokaze, ki izkazujejo pravni interes za udeležbo v postopku (</w:t>
      </w:r>
      <w:r w:rsidRPr="002F30DF">
        <w:rPr>
          <w:rFonts w:cs="Arial"/>
          <w:sz w:val="20"/>
          <w:szCs w:val="20"/>
          <w:u w:val="single"/>
        </w:rPr>
        <w:t>četrti odstavek</w:t>
      </w:r>
      <w:r w:rsidRPr="002F30DF">
        <w:rPr>
          <w:rFonts w:cs="Arial"/>
          <w:sz w:val="20"/>
          <w:szCs w:val="20"/>
        </w:rPr>
        <w:t>). O zahtevi</w:t>
      </w:r>
      <w:r w:rsidR="007A25FA" w:rsidRPr="002F30DF">
        <w:rPr>
          <w:rFonts w:cs="Arial"/>
          <w:sz w:val="20"/>
          <w:szCs w:val="20"/>
        </w:rPr>
        <w:t xml:space="preserve"> za udeležbo odloči a</w:t>
      </w:r>
      <w:r w:rsidR="0045309B" w:rsidRPr="002F30DF">
        <w:rPr>
          <w:rFonts w:cs="Arial"/>
          <w:sz w:val="20"/>
          <w:szCs w:val="20"/>
        </w:rPr>
        <w:t>genc</w:t>
      </w:r>
      <w:r w:rsidRPr="002F30DF">
        <w:rPr>
          <w:rFonts w:cs="Arial"/>
          <w:sz w:val="20"/>
          <w:szCs w:val="20"/>
        </w:rPr>
        <w:t>ija s sklepom (</w:t>
      </w:r>
      <w:r w:rsidRPr="002F30DF">
        <w:rPr>
          <w:rFonts w:cs="Arial"/>
          <w:sz w:val="20"/>
          <w:szCs w:val="20"/>
          <w:u w:val="single"/>
        </w:rPr>
        <w:t>peti odstavek</w:t>
      </w:r>
      <w:r w:rsidRPr="002F30DF">
        <w:rPr>
          <w:rFonts w:cs="Arial"/>
          <w:sz w:val="20"/>
          <w:szCs w:val="20"/>
        </w:rPr>
        <w:t>).</w:t>
      </w:r>
    </w:p>
    <w:p w:rsidR="00B36087" w:rsidRPr="002F30DF" w:rsidRDefault="00B36087" w:rsidP="0025166A">
      <w:pPr>
        <w:spacing w:line="260" w:lineRule="atLeast"/>
        <w:rPr>
          <w:rFonts w:cs="Arial"/>
          <w:sz w:val="20"/>
          <w:szCs w:val="20"/>
        </w:rPr>
      </w:pPr>
    </w:p>
    <w:p w:rsidR="00B36087" w:rsidRPr="002F30DF" w:rsidRDefault="00B36087" w:rsidP="0025166A">
      <w:pPr>
        <w:spacing w:line="260" w:lineRule="atLeast"/>
        <w:rPr>
          <w:rFonts w:cs="Arial"/>
          <w:sz w:val="20"/>
          <w:szCs w:val="20"/>
        </w:rPr>
      </w:pPr>
      <w:r w:rsidRPr="002F30DF">
        <w:rPr>
          <w:rFonts w:cs="Arial"/>
          <w:sz w:val="20"/>
          <w:szCs w:val="20"/>
        </w:rPr>
        <w:t>Glede na veljavni ZPOmK-1 se določba razlikuje le v tretjem odstavk</w:t>
      </w:r>
      <w:r w:rsidR="004D748A" w:rsidRPr="002F30DF">
        <w:rPr>
          <w:rFonts w:cs="Arial"/>
          <w:sz w:val="20"/>
          <w:szCs w:val="20"/>
        </w:rPr>
        <w:t>u, kjer je po novem navedeno</w:t>
      </w:r>
      <w:r w:rsidRPr="002F30DF">
        <w:rPr>
          <w:rFonts w:cs="Arial"/>
          <w:sz w:val="20"/>
          <w:szCs w:val="20"/>
        </w:rPr>
        <w:t>, da je treba zahtevo za udeležbo</w:t>
      </w:r>
      <w:r w:rsidR="004D748A" w:rsidRPr="002F30DF">
        <w:rPr>
          <w:rFonts w:cs="Arial"/>
          <w:sz w:val="20"/>
          <w:szCs w:val="20"/>
        </w:rPr>
        <w:t xml:space="preserve"> v</w:t>
      </w:r>
      <w:r w:rsidRPr="002F30DF">
        <w:rPr>
          <w:rFonts w:cs="Arial"/>
          <w:sz w:val="20"/>
          <w:szCs w:val="20"/>
        </w:rPr>
        <w:t xml:space="preserve"> postopk</w:t>
      </w:r>
      <w:r w:rsidR="004D748A" w:rsidRPr="002F30DF">
        <w:rPr>
          <w:rFonts w:cs="Arial"/>
          <w:sz w:val="20"/>
          <w:szCs w:val="20"/>
        </w:rPr>
        <w:t>u</w:t>
      </w:r>
      <w:r w:rsidRPr="002F30DF">
        <w:rPr>
          <w:rFonts w:cs="Arial"/>
          <w:sz w:val="20"/>
          <w:szCs w:val="20"/>
        </w:rPr>
        <w:t xml:space="preserve"> podati v roku 30 dneh od objave podatka o uvedbi na spletni stranki agencije in ne več od </w:t>
      </w:r>
      <w:r w:rsidR="003D31AE" w:rsidRPr="002F30DF">
        <w:rPr>
          <w:rFonts w:cs="Arial"/>
          <w:sz w:val="20"/>
          <w:szCs w:val="20"/>
        </w:rPr>
        <w:t xml:space="preserve">objave </w:t>
      </w:r>
      <w:r w:rsidRPr="002F30DF">
        <w:rPr>
          <w:rFonts w:cs="Arial"/>
          <w:sz w:val="20"/>
          <w:szCs w:val="20"/>
        </w:rPr>
        <w:t>sklepa o uvedbi</w:t>
      </w:r>
      <w:r w:rsidR="003D31AE" w:rsidRPr="002F30DF">
        <w:rPr>
          <w:rFonts w:cs="Arial"/>
          <w:sz w:val="20"/>
          <w:szCs w:val="20"/>
        </w:rPr>
        <w:t xml:space="preserve"> postopka</w:t>
      </w:r>
      <w:r w:rsidRPr="002F30DF">
        <w:rPr>
          <w:rFonts w:cs="Arial"/>
          <w:sz w:val="20"/>
          <w:szCs w:val="20"/>
        </w:rPr>
        <w:t xml:space="preserve">. Ta sprememba je potrebna zato, ker agencija v večini </w:t>
      </w:r>
      <w:r w:rsidRPr="002F30DF">
        <w:rPr>
          <w:rFonts w:cs="Arial"/>
          <w:sz w:val="20"/>
          <w:szCs w:val="20"/>
        </w:rPr>
        <w:lastRenderedPageBreak/>
        <w:t>postopko</w:t>
      </w:r>
      <w:r w:rsidR="003D31AE" w:rsidRPr="002F30DF">
        <w:rPr>
          <w:rFonts w:cs="Arial"/>
          <w:sz w:val="20"/>
          <w:szCs w:val="20"/>
        </w:rPr>
        <w:t>v</w:t>
      </w:r>
      <w:r w:rsidRPr="002F30DF">
        <w:rPr>
          <w:rFonts w:cs="Arial"/>
          <w:sz w:val="20"/>
          <w:szCs w:val="20"/>
        </w:rPr>
        <w:t xml:space="preserve"> presoje koncentracije ne izda sklepa o uvedbi postopka in veljavni ZPOmK-1 ne ureja takšne situacije, ki pa se</w:t>
      </w:r>
      <w:r w:rsidR="003D31AE" w:rsidRPr="002F30DF">
        <w:rPr>
          <w:rFonts w:cs="Arial"/>
          <w:sz w:val="20"/>
          <w:szCs w:val="20"/>
        </w:rPr>
        <w:t xml:space="preserve"> s p</w:t>
      </w:r>
      <w:r w:rsidRPr="002F30DF">
        <w:rPr>
          <w:rFonts w:cs="Arial"/>
          <w:sz w:val="20"/>
          <w:szCs w:val="20"/>
        </w:rPr>
        <w:t>redlogom tega člena rešuje.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923FA0" w:rsidRPr="002F30DF">
        <w:rPr>
          <w:rFonts w:cs="Arial"/>
          <w:b/>
          <w:sz w:val="20"/>
          <w:szCs w:val="20"/>
        </w:rPr>
        <w:t>4</w:t>
      </w:r>
      <w:r w:rsidR="00EE34EE" w:rsidRPr="002F30DF">
        <w:rPr>
          <w:rFonts w:cs="Arial"/>
          <w:b/>
          <w:sz w:val="20"/>
          <w:szCs w:val="20"/>
        </w:rPr>
        <w:t>1</w:t>
      </w:r>
      <w:r w:rsidRPr="002F30DF">
        <w:rPr>
          <w:rFonts w:cs="Arial"/>
          <w:b/>
          <w:sz w:val="20"/>
          <w:szCs w:val="20"/>
        </w:rPr>
        <w:t>. členu (varovanje tajnosti vira)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Pridobivanje podatkov ali dokumentov, ki se nanašajo na omejevalna ravnanja podjetij ali jih </w:t>
      </w:r>
      <w:r w:rsidR="007A25FA" w:rsidRPr="002F30DF">
        <w:rPr>
          <w:rFonts w:cs="Arial"/>
          <w:sz w:val="20"/>
          <w:szCs w:val="20"/>
        </w:rPr>
        <w:t>a</w:t>
      </w:r>
      <w:r w:rsidR="0045309B" w:rsidRPr="002F30DF">
        <w:rPr>
          <w:rFonts w:cs="Arial"/>
          <w:sz w:val="20"/>
          <w:szCs w:val="20"/>
        </w:rPr>
        <w:t>genc</w:t>
      </w:r>
      <w:r w:rsidRPr="002F30DF">
        <w:rPr>
          <w:rFonts w:cs="Arial"/>
          <w:sz w:val="20"/>
          <w:szCs w:val="20"/>
        </w:rPr>
        <w:t>ija potrebuje v zvezi s presojo koncentracij, je izjemno težavno, saj se konkurenti, trgovski partnerji, odjemalci ali dobavitelji, ki razpolagajo s tovrstnimi podatki, bojijo, da bi podjetja nanje izvajala gospodarski ali t</w:t>
      </w:r>
      <w:r w:rsidR="00E464C5" w:rsidRPr="002F30DF">
        <w:rPr>
          <w:rFonts w:cs="Arial"/>
          <w:sz w:val="20"/>
          <w:szCs w:val="20"/>
        </w:rPr>
        <w:t>ržni pritisk, če bi sodelovali z</w:t>
      </w:r>
      <w:r w:rsidRPr="002F30DF">
        <w:rPr>
          <w:rFonts w:cs="Arial"/>
          <w:sz w:val="20"/>
          <w:szCs w:val="20"/>
        </w:rPr>
        <w:t xml:space="preserve"> </w:t>
      </w:r>
      <w:r w:rsidR="007A25FA" w:rsidRPr="002F30DF">
        <w:rPr>
          <w:rFonts w:cs="Arial"/>
          <w:sz w:val="20"/>
          <w:szCs w:val="20"/>
        </w:rPr>
        <w:t>a</w:t>
      </w:r>
      <w:r w:rsidR="0045309B" w:rsidRPr="002F30DF">
        <w:rPr>
          <w:rFonts w:cs="Arial"/>
          <w:sz w:val="20"/>
          <w:szCs w:val="20"/>
        </w:rPr>
        <w:t>genc</w:t>
      </w:r>
      <w:r w:rsidRPr="002F30DF">
        <w:rPr>
          <w:rFonts w:cs="Arial"/>
          <w:sz w:val="20"/>
          <w:szCs w:val="20"/>
        </w:rPr>
        <w:t>ijo. Zaradi tveganja povračilnih ukrepov je potrebno varovati njihovo identiteto, se pravi varovati podatke, ki bi strankam omogočili prepoznavanje prijaviteljev, stranskih udeležencev, drugih strank v postopku ali pa tretjih oseb, kadar želijo navedeni upravičeno ostati anonimni.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Tajnost vira je potrebno zagotoviti tako v samem upravnem postopku kot tudi po končanem upravnem postopku, da ne bi prišlo do razkritja podatkov o identiteti preko zahtev za dostop do informacij javnega značaja. Zaradi navedenega obstaja izrecna dolžnost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ije varovati tajnost vira, če vir to zahteva. Oseba, ki želi varovati svojo identiteto, mora </w:t>
      </w:r>
      <w:r w:rsidR="007A25FA" w:rsidRPr="002F30DF">
        <w:rPr>
          <w:rFonts w:cs="Arial"/>
          <w:sz w:val="20"/>
          <w:szCs w:val="20"/>
        </w:rPr>
        <w:t>a</w:t>
      </w:r>
      <w:r w:rsidR="0045309B" w:rsidRPr="002F30DF">
        <w:rPr>
          <w:rFonts w:cs="Arial"/>
          <w:sz w:val="20"/>
          <w:szCs w:val="20"/>
        </w:rPr>
        <w:t>genc</w:t>
      </w:r>
      <w:r w:rsidRPr="002F30DF">
        <w:rPr>
          <w:rFonts w:cs="Arial"/>
          <w:sz w:val="20"/>
          <w:szCs w:val="20"/>
        </w:rPr>
        <w:t>iji ob predložitvi dokumentov predložiti tudi verzijo dokumentov, ki ne vsebuje podatkov, ki bi predstavljali razkritje vira.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4</w:t>
      </w:r>
      <w:r w:rsidR="00097CBD" w:rsidRPr="002F30DF">
        <w:rPr>
          <w:rFonts w:cs="Arial"/>
          <w:b/>
          <w:sz w:val="20"/>
          <w:szCs w:val="20"/>
        </w:rPr>
        <w:t>2</w:t>
      </w:r>
      <w:r w:rsidRPr="002F30DF">
        <w:rPr>
          <w:rFonts w:cs="Arial"/>
          <w:b/>
          <w:sz w:val="20"/>
          <w:szCs w:val="20"/>
        </w:rPr>
        <w:t>. členu (pravica strank do pregleda dokumentov zadeve)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skladu z določbami ZUP imajo stranke pravico do vpogleda v spis kot eno od postopkovnih jamstev, katerega namen je zagotoviti uporabo načela enakopravnosti strank v postopku in pravico do obrambe. Z dostopom do spisa je strankam omogočeno, da se seznanijo s podatki iz spisa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ije in se lahko učinkovito izjavijo o svojih stališčih glede predhodnih zaključkov, ki jih je </w:t>
      </w:r>
      <w:r w:rsidR="007A25FA" w:rsidRPr="002F30DF">
        <w:rPr>
          <w:rFonts w:cs="Arial"/>
          <w:sz w:val="20"/>
          <w:szCs w:val="20"/>
        </w:rPr>
        <w:t>a</w:t>
      </w:r>
      <w:r w:rsidR="0045309B" w:rsidRPr="002F30DF">
        <w:rPr>
          <w:rFonts w:cs="Arial"/>
          <w:sz w:val="20"/>
          <w:szCs w:val="20"/>
        </w:rPr>
        <w:t>genc</w:t>
      </w:r>
      <w:r w:rsidRPr="002F30DF">
        <w:rPr>
          <w:rFonts w:cs="Arial"/>
          <w:sz w:val="20"/>
          <w:szCs w:val="20"/>
        </w:rPr>
        <w:t>ija navedla v povzetku o relevantnih dejstvih. Zaradi dolžnosti varova</w:t>
      </w:r>
      <w:r w:rsidR="00B26E6B" w:rsidRPr="002F30DF">
        <w:rPr>
          <w:rFonts w:cs="Arial"/>
          <w:sz w:val="20"/>
          <w:szCs w:val="20"/>
        </w:rPr>
        <w:t>nja</w:t>
      </w:r>
      <w:r w:rsidRPr="002F30DF">
        <w:rPr>
          <w:rFonts w:cs="Arial"/>
          <w:sz w:val="20"/>
          <w:szCs w:val="20"/>
        </w:rPr>
        <w:t xml:space="preserve"> tajnost</w:t>
      </w:r>
      <w:r w:rsidR="00B26E6B" w:rsidRPr="002F30DF">
        <w:rPr>
          <w:rFonts w:cs="Arial"/>
          <w:sz w:val="20"/>
          <w:szCs w:val="20"/>
        </w:rPr>
        <w:t>i</w:t>
      </w:r>
      <w:r w:rsidRPr="002F30DF">
        <w:rPr>
          <w:rFonts w:cs="Arial"/>
          <w:sz w:val="20"/>
          <w:szCs w:val="20"/>
        </w:rPr>
        <w:t xml:space="preserve"> vira, zaradi občutljivih poslovnih podatkov, ki jih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ija pridobi v postopku ter pisne korespondence med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ijo ter drugimi organi, pristojnimi za varstvo konkurence, in obstoja drugih internih dokumentov </w:t>
      </w:r>
      <w:r w:rsidR="007A25FA" w:rsidRPr="002F30DF">
        <w:rPr>
          <w:rFonts w:cs="Arial"/>
          <w:sz w:val="20"/>
          <w:szCs w:val="20"/>
        </w:rPr>
        <w:t>a</w:t>
      </w:r>
      <w:r w:rsidR="0045309B" w:rsidRPr="002F30DF">
        <w:rPr>
          <w:rFonts w:cs="Arial"/>
          <w:sz w:val="20"/>
          <w:szCs w:val="20"/>
        </w:rPr>
        <w:t>genc</w:t>
      </w:r>
      <w:r w:rsidRPr="002F30DF">
        <w:rPr>
          <w:rFonts w:cs="Arial"/>
          <w:sz w:val="20"/>
          <w:szCs w:val="20"/>
        </w:rPr>
        <w:t xml:space="preserve">ije, je potrebno v postopku pred </w:t>
      </w:r>
      <w:r w:rsidR="007A25FA" w:rsidRPr="002F30DF">
        <w:rPr>
          <w:rFonts w:cs="Arial"/>
          <w:sz w:val="20"/>
          <w:szCs w:val="20"/>
        </w:rPr>
        <w:t>a</w:t>
      </w:r>
      <w:r w:rsidR="0045309B" w:rsidRPr="002F30DF">
        <w:rPr>
          <w:rFonts w:cs="Arial"/>
          <w:sz w:val="20"/>
          <w:szCs w:val="20"/>
        </w:rPr>
        <w:t>genc</w:t>
      </w:r>
      <w:r w:rsidRPr="002F30DF">
        <w:rPr>
          <w:rFonts w:cs="Arial"/>
          <w:sz w:val="20"/>
          <w:szCs w:val="20"/>
        </w:rPr>
        <w:t>ijo urediti pravico do vpogleda v spis kot lex specialis glede na splošna določila ZUP.</w:t>
      </w:r>
    </w:p>
    <w:p w:rsidR="00CD5AD1" w:rsidRPr="002F30DF" w:rsidRDefault="00CD5AD1" w:rsidP="0025166A">
      <w:pPr>
        <w:spacing w:line="260" w:lineRule="atLeast"/>
        <w:rPr>
          <w:rFonts w:cs="Arial"/>
          <w:sz w:val="20"/>
          <w:szCs w:val="20"/>
        </w:rPr>
      </w:pPr>
    </w:p>
    <w:p w:rsidR="004734D8" w:rsidRPr="002F30DF" w:rsidRDefault="004734D8" w:rsidP="0025166A">
      <w:pPr>
        <w:pStyle w:val="Odstavek"/>
        <w:spacing w:before="0" w:line="260" w:lineRule="atLeast"/>
        <w:ind w:firstLine="0"/>
        <w:rPr>
          <w:sz w:val="20"/>
          <w:szCs w:val="20"/>
        </w:rPr>
      </w:pPr>
      <w:r w:rsidRPr="002F30DF">
        <w:rPr>
          <w:sz w:val="20"/>
          <w:szCs w:val="20"/>
          <w:u w:val="single"/>
        </w:rPr>
        <w:t>Prvi odstavek</w:t>
      </w:r>
      <w:r w:rsidRPr="002F30DF">
        <w:rPr>
          <w:sz w:val="20"/>
          <w:szCs w:val="20"/>
        </w:rPr>
        <w:t xml:space="preserve"> tako daje stranki pravico, da pregleda dokumente zadeve ter jih na svoje stroške prepiše in preslika. Pregledovanje, prepisovanje in preslikavanje dokumentov nadzoruje uradna oseba ali pa poteka v informacijskem sistemu </w:t>
      </w:r>
      <w:r w:rsidRPr="002F30DF">
        <w:rPr>
          <w:sz w:val="20"/>
          <w:szCs w:val="20"/>
        </w:rPr>
        <w:lastRenderedPageBreak/>
        <w:t>organa</w:t>
      </w:r>
      <w:r w:rsidR="002A3E9D" w:rsidRPr="002F30DF">
        <w:rPr>
          <w:sz w:val="20"/>
          <w:szCs w:val="20"/>
        </w:rPr>
        <w:t xml:space="preserve"> </w:t>
      </w:r>
      <w:r w:rsidRPr="002F30DF">
        <w:rPr>
          <w:sz w:val="20"/>
          <w:szCs w:val="20"/>
        </w:rPr>
        <w:t>ali v informacijskem sistemu za sprejemanje vlog, vročanje in obveščanje, v katerem stranka svojo istovetnost dokaže s svojim kvalificiranim potrdilom za elektronski podpis. Pregled in prepis dokumentov se lahko zahteva pisno ali ustno.</w:t>
      </w:r>
    </w:p>
    <w:p w:rsidR="004734D8" w:rsidRPr="002F30DF" w:rsidRDefault="004734D8" w:rsidP="0025166A">
      <w:pPr>
        <w:pStyle w:val="Odstavek"/>
        <w:spacing w:before="0" w:line="260" w:lineRule="atLeast"/>
        <w:ind w:firstLine="0"/>
        <w:rPr>
          <w:sz w:val="20"/>
          <w:szCs w:val="20"/>
        </w:rPr>
      </w:pPr>
    </w:p>
    <w:p w:rsidR="004734D8" w:rsidRPr="002F30DF" w:rsidRDefault="004734D8" w:rsidP="0025166A">
      <w:pPr>
        <w:pStyle w:val="Odstavek"/>
        <w:spacing w:before="0" w:line="260" w:lineRule="atLeast"/>
        <w:ind w:firstLine="0"/>
        <w:rPr>
          <w:sz w:val="20"/>
          <w:szCs w:val="20"/>
        </w:rPr>
      </w:pPr>
      <w:r w:rsidRPr="002F30DF">
        <w:rPr>
          <w:sz w:val="20"/>
          <w:szCs w:val="20"/>
        </w:rPr>
        <w:t xml:space="preserve">Ker se v spisu lahko nahajajo tudi podatki iz informatiziranih evidenc ter drugi podatki in zapisi v elektronski obliki, je v </w:t>
      </w:r>
      <w:r w:rsidRPr="002F30DF">
        <w:rPr>
          <w:sz w:val="20"/>
          <w:szCs w:val="20"/>
          <w:u w:val="single"/>
        </w:rPr>
        <w:t>drugem odstavku</w:t>
      </w:r>
      <w:r w:rsidRPr="002F30DF">
        <w:rPr>
          <w:sz w:val="20"/>
          <w:szCs w:val="20"/>
        </w:rPr>
        <w:t xml:space="preserve"> določeno, da se ti podatki štejejo za dokument v tej zadevi.</w:t>
      </w:r>
    </w:p>
    <w:p w:rsidR="007522E3" w:rsidRPr="002F30DF" w:rsidRDefault="007522E3" w:rsidP="0025166A">
      <w:pPr>
        <w:spacing w:line="260" w:lineRule="atLeast"/>
        <w:rPr>
          <w:rFonts w:cs="Arial"/>
          <w:sz w:val="20"/>
          <w:szCs w:val="20"/>
        </w:rPr>
      </w:pPr>
    </w:p>
    <w:p w:rsidR="007522E3" w:rsidRPr="002F30DF" w:rsidRDefault="004734D8" w:rsidP="0025166A">
      <w:pPr>
        <w:spacing w:line="260" w:lineRule="atLeast"/>
        <w:rPr>
          <w:rFonts w:cs="Arial"/>
          <w:sz w:val="20"/>
          <w:szCs w:val="20"/>
        </w:rPr>
      </w:pPr>
      <w:r w:rsidRPr="002F30DF">
        <w:rPr>
          <w:rFonts w:cs="Arial"/>
          <w:sz w:val="20"/>
          <w:szCs w:val="20"/>
        </w:rPr>
        <w:t xml:space="preserve">S </w:t>
      </w:r>
      <w:r w:rsidR="007522E3" w:rsidRPr="002F30DF">
        <w:rPr>
          <w:rFonts w:cs="Arial"/>
          <w:sz w:val="20"/>
          <w:szCs w:val="20"/>
        </w:rPr>
        <w:t xml:space="preserve">predlogom </w:t>
      </w:r>
      <w:r w:rsidRPr="002F30DF">
        <w:rPr>
          <w:rFonts w:cs="Arial"/>
          <w:sz w:val="20"/>
          <w:szCs w:val="20"/>
          <w:u w:val="single"/>
        </w:rPr>
        <w:t>tretjega odstavka</w:t>
      </w:r>
      <w:r w:rsidRPr="002F30DF">
        <w:rPr>
          <w:rFonts w:cs="Arial"/>
          <w:sz w:val="20"/>
          <w:szCs w:val="20"/>
        </w:rPr>
        <w:t xml:space="preserve"> </w:t>
      </w:r>
      <w:r w:rsidR="007522E3" w:rsidRPr="002F30DF">
        <w:rPr>
          <w:rFonts w:cs="Arial"/>
          <w:sz w:val="20"/>
          <w:szCs w:val="20"/>
        </w:rPr>
        <w:t>se ohranja</w:t>
      </w:r>
      <w:r w:rsidRPr="002F30DF">
        <w:rPr>
          <w:rFonts w:cs="Arial"/>
          <w:sz w:val="20"/>
          <w:szCs w:val="20"/>
        </w:rPr>
        <w:t xml:space="preserve"> dosedanja</w:t>
      </w:r>
      <w:r w:rsidR="007522E3" w:rsidRPr="002F30DF">
        <w:rPr>
          <w:rFonts w:cs="Arial"/>
          <w:sz w:val="20"/>
          <w:szCs w:val="20"/>
        </w:rPr>
        <w:t xml:space="preserve"> časovna omejitev do pregleda dokumentov v spisu v postopkih omejevalnih ravnanj. Tretji odstavek </w:t>
      </w:r>
      <w:r w:rsidR="002A3E9D" w:rsidRPr="002F30DF">
        <w:rPr>
          <w:rFonts w:cs="Arial"/>
          <w:sz w:val="20"/>
          <w:szCs w:val="20"/>
        </w:rPr>
        <w:t>določa</w:t>
      </w:r>
      <w:r w:rsidR="007522E3" w:rsidRPr="002F30DF">
        <w:rPr>
          <w:rFonts w:cs="Arial"/>
          <w:sz w:val="20"/>
          <w:szCs w:val="20"/>
        </w:rPr>
        <w:t>, da imajo stranke pravico do pregleda dokumentov zadeve</w:t>
      </w:r>
      <w:r w:rsidR="00E51E7E" w:rsidRPr="002F30DF">
        <w:rPr>
          <w:rFonts w:cs="Arial"/>
          <w:sz w:val="20"/>
          <w:szCs w:val="20"/>
        </w:rPr>
        <w:t>.</w:t>
      </w:r>
      <w:r w:rsidR="007522E3" w:rsidRPr="002F30DF">
        <w:rPr>
          <w:rFonts w:cs="Arial"/>
          <w:sz w:val="20"/>
          <w:szCs w:val="20"/>
        </w:rPr>
        <w:t>.</w:t>
      </w:r>
      <w:r w:rsidR="00EC38C8" w:rsidRPr="002F30DF">
        <w:rPr>
          <w:rFonts w:cs="Arial"/>
          <w:sz w:val="20"/>
          <w:szCs w:val="20"/>
        </w:rPr>
        <w:t xml:space="preserve"> </w:t>
      </w:r>
      <w:r w:rsidR="002250B3" w:rsidRPr="002F30DF">
        <w:rPr>
          <w:rFonts w:cs="Arial"/>
          <w:sz w:val="20"/>
          <w:szCs w:val="20"/>
        </w:rPr>
        <w:t xml:space="preserve">V postopku presoje koncentracije pridobijo stranke pravico do pregleda dokumentov z dnem začetka postopka priglasitve koncentracije. </w:t>
      </w:r>
      <w:r w:rsidR="007522E3" w:rsidRPr="002F30DF">
        <w:rPr>
          <w:rFonts w:cs="Arial"/>
          <w:sz w:val="20"/>
          <w:szCs w:val="20"/>
        </w:rPr>
        <w:t xml:space="preserve">V primeru, da bi bilo izvajanje pravice do pregleda dokumentov v nasprotju z interesi postopka, lahko </w:t>
      </w:r>
      <w:r w:rsidR="00D93BA5" w:rsidRPr="002F30DF">
        <w:rPr>
          <w:rFonts w:cs="Arial"/>
          <w:sz w:val="20"/>
          <w:szCs w:val="20"/>
        </w:rPr>
        <w:t>a</w:t>
      </w:r>
      <w:r w:rsidR="0045309B" w:rsidRPr="002F30DF">
        <w:rPr>
          <w:rFonts w:cs="Arial"/>
          <w:sz w:val="20"/>
          <w:szCs w:val="20"/>
        </w:rPr>
        <w:t>genc</w:t>
      </w:r>
      <w:r w:rsidR="007522E3" w:rsidRPr="002F30DF">
        <w:rPr>
          <w:rFonts w:cs="Arial"/>
          <w:sz w:val="20"/>
          <w:szCs w:val="20"/>
        </w:rPr>
        <w:t>ij</w:t>
      </w:r>
      <w:r w:rsidR="002A3E9D" w:rsidRPr="002F30DF">
        <w:rPr>
          <w:rFonts w:cs="Arial"/>
          <w:sz w:val="20"/>
          <w:szCs w:val="20"/>
        </w:rPr>
        <w:t>a</w:t>
      </w:r>
      <w:r w:rsidR="007522E3" w:rsidRPr="002F30DF">
        <w:rPr>
          <w:rFonts w:cs="Arial"/>
          <w:sz w:val="20"/>
          <w:szCs w:val="20"/>
        </w:rPr>
        <w:t xml:space="preserve"> izda sklep, s katerim pravico do pregleda dokumentov odloži, vendar ne dlje kot do vročitve povzetka relevantnih dejstev. Na ta način je še vedno zagotovljena pravica stranke do obrambe. Zoper sklep </w:t>
      </w:r>
      <w:r w:rsidR="00D93BA5"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ije ni sodnega varstva. </w:t>
      </w:r>
    </w:p>
    <w:p w:rsidR="007522E3" w:rsidRPr="002F30DF" w:rsidRDefault="007A25FA" w:rsidP="007A25FA">
      <w:pPr>
        <w:tabs>
          <w:tab w:val="left" w:pos="5007"/>
        </w:tabs>
        <w:spacing w:line="260" w:lineRule="atLeast"/>
        <w:rPr>
          <w:rFonts w:cs="Arial"/>
          <w:sz w:val="20"/>
          <w:szCs w:val="20"/>
        </w:rPr>
      </w:pPr>
      <w:r w:rsidRPr="002F30DF">
        <w:rPr>
          <w:rFonts w:cs="Arial"/>
          <w:sz w:val="20"/>
          <w:szCs w:val="20"/>
        </w:rPr>
        <w:tab/>
      </w: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ija pri svojem delu pogosto raziskuje dejstva, za ugotovitev katerih je potrebno strokovno znanje, s katerim ne razpolaga. V navedenih primerih je potrebno postaviti izvedenca</w:t>
      </w:r>
      <w:r w:rsidR="00310456" w:rsidRPr="002F30DF">
        <w:rPr>
          <w:rFonts w:cs="Arial"/>
          <w:sz w:val="20"/>
          <w:szCs w:val="20"/>
        </w:rPr>
        <w:t xml:space="preserve"> ali izvedenko (v nadaljnjem besedilu: izvedenec)</w:t>
      </w:r>
      <w:r w:rsidR="007522E3" w:rsidRPr="002F30DF">
        <w:rPr>
          <w:rFonts w:cs="Arial"/>
          <w:sz w:val="20"/>
          <w:szCs w:val="20"/>
        </w:rPr>
        <w:t xml:space="preserve">, kateremu mora biti prav tako omogočen vpogled v spis, da lahko poda svoj izvid ali mnenje. Zato je v </w:t>
      </w:r>
      <w:r w:rsidR="007522E3" w:rsidRPr="002F30DF">
        <w:rPr>
          <w:rFonts w:cs="Arial"/>
          <w:sz w:val="20"/>
          <w:szCs w:val="20"/>
          <w:u w:val="single"/>
        </w:rPr>
        <w:t>četrtem odstavku</w:t>
      </w:r>
      <w:r w:rsidR="007522E3" w:rsidRPr="002F30DF">
        <w:rPr>
          <w:rFonts w:cs="Arial"/>
          <w:sz w:val="20"/>
          <w:szCs w:val="20"/>
        </w:rPr>
        <w:t xml:space="preserve"> urejena tudi pravica do vpogleda v spis in pregledov dokumentov zadeve za izvedence.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pa se v spisu nahajajo tudi občutljivi dokumenti, ki bi lahko z razkritjem škodovali postopku </w:t>
      </w:r>
      <w:r w:rsidR="00B67AC6" w:rsidRPr="002F30DF">
        <w:rPr>
          <w:rFonts w:cs="Arial"/>
          <w:sz w:val="20"/>
          <w:szCs w:val="20"/>
        </w:rPr>
        <w:t>a</w:t>
      </w:r>
      <w:r w:rsidR="0045309B" w:rsidRPr="002F30DF">
        <w:rPr>
          <w:rFonts w:cs="Arial"/>
          <w:sz w:val="20"/>
          <w:szCs w:val="20"/>
        </w:rPr>
        <w:t>genc</w:t>
      </w:r>
      <w:r w:rsidRPr="002F30DF">
        <w:rPr>
          <w:rFonts w:cs="Arial"/>
          <w:sz w:val="20"/>
          <w:szCs w:val="20"/>
        </w:rPr>
        <w:t xml:space="preserve">ije, ali pa drugim podjetjem, je v </w:t>
      </w:r>
      <w:r w:rsidRPr="002F30DF">
        <w:rPr>
          <w:rFonts w:cs="Arial"/>
          <w:sz w:val="20"/>
          <w:szCs w:val="20"/>
          <w:u w:val="single"/>
        </w:rPr>
        <w:t>petem odstavku</w:t>
      </w:r>
      <w:r w:rsidRPr="002F30DF">
        <w:rPr>
          <w:rFonts w:cs="Arial"/>
          <w:sz w:val="20"/>
          <w:szCs w:val="20"/>
        </w:rPr>
        <w:t xml:space="preserve"> določena omejitev do pregledovanja in preslikavanja nekaterih dokumentov. Tako je prepovedano pregledovati in preslikovati interne dokumente </w:t>
      </w:r>
      <w:r w:rsidR="00B67AC6" w:rsidRPr="002F30DF">
        <w:rPr>
          <w:rFonts w:cs="Arial"/>
          <w:sz w:val="20"/>
          <w:szCs w:val="20"/>
        </w:rPr>
        <w:t>a</w:t>
      </w:r>
      <w:r w:rsidR="0045309B" w:rsidRPr="002F30DF">
        <w:rPr>
          <w:rFonts w:cs="Arial"/>
          <w:sz w:val="20"/>
          <w:szCs w:val="20"/>
        </w:rPr>
        <w:t>genc</w:t>
      </w:r>
      <w:r w:rsidRPr="002F30DF">
        <w:rPr>
          <w:rFonts w:cs="Arial"/>
          <w:sz w:val="20"/>
          <w:szCs w:val="20"/>
        </w:rPr>
        <w:t xml:space="preserve">ije, torej notranje dokumente </w:t>
      </w:r>
      <w:r w:rsidR="00B67AC6" w:rsidRPr="002F30DF">
        <w:rPr>
          <w:rFonts w:cs="Arial"/>
          <w:sz w:val="20"/>
          <w:szCs w:val="20"/>
        </w:rPr>
        <w:t>a</w:t>
      </w:r>
      <w:r w:rsidR="0045309B" w:rsidRPr="002F30DF">
        <w:rPr>
          <w:rFonts w:cs="Arial"/>
          <w:sz w:val="20"/>
          <w:szCs w:val="20"/>
        </w:rPr>
        <w:t>genc</w:t>
      </w:r>
      <w:r w:rsidRPr="002F30DF">
        <w:rPr>
          <w:rFonts w:cs="Arial"/>
          <w:sz w:val="20"/>
          <w:szCs w:val="20"/>
        </w:rPr>
        <w:t xml:space="preserve">ije, ki niso del dokaznega gradiva, na katerega </w:t>
      </w:r>
      <w:r w:rsidR="00B67AC6" w:rsidRPr="002F30DF">
        <w:rPr>
          <w:rFonts w:cs="Arial"/>
          <w:sz w:val="20"/>
          <w:szCs w:val="20"/>
        </w:rPr>
        <w:t>a</w:t>
      </w:r>
      <w:r w:rsidR="0045309B" w:rsidRPr="002F30DF">
        <w:rPr>
          <w:rFonts w:cs="Arial"/>
          <w:sz w:val="20"/>
          <w:szCs w:val="20"/>
        </w:rPr>
        <w:t>genc</w:t>
      </w:r>
      <w:r w:rsidRPr="002F30DF">
        <w:rPr>
          <w:rFonts w:cs="Arial"/>
          <w:sz w:val="20"/>
          <w:szCs w:val="20"/>
        </w:rPr>
        <w:t xml:space="preserve">ija opre svojo odločitev v postopku. Sem spadajo mnenja med organizacijskimi enotami </w:t>
      </w:r>
      <w:r w:rsidR="00B67AC6" w:rsidRPr="002F30DF">
        <w:rPr>
          <w:rFonts w:cs="Arial"/>
          <w:sz w:val="20"/>
          <w:szCs w:val="20"/>
        </w:rPr>
        <w:t>a</w:t>
      </w:r>
      <w:r w:rsidR="00310456" w:rsidRPr="002F30DF">
        <w:rPr>
          <w:rFonts w:cs="Arial"/>
          <w:sz w:val="20"/>
          <w:szCs w:val="20"/>
        </w:rPr>
        <w:t>gencije</w:t>
      </w:r>
      <w:r w:rsidRPr="002F30DF">
        <w:rPr>
          <w:rFonts w:cs="Arial"/>
          <w:sz w:val="20"/>
          <w:szCs w:val="20"/>
        </w:rPr>
        <w:t xml:space="preserve">, njihovi zaznamki v zadevah, dopisovanja med </w:t>
      </w:r>
      <w:r w:rsidR="00B67AC6" w:rsidRPr="002F30DF">
        <w:rPr>
          <w:rFonts w:cs="Arial"/>
          <w:sz w:val="20"/>
          <w:szCs w:val="20"/>
        </w:rPr>
        <w:t>a</w:t>
      </w:r>
      <w:r w:rsidR="0045309B" w:rsidRPr="002F30DF">
        <w:rPr>
          <w:rFonts w:cs="Arial"/>
          <w:sz w:val="20"/>
          <w:szCs w:val="20"/>
        </w:rPr>
        <w:t>genc</w:t>
      </w:r>
      <w:r w:rsidRPr="002F30DF">
        <w:rPr>
          <w:rFonts w:cs="Arial"/>
          <w:sz w:val="20"/>
          <w:szCs w:val="20"/>
        </w:rPr>
        <w:t xml:space="preserve">ijo in organi, pristojnimi za varstvo konkurence drugih držav članic, ter Evropsko </w:t>
      </w:r>
      <w:r w:rsidR="0045309B" w:rsidRPr="002F30DF">
        <w:rPr>
          <w:rFonts w:cs="Arial"/>
          <w:sz w:val="20"/>
          <w:szCs w:val="20"/>
        </w:rPr>
        <w:t>komisijo</w:t>
      </w:r>
      <w:r w:rsidRPr="002F30DF">
        <w:rPr>
          <w:rFonts w:cs="Arial"/>
          <w:sz w:val="20"/>
          <w:szCs w:val="20"/>
        </w:rPr>
        <w:t>, ki potekajo na podlagi Uredbe 1/2003, Obvestila Komisije o sodelovanju znotraj Evropske mreže za konkurenco ter drugih aktov Evropske unije.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je varstvo zaupnih podatkov v postopkih pred </w:t>
      </w:r>
      <w:r w:rsidR="00B67AC6" w:rsidRPr="002F30DF">
        <w:rPr>
          <w:rFonts w:cs="Arial"/>
          <w:sz w:val="20"/>
          <w:szCs w:val="20"/>
        </w:rPr>
        <w:t>a</w:t>
      </w:r>
      <w:r w:rsidR="0045309B" w:rsidRPr="002F30DF">
        <w:rPr>
          <w:rFonts w:cs="Arial"/>
          <w:sz w:val="20"/>
          <w:szCs w:val="20"/>
        </w:rPr>
        <w:t>genc</w:t>
      </w:r>
      <w:r w:rsidRPr="002F30DF">
        <w:rPr>
          <w:rFonts w:cs="Arial"/>
          <w:sz w:val="20"/>
          <w:szCs w:val="20"/>
        </w:rPr>
        <w:t xml:space="preserve">ijo ključnega pomena za izvedbo postopka, se pravica do vpogleda ne nanaša na zaupne podatke, torej </w:t>
      </w:r>
      <w:r w:rsidRPr="002F30DF">
        <w:rPr>
          <w:rFonts w:cs="Arial"/>
          <w:sz w:val="20"/>
          <w:szCs w:val="20"/>
        </w:rPr>
        <w:lastRenderedPageBreak/>
        <w:t>na poslovne skrivnosti ali druge zaupne podatke. Upoštevati je treba, da v postopku lahko sodelujejo podjetja, ki si na trgu medsebojno konkurirajo, in ni mogoče zanemariti nevarnosti, da bi podjetja udeležbo v postopku eventualno lahko zlorabila za neupravičeno pridobitev zaupnih podatkov drugega podjetja in si s tem ustvarila konkurenčno prednost. Gre torej za upravičen interes podjetij po zaščiti podatkov, ki se npr. nanašajo na podatke o kalkulaciji cen, stroškovni in cenovni strukturi proizvodov ali storitev ter poslovni strategiji podjetij. Ker gre za omejitev pravic udeležencev v postopku, je potrebna izrecna in natančna zakonska ureditev.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Pravica do vpogleda v spis se omejuje tudi glede podatkov in dokumentov, ki se nanašajo na identifikacijo posameznika ali podjetja, kadar le-ta to zahteva. Na ta način se zagotavlja tajnost vira tudi med samim postopkom. Glede varstva zaupnih podatkov nosi odgovornost primarno podjetje samo, in sicer tako, da mora v vlogah, listinah in prilogah, ki jih pošlje </w:t>
      </w:r>
      <w:r w:rsidR="00BC0DD8" w:rsidRPr="002F30DF">
        <w:rPr>
          <w:rFonts w:cs="Arial"/>
          <w:sz w:val="20"/>
          <w:szCs w:val="20"/>
        </w:rPr>
        <w:t>a</w:t>
      </w:r>
      <w:r w:rsidR="0045309B" w:rsidRPr="002F30DF">
        <w:rPr>
          <w:rFonts w:cs="Arial"/>
          <w:sz w:val="20"/>
          <w:szCs w:val="20"/>
        </w:rPr>
        <w:t>genc</w:t>
      </w:r>
      <w:r w:rsidRPr="002F30DF">
        <w:rPr>
          <w:rFonts w:cs="Arial"/>
          <w:sz w:val="20"/>
          <w:szCs w:val="20"/>
        </w:rPr>
        <w:t xml:space="preserve">ija jasno opredeliti, kateri podatki so zaupni.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Šesti odstavek</w:t>
      </w:r>
      <w:r w:rsidRPr="002F30DF">
        <w:rPr>
          <w:rFonts w:cs="Arial"/>
          <w:sz w:val="20"/>
          <w:szCs w:val="20"/>
        </w:rPr>
        <w:t xml:space="preserve"> določa, da obstoj </w:t>
      </w:r>
      <w:r w:rsidR="00AF1D45" w:rsidRPr="002F30DF">
        <w:rPr>
          <w:rFonts w:cs="Arial"/>
          <w:sz w:val="20"/>
          <w:szCs w:val="20"/>
        </w:rPr>
        <w:t>zaupnih podatkov</w:t>
      </w:r>
      <w:r w:rsidRPr="002F30DF">
        <w:rPr>
          <w:rFonts w:cs="Arial"/>
          <w:sz w:val="20"/>
          <w:szCs w:val="20"/>
        </w:rPr>
        <w:t xml:space="preserve"> dokazuje tisti, ki to pravico uveljavlja, torej podjetje. Na zahtevo </w:t>
      </w:r>
      <w:r w:rsidR="00BC0DD8" w:rsidRPr="002F30DF">
        <w:rPr>
          <w:rFonts w:cs="Arial"/>
          <w:sz w:val="20"/>
          <w:szCs w:val="20"/>
        </w:rPr>
        <w:t>a</w:t>
      </w:r>
      <w:r w:rsidR="0045309B" w:rsidRPr="002F30DF">
        <w:rPr>
          <w:rFonts w:cs="Arial"/>
          <w:sz w:val="20"/>
          <w:szCs w:val="20"/>
        </w:rPr>
        <w:t>genc</w:t>
      </w:r>
      <w:r w:rsidRPr="002F30DF">
        <w:rPr>
          <w:rFonts w:cs="Arial"/>
          <w:sz w:val="20"/>
          <w:szCs w:val="20"/>
        </w:rPr>
        <w:t xml:space="preserve">ije je podjetje dolžno predložiti </w:t>
      </w:r>
      <w:r w:rsidR="00AF1D45" w:rsidRPr="002F30DF">
        <w:rPr>
          <w:rFonts w:cs="Arial"/>
          <w:sz w:val="20"/>
          <w:szCs w:val="20"/>
        </w:rPr>
        <w:t xml:space="preserve">različico </w:t>
      </w:r>
      <w:r w:rsidRPr="002F30DF">
        <w:rPr>
          <w:rFonts w:cs="Arial"/>
          <w:sz w:val="20"/>
          <w:szCs w:val="20"/>
        </w:rPr>
        <w:t xml:space="preserve">dokumenta, ki ne vsebuje </w:t>
      </w:r>
      <w:r w:rsidR="00E408FB" w:rsidRPr="002F30DF">
        <w:rPr>
          <w:rFonts w:cs="Arial"/>
          <w:sz w:val="20"/>
          <w:szCs w:val="20"/>
        </w:rPr>
        <w:t xml:space="preserve">zaupnih podatkov </w:t>
      </w:r>
      <w:r w:rsidRPr="002F30DF">
        <w:rPr>
          <w:rFonts w:cs="Arial"/>
          <w:sz w:val="20"/>
          <w:szCs w:val="20"/>
        </w:rPr>
        <w:t xml:space="preserve"> oziroma podatkov, ki bi omogočali razkritje vira. Nenazadnje je vpogled izrecno omejen tudi glede osnutkov odločb in zapisnika o posvetovanju in glasovanju.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00923E54" w:rsidRPr="002F30DF">
        <w:rPr>
          <w:rFonts w:cs="Arial"/>
          <w:sz w:val="20"/>
          <w:szCs w:val="20"/>
          <w:u w:val="single"/>
        </w:rPr>
        <w:t xml:space="preserve">sedmem </w:t>
      </w:r>
      <w:r w:rsidRPr="002F30DF">
        <w:rPr>
          <w:rFonts w:cs="Arial"/>
          <w:sz w:val="20"/>
          <w:szCs w:val="20"/>
          <w:u w:val="single"/>
        </w:rPr>
        <w:t>odstavku</w:t>
      </w:r>
      <w:r w:rsidRPr="002F30DF">
        <w:rPr>
          <w:rFonts w:cs="Arial"/>
          <w:sz w:val="20"/>
          <w:szCs w:val="20"/>
        </w:rPr>
        <w:t xml:space="preserve"> je urejana izjema od omejitve razkritja zaupnih podatkov. Pravico do varovanja </w:t>
      </w:r>
      <w:r w:rsidR="00AF1D45" w:rsidRPr="002F30DF">
        <w:rPr>
          <w:rFonts w:cs="Arial"/>
          <w:sz w:val="20"/>
          <w:szCs w:val="20"/>
        </w:rPr>
        <w:t>zaupnih podatkov</w:t>
      </w:r>
      <w:r w:rsidRPr="002F30DF">
        <w:rPr>
          <w:rFonts w:cs="Arial"/>
          <w:sz w:val="20"/>
          <w:szCs w:val="20"/>
        </w:rPr>
        <w:t xml:space="preserve"> imajo vsa podjetja, ki sodelujejo v postopku, s tem, da je podjetj</w:t>
      </w:r>
      <w:r w:rsidR="004A6415" w:rsidRPr="002F30DF">
        <w:rPr>
          <w:rFonts w:cs="Arial"/>
          <w:sz w:val="20"/>
          <w:szCs w:val="20"/>
        </w:rPr>
        <w:t>em,</w:t>
      </w:r>
      <w:r w:rsidRPr="002F30DF">
        <w:rPr>
          <w:rFonts w:cs="Arial"/>
          <w:sz w:val="20"/>
          <w:szCs w:val="20"/>
        </w:rPr>
        <w:t xml:space="preserve"> proti katerim </w:t>
      </w:r>
      <w:r w:rsidR="00BC0DD8" w:rsidRPr="002F30DF">
        <w:rPr>
          <w:rFonts w:cs="Arial"/>
          <w:sz w:val="20"/>
          <w:szCs w:val="20"/>
        </w:rPr>
        <w:t>a</w:t>
      </w:r>
      <w:r w:rsidR="0045309B" w:rsidRPr="002F30DF">
        <w:rPr>
          <w:rFonts w:cs="Arial"/>
          <w:sz w:val="20"/>
          <w:szCs w:val="20"/>
        </w:rPr>
        <w:t>genc</w:t>
      </w:r>
      <w:r w:rsidRPr="002F30DF">
        <w:rPr>
          <w:rFonts w:cs="Arial"/>
          <w:sz w:val="20"/>
          <w:szCs w:val="20"/>
        </w:rPr>
        <w:t>ij</w:t>
      </w:r>
      <w:r w:rsidR="004A6415" w:rsidRPr="002F30DF">
        <w:rPr>
          <w:rFonts w:cs="Arial"/>
          <w:sz w:val="20"/>
          <w:szCs w:val="20"/>
        </w:rPr>
        <w:t>a vodi postopek in priglasiteljem</w:t>
      </w:r>
      <w:r w:rsidRPr="002F30DF">
        <w:rPr>
          <w:rFonts w:cs="Arial"/>
          <w:sz w:val="20"/>
          <w:szCs w:val="20"/>
        </w:rPr>
        <w:t xml:space="preserve"> koncentracij, dana možnost, da se izjavijo glede vseh dejstev in dokazov, na katere se opira odločba. </w:t>
      </w:r>
      <w:r w:rsidR="00923E54" w:rsidRPr="002F30DF">
        <w:rPr>
          <w:rFonts w:cs="Arial"/>
          <w:sz w:val="20"/>
          <w:szCs w:val="20"/>
        </w:rPr>
        <w:t>Če</w:t>
      </w:r>
      <w:r w:rsidRPr="002F30DF">
        <w:rPr>
          <w:rFonts w:cs="Arial"/>
          <w:sz w:val="20"/>
          <w:szCs w:val="20"/>
        </w:rPr>
        <w:t xml:space="preserve"> želi</w:t>
      </w:r>
      <w:r w:rsidR="00923E54" w:rsidRPr="002F30DF">
        <w:rPr>
          <w:rFonts w:cs="Arial"/>
          <w:sz w:val="20"/>
          <w:szCs w:val="20"/>
        </w:rPr>
        <w:t xml:space="preserve"> agencija v teh primerih</w:t>
      </w:r>
      <w:r w:rsidRPr="002F30DF">
        <w:rPr>
          <w:rFonts w:cs="Arial"/>
          <w:sz w:val="20"/>
          <w:szCs w:val="20"/>
        </w:rPr>
        <w:t xml:space="preserve"> opreti odločbo na podatke, ki so jih druga podjetja označila in utemeljila kot </w:t>
      </w:r>
      <w:r w:rsidR="00AF1D45" w:rsidRPr="002F30DF">
        <w:rPr>
          <w:rFonts w:cs="Arial"/>
          <w:sz w:val="20"/>
          <w:szCs w:val="20"/>
        </w:rPr>
        <w:t>zaupne podatke</w:t>
      </w:r>
      <w:r w:rsidRPr="002F30DF">
        <w:rPr>
          <w:rFonts w:cs="Arial"/>
          <w:sz w:val="20"/>
          <w:szCs w:val="20"/>
        </w:rPr>
        <w:t xml:space="preserve">, le-te </w:t>
      </w:r>
      <w:r w:rsidR="00E408FB" w:rsidRPr="002F30DF">
        <w:rPr>
          <w:rFonts w:cs="Arial"/>
          <w:sz w:val="20"/>
          <w:szCs w:val="20"/>
        </w:rPr>
        <w:t xml:space="preserve">razkrije </w:t>
      </w:r>
      <w:r w:rsidRPr="002F30DF">
        <w:rPr>
          <w:rFonts w:cs="Arial"/>
          <w:sz w:val="20"/>
          <w:szCs w:val="20"/>
        </w:rPr>
        <w:t>podjetjem, proti katerim vodi postopke in priglasiteljem koncentracij</w:t>
      </w:r>
      <w:r w:rsidR="004A6415" w:rsidRPr="002F30DF">
        <w:rPr>
          <w:rFonts w:cs="Arial"/>
          <w:sz w:val="20"/>
          <w:szCs w:val="20"/>
        </w:rPr>
        <w:t>, v</w:t>
      </w:r>
      <w:r w:rsidRPr="002F30DF">
        <w:rPr>
          <w:rFonts w:cs="Arial"/>
          <w:sz w:val="20"/>
          <w:szCs w:val="20"/>
        </w:rPr>
        <w:t xml:space="preserve">endar le, če presodi, da njihovo razkritje, zaradi zagotovitve pravice do obrambe, objektivno prevlada nad interesom varovanja teh podatkov kot zaupnih podatkov. Pravica do obrambe ima namreč tudi po sodni praksi </w:t>
      </w:r>
      <w:r w:rsidR="004A6415" w:rsidRPr="002F30DF">
        <w:rPr>
          <w:rFonts w:cs="Arial"/>
          <w:sz w:val="20"/>
          <w:szCs w:val="20"/>
        </w:rPr>
        <w:t xml:space="preserve">Sodišča </w:t>
      </w:r>
      <w:r w:rsidRPr="002F30DF">
        <w:rPr>
          <w:rFonts w:cs="Arial"/>
          <w:sz w:val="20"/>
          <w:szCs w:val="20"/>
        </w:rPr>
        <w:t>E</w:t>
      </w:r>
      <w:r w:rsidR="004A6415" w:rsidRPr="002F30DF">
        <w:rPr>
          <w:rFonts w:cs="Arial"/>
          <w:sz w:val="20"/>
          <w:szCs w:val="20"/>
        </w:rPr>
        <w:t>U</w:t>
      </w:r>
      <w:r w:rsidRPr="002F30DF">
        <w:rPr>
          <w:rFonts w:cs="Arial"/>
          <w:sz w:val="20"/>
          <w:szCs w:val="20"/>
        </w:rPr>
        <w:t xml:space="preserve"> načeloma prednost pred varstvom zaupnih podatkov (tehta se pomembnost podatka za ugotavljanje morebitne kršitve, nepogrešljivost podatka, resnost domnevne kršitve).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Ta člen tudi odraža 3. člen Direktive 2019/1, ki določa, </w:t>
      </w:r>
      <w:r w:rsidRPr="002F30DF">
        <w:rPr>
          <w:rFonts w:cs="Arial"/>
          <w:i/>
          <w:sz w:val="20"/>
          <w:szCs w:val="20"/>
        </w:rPr>
        <w:t xml:space="preserve">da mora biti postopek v zvezi s kršitvami 101. ali 102. člena PDEU skladen s splošnimi načeli prava Unije </w:t>
      </w:r>
      <w:r w:rsidRPr="002F30DF">
        <w:rPr>
          <w:rFonts w:cs="Arial"/>
          <w:i/>
          <w:sz w:val="20"/>
          <w:szCs w:val="20"/>
        </w:rPr>
        <w:lastRenderedPageBreak/>
        <w:t>in Listine Evropske unije o temeljnih pravicah</w:t>
      </w:r>
      <w:r w:rsidRPr="002F30DF">
        <w:rPr>
          <w:rFonts w:cs="Arial"/>
          <w:sz w:val="20"/>
          <w:szCs w:val="20"/>
        </w:rPr>
        <w:t xml:space="preserve">. V 14. uvodni </w:t>
      </w:r>
      <w:r w:rsidR="00721AA6" w:rsidRPr="002F30DF">
        <w:rPr>
          <w:rFonts w:cs="Arial"/>
          <w:sz w:val="20"/>
          <w:szCs w:val="20"/>
        </w:rPr>
        <w:t>izjavi</w:t>
      </w:r>
      <w:r w:rsidRPr="002F30DF">
        <w:rPr>
          <w:rFonts w:cs="Arial"/>
          <w:sz w:val="20"/>
          <w:szCs w:val="20"/>
        </w:rPr>
        <w:t xml:space="preserve"> je pojasnjeno, da</w:t>
      </w:r>
      <w:r w:rsidRPr="002F30DF">
        <w:rPr>
          <w:rFonts w:cs="Arial"/>
          <w:i/>
          <w:sz w:val="20"/>
          <w:szCs w:val="20"/>
        </w:rPr>
        <w:t xml:space="preserve"> zaščitni ukrepi, ki bi morali veljati, vključujejo pravico do dobrega upravljanja in spoštovanje pravic obrambe podjetij, katerih bistven sestavni del je pravica do izjave. Zlasti bi morali nacionalni organi, pristojni za varstvo konkurence stranke, ki so predmet preiskave, še pred sprejetjem odločbe, s katero je ugotovljena kršitev, s povzetkom ugotovitev o domnevnih kršitvah ali podobnim ukrepom obvestiti o predhodnih ugotovitvah o domnevnih kršitvah, podanih zoper njih v skladu s 101</w:t>
      </w:r>
      <w:r w:rsidR="00CD5AD1" w:rsidRPr="002F30DF">
        <w:rPr>
          <w:rFonts w:cs="Arial"/>
          <w:i/>
          <w:sz w:val="20"/>
          <w:szCs w:val="20"/>
        </w:rPr>
        <w:t xml:space="preserve">. </w:t>
      </w:r>
      <w:r w:rsidRPr="002F30DF">
        <w:rPr>
          <w:rFonts w:cs="Arial"/>
          <w:i/>
          <w:sz w:val="20"/>
          <w:szCs w:val="20"/>
        </w:rPr>
        <w:t>ali 102</w:t>
      </w:r>
      <w:r w:rsidR="00CD5AD1" w:rsidRPr="002F30DF">
        <w:rPr>
          <w:rFonts w:cs="Arial"/>
          <w:i/>
          <w:sz w:val="20"/>
          <w:szCs w:val="20"/>
        </w:rPr>
        <w:t>. členom</w:t>
      </w:r>
      <w:r w:rsidRPr="002F30DF">
        <w:rPr>
          <w:rFonts w:cs="Arial"/>
          <w:i/>
          <w:sz w:val="20"/>
          <w:szCs w:val="20"/>
        </w:rPr>
        <w:t xml:space="preserve"> PDEU, zadevne stranke pa bi morale imeti priložnost, da učinkovito predstavijo svoja stališča o teh ugotovitvah, preden je takšna odločba sprejeta. Stranke, ki so jim predhodne ugotovitve o domnevni kršitvi 101</w:t>
      </w:r>
      <w:r w:rsidR="00CD5AD1" w:rsidRPr="002F30DF">
        <w:rPr>
          <w:rFonts w:cs="Arial"/>
          <w:i/>
          <w:sz w:val="20"/>
          <w:szCs w:val="20"/>
        </w:rPr>
        <w:t>.</w:t>
      </w:r>
      <w:r w:rsidRPr="002F30DF">
        <w:rPr>
          <w:rFonts w:cs="Arial"/>
          <w:i/>
          <w:sz w:val="20"/>
          <w:szCs w:val="20"/>
        </w:rPr>
        <w:t xml:space="preserve"> ali 102</w:t>
      </w:r>
      <w:r w:rsidR="00CD5AD1" w:rsidRPr="002F30DF">
        <w:rPr>
          <w:rFonts w:cs="Arial"/>
          <w:i/>
          <w:sz w:val="20"/>
          <w:szCs w:val="20"/>
        </w:rPr>
        <w:t>. člena</w:t>
      </w:r>
      <w:r w:rsidRPr="002F30DF">
        <w:rPr>
          <w:rFonts w:cs="Arial"/>
          <w:i/>
          <w:sz w:val="20"/>
          <w:szCs w:val="20"/>
        </w:rPr>
        <w:t xml:space="preserve"> PDEU vročene, bi morale imeti pravico do vpogleda v zadevni spis nacionalnega organa, pristojnega za varstvo konkurence, da bi lahko učinkovito uveljavljale svoje pravice obrambe. Pri pravici do vpogleda v zadevni spis bi bilo treba upoštevati pravno utemeljen interes podjetij do varovanja poslovnih skrivnosti in ta pravica se ne bi smela razširiti na zaupne informacije in interno dokumentacijo nacionalnih organov, pristojnih za varstvo konkurence in </w:t>
      </w:r>
      <w:r w:rsidR="00D93BA5" w:rsidRPr="002F30DF">
        <w:rPr>
          <w:rFonts w:cs="Arial"/>
          <w:i/>
          <w:sz w:val="20"/>
          <w:szCs w:val="20"/>
        </w:rPr>
        <w:t>a</w:t>
      </w:r>
      <w:r w:rsidR="0045309B" w:rsidRPr="002F30DF">
        <w:rPr>
          <w:rFonts w:cs="Arial"/>
          <w:i/>
          <w:sz w:val="20"/>
          <w:szCs w:val="20"/>
        </w:rPr>
        <w:t>genc</w:t>
      </w:r>
      <w:r w:rsidRPr="002F30DF">
        <w:rPr>
          <w:rFonts w:cs="Arial"/>
          <w:i/>
          <w:sz w:val="20"/>
          <w:szCs w:val="20"/>
        </w:rPr>
        <w:t>ije ter korespondenco med njimi. Poleg tega bi morali imeti naslovniki za odločbe nacionalnih organov, pristojnih za varstvo konkurence, zlasti za tiste odločbe, s katerimi je ugotovljena kršitev 101</w:t>
      </w:r>
      <w:r w:rsidR="00CD5AD1" w:rsidRPr="002F30DF">
        <w:rPr>
          <w:rFonts w:cs="Arial"/>
          <w:i/>
          <w:sz w:val="20"/>
          <w:szCs w:val="20"/>
        </w:rPr>
        <w:t>.</w:t>
      </w:r>
      <w:r w:rsidRPr="002F30DF">
        <w:rPr>
          <w:rFonts w:cs="Arial"/>
          <w:i/>
          <w:sz w:val="20"/>
          <w:szCs w:val="20"/>
        </w:rPr>
        <w:t xml:space="preserve"> ali 102</w:t>
      </w:r>
      <w:r w:rsidR="00CD5AD1" w:rsidRPr="002F30DF">
        <w:rPr>
          <w:rFonts w:cs="Arial"/>
          <w:i/>
          <w:sz w:val="20"/>
          <w:szCs w:val="20"/>
        </w:rPr>
        <w:t>. člena</w:t>
      </w:r>
      <w:r w:rsidRPr="002F30DF">
        <w:rPr>
          <w:rFonts w:cs="Arial"/>
          <w:i/>
          <w:sz w:val="20"/>
          <w:szCs w:val="20"/>
        </w:rPr>
        <w:t xml:space="preserve"> PDEU in s katerimi se izrekajo ukrepi ali globe, pravico do učinkovitega pravnega sredstva pred sodiščem v skladu s 47</w:t>
      </w:r>
      <w:r w:rsidR="00CD5AD1" w:rsidRPr="002F30DF">
        <w:rPr>
          <w:rFonts w:cs="Arial"/>
          <w:i/>
          <w:sz w:val="20"/>
          <w:szCs w:val="20"/>
        </w:rPr>
        <w:t>. členom</w:t>
      </w:r>
      <w:r w:rsidRPr="002F30DF">
        <w:rPr>
          <w:rFonts w:cs="Arial"/>
          <w:i/>
          <w:sz w:val="20"/>
          <w:szCs w:val="20"/>
        </w:rPr>
        <w:t xml:space="preserve"> Listine. Takšne odločbe bi morale biti obrazložene, da se lahko njihovi naslovniki seznanijo z njenimi razlogi in uveljavljajo svojo pravico do učinkovitega pravnega sredstva. Poleg tega bi morale države članice v skladu s pravico do dobrega upravljanja zagotoviti, da nacionalni organi, pristojni za varstvo konkurence, pri uporabi 101</w:t>
      </w:r>
      <w:r w:rsidR="00CD5AD1" w:rsidRPr="002F30DF">
        <w:rPr>
          <w:rFonts w:cs="Arial"/>
          <w:i/>
          <w:sz w:val="20"/>
          <w:szCs w:val="20"/>
        </w:rPr>
        <w:t>.</w:t>
      </w:r>
      <w:r w:rsidRPr="002F30DF">
        <w:rPr>
          <w:rFonts w:cs="Arial"/>
          <w:i/>
          <w:sz w:val="20"/>
          <w:szCs w:val="20"/>
        </w:rPr>
        <w:t xml:space="preserve"> in 102</w:t>
      </w:r>
      <w:r w:rsidR="00CD5AD1" w:rsidRPr="002F30DF">
        <w:rPr>
          <w:rFonts w:cs="Arial"/>
          <w:i/>
          <w:sz w:val="20"/>
          <w:szCs w:val="20"/>
        </w:rPr>
        <w:t>. člena</w:t>
      </w:r>
      <w:r w:rsidRPr="002F30DF">
        <w:rPr>
          <w:rFonts w:cs="Arial"/>
          <w:i/>
          <w:sz w:val="20"/>
          <w:szCs w:val="20"/>
        </w:rPr>
        <w:t xml:space="preserve"> PDEU izvajajo postopke v razumnem časovnem okviru, ob upoštevanju posebnosti vsake zadeve. Navedene zaščitne ukrepe bi bilo treba oblikovati tako, da bi zagotovili ravnovesje med spoštovanjem temeljnih pravic podjetij in dolžnostjo, da se zagotovi učinkovito uveljavljanje 101</w:t>
      </w:r>
      <w:r w:rsidR="00CD5AD1" w:rsidRPr="002F30DF">
        <w:rPr>
          <w:rFonts w:cs="Arial"/>
          <w:i/>
          <w:sz w:val="20"/>
          <w:szCs w:val="20"/>
        </w:rPr>
        <w:t>.</w:t>
      </w:r>
      <w:r w:rsidRPr="002F30DF">
        <w:rPr>
          <w:rFonts w:cs="Arial"/>
          <w:i/>
          <w:sz w:val="20"/>
          <w:szCs w:val="20"/>
        </w:rPr>
        <w:t xml:space="preserve"> in 102</w:t>
      </w:r>
      <w:r w:rsidR="00CD5AD1" w:rsidRPr="002F30DF">
        <w:rPr>
          <w:rFonts w:cs="Arial"/>
          <w:i/>
          <w:sz w:val="20"/>
          <w:szCs w:val="20"/>
        </w:rPr>
        <w:t>. člena</w:t>
      </w:r>
      <w:r w:rsidRPr="002F30DF">
        <w:rPr>
          <w:rFonts w:cs="Arial"/>
          <w:i/>
          <w:sz w:val="20"/>
          <w:szCs w:val="20"/>
        </w:rPr>
        <w:t xml:space="preserve"> PDEU.</w:t>
      </w:r>
    </w:p>
    <w:p w:rsidR="007F4A20" w:rsidRPr="002F30DF" w:rsidRDefault="007F4A20" w:rsidP="0025166A">
      <w:pPr>
        <w:spacing w:line="260" w:lineRule="atLeast"/>
        <w:rPr>
          <w:rFonts w:cs="Arial"/>
          <w:sz w:val="20"/>
          <w:szCs w:val="20"/>
        </w:rPr>
      </w:pPr>
    </w:p>
    <w:p w:rsidR="005127E1" w:rsidRPr="002F30DF" w:rsidRDefault="005127E1"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43</w:t>
      </w:r>
      <w:r w:rsidRPr="002F30DF">
        <w:rPr>
          <w:rFonts w:cs="Arial"/>
          <w:b/>
          <w:sz w:val="20"/>
          <w:szCs w:val="20"/>
        </w:rPr>
        <w:t xml:space="preserve">. členu (omejitev uporabe podatkov iz </w:t>
      </w:r>
      <w:r w:rsidR="00F041F0" w:rsidRPr="002F30DF">
        <w:rPr>
          <w:rFonts w:cs="Arial"/>
          <w:b/>
          <w:sz w:val="20"/>
          <w:szCs w:val="20"/>
        </w:rPr>
        <w:t xml:space="preserve">izjav </w:t>
      </w:r>
      <w:r w:rsidRPr="002F30DF">
        <w:rPr>
          <w:rFonts w:cs="Arial"/>
          <w:b/>
          <w:sz w:val="20"/>
          <w:szCs w:val="20"/>
        </w:rPr>
        <w:t>za</w:t>
      </w:r>
      <w:r w:rsidR="00F041F0" w:rsidRPr="002F30DF">
        <w:rPr>
          <w:rFonts w:cs="Arial"/>
          <w:b/>
          <w:sz w:val="20"/>
          <w:szCs w:val="20"/>
        </w:rPr>
        <w:t>radi</w:t>
      </w:r>
      <w:r w:rsidRPr="002F30DF">
        <w:rPr>
          <w:rFonts w:cs="Arial"/>
          <w:b/>
          <w:sz w:val="20"/>
          <w:szCs w:val="20"/>
        </w:rPr>
        <w:t xml:space="preserve"> prizanesljivost</w:t>
      </w:r>
      <w:r w:rsidR="00EF23E8" w:rsidRPr="002F30DF">
        <w:rPr>
          <w:rFonts w:cs="Arial"/>
          <w:b/>
          <w:sz w:val="20"/>
          <w:szCs w:val="20"/>
        </w:rPr>
        <w:t>i</w:t>
      </w:r>
      <w:r w:rsidR="00724034" w:rsidRPr="002F30DF">
        <w:rPr>
          <w:rFonts w:cs="Arial"/>
          <w:b/>
          <w:sz w:val="20"/>
          <w:szCs w:val="20"/>
        </w:rPr>
        <w:t xml:space="preserve"> in vlog za poravnavo</w:t>
      </w:r>
      <w:r w:rsidRPr="002F30DF">
        <w:rPr>
          <w:rFonts w:cs="Arial"/>
          <w:b/>
          <w:sz w:val="20"/>
          <w:szCs w:val="20"/>
        </w:rPr>
        <w:t>)</w:t>
      </w:r>
    </w:p>
    <w:p w:rsidR="005127E1" w:rsidRPr="002F30DF" w:rsidRDefault="005127E1" w:rsidP="0025166A">
      <w:pPr>
        <w:spacing w:line="260" w:lineRule="atLeast"/>
        <w:rPr>
          <w:rFonts w:cs="Arial"/>
          <w:b/>
          <w:sz w:val="20"/>
          <w:szCs w:val="20"/>
        </w:rPr>
      </w:pPr>
    </w:p>
    <w:p w:rsidR="00191DBD" w:rsidRPr="002F30DF" w:rsidRDefault="00191DBD" w:rsidP="00191DBD">
      <w:pPr>
        <w:spacing w:line="260" w:lineRule="atLeast"/>
        <w:rPr>
          <w:rFonts w:cs="Arial"/>
          <w:i/>
          <w:sz w:val="20"/>
          <w:szCs w:val="20"/>
        </w:rPr>
      </w:pPr>
      <w:r w:rsidRPr="002F30DF">
        <w:rPr>
          <w:rFonts w:cs="Arial"/>
          <w:sz w:val="20"/>
          <w:szCs w:val="20"/>
        </w:rPr>
        <w:t xml:space="preserve">Pomen varovanja </w:t>
      </w:r>
      <w:r w:rsidR="00F041F0" w:rsidRPr="002F30DF">
        <w:rPr>
          <w:rFonts w:cs="Arial"/>
          <w:sz w:val="20"/>
          <w:szCs w:val="20"/>
        </w:rPr>
        <w:t xml:space="preserve">izjav </w:t>
      </w:r>
      <w:r w:rsidRPr="002F30DF">
        <w:rPr>
          <w:rFonts w:cs="Arial"/>
          <w:sz w:val="20"/>
          <w:szCs w:val="20"/>
        </w:rPr>
        <w:t>za</w:t>
      </w:r>
      <w:r w:rsidR="00F041F0" w:rsidRPr="002F30DF">
        <w:rPr>
          <w:rFonts w:cs="Arial"/>
          <w:sz w:val="20"/>
          <w:szCs w:val="20"/>
        </w:rPr>
        <w:t>radi</w:t>
      </w:r>
      <w:r w:rsidRPr="002F30DF">
        <w:rPr>
          <w:rFonts w:cs="Arial"/>
          <w:sz w:val="20"/>
          <w:szCs w:val="20"/>
        </w:rPr>
        <w:t xml:space="preserve"> prizanesljivost</w:t>
      </w:r>
      <w:r w:rsidR="008E610D" w:rsidRPr="002F30DF">
        <w:rPr>
          <w:rFonts w:cs="Arial"/>
          <w:sz w:val="20"/>
          <w:szCs w:val="20"/>
        </w:rPr>
        <w:t>i</w:t>
      </w:r>
      <w:r w:rsidRPr="002F30DF">
        <w:rPr>
          <w:rFonts w:cs="Arial"/>
          <w:sz w:val="20"/>
          <w:szCs w:val="20"/>
        </w:rPr>
        <w:t xml:space="preserve"> </w:t>
      </w:r>
      <w:r w:rsidR="00724034" w:rsidRPr="002F30DF">
        <w:rPr>
          <w:rFonts w:cs="Arial"/>
          <w:sz w:val="20"/>
          <w:szCs w:val="20"/>
        </w:rPr>
        <w:t xml:space="preserve">in vlog za poravnavo </w:t>
      </w:r>
      <w:r w:rsidRPr="002F30DF">
        <w:rPr>
          <w:rFonts w:cs="Arial"/>
          <w:sz w:val="20"/>
          <w:szCs w:val="20"/>
        </w:rPr>
        <w:t xml:space="preserve">poudarja tudi Direktiva 2019/1, ki v 72. uvodni </w:t>
      </w:r>
      <w:r w:rsidR="00721AA6" w:rsidRPr="002F30DF">
        <w:rPr>
          <w:rFonts w:cs="Arial"/>
          <w:sz w:val="20"/>
          <w:szCs w:val="20"/>
        </w:rPr>
        <w:t>izjavi</w:t>
      </w:r>
      <w:r w:rsidRPr="002F30DF">
        <w:rPr>
          <w:rFonts w:cs="Arial"/>
          <w:sz w:val="20"/>
          <w:szCs w:val="20"/>
        </w:rPr>
        <w:t xml:space="preserve"> navaja, da »</w:t>
      </w:r>
      <w:r w:rsidRPr="002F30DF">
        <w:rPr>
          <w:rFonts w:cs="Arial"/>
          <w:i/>
          <w:sz w:val="20"/>
          <w:szCs w:val="20"/>
        </w:rPr>
        <w:t xml:space="preserve">tveganje razkritja samoobdolžitvenega materiala zunaj okvira preiskave, za namen katere je bil predložen, bi </w:t>
      </w:r>
      <w:r w:rsidRPr="002F30DF">
        <w:rPr>
          <w:rFonts w:cs="Arial"/>
          <w:i/>
          <w:sz w:val="20"/>
          <w:szCs w:val="20"/>
        </w:rPr>
        <w:lastRenderedPageBreak/>
        <w:t xml:space="preserve">lahko zmanjšalo interes morebitnih prijaviteljev za prizanesljivost, da bi sodelovali z organi, pristojnimi za varstvo konkurence. Posledično bi se ne glede na obliko, v kateri so predložene </w:t>
      </w:r>
      <w:r w:rsidR="00F041F0" w:rsidRPr="002F30DF">
        <w:rPr>
          <w:rFonts w:cs="Arial"/>
          <w:i/>
          <w:sz w:val="20"/>
          <w:szCs w:val="20"/>
        </w:rPr>
        <w:t xml:space="preserve">izjave </w:t>
      </w:r>
      <w:r w:rsidRPr="002F30DF">
        <w:rPr>
          <w:rFonts w:cs="Arial"/>
          <w:i/>
          <w:sz w:val="20"/>
          <w:szCs w:val="20"/>
        </w:rPr>
        <w:t>za</w:t>
      </w:r>
      <w:r w:rsidR="00F041F0" w:rsidRPr="002F30DF">
        <w:rPr>
          <w:rFonts w:cs="Arial"/>
          <w:i/>
          <w:sz w:val="20"/>
          <w:szCs w:val="20"/>
        </w:rPr>
        <w:t>radi</w:t>
      </w:r>
      <w:r w:rsidRPr="002F30DF">
        <w:rPr>
          <w:rFonts w:cs="Arial"/>
          <w:i/>
          <w:sz w:val="20"/>
          <w:szCs w:val="20"/>
        </w:rPr>
        <w:t xml:space="preserve"> prizanesljivost</w:t>
      </w:r>
      <w:r w:rsidR="008E610D" w:rsidRPr="002F30DF">
        <w:rPr>
          <w:rFonts w:cs="Arial"/>
          <w:i/>
          <w:sz w:val="20"/>
          <w:szCs w:val="20"/>
        </w:rPr>
        <w:t>i</w:t>
      </w:r>
      <w:r w:rsidRPr="002F30DF">
        <w:rPr>
          <w:rFonts w:cs="Arial"/>
          <w:i/>
          <w:sz w:val="20"/>
          <w:szCs w:val="20"/>
        </w:rPr>
        <w:t xml:space="preserve">, informacije v </w:t>
      </w:r>
      <w:r w:rsidR="00F041F0" w:rsidRPr="002F30DF">
        <w:rPr>
          <w:rFonts w:cs="Arial"/>
          <w:i/>
          <w:sz w:val="20"/>
          <w:szCs w:val="20"/>
        </w:rPr>
        <w:t>izjav</w:t>
      </w:r>
      <w:r w:rsidRPr="002F30DF">
        <w:rPr>
          <w:rFonts w:cs="Arial"/>
          <w:i/>
          <w:sz w:val="20"/>
          <w:szCs w:val="20"/>
        </w:rPr>
        <w:t>ah za</w:t>
      </w:r>
      <w:r w:rsidR="00F041F0" w:rsidRPr="002F30DF">
        <w:rPr>
          <w:rFonts w:cs="Arial"/>
          <w:i/>
          <w:sz w:val="20"/>
          <w:szCs w:val="20"/>
        </w:rPr>
        <w:t>radi</w:t>
      </w:r>
      <w:r w:rsidRPr="002F30DF">
        <w:rPr>
          <w:rFonts w:cs="Arial"/>
          <w:i/>
          <w:sz w:val="20"/>
          <w:szCs w:val="20"/>
        </w:rPr>
        <w:t xml:space="preserve"> prizanesljivost</w:t>
      </w:r>
      <w:r w:rsidR="008E610D" w:rsidRPr="002F30DF">
        <w:rPr>
          <w:rFonts w:cs="Arial"/>
          <w:i/>
          <w:sz w:val="20"/>
          <w:szCs w:val="20"/>
        </w:rPr>
        <w:t>i</w:t>
      </w:r>
      <w:r w:rsidRPr="002F30DF">
        <w:rPr>
          <w:rFonts w:cs="Arial"/>
          <w:i/>
          <w:sz w:val="20"/>
          <w:szCs w:val="20"/>
        </w:rPr>
        <w:t xml:space="preserve">, ki so bile pridobljene z dostopom do spisa, morale uporabiti le, če je to potrebno za uveljavljanje pravic obrambe v postopku pred nacionalnimi sodišči v nekaterih zelo omejenih primerih, ki so neposredno povezani z zadevo, za katero je bil odobren dostop. To organom, pristojnim za varstvo konkurence, ne bi smelo preprečiti, da bi objavili svoje odločbe v skladu z veljavnim pravom Unije ali nacionalnim pravom. </w:t>
      </w:r>
      <w:r w:rsidR="000F111B" w:rsidRPr="002F30DF">
        <w:rPr>
          <w:rFonts w:cs="Arial"/>
          <w:sz w:val="20"/>
          <w:szCs w:val="20"/>
        </w:rPr>
        <w:t>Č</w:t>
      </w:r>
      <w:r w:rsidRPr="002F30DF">
        <w:rPr>
          <w:rFonts w:cs="Arial"/>
          <w:sz w:val="20"/>
          <w:szCs w:val="20"/>
        </w:rPr>
        <w:t xml:space="preserve">etrti odstavek </w:t>
      </w:r>
      <w:r w:rsidR="000F111B" w:rsidRPr="002F30DF">
        <w:rPr>
          <w:rFonts w:cs="Arial"/>
          <w:sz w:val="20"/>
          <w:szCs w:val="20"/>
        </w:rPr>
        <w:t xml:space="preserve">tega člena </w:t>
      </w:r>
      <w:r w:rsidR="001055C4" w:rsidRPr="002F30DF">
        <w:rPr>
          <w:rFonts w:cs="Arial"/>
          <w:sz w:val="20"/>
          <w:szCs w:val="20"/>
        </w:rPr>
        <w:t xml:space="preserve">Direktive nadalje </w:t>
      </w:r>
      <w:r w:rsidR="000F111B" w:rsidRPr="002F30DF">
        <w:rPr>
          <w:rFonts w:cs="Arial"/>
          <w:sz w:val="20"/>
          <w:szCs w:val="20"/>
        </w:rPr>
        <w:t>nalaga</w:t>
      </w:r>
      <w:r w:rsidRPr="002F30DF">
        <w:rPr>
          <w:rFonts w:cs="Arial"/>
          <w:sz w:val="20"/>
          <w:szCs w:val="20"/>
        </w:rPr>
        <w:t xml:space="preserve"> državam članicam, da zagotovijo, </w:t>
      </w:r>
      <w:r w:rsidRPr="002F30DF">
        <w:rPr>
          <w:rFonts w:cs="Arial"/>
          <w:i/>
          <w:sz w:val="20"/>
          <w:szCs w:val="20"/>
        </w:rPr>
        <w:t>da lahko stranka, ki je pridobila dostop do spisa postopka za uveljavljanje pravil konkurence nacionalnih organov, pristojnih za</w:t>
      </w:r>
      <w:r w:rsidR="009673BA" w:rsidRPr="002F30DF">
        <w:rPr>
          <w:rFonts w:cs="Arial"/>
          <w:i/>
          <w:sz w:val="20"/>
          <w:szCs w:val="20"/>
        </w:rPr>
        <w:t xml:space="preserve"> varstvo </w:t>
      </w:r>
      <w:r w:rsidRPr="002F30DF">
        <w:rPr>
          <w:rFonts w:cs="Arial"/>
          <w:i/>
          <w:sz w:val="20"/>
          <w:szCs w:val="20"/>
        </w:rPr>
        <w:t>konkurenc</w:t>
      </w:r>
      <w:r w:rsidR="009673BA" w:rsidRPr="002F30DF">
        <w:rPr>
          <w:rFonts w:cs="Arial"/>
          <w:i/>
          <w:sz w:val="20"/>
          <w:szCs w:val="20"/>
        </w:rPr>
        <w:t>e</w:t>
      </w:r>
      <w:r w:rsidRPr="002F30DF">
        <w:rPr>
          <w:rFonts w:cs="Arial"/>
          <w:i/>
          <w:sz w:val="20"/>
          <w:szCs w:val="20"/>
        </w:rPr>
        <w:t>, informacije iz izjav za prizanesljivost in vlog za poravnavo uporabi le, kadar je to potrebno za uveljavljanje njenih pravic obrambe v postopku pred nacionalnimi sodišči v zadevah, ki so neposredno povezane z zadevo, za katero je bil dostop odobren, in le kadar se tak postopek nanaša na:</w:t>
      </w:r>
    </w:p>
    <w:p w:rsidR="00191DBD" w:rsidRPr="002F30DF" w:rsidRDefault="00191DBD" w:rsidP="00191DBD">
      <w:pPr>
        <w:spacing w:line="260" w:lineRule="atLeast"/>
        <w:rPr>
          <w:rFonts w:cs="Arial"/>
          <w:i/>
          <w:sz w:val="20"/>
          <w:szCs w:val="20"/>
        </w:rPr>
      </w:pPr>
      <w:r w:rsidRPr="002F30DF">
        <w:rPr>
          <w:rFonts w:cs="Arial"/>
          <w:i/>
          <w:sz w:val="20"/>
          <w:szCs w:val="20"/>
        </w:rPr>
        <w:t>(a) porazdelitev globe med udeleženci kartela, ki jim jo je izrekel nacionalni organ, pristojen za konkurenco, in za plačilo katere so ti udeleženci solidarno odgovorni, ali</w:t>
      </w:r>
    </w:p>
    <w:p w:rsidR="00191DBD" w:rsidRPr="002F30DF" w:rsidRDefault="00191DBD" w:rsidP="00191DBD">
      <w:pPr>
        <w:spacing w:line="260" w:lineRule="atLeast"/>
        <w:rPr>
          <w:rFonts w:cs="Arial"/>
          <w:i/>
          <w:sz w:val="20"/>
          <w:szCs w:val="20"/>
        </w:rPr>
      </w:pPr>
      <w:r w:rsidRPr="002F30DF">
        <w:rPr>
          <w:rFonts w:cs="Arial"/>
          <w:i/>
          <w:sz w:val="20"/>
          <w:szCs w:val="20"/>
        </w:rPr>
        <w:t>(b) presojo odločbe, s katero je nacionalni organ, pristojen za konkurenco, ugotovil kršitev 101</w:t>
      </w:r>
      <w:r w:rsidR="006D6E65" w:rsidRPr="002F30DF">
        <w:rPr>
          <w:rFonts w:cs="Arial"/>
          <w:i/>
          <w:sz w:val="20"/>
          <w:szCs w:val="20"/>
        </w:rPr>
        <w:t>.</w:t>
      </w:r>
      <w:r w:rsidRPr="002F30DF">
        <w:rPr>
          <w:rFonts w:cs="Arial"/>
          <w:i/>
          <w:sz w:val="20"/>
          <w:szCs w:val="20"/>
        </w:rPr>
        <w:t xml:space="preserve"> ali 102</w:t>
      </w:r>
      <w:r w:rsidR="006D6E65" w:rsidRPr="002F30DF">
        <w:rPr>
          <w:rFonts w:cs="Arial"/>
          <w:i/>
          <w:sz w:val="20"/>
          <w:szCs w:val="20"/>
        </w:rPr>
        <w:t>. člena</w:t>
      </w:r>
      <w:r w:rsidRPr="002F30DF">
        <w:rPr>
          <w:rFonts w:cs="Arial"/>
          <w:i/>
          <w:sz w:val="20"/>
          <w:szCs w:val="20"/>
        </w:rPr>
        <w:t xml:space="preserve"> PDEU ali določb nacionalnega konkurenčnega prava.</w:t>
      </w:r>
    </w:p>
    <w:p w:rsidR="00191DBD" w:rsidRPr="002F30DF" w:rsidRDefault="00191DBD" w:rsidP="00191DBD">
      <w:pPr>
        <w:pStyle w:val="Odstavek"/>
        <w:spacing w:before="0" w:line="260" w:lineRule="atLeast"/>
        <w:ind w:firstLine="0"/>
        <w:rPr>
          <w:rFonts w:eastAsia="Calibri"/>
          <w:sz w:val="20"/>
          <w:szCs w:val="20"/>
          <w:lang w:eastAsia="en-US"/>
        </w:rPr>
      </w:pPr>
    </w:p>
    <w:p w:rsidR="006A5AC8" w:rsidRPr="002F30DF" w:rsidRDefault="001055C4" w:rsidP="006A5AC8">
      <w:pPr>
        <w:spacing w:line="260" w:lineRule="atLeast"/>
        <w:rPr>
          <w:rFonts w:cs="Arial"/>
          <w:sz w:val="20"/>
          <w:szCs w:val="20"/>
        </w:rPr>
      </w:pPr>
      <w:r w:rsidRPr="002F30DF">
        <w:rPr>
          <w:rFonts w:cs="Arial"/>
          <w:sz w:val="20"/>
          <w:szCs w:val="20"/>
        </w:rPr>
        <w:t>Na podlagi navedenega</w:t>
      </w:r>
      <w:r w:rsidR="006A5AC8" w:rsidRPr="002F30DF">
        <w:rPr>
          <w:rFonts w:cs="Arial"/>
          <w:sz w:val="20"/>
          <w:szCs w:val="20"/>
        </w:rPr>
        <w:t xml:space="preserve"> je v </w:t>
      </w:r>
      <w:r w:rsidR="000F111B" w:rsidRPr="002F30DF">
        <w:rPr>
          <w:rFonts w:cs="Arial"/>
          <w:sz w:val="20"/>
          <w:szCs w:val="20"/>
          <w:u w:val="single"/>
        </w:rPr>
        <w:t>prvem</w:t>
      </w:r>
      <w:r w:rsidR="006A5AC8" w:rsidRPr="002F30DF">
        <w:rPr>
          <w:rFonts w:cs="Arial"/>
          <w:sz w:val="20"/>
          <w:szCs w:val="20"/>
          <w:u w:val="single"/>
        </w:rPr>
        <w:t xml:space="preserve"> odstavku</w:t>
      </w:r>
      <w:r w:rsidR="006A5AC8" w:rsidRPr="002F30DF">
        <w:rPr>
          <w:rFonts w:cs="Arial"/>
          <w:sz w:val="20"/>
          <w:szCs w:val="20"/>
        </w:rPr>
        <w:t xml:space="preserve"> določeno, da imajo vpogled v </w:t>
      </w:r>
      <w:r w:rsidR="00F041F0" w:rsidRPr="002F30DF">
        <w:rPr>
          <w:rFonts w:cs="Arial"/>
          <w:sz w:val="20"/>
          <w:szCs w:val="20"/>
        </w:rPr>
        <w:t xml:space="preserve">izjavo </w:t>
      </w:r>
      <w:r w:rsidR="006A5AC8" w:rsidRPr="002F30DF">
        <w:rPr>
          <w:rFonts w:cs="Arial"/>
          <w:sz w:val="20"/>
          <w:szCs w:val="20"/>
        </w:rPr>
        <w:t>za</w:t>
      </w:r>
      <w:r w:rsidR="00F041F0" w:rsidRPr="002F30DF">
        <w:rPr>
          <w:rFonts w:cs="Arial"/>
          <w:sz w:val="20"/>
          <w:szCs w:val="20"/>
        </w:rPr>
        <w:t>radi</w:t>
      </w:r>
      <w:r w:rsidR="006A5AC8" w:rsidRPr="002F30DF">
        <w:rPr>
          <w:rFonts w:cs="Arial"/>
          <w:sz w:val="20"/>
          <w:szCs w:val="20"/>
        </w:rPr>
        <w:t xml:space="preserve"> prizanesljivost</w:t>
      </w:r>
      <w:r w:rsidR="008E610D" w:rsidRPr="002F30DF">
        <w:rPr>
          <w:rFonts w:cs="Arial"/>
          <w:sz w:val="20"/>
          <w:szCs w:val="20"/>
        </w:rPr>
        <w:t>i</w:t>
      </w:r>
      <w:r w:rsidR="006A5AC8" w:rsidRPr="002F30DF">
        <w:rPr>
          <w:rFonts w:cs="Arial"/>
          <w:sz w:val="20"/>
          <w:szCs w:val="20"/>
        </w:rPr>
        <w:t xml:space="preserve">  le stranke </w:t>
      </w:r>
      <w:r w:rsidR="0045284B" w:rsidRPr="002F30DF">
        <w:rPr>
          <w:rFonts w:cs="Arial"/>
          <w:sz w:val="20"/>
          <w:szCs w:val="20"/>
        </w:rPr>
        <w:t xml:space="preserve">postopka </w:t>
      </w:r>
      <w:r w:rsidR="006A5AC8" w:rsidRPr="002F30DF">
        <w:rPr>
          <w:rFonts w:cs="Arial"/>
          <w:sz w:val="20"/>
          <w:szCs w:val="20"/>
        </w:rPr>
        <w:t xml:space="preserve">in le za uveljavljenje </w:t>
      </w:r>
      <w:r w:rsidR="006D6E65" w:rsidRPr="002F30DF">
        <w:rPr>
          <w:rFonts w:cs="Arial"/>
          <w:sz w:val="20"/>
          <w:szCs w:val="20"/>
        </w:rPr>
        <w:t xml:space="preserve">njihove </w:t>
      </w:r>
      <w:r w:rsidR="006A5AC8" w:rsidRPr="002F30DF">
        <w:rPr>
          <w:rFonts w:cs="Arial"/>
          <w:sz w:val="20"/>
          <w:szCs w:val="20"/>
        </w:rPr>
        <w:t>pravice do obrambe.</w:t>
      </w:r>
    </w:p>
    <w:p w:rsidR="006A5AC8" w:rsidRPr="002F30DF" w:rsidRDefault="006A5AC8" w:rsidP="00191DBD">
      <w:pPr>
        <w:pStyle w:val="Odstavek"/>
        <w:spacing w:before="0" w:line="260" w:lineRule="atLeast"/>
        <w:ind w:firstLine="0"/>
        <w:rPr>
          <w:rFonts w:eastAsia="Calibri"/>
          <w:sz w:val="20"/>
          <w:szCs w:val="20"/>
          <w:lang w:eastAsia="en-US"/>
        </w:rPr>
      </w:pPr>
    </w:p>
    <w:p w:rsidR="00191DBD" w:rsidRPr="002F30DF" w:rsidRDefault="000F111B" w:rsidP="00191DBD">
      <w:pPr>
        <w:pStyle w:val="Odstavek"/>
        <w:spacing w:before="0" w:line="260" w:lineRule="atLeast"/>
        <w:ind w:firstLine="0"/>
        <w:rPr>
          <w:rFonts w:eastAsia="Calibri"/>
          <w:sz w:val="20"/>
          <w:szCs w:val="20"/>
          <w:lang w:eastAsia="en-US"/>
        </w:rPr>
      </w:pPr>
      <w:r w:rsidRPr="002F30DF">
        <w:rPr>
          <w:rFonts w:eastAsia="Calibri"/>
          <w:sz w:val="20"/>
          <w:szCs w:val="20"/>
          <w:lang w:eastAsia="en-US"/>
        </w:rPr>
        <w:t>V</w:t>
      </w:r>
      <w:r w:rsidR="00191DBD" w:rsidRPr="002F30DF">
        <w:rPr>
          <w:rFonts w:eastAsia="Calibri"/>
          <w:sz w:val="20"/>
          <w:szCs w:val="20"/>
          <w:lang w:eastAsia="en-US"/>
        </w:rPr>
        <w:t xml:space="preserve"> </w:t>
      </w:r>
      <w:r w:rsidR="005C2EBC" w:rsidRPr="002F30DF">
        <w:rPr>
          <w:rFonts w:eastAsia="Calibri"/>
          <w:sz w:val="20"/>
          <w:szCs w:val="20"/>
          <w:u w:val="single"/>
          <w:lang w:eastAsia="en-US"/>
        </w:rPr>
        <w:t xml:space="preserve">drugem </w:t>
      </w:r>
      <w:r w:rsidR="00191DBD" w:rsidRPr="002F30DF">
        <w:rPr>
          <w:rFonts w:eastAsia="Calibri"/>
          <w:sz w:val="20"/>
          <w:szCs w:val="20"/>
          <w:u w:val="single"/>
          <w:lang w:eastAsia="en-US"/>
        </w:rPr>
        <w:t>odstavku</w:t>
      </w:r>
      <w:r w:rsidRPr="002F30DF">
        <w:rPr>
          <w:rFonts w:eastAsia="Calibri"/>
          <w:sz w:val="20"/>
          <w:szCs w:val="20"/>
          <w:u w:val="single"/>
          <w:lang w:eastAsia="en-US"/>
        </w:rPr>
        <w:t xml:space="preserve"> </w:t>
      </w:r>
      <w:r w:rsidRPr="002F30DF">
        <w:rPr>
          <w:rFonts w:eastAsia="Calibri"/>
          <w:sz w:val="20"/>
          <w:szCs w:val="20"/>
          <w:lang w:eastAsia="en-US"/>
        </w:rPr>
        <w:t>so</w:t>
      </w:r>
      <w:r w:rsidR="001055C4" w:rsidRPr="002F30DF">
        <w:rPr>
          <w:rFonts w:eastAsia="Calibri"/>
          <w:sz w:val="20"/>
          <w:szCs w:val="20"/>
          <w:lang w:eastAsia="en-US"/>
        </w:rPr>
        <w:t xml:space="preserve"> </w:t>
      </w:r>
      <w:r w:rsidR="00191DBD" w:rsidRPr="002F30DF">
        <w:rPr>
          <w:rFonts w:eastAsia="Calibri"/>
          <w:sz w:val="20"/>
          <w:szCs w:val="20"/>
          <w:lang w:eastAsia="en-US"/>
        </w:rPr>
        <w:t>določ</w:t>
      </w:r>
      <w:r w:rsidRPr="002F30DF">
        <w:rPr>
          <w:rFonts w:eastAsia="Calibri"/>
          <w:sz w:val="20"/>
          <w:szCs w:val="20"/>
          <w:lang w:eastAsia="en-US"/>
        </w:rPr>
        <w:t>ene</w:t>
      </w:r>
      <w:r w:rsidR="00191DBD" w:rsidRPr="002F30DF">
        <w:rPr>
          <w:rFonts w:eastAsia="Calibri"/>
          <w:sz w:val="20"/>
          <w:szCs w:val="20"/>
          <w:lang w:eastAsia="en-US"/>
        </w:rPr>
        <w:t xml:space="preserve"> dodatne omejitve pri uporabi informacij in podatkov</w:t>
      </w:r>
      <w:r w:rsidR="00E25C3C" w:rsidRPr="002F30DF">
        <w:rPr>
          <w:rFonts w:eastAsia="Calibri"/>
          <w:sz w:val="20"/>
          <w:szCs w:val="20"/>
          <w:lang w:eastAsia="en-US"/>
        </w:rPr>
        <w:t xml:space="preserve"> navedenih v</w:t>
      </w:r>
      <w:r w:rsidR="00191DBD" w:rsidRPr="002F30DF">
        <w:rPr>
          <w:rFonts w:eastAsia="Calibri"/>
          <w:sz w:val="20"/>
          <w:szCs w:val="20"/>
          <w:lang w:eastAsia="en-US"/>
        </w:rPr>
        <w:t xml:space="preserve"> </w:t>
      </w:r>
      <w:r w:rsidR="00F041F0" w:rsidRPr="002F30DF">
        <w:rPr>
          <w:rFonts w:eastAsia="Calibri"/>
          <w:sz w:val="20"/>
          <w:szCs w:val="20"/>
          <w:lang w:eastAsia="en-US"/>
        </w:rPr>
        <w:t xml:space="preserve">izjavi </w:t>
      </w:r>
      <w:r w:rsidR="00191DBD" w:rsidRPr="002F30DF">
        <w:rPr>
          <w:rFonts w:eastAsia="Calibri"/>
          <w:sz w:val="20"/>
          <w:szCs w:val="20"/>
          <w:lang w:eastAsia="en-US"/>
        </w:rPr>
        <w:t>za</w:t>
      </w:r>
      <w:r w:rsidR="00F041F0" w:rsidRPr="002F30DF">
        <w:rPr>
          <w:rFonts w:eastAsia="Calibri"/>
          <w:sz w:val="20"/>
          <w:szCs w:val="20"/>
          <w:lang w:eastAsia="en-US"/>
        </w:rPr>
        <w:t>radi</w:t>
      </w:r>
      <w:r w:rsidR="00191DBD" w:rsidRPr="002F30DF">
        <w:rPr>
          <w:rFonts w:eastAsia="Calibri"/>
          <w:sz w:val="20"/>
          <w:szCs w:val="20"/>
          <w:lang w:eastAsia="en-US"/>
        </w:rPr>
        <w:t xml:space="preserve"> prizanesljivost</w:t>
      </w:r>
      <w:r w:rsidR="008E610D" w:rsidRPr="002F30DF">
        <w:rPr>
          <w:rFonts w:eastAsia="Calibri"/>
          <w:sz w:val="20"/>
          <w:szCs w:val="20"/>
          <w:lang w:eastAsia="en-US"/>
        </w:rPr>
        <w:t>i</w:t>
      </w:r>
      <w:r w:rsidR="00E155DF" w:rsidRPr="002F30DF">
        <w:rPr>
          <w:rFonts w:eastAsia="Calibri"/>
          <w:sz w:val="20"/>
          <w:szCs w:val="20"/>
          <w:lang w:eastAsia="en-US"/>
        </w:rPr>
        <w:t xml:space="preserve"> ali </w:t>
      </w:r>
      <w:r w:rsidR="00724034" w:rsidRPr="002F30DF">
        <w:rPr>
          <w:rFonts w:eastAsia="Calibri"/>
          <w:sz w:val="20"/>
          <w:szCs w:val="20"/>
          <w:lang w:eastAsia="en-US"/>
        </w:rPr>
        <w:t>vloge za poravnavo</w:t>
      </w:r>
      <w:r w:rsidR="00191DBD" w:rsidRPr="002F30DF">
        <w:rPr>
          <w:rFonts w:eastAsia="Calibri"/>
          <w:sz w:val="20"/>
          <w:szCs w:val="20"/>
          <w:lang w:eastAsia="en-US"/>
        </w:rPr>
        <w:t xml:space="preserve">. Stranka tako pridobljene podatke lahko uporabi v postopku pred pristojnim sodiščem, </w:t>
      </w:r>
      <w:r w:rsidR="00E25C3C" w:rsidRPr="002F30DF">
        <w:rPr>
          <w:rFonts w:eastAsia="Calibri"/>
          <w:sz w:val="20"/>
          <w:szCs w:val="20"/>
          <w:lang w:eastAsia="en-US"/>
        </w:rPr>
        <w:t>kadar sta kumulativno izpolnjena dva pogoja</w:t>
      </w:r>
      <w:r w:rsidR="001055C4" w:rsidRPr="002F30DF">
        <w:rPr>
          <w:rFonts w:eastAsia="Calibri"/>
          <w:sz w:val="20"/>
          <w:szCs w:val="20"/>
          <w:lang w:eastAsia="en-US"/>
        </w:rPr>
        <w:t>. Prvi pogoj</w:t>
      </w:r>
      <w:r w:rsidR="00191DBD" w:rsidRPr="002F30DF">
        <w:rPr>
          <w:rFonts w:eastAsia="Calibri"/>
          <w:sz w:val="20"/>
          <w:szCs w:val="20"/>
          <w:lang w:eastAsia="en-US"/>
        </w:rPr>
        <w:t xml:space="preserve"> je</w:t>
      </w:r>
      <w:r w:rsidR="001055C4" w:rsidRPr="002F30DF">
        <w:rPr>
          <w:rFonts w:eastAsia="Calibri"/>
          <w:sz w:val="20"/>
          <w:szCs w:val="20"/>
          <w:lang w:eastAsia="en-US"/>
        </w:rPr>
        <w:t>,</w:t>
      </w:r>
      <w:r w:rsidR="00191DBD" w:rsidRPr="002F30DF">
        <w:rPr>
          <w:rFonts w:eastAsia="Calibri"/>
          <w:sz w:val="20"/>
          <w:szCs w:val="20"/>
          <w:lang w:eastAsia="en-US"/>
        </w:rPr>
        <w:t xml:space="preserve"> da se tako pridobljeni podatki uporabijo za obrambo v postopku, ki je neposredno povezan z zadevo, za katero je bil stranki dovoljen dostop. Poleg tega pogoja mora biti izpolnjen še en izmed naslednjih pogojev</w:t>
      </w:r>
      <w:r w:rsidR="001055C4" w:rsidRPr="002F30DF">
        <w:rPr>
          <w:rFonts w:eastAsia="Calibri"/>
          <w:sz w:val="20"/>
          <w:szCs w:val="20"/>
          <w:lang w:eastAsia="en-US"/>
        </w:rPr>
        <w:t>,</w:t>
      </w:r>
      <w:r w:rsidR="00191DBD" w:rsidRPr="002F30DF">
        <w:rPr>
          <w:rFonts w:eastAsia="Calibri"/>
          <w:sz w:val="20"/>
          <w:szCs w:val="20"/>
          <w:lang w:eastAsia="en-US"/>
        </w:rPr>
        <w:t xml:space="preserve"> in sicer, da se postopek nanaša na porazdelitev administrativne sankcije med udeleženci kartela, ki jim jo je izrekla </w:t>
      </w:r>
      <w:r w:rsidR="001055C4" w:rsidRPr="002F30DF">
        <w:rPr>
          <w:rFonts w:eastAsia="Calibri"/>
          <w:sz w:val="20"/>
          <w:szCs w:val="20"/>
          <w:lang w:eastAsia="en-US"/>
        </w:rPr>
        <w:t>a</w:t>
      </w:r>
      <w:r w:rsidR="00191DBD" w:rsidRPr="002F30DF">
        <w:rPr>
          <w:rFonts w:eastAsia="Calibri"/>
          <w:sz w:val="20"/>
          <w:szCs w:val="20"/>
          <w:lang w:eastAsia="en-US"/>
        </w:rPr>
        <w:t>gencija, in za plačilo katere so ti ude</w:t>
      </w:r>
      <w:r w:rsidR="00E25C3C" w:rsidRPr="002F30DF">
        <w:rPr>
          <w:rFonts w:eastAsia="Calibri"/>
          <w:sz w:val="20"/>
          <w:szCs w:val="20"/>
          <w:lang w:eastAsia="en-US"/>
        </w:rPr>
        <w:t>leženci solidarno odgovorni, ali če nanaša</w:t>
      </w:r>
      <w:r w:rsidR="00191DBD" w:rsidRPr="002F30DF">
        <w:rPr>
          <w:rFonts w:eastAsia="Calibri"/>
          <w:sz w:val="20"/>
          <w:szCs w:val="20"/>
          <w:lang w:eastAsia="en-US"/>
        </w:rPr>
        <w:t xml:space="preserve"> na postopek presoje odločbe </w:t>
      </w:r>
      <w:r w:rsidR="001055C4" w:rsidRPr="002F30DF">
        <w:rPr>
          <w:rFonts w:eastAsia="Calibri"/>
          <w:sz w:val="20"/>
          <w:szCs w:val="20"/>
          <w:lang w:eastAsia="en-US"/>
        </w:rPr>
        <w:t>a</w:t>
      </w:r>
      <w:r w:rsidR="00191DBD" w:rsidRPr="002F30DF">
        <w:rPr>
          <w:rFonts w:eastAsia="Calibri"/>
          <w:sz w:val="20"/>
          <w:szCs w:val="20"/>
          <w:lang w:eastAsia="en-US"/>
        </w:rPr>
        <w:t xml:space="preserve">gencije o ugotovitvi obstoja kršitve 5. ali 8. člena tega zakona ali 101. ali 102. člena PDEU. </w:t>
      </w:r>
    </w:p>
    <w:p w:rsidR="00191DBD" w:rsidRPr="002F30DF" w:rsidRDefault="00191DBD" w:rsidP="00191DBD">
      <w:pPr>
        <w:spacing w:line="260" w:lineRule="atLeast"/>
        <w:rPr>
          <w:rFonts w:cs="Arial"/>
          <w:sz w:val="20"/>
          <w:szCs w:val="20"/>
        </w:rPr>
      </w:pPr>
    </w:p>
    <w:p w:rsidR="006F4460" w:rsidRPr="002F30DF" w:rsidRDefault="005C2EBC" w:rsidP="0025166A">
      <w:pPr>
        <w:spacing w:line="260" w:lineRule="atLeast"/>
        <w:rPr>
          <w:rFonts w:cs="Arial"/>
          <w:sz w:val="20"/>
          <w:szCs w:val="20"/>
        </w:rPr>
      </w:pPr>
      <w:r w:rsidRPr="002F30DF">
        <w:rPr>
          <w:rFonts w:cs="Arial"/>
          <w:sz w:val="20"/>
          <w:szCs w:val="20"/>
          <w:u w:val="single"/>
        </w:rPr>
        <w:lastRenderedPageBreak/>
        <w:t xml:space="preserve">Tretji </w:t>
      </w:r>
      <w:r w:rsidR="00191DBD" w:rsidRPr="002F30DF">
        <w:rPr>
          <w:rFonts w:cs="Arial"/>
          <w:sz w:val="20"/>
          <w:szCs w:val="20"/>
          <w:u w:val="single"/>
        </w:rPr>
        <w:t>odstavek</w:t>
      </w:r>
      <w:r w:rsidR="00191DBD" w:rsidRPr="002F30DF">
        <w:rPr>
          <w:rFonts w:cs="Arial"/>
          <w:sz w:val="20"/>
          <w:szCs w:val="20"/>
        </w:rPr>
        <w:t xml:space="preserve"> določa omejitve, ki se nanašajo na informacije, ki jih je pripravila druga fizična ali pravna oseba posebej za postopek za uveljavljanje pravil konkurence pred </w:t>
      </w:r>
      <w:r w:rsidR="001055C4" w:rsidRPr="002F30DF">
        <w:rPr>
          <w:rFonts w:cs="Arial"/>
          <w:sz w:val="20"/>
          <w:szCs w:val="20"/>
        </w:rPr>
        <w:t>a</w:t>
      </w:r>
      <w:r w:rsidR="00191DBD" w:rsidRPr="002F30DF">
        <w:rPr>
          <w:rFonts w:cs="Arial"/>
          <w:sz w:val="20"/>
          <w:szCs w:val="20"/>
        </w:rPr>
        <w:t>gencijo</w:t>
      </w:r>
      <w:r w:rsidR="008E610D" w:rsidRPr="002F30DF">
        <w:rPr>
          <w:rFonts w:cs="Arial"/>
          <w:sz w:val="20"/>
          <w:szCs w:val="20"/>
        </w:rPr>
        <w:t xml:space="preserve"> ter</w:t>
      </w:r>
      <w:r w:rsidR="00191DBD" w:rsidRPr="002F30DF">
        <w:rPr>
          <w:rFonts w:cs="Arial"/>
          <w:sz w:val="20"/>
          <w:szCs w:val="20"/>
        </w:rPr>
        <w:t xml:space="preserve"> informacije, ki jih je med postopkom za uveljavl</w:t>
      </w:r>
      <w:r w:rsidR="001055C4" w:rsidRPr="002F30DF">
        <w:rPr>
          <w:rFonts w:cs="Arial"/>
          <w:sz w:val="20"/>
          <w:szCs w:val="20"/>
        </w:rPr>
        <w:t>janje pravil konkurence zbrala a</w:t>
      </w:r>
      <w:r w:rsidR="00191DBD" w:rsidRPr="002F30DF">
        <w:rPr>
          <w:rFonts w:cs="Arial"/>
          <w:sz w:val="20"/>
          <w:szCs w:val="20"/>
        </w:rPr>
        <w:t>gencija in jih poslala strankam</w:t>
      </w:r>
      <w:r w:rsidR="00724034" w:rsidRPr="002F30DF">
        <w:rPr>
          <w:rFonts w:cs="Arial"/>
          <w:sz w:val="20"/>
          <w:szCs w:val="20"/>
        </w:rPr>
        <w:t xml:space="preserve"> ter </w:t>
      </w:r>
      <w:r w:rsidR="00E155DF" w:rsidRPr="002F30DF">
        <w:rPr>
          <w:rFonts w:cs="Arial"/>
          <w:sz w:val="20"/>
          <w:szCs w:val="20"/>
        </w:rPr>
        <w:t xml:space="preserve">na </w:t>
      </w:r>
      <w:r w:rsidR="00724034" w:rsidRPr="002F30DF">
        <w:rPr>
          <w:rFonts w:cs="Arial"/>
          <w:sz w:val="20"/>
          <w:szCs w:val="20"/>
        </w:rPr>
        <w:t>vloge za poravnavo, ki so bile umaknjene</w:t>
      </w:r>
      <w:r w:rsidR="00191DBD" w:rsidRPr="002F30DF">
        <w:rPr>
          <w:rFonts w:cs="Arial"/>
          <w:sz w:val="20"/>
          <w:szCs w:val="20"/>
        </w:rPr>
        <w:t>. Zaščita teh podatkov je časovno omejena</w:t>
      </w:r>
      <w:r w:rsidR="009673BA" w:rsidRPr="002F30DF">
        <w:rPr>
          <w:rFonts w:cs="Arial"/>
          <w:sz w:val="20"/>
          <w:szCs w:val="20"/>
        </w:rPr>
        <w:t xml:space="preserve"> in traja dokler a</w:t>
      </w:r>
      <w:r w:rsidRPr="002F30DF">
        <w:rPr>
          <w:rFonts w:cs="Arial"/>
          <w:sz w:val="20"/>
          <w:szCs w:val="20"/>
        </w:rPr>
        <w:t xml:space="preserve">gencija </w:t>
      </w:r>
      <w:r w:rsidR="0045284B" w:rsidRPr="002F30DF">
        <w:rPr>
          <w:rFonts w:cs="Arial"/>
          <w:sz w:val="20"/>
          <w:szCs w:val="20"/>
        </w:rPr>
        <w:t xml:space="preserve">zoper vse stranke </w:t>
      </w:r>
      <w:r w:rsidRPr="002F30DF">
        <w:rPr>
          <w:rFonts w:cs="Arial"/>
          <w:sz w:val="20"/>
          <w:szCs w:val="20"/>
        </w:rPr>
        <w:t>ne konča postopka za uveljavljanje pravil konkurence</w:t>
      </w:r>
      <w:r w:rsidR="00191DBD" w:rsidRPr="002F30DF">
        <w:rPr>
          <w:rFonts w:cs="Arial"/>
          <w:sz w:val="20"/>
          <w:szCs w:val="20"/>
        </w:rPr>
        <w:t>.</w:t>
      </w:r>
      <w:r w:rsidR="00E25C3C" w:rsidRPr="002F30DF">
        <w:rPr>
          <w:rFonts w:cs="Arial"/>
          <w:sz w:val="20"/>
          <w:szCs w:val="20"/>
        </w:rPr>
        <w:t xml:space="preserve"> </w:t>
      </w:r>
    </w:p>
    <w:p w:rsidR="006F4460" w:rsidRPr="002F30DF" w:rsidRDefault="006F4460" w:rsidP="0025166A">
      <w:pPr>
        <w:spacing w:line="260" w:lineRule="atLeast"/>
        <w:rPr>
          <w:rFonts w:cs="Arial"/>
          <w:sz w:val="20"/>
          <w:szCs w:val="20"/>
        </w:rPr>
      </w:pPr>
    </w:p>
    <w:p w:rsidR="005127E1" w:rsidRPr="002F30DF" w:rsidRDefault="00E25C3C" w:rsidP="0025166A">
      <w:pPr>
        <w:spacing w:line="260" w:lineRule="atLeast"/>
        <w:rPr>
          <w:rFonts w:cs="Arial"/>
          <w:b/>
          <w:sz w:val="20"/>
          <w:szCs w:val="20"/>
        </w:rPr>
      </w:pPr>
      <w:r w:rsidRPr="002F30DF">
        <w:rPr>
          <w:rFonts w:cs="Arial"/>
          <w:sz w:val="20"/>
          <w:szCs w:val="20"/>
        </w:rPr>
        <w:t xml:space="preserve">S tem </w:t>
      </w:r>
      <w:r w:rsidR="006F4460" w:rsidRPr="002F30DF">
        <w:rPr>
          <w:rFonts w:cs="Arial"/>
          <w:sz w:val="20"/>
          <w:szCs w:val="20"/>
        </w:rPr>
        <w:t>členom</w:t>
      </w:r>
      <w:r w:rsidRPr="002F30DF">
        <w:rPr>
          <w:rFonts w:cs="Arial"/>
          <w:sz w:val="20"/>
          <w:szCs w:val="20"/>
        </w:rPr>
        <w:t xml:space="preserve"> se prenaša</w:t>
      </w:r>
      <w:r w:rsidR="006F4460" w:rsidRPr="002F30DF">
        <w:rPr>
          <w:rFonts w:cs="Arial"/>
          <w:sz w:val="20"/>
          <w:szCs w:val="20"/>
        </w:rPr>
        <w:t>jo tretji, četrti in</w:t>
      </w:r>
      <w:r w:rsidRPr="002F30DF">
        <w:rPr>
          <w:rFonts w:cs="Arial"/>
          <w:sz w:val="20"/>
          <w:szCs w:val="20"/>
        </w:rPr>
        <w:t xml:space="preserve"> peti odstavek 31. </w:t>
      </w:r>
      <w:r w:rsidR="00BD6A40" w:rsidRPr="002F30DF">
        <w:rPr>
          <w:rFonts w:cs="Arial"/>
          <w:sz w:val="20"/>
          <w:szCs w:val="20"/>
        </w:rPr>
        <w:t>č</w:t>
      </w:r>
      <w:r w:rsidRPr="002F30DF">
        <w:rPr>
          <w:rFonts w:cs="Arial"/>
          <w:sz w:val="20"/>
          <w:szCs w:val="20"/>
        </w:rPr>
        <w:t>lena Direktive 2019/1.</w:t>
      </w:r>
    </w:p>
    <w:p w:rsidR="005127E1" w:rsidRPr="002F30DF" w:rsidRDefault="004A6415" w:rsidP="004A6415">
      <w:pPr>
        <w:tabs>
          <w:tab w:val="left" w:pos="2160"/>
        </w:tabs>
        <w:spacing w:line="260" w:lineRule="atLeast"/>
        <w:rPr>
          <w:rFonts w:cs="Arial"/>
          <w:sz w:val="20"/>
          <w:szCs w:val="20"/>
        </w:rPr>
      </w:pPr>
      <w:r w:rsidRPr="002F30DF">
        <w:rPr>
          <w:rFonts w:cs="Arial"/>
          <w:sz w:val="20"/>
          <w:szCs w:val="20"/>
        </w:rPr>
        <w:tab/>
      </w: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E34EE" w:rsidRPr="002F30DF">
        <w:rPr>
          <w:rFonts w:cs="Arial"/>
          <w:b/>
          <w:sz w:val="20"/>
          <w:szCs w:val="20"/>
        </w:rPr>
        <w:t>44</w:t>
      </w:r>
      <w:r w:rsidRPr="002F30DF">
        <w:rPr>
          <w:rFonts w:cs="Arial"/>
          <w:b/>
          <w:sz w:val="20"/>
          <w:szCs w:val="20"/>
        </w:rPr>
        <w:t>. členu (zagotavljanje načela kontradiktornosti)</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Načelo kontradiktornosti je eno izmed temeljnih načel upravnega postopka</w:t>
      </w:r>
      <w:r w:rsidR="00FC3FC5" w:rsidRPr="002F30DF">
        <w:rPr>
          <w:rFonts w:cs="Arial"/>
          <w:sz w:val="20"/>
          <w:szCs w:val="20"/>
        </w:rPr>
        <w:t xml:space="preserve"> in</w:t>
      </w:r>
      <w:r w:rsidRPr="002F30DF">
        <w:rPr>
          <w:rFonts w:cs="Arial"/>
          <w:sz w:val="20"/>
          <w:szCs w:val="20"/>
        </w:rPr>
        <w:t xml:space="preserve"> je neposreden izraz pravice do enakega varstva pravic v postopku, ki jo zagotavlja 22. člen Ustave Republike Slovenije (Uradni list RS, št. 33/91-I, 42/97 – UZS68, 66/00 – UZ80, 24/03 – UZ3a, 47, 68, 69/04 – UZ14, 69/04 – UZ43, 69/04 – UZ50, 68/06 – UZ121,140,143, 47/13 – UZ148, 47/13 – UZ90,97,99 in 75/16 – UZ70a</w:t>
      </w:r>
      <w:r w:rsidR="001055C4" w:rsidRPr="002F30DF">
        <w:rPr>
          <w:rFonts w:cs="Arial"/>
          <w:sz w:val="20"/>
          <w:szCs w:val="20"/>
        </w:rPr>
        <w:t>; v nadaljnjem besedilu: ustava</w:t>
      </w:r>
      <w:r w:rsidRPr="002F30DF">
        <w:rPr>
          <w:rFonts w:cs="Arial"/>
          <w:sz w:val="20"/>
          <w:szCs w:val="20"/>
        </w:rPr>
        <w:t xml:space="preserve">). Pravica do kontradiktornega postopka strankam zagotavlja, da se v postopku lahko opredelijo do vseh vprašanj, pomembnih za odločitev, ter da branijo svoje pravice in interese.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Stranka v postopku mora biti seznanjena z dejstvom, da je zoper njo začet postopek in mora imeti možnost v postopku aktivno sodelovati (navajati dejstva in dokaze, izjaviti se glede pravnih vprašanj, ugovarjati navedbam in dokaznim predlogom, komentirati rezultate dokazovanja, skratka seznaniti se</w:t>
      </w:r>
      <w:r w:rsidR="00E408FB" w:rsidRPr="002F30DF">
        <w:rPr>
          <w:rFonts w:cs="Arial"/>
          <w:sz w:val="20"/>
          <w:szCs w:val="20"/>
        </w:rPr>
        <w:t xml:space="preserve"> </w:t>
      </w:r>
      <w:r w:rsidRPr="002F30DF">
        <w:rPr>
          <w:rFonts w:cs="Arial"/>
          <w:sz w:val="20"/>
          <w:szCs w:val="20"/>
        </w:rPr>
        <w:t xml:space="preserve">z vsem procesnim gradivom, ki vpliva na odločitev </w:t>
      </w:r>
      <w:r w:rsidR="009673BA" w:rsidRPr="002F30DF">
        <w:rPr>
          <w:rFonts w:cs="Arial"/>
          <w:sz w:val="20"/>
          <w:szCs w:val="20"/>
        </w:rPr>
        <w:t>a</w:t>
      </w:r>
      <w:r w:rsidR="0045309B" w:rsidRPr="002F30DF">
        <w:rPr>
          <w:rFonts w:cs="Arial"/>
          <w:sz w:val="20"/>
          <w:szCs w:val="20"/>
        </w:rPr>
        <w:t>genc</w:t>
      </w:r>
      <w:r w:rsidRPr="002F30DF">
        <w:rPr>
          <w:rFonts w:cs="Arial"/>
          <w:sz w:val="20"/>
          <w:szCs w:val="20"/>
        </w:rPr>
        <w:t xml:space="preserve">ije). Odločba </w:t>
      </w:r>
      <w:r w:rsidR="001055C4" w:rsidRPr="002F30DF">
        <w:rPr>
          <w:rFonts w:cs="Arial"/>
          <w:sz w:val="20"/>
          <w:szCs w:val="20"/>
        </w:rPr>
        <w:t>a</w:t>
      </w:r>
      <w:r w:rsidR="0045309B" w:rsidRPr="002F30DF">
        <w:rPr>
          <w:rFonts w:cs="Arial"/>
          <w:sz w:val="20"/>
          <w:szCs w:val="20"/>
        </w:rPr>
        <w:t>genc</w:t>
      </w:r>
      <w:r w:rsidRPr="002F30DF">
        <w:rPr>
          <w:rFonts w:cs="Arial"/>
          <w:sz w:val="20"/>
          <w:szCs w:val="20"/>
        </w:rPr>
        <w:t>ije se ne sme opirati na dejstva in dokaze, glede katerih podjetju, proti kateremu se vodi postopek in priglasitelju, ni bila dana možnost, da se o njih izjavi, četudi predstavljajo dejstva in dokazi podatke, ki pomenijo poslovno skrivnost.</w:t>
      </w:r>
    </w:p>
    <w:p w:rsidR="00BB7945" w:rsidRPr="002F30DF" w:rsidRDefault="00BB7945" w:rsidP="0025166A">
      <w:pPr>
        <w:spacing w:line="260" w:lineRule="atLeast"/>
        <w:rPr>
          <w:rFonts w:cs="Arial"/>
          <w:b/>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tem členom se zagotavlja delni prenos 3. člena Direktive 2019/1, ki določa, da </w:t>
      </w:r>
      <w:r w:rsidRPr="002F30DF">
        <w:rPr>
          <w:rFonts w:cs="Arial"/>
          <w:i/>
          <w:sz w:val="20"/>
          <w:szCs w:val="20"/>
        </w:rPr>
        <w:t>mora biti postopek v zvezi s kršitvami 101. ali 102. člena PDEU skladen s splošnimi načeli prava Unije in Listine Evropske unije o temeljnih pravicah, pri čemer v drugem odstavku tega člena še posebej izpostavlja</w:t>
      </w:r>
      <w:r w:rsidR="00814AB6" w:rsidRPr="002F30DF">
        <w:rPr>
          <w:rFonts w:cs="Arial"/>
          <w:i/>
          <w:sz w:val="20"/>
          <w:szCs w:val="20"/>
        </w:rPr>
        <w:t>, da</w:t>
      </w:r>
      <w:r w:rsidRPr="002F30DF">
        <w:rPr>
          <w:rFonts w:cs="Arial"/>
          <w:i/>
          <w:sz w:val="20"/>
          <w:szCs w:val="20"/>
        </w:rPr>
        <w:t xml:space="preserve"> je treba zagotoviti ustrezne zaščitne ukrepe glede pravice do obrambe podjetij, vključno s pravico do izjav</w:t>
      </w:r>
      <w:r w:rsidR="00814AB6" w:rsidRPr="002F30DF">
        <w:rPr>
          <w:rFonts w:cs="Arial"/>
          <w:i/>
          <w:sz w:val="20"/>
          <w:szCs w:val="20"/>
        </w:rPr>
        <w:t>e</w:t>
      </w:r>
      <w:r w:rsidRPr="002F30DF">
        <w:rPr>
          <w:rFonts w:cs="Arial"/>
          <w:i/>
          <w:sz w:val="20"/>
          <w:szCs w:val="20"/>
        </w:rPr>
        <w:t>.</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b/>
          <w:sz w:val="20"/>
          <w:szCs w:val="20"/>
        </w:rPr>
        <w:t xml:space="preserve">K </w:t>
      </w:r>
      <w:r w:rsidR="00EE34EE" w:rsidRPr="002F30DF">
        <w:rPr>
          <w:rFonts w:cs="Arial"/>
          <w:b/>
          <w:sz w:val="20"/>
          <w:szCs w:val="20"/>
        </w:rPr>
        <w:t>45</w:t>
      </w:r>
      <w:r w:rsidRPr="002F30DF">
        <w:rPr>
          <w:rFonts w:cs="Arial"/>
          <w:b/>
          <w:sz w:val="20"/>
          <w:szCs w:val="20"/>
        </w:rPr>
        <w:t>. členu (dopustnost dokazov)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ureja dopustnost dokazov. Kot je navedeno v 73. uvodni </w:t>
      </w:r>
      <w:r w:rsidR="00721AA6" w:rsidRPr="002F30DF">
        <w:rPr>
          <w:rFonts w:cs="Arial"/>
          <w:sz w:val="20"/>
          <w:szCs w:val="20"/>
        </w:rPr>
        <w:t>izjavi</w:t>
      </w:r>
      <w:r w:rsidRPr="002F30DF">
        <w:rPr>
          <w:rFonts w:cs="Arial"/>
          <w:sz w:val="20"/>
          <w:szCs w:val="20"/>
        </w:rPr>
        <w:t xml:space="preserve"> Direktive 2019/1 so </w:t>
      </w:r>
      <w:r w:rsidRPr="002F30DF">
        <w:rPr>
          <w:rFonts w:cs="Arial"/>
          <w:i/>
          <w:sz w:val="20"/>
          <w:szCs w:val="20"/>
        </w:rPr>
        <w:t>dokazi pomemben element pri uveljavljanju pravil varstva konkurence, zato mora imeti nacionalni organ, pristojen za varstvo konkurence, možnost, da obravnava vse relevantne dokaze, ne glede na to, ali so v pisni, ustni ali elektronski obliki ali obliki posnetkov. To vključuje tudi možnost, da se kot dokazi lahko obravnavajo tudi tajni posnetki, ki jih naredijo fizične ali pravne osebe, ki niso javni organi, pod pogojem, da ti posnetki niso edini vir dokazov. To ne bi smelo posegati v pravico do izjave in v dopustnost posnetkov, ki so jih naredili ali pridobili javni organi. Prav tako bi morali imeti nacionalni organi, pristojni za varstvo konkurence</w:t>
      </w:r>
      <w:r w:rsidR="001055C4" w:rsidRPr="002F30DF">
        <w:rPr>
          <w:rFonts w:cs="Arial"/>
          <w:i/>
          <w:sz w:val="20"/>
          <w:szCs w:val="20"/>
        </w:rPr>
        <w:t>,</w:t>
      </w:r>
      <w:r w:rsidRPr="002F30DF">
        <w:rPr>
          <w:rFonts w:cs="Arial"/>
          <w:i/>
          <w:sz w:val="20"/>
          <w:szCs w:val="20"/>
        </w:rPr>
        <w:t xml:space="preserve"> možnost obravnavati elektronska sporočila kot relevantne dokaze, ne glede na to, če so prikazana kot neprebrana ali če so bila izbrisana.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w:t>
      </w:r>
      <w:r w:rsidRPr="002F30DF">
        <w:rPr>
          <w:rFonts w:cs="Arial"/>
          <w:sz w:val="20"/>
          <w:szCs w:val="20"/>
          <w:u w:val="single"/>
        </w:rPr>
        <w:t>prvim odstavkom</w:t>
      </w:r>
      <w:r w:rsidRPr="002F30DF">
        <w:rPr>
          <w:rFonts w:cs="Arial"/>
          <w:sz w:val="20"/>
          <w:szCs w:val="20"/>
        </w:rPr>
        <w:t xml:space="preserve"> se določi, da </w:t>
      </w:r>
      <w:r w:rsidR="00D93BA5" w:rsidRPr="002F30DF">
        <w:rPr>
          <w:rFonts w:cs="Arial"/>
          <w:sz w:val="20"/>
          <w:szCs w:val="20"/>
        </w:rPr>
        <w:t>a</w:t>
      </w:r>
      <w:r w:rsidR="007D472B" w:rsidRPr="002F30DF">
        <w:rPr>
          <w:rFonts w:cs="Arial"/>
          <w:sz w:val="20"/>
          <w:szCs w:val="20"/>
        </w:rPr>
        <w:t xml:space="preserve">gencija </w:t>
      </w:r>
      <w:r w:rsidRPr="002F30DF">
        <w:rPr>
          <w:rFonts w:cs="Arial"/>
          <w:sz w:val="20"/>
          <w:szCs w:val="20"/>
        </w:rPr>
        <w:t xml:space="preserve">lahko pri izvajanju pristojnosti iz tega zakona uporablja vse vrste dokazov, vključno z dokumenti, ustnimi izjavami, prebranimi ali neprebranimi elektronskimi sporočili in posnetki, ne glede na obliko in vrsto nosilca, na katerem so dokazi shranjeni in tako zagotovi prenos 32. člena Direktive 2019/1, ki nalaga državam članicam, da zagotovijo, da </w:t>
      </w:r>
      <w:r w:rsidRPr="002F30DF">
        <w:rPr>
          <w:rFonts w:cs="Arial"/>
          <w:i/>
          <w:sz w:val="20"/>
          <w:szCs w:val="20"/>
        </w:rPr>
        <w:t>vrste dopustnih dokazov pred nacionalnim organom, pristojnim za varstvo konkurence, vključujejo dokumente, ustne izjave, elektronska sporočila, posnetke in vse druge predmete, ki vsebujejo informacije, ne glede na njihovo obliko in vrsto nosilca, na katerem so shranjene.</w:t>
      </w:r>
    </w:p>
    <w:p w:rsidR="007522E3" w:rsidRPr="002F30DF" w:rsidRDefault="007522E3" w:rsidP="0025166A">
      <w:pPr>
        <w:spacing w:line="260" w:lineRule="atLeast"/>
        <w:rPr>
          <w:rFonts w:cs="Arial"/>
          <w:b/>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 xml:space="preserve">Namen </w:t>
      </w:r>
      <w:r w:rsidRPr="002F30DF">
        <w:rPr>
          <w:rFonts w:cs="Arial"/>
          <w:sz w:val="20"/>
          <w:szCs w:val="20"/>
          <w:u w:val="single"/>
        </w:rPr>
        <w:t>drugega odstavka</w:t>
      </w:r>
      <w:r w:rsidRPr="002F30DF">
        <w:rPr>
          <w:rFonts w:cs="Arial"/>
          <w:sz w:val="20"/>
          <w:szCs w:val="20"/>
        </w:rPr>
        <w:t xml:space="preserve"> je zagotoviti ustrezna procesna jamstva v tem zakonu zaradi uvedbe administrativnega sankcioniranja podjetij, ki jih </w:t>
      </w:r>
      <w:r w:rsidR="001055C4" w:rsidRPr="002F30DF">
        <w:rPr>
          <w:rFonts w:cs="Arial"/>
          <w:sz w:val="20"/>
          <w:szCs w:val="20"/>
        </w:rPr>
        <w:t>ustava</w:t>
      </w:r>
      <w:r w:rsidRPr="002F30DF">
        <w:rPr>
          <w:rFonts w:cs="Arial"/>
          <w:sz w:val="20"/>
          <w:szCs w:val="20"/>
        </w:rPr>
        <w:t xml:space="preserve"> določa za kaznovalne postopke. Taka prepov</w:t>
      </w:r>
      <w:r w:rsidR="001055C4" w:rsidRPr="002F30DF">
        <w:rPr>
          <w:rFonts w:cs="Arial"/>
          <w:sz w:val="20"/>
          <w:szCs w:val="20"/>
        </w:rPr>
        <w:t>ed izhaja sicer že iz 2. člena u</w:t>
      </w:r>
      <w:r w:rsidRPr="002F30DF">
        <w:rPr>
          <w:rFonts w:cs="Arial"/>
          <w:sz w:val="20"/>
          <w:szCs w:val="20"/>
        </w:rPr>
        <w:t>stave</w:t>
      </w:r>
      <w:r w:rsidR="00F07A5C" w:rsidRPr="002F30DF">
        <w:rPr>
          <w:rFonts w:cs="Arial"/>
          <w:sz w:val="20"/>
          <w:szCs w:val="20"/>
        </w:rPr>
        <w:t xml:space="preserve"> in načela zakonitosti iz 2. člena Zakona o državni upravi (Uradni list RS, št. 113/05 – uradno prečiščeno besedilo, 89/07 – odl. US, 126/07 – ZUP-E, 48/09, 8/10 – ZUP-G, 8/12 – ZVRS-F, 21/12, 47/13, 12/14, 90/14</w:t>
      </w:r>
      <w:r w:rsidR="00EE34EE" w:rsidRPr="002F30DF">
        <w:rPr>
          <w:rFonts w:cs="Arial"/>
          <w:sz w:val="20"/>
          <w:szCs w:val="20"/>
        </w:rPr>
        <w:t>,</w:t>
      </w:r>
      <w:r w:rsidR="00F07A5C" w:rsidRPr="002F30DF">
        <w:rPr>
          <w:rFonts w:cs="Arial"/>
          <w:sz w:val="20"/>
          <w:szCs w:val="20"/>
        </w:rPr>
        <w:t xml:space="preserve"> 51/16</w:t>
      </w:r>
      <w:r w:rsidR="00EE34EE" w:rsidRPr="002F30DF">
        <w:rPr>
          <w:rFonts w:cs="Arial"/>
          <w:sz w:val="20"/>
          <w:szCs w:val="20"/>
        </w:rPr>
        <w:t xml:space="preserve"> in 36/21</w:t>
      </w:r>
      <w:r w:rsidR="00F07A5C" w:rsidRPr="002F30DF">
        <w:rPr>
          <w:rFonts w:cs="Arial"/>
          <w:sz w:val="20"/>
          <w:szCs w:val="20"/>
        </w:rPr>
        <w:t>)</w:t>
      </w:r>
      <w:r w:rsidRPr="002F30DF">
        <w:rPr>
          <w:rFonts w:cs="Arial"/>
          <w:sz w:val="20"/>
          <w:szCs w:val="20"/>
        </w:rPr>
        <w:t xml:space="preserve">, saj mora </w:t>
      </w:r>
      <w:r w:rsidR="001055C4" w:rsidRPr="002F30DF">
        <w:rPr>
          <w:rFonts w:cs="Arial"/>
          <w:sz w:val="20"/>
          <w:szCs w:val="20"/>
        </w:rPr>
        <w:t>a</w:t>
      </w:r>
      <w:r w:rsidR="0045309B" w:rsidRPr="002F30DF">
        <w:rPr>
          <w:rFonts w:cs="Arial"/>
          <w:sz w:val="20"/>
          <w:szCs w:val="20"/>
        </w:rPr>
        <w:t>genc</w:t>
      </w:r>
      <w:r w:rsidRPr="002F30DF">
        <w:rPr>
          <w:rFonts w:cs="Arial"/>
          <w:sz w:val="20"/>
          <w:szCs w:val="20"/>
        </w:rPr>
        <w:t>ija izvajati svoje pristojnosti zakonito in ne sme opreti odločbe na dokaze, ki bi bili pridobljeni s kršitvijo ustavno določenih človekovih pravic in temeljnih svoboščin</w:t>
      </w:r>
      <w:r w:rsidR="00E51E7E" w:rsidRPr="002F30DF">
        <w:rPr>
          <w:rFonts w:cs="Arial"/>
          <w:sz w:val="20"/>
          <w:szCs w:val="20"/>
        </w:rPr>
        <w:t>, dokazov, nastalih iz nedovoljenega dokaza ali zaradi kršitve tega zakona.</w:t>
      </w:r>
      <w:r w:rsidRPr="002F30DF">
        <w:rPr>
          <w:rFonts w:cs="Arial"/>
          <w:sz w:val="20"/>
          <w:szCs w:val="20"/>
        </w:rPr>
        <w:t xml:space="preserve"> Izločitev dokazov se tako nanaša na dokaze, ki jih </w:t>
      </w:r>
      <w:r w:rsidR="001055C4" w:rsidRPr="002F30DF">
        <w:rPr>
          <w:rFonts w:cs="Arial"/>
          <w:sz w:val="20"/>
          <w:szCs w:val="20"/>
        </w:rPr>
        <w:t>a</w:t>
      </w:r>
      <w:r w:rsidR="0045309B" w:rsidRPr="002F30DF">
        <w:rPr>
          <w:rFonts w:cs="Arial"/>
          <w:sz w:val="20"/>
          <w:szCs w:val="20"/>
        </w:rPr>
        <w:t>genc</w:t>
      </w:r>
      <w:r w:rsidRPr="002F30DF">
        <w:rPr>
          <w:rFonts w:cs="Arial"/>
          <w:sz w:val="20"/>
          <w:szCs w:val="20"/>
        </w:rPr>
        <w:t>ija pridobi na nezakonit način,</w:t>
      </w:r>
      <w:r w:rsidR="007D472B" w:rsidRPr="002F30DF">
        <w:rPr>
          <w:rFonts w:cs="Arial"/>
          <w:sz w:val="20"/>
          <w:szCs w:val="20"/>
        </w:rPr>
        <w:t xml:space="preserve"> in je ta kršitev takšne narave, da vpliva na pravilnost postopka,</w:t>
      </w:r>
      <w:r w:rsidRPr="002F30DF">
        <w:rPr>
          <w:rFonts w:cs="Arial"/>
          <w:sz w:val="20"/>
          <w:szCs w:val="20"/>
        </w:rPr>
        <w:t xml:space="preserve"> pri čemer se to ne nanaša na prikrite posnetke, ki bi jih </w:t>
      </w:r>
      <w:r w:rsidR="001055C4" w:rsidRPr="002F30DF">
        <w:rPr>
          <w:rFonts w:cs="Arial"/>
          <w:sz w:val="20"/>
          <w:szCs w:val="20"/>
        </w:rPr>
        <w:t>a</w:t>
      </w:r>
      <w:r w:rsidR="0045309B" w:rsidRPr="002F30DF">
        <w:rPr>
          <w:rFonts w:cs="Arial"/>
          <w:sz w:val="20"/>
          <w:szCs w:val="20"/>
        </w:rPr>
        <w:t>genc</w:t>
      </w:r>
      <w:r w:rsidRPr="002F30DF">
        <w:rPr>
          <w:rFonts w:cs="Arial"/>
          <w:sz w:val="20"/>
          <w:szCs w:val="20"/>
        </w:rPr>
        <w:t xml:space="preserve">ija zakonito pridobila od fizične ali pravne osebe. Predlog te določbe je skladen s temeljnimi človekovimi pravicami. Iz prakse </w:t>
      </w:r>
      <w:r w:rsidR="007D472B" w:rsidRPr="002F30DF">
        <w:rPr>
          <w:rFonts w:cs="Arial"/>
          <w:sz w:val="20"/>
          <w:szCs w:val="20"/>
        </w:rPr>
        <w:t xml:space="preserve">Splošnega sodišča (sodba v zadevi T-54/14 Goldfish z dne 8.9.2016 </w:t>
      </w:r>
      <w:r w:rsidR="007D472B" w:rsidRPr="002F30DF">
        <w:rPr>
          <w:rFonts w:cs="Arial"/>
          <w:sz w:val="20"/>
          <w:szCs w:val="20"/>
        </w:rPr>
        <w:lastRenderedPageBreak/>
        <w:t>EU:T:2016:455, ki se je sklicevalo na prak</w:t>
      </w:r>
      <w:r w:rsidR="006F4460" w:rsidRPr="002F30DF">
        <w:rPr>
          <w:rFonts w:cs="Arial"/>
          <w:sz w:val="20"/>
          <w:szCs w:val="20"/>
        </w:rPr>
        <w:t>s</w:t>
      </w:r>
      <w:r w:rsidR="007D472B" w:rsidRPr="002F30DF">
        <w:rPr>
          <w:rFonts w:cs="Arial"/>
          <w:sz w:val="20"/>
          <w:szCs w:val="20"/>
        </w:rPr>
        <w:t xml:space="preserve">o Evropskega sodišča za človekove pravice v zadevi Popescu proti Romuniji, CE:ECHR:2007:0426JUD007152501) </w:t>
      </w:r>
      <w:r w:rsidRPr="002F30DF">
        <w:rPr>
          <w:rFonts w:cs="Arial"/>
          <w:sz w:val="20"/>
          <w:szCs w:val="20"/>
        </w:rPr>
        <w:t xml:space="preserve">izhaja, da uporaba nezakonitega posnetka kot dokaznega sredstva še ne pomeni neskladnosti z načelom pravičnosti in to velja tudi, če je dokaz pridobljen s kršitvijo 8. člena Evropske konvencije o človekovih pravicah, če prvič, pritožniku ni bilo poseženo niti v pravico do poštenega sojenja niti v pravico do obrambe, in drugič, ta dokaz ni bil edini dokaz, na katerem je temeljila obsodba. </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Tudi nobena določba prava Evropske unije izrecno ne določa prepovedi upoštevanja nezakonito pridobljenih dokazov v sodnem postopku, iz navedene sodne prakse na splošno izhaja, da ni nobenega načela, v skladu s katerim se nezakonito pridobljeni dokazi ne bi smeli uporabiti v okviru preiskave ali sodnega postopka</w:t>
      </w:r>
      <w:r w:rsidRPr="002F30DF">
        <w:rPr>
          <w:rFonts w:cs="Arial"/>
          <w:sz w:val="20"/>
          <w:szCs w:val="20"/>
          <w:vertAlign w:val="superscript"/>
        </w:rPr>
        <w:footnoteReference w:id="6"/>
      </w:r>
      <w:r w:rsidRPr="002F30DF">
        <w:rPr>
          <w:rFonts w:cs="Arial"/>
          <w:sz w:val="20"/>
          <w:szCs w:val="20"/>
        </w:rPr>
        <w:t>.</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 xml:space="preserve">V primerih, ko bi </w:t>
      </w:r>
      <w:r w:rsidR="00D21647" w:rsidRPr="002F30DF">
        <w:rPr>
          <w:rFonts w:cs="Arial"/>
          <w:sz w:val="20"/>
          <w:szCs w:val="20"/>
        </w:rPr>
        <w:t>a</w:t>
      </w:r>
      <w:r w:rsidR="0045309B" w:rsidRPr="002F30DF">
        <w:rPr>
          <w:rFonts w:cs="Arial"/>
          <w:sz w:val="20"/>
          <w:szCs w:val="20"/>
        </w:rPr>
        <w:t>genc</w:t>
      </w:r>
      <w:r w:rsidRPr="002F30DF">
        <w:rPr>
          <w:rFonts w:cs="Arial"/>
          <w:sz w:val="20"/>
          <w:szCs w:val="20"/>
        </w:rPr>
        <w:t xml:space="preserve">ija pri zbiranju dokazov posegla v človekove pravice in temeljne svoboščine posameznika, veljavna zakonodaja zagotavlja učinkovito sodno varstvo zoper odločbe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ije, ki poteka pred Upravnim sodiščem Republike Slovenije po pravilih tega zakona in ob smiselni uporabi Zakona o upravnem sporu (Uradni list RS, št. </w:t>
      </w:r>
      <w:hyperlink r:id="rId102" w:tgtFrame="_blank" w:tooltip="Zakon o upravnem sporu (ZUS-1)" w:history="1">
        <w:r w:rsidRPr="002F30DF">
          <w:rPr>
            <w:rFonts w:cs="Arial"/>
            <w:sz w:val="20"/>
            <w:szCs w:val="20"/>
          </w:rPr>
          <w:t>105/06</w:t>
        </w:r>
      </w:hyperlink>
      <w:r w:rsidRPr="002F30DF">
        <w:rPr>
          <w:rFonts w:cs="Arial"/>
          <w:sz w:val="20"/>
          <w:szCs w:val="20"/>
        </w:rPr>
        <w:t xml:space="preserve">, </w:t>
      </w:r>
      <w:hyperlink r:id="rId103" w:tgtFrame="_blank" w:tooltip="Odločba o ugotovitvi, da je del četrtega odstavka 25. člena Zakona o upravnem sporu v neskladju z Ustavo ter o razveljavitvi sklepa Vrhovnega sodišča in sklepa Upravnega sodišča" w:history="1">
        <w:r w:rsidRPr="002F30DF">
          <w:rPr>
            <w:rFonts w:cs="Arial"/>
            <w:sz w:val="20"/>
            <w:szCs w:val="20"/>
          </w:rPr>
          <w:t>107/09</w:t>
        </w:r>
      </w:hyperlink>
      <w:r w:rsidRPr="002F30DF">
        <w:rPr>
          <w:rFonts w:cs="Arial"/>
          <w:sz w:val="20"/>
          <w:szCs w:val="20"/>
        </w:rPr>
        <w:t xml:space="preserve"> – odl. US, </w:t>
      </w:r>
      <w:hyperlink r:id="rId104" w:tgtFrame="_blank" w:tooltip="Zakon o spremembah in dopolnitvah Zakona o upravnem sporu" w:history="1">
        <w:r w:rsidRPr="002F30DF">
          <w:rPr>
            <w:rFonts w:cs="Arial"/>
            <w:sz w:val="20"/>
            <w:szCs w:val="20"/>
          </w:rPr>
          <w:t>62/10</w:t>
        </w:r>
      </w:hyperlink>
      <w:r w:rsidRPr="002F30DF">
        <w:rPr>
          <w:rFonts w:cs="Arial"/>
          <w:sz w:val="20"/>
          <w:szCs w:val="20"/>
        </w:rPr>
        <w:t xml:space="preserve">, </w:t>
      </w:r>
      <w:hyperlink r:id="rId105" w:tgtFrame="_blank" w:tooltip="Odločba o ugotovitvi, da je Zakon o upravnem sporu v neskladju z Ustavo in o razveljavitvi sklepov Vrhovnega in Upravnega sodišča" w:history="1">
        <w:r w:rsidRPr="002F30DF">
          <w:rPr>
            <w:rFonts w:cs="Arial"/>
            <w:sz w:val="20"/>
            <w:szCs w:val="20"/>
          </w:rPr>
          <w:t>98/11</w:t>
        </w:r>
      </w:hyperlink>
      <w:r w:rsidRPr="002F30DF">
        <w:rPr>
          <w:rFonts w:cs="Arial"/>
          <w:sz w:val="20"/>
          <w:szCs w:val="20"/>
        </w:rPr>
        <w:t xml:space="preserve"> – odl. US, </w:t>
      </w:r>
      <w:hyperlink r:id="rId106" w:tgtFrame="_blank" w:tooltip="Zakon o dopolnitvah Zakona o upravnem sporu" w:history="1">
        <w:r w:rsidRPr="002F30DF">
          <w:rPr>
            <w:rFonts w:cs="Arial"/>
            <w:sz w:val="20"/>
            <w:szCs w:val="20"/>
          </w:rPr>
          <w:t>109/12</w:t>
        </w:r>
      </w:hyperlink>
      <w:r w:rsidRPr="002F30DF">
        <w:rPr>
          <w:rFonts w:cs="Arial"/>
          <w:sz w:val="20"/>
          <w:szCs w:val="20"/>
        </w:rPr>
        <w:t xml:space="preserve"> in </w:t>
      </w:r>
      <w:hyperlink r:id="rId107" w:tgtFrame="_blank" w:tooltip="Zakon o spremembah in dopolnitvah Zakona o pravdnem postopku" w:history="1">
        <w:r w:rsidRPr="002F30DF">
          <w:rPr>
            <w:rFonts w:cs="Arial"/>
            <w:sz w:val="20"/>
            <w:szCs w:val="20"/>
          </w:rPr>
          <w:t>10/17</w:t>
        </w:r>
      </w:hyperlink>
      <w:r w:rsidRPr="002F30DF">
        <w:rPr>
          <w:rFonts w:cs="Arial"/>
          <w:sz w:val="20"/>
          <w:szCs w:val="20"/>
        </w:rPr>
        <w:t xml:space="preserve"> – ZPP-E; v nadaljnjem besedilu: ZUS-1).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Predlog te</w:t>
      </w:r>
      <w:r w:rsidR="00227316" w:rsidRPr="002F30DF">
        <w:rPr>
          <w:rFonts w:cs="Arial"/>
          <w:sz w:val="20"/>
          <w:szCs w:val="20"/>
        </w:rPr>
        <w:t>ga</w:t>
      </w:r>
      <w:r w:rsidRPr="002F30DF">
        <w:rPr>
          <w:rFonts w:cs="Arial"/>
          <w:sz w:val="20"/>
          <w:szCs w:val="20"/>
        </w:rPr>
        <w:t xml:space="preserve"> </w:t>
      </w:r>
      <w:r w:rsidR="0015345A" w:rsidRPr="002F30DF">
        <w:rPr>
          <w:rFonts w:cs="Arial"/>
          <w:sz w:val="20"/>
          <w:szCs w:val="20"/>
        </w:rPr>
        <w:t xml:space="preserve">zakona </w:t>
      </w:r>
      <w:r w:rsidRPr="002F30DF">
        <w:rPr>
          <w:rFonts w:cs="Arial"/>
          <w:sz w:val="20"/>
          <w:szCs w:val="20"/>
        </w:rPr>
        <w:t xml:space="preserve">tudi določa, da </w:t>
      </w:r>
      <w:r w:rsidR="00D21647" w:rsidRPr="002F30DF">
        <w:rPr>
          <w:rFonts w:cs="Arial"/>
          <w:sz w:val="20"/>
          <w:szCs w:val="20"/>
        </w:rPr>
        <w:t>a</w:t>
      </w:r>
      <w:r w:rsidR="0045309B" w:rsidRPr="002F30DF">
        <w:rPr>
          <w:rFonts w:cs="Arial"/>
          <w:sz w:val="20"/>
          <w:szCs w:val="20"/>
        </w:rPr>
        <w:t>genc</w:t>
      </w:r>
      <w:r w:rsidRPr="002F30DF">
        <w:rPr>
          <w:rFonts w:cs="Arial"/>
          <w:sz w:val="20"/>
          <w:szCs w:val="20"/>
        </w:rPr>
        <w:t xml:space="preserve">ija ne sme opreti odločbe na dokaze, na katere se po določbah tega zakona ne more opirati, kar ureja ta zakon. </w:t>
      </w:r>
    </w:p>
    <w:p w:rsidR="00FA3B9E" w:rsidRPr="002F30DF" w:rsidRDefault="00FA3B9E" w:rsidP="0025166A">
      <w:pPr>
        <w:spacing w:line="260" w:lineRule="atLeast"/>
        <w:rPr>
          <w:rFonts w:cs="Arial"/>
          <w:sz w:val="20"/>
          <w:szCs w:val="20"/>
        </w:rPr>
      </w:pPr>
    </w:p>
    <w:p w:rsidR="00FA3B9E" w:rsidRPr="002F30DF" w:rsidRDefault="00FA3B9E" w:rsidP="0025166A">
      <w:pPr>
        <w:spacing w:line="260" w:lineRule="atLeast"/>
        <w:rPr>
          <w:rFonts w:cs="Arial"/>
          <w:sz w:val="20"/>
          <w:szCs w:val="20"/>
        </w:rPr>
      </w:pPr>
      <w:r w:rsidRPr="002F30DF">
        <w:rPr>
          <w:rFonts w:cs="Arial"/>
          <w:sz w:val="20"/>
          <w:szCs w:val="20"/>
        </w:rPr>
        <w:t xml:space="preserve">Dokumenti, iz katerih lahko izvirajo določena dejstva in ki lahko služijo kot dokaz v postopku ugotavljanja kršitev konkurenčnih pravil, se lahko odkrijejo tudi v okviru kazenskega ali drugega sodnega postopka, zlasti v kazenskem postopku v okviru preiskave gospodarskih kaznivih dejanj. Tretji odstavek tako kot do sedanji sedmi odstavek 29. člena ZPOmK-1 omogoča agenciji, da lahko </w:t>
      </w:r>
      <w:r w:rsidR="00D21088" w:rsidRPr="002F30DF">
        <w:rPr>
          <w:rFonts w:cs="Arial"/>
          <w:sz w:val="20"/>
          <w:szCs w:val="20"/>
        </w:rPr>
        <w:t>od</w:t>
      </w:r>
      <w:r w:rsidR="00D446B0" w:rsidRPr="002F30DF">
        <w:rPr>
          <w:rFonts w:cs="Arial"/>
          <w:sz w:val="20"/>
          <w:szCs w:val="20"/>
        </w:rPr>
        <w:t xml:space="preserve"> sodišče</w:t>
      </w:r>
      <w:r w:rsidRPr="002F30DF">
        <w:rPr>
          <w:rFonts w:cs="Arial"/>
          <w:sz w:val="20"/>
          <w:szCs w:val="20"/>
        </w:rPr>
        <w:t xml:space="preserve"> ali drug</w:t>
      </w:r>
      <w:r w:rsidR="00D21088" w:rsidRPr="002F30DF">
        <w:rPr>
          <w:rFonts w:cs="Arial"/>
          <w:sz w:val="20"/>
          <w:szCs w:val="20"/>
        </w:rPr>
        <w:t>ega</w:t>
      </w:r>
      <w:r w:rsidRPr="002F30DF">
        <w:rPr>
          <w:rFonts w:cs="Arial"/>
          <w:sz w:val="20"/>
          <w:szCs w:val="20"/>
        </w:rPr>
        <w:t xml:space="preserve"> organ</w:t>
      </w:r>
      <w:r w:rsidR="00D21088" w:rsidRPr="002F30DF">
        <w:rPr>
          <w:rFonts w:cs="Arial"/>
          <w:sz w:val="20"/>
          <w:szCs w:val="20"/>
        </w:rPr>
        <w:t>a</w:t>
      </w:r>
      <w:r w:rsidRPr="002F30DF">
        <w:rPr>
          <w:rFonts w:cs="Arial"/>
          <w:sz w:val="20"/>
          <w:szCs w:val="20"/>
        </w:rPr>
        <w:t xml:space="preserve"> </w:t>
      </w:r>
      <w:r w:rsidR="00D21088" w:rsidRPr="002F30DF">
        <w:rPr>
          <w:rFonts w:cs="Arial"/>
          <w:sz w:val="20"/>
          <w:szCs w:val="20"/>
        </w:rPr>
        <w:t>zahteva</w:t>
      </w:r>
      <w:r w:rsidR="00D446B0" w:rsidRPr="002F30DF">
        <w:rPr>
          <w:rFonts w:cs="Arial"/>
          <w:sz w:val="20"/>
          <w:szCs w:val="20"/>
        </w:rPr>
        <w:t xml:space="preserve"> </w:t>
      </w:r>
      <w:r w:rsidRPr="002F30DF">
        <w:rPr>
          <w:rFonts w:cs="Arial"/>
          <w:sz w:val="20"/>
          <w:szCs w:val="20"/>
        </w:rPr>
        <w:t>izročitev kopij dokumentacije, če bi bila ta lahko pomembna za odločitev agencije po tem zakonu ali 101. ali 102. členu PDEU. Sodišče mora agenciji zahtevano dokumentacijo posredovati, razen če presodi, da bi to nasprotovalo interesom kazenskega postopka</w:t>
      </w:r>
      <w:r w:rsidR="00B87CAC" w:rsidRPr="002F30DF">
        <w:rPr>
          <w:rFonts w:cs="Arial"/>
          <w:sz w:val="20"/>
          <w:szCs w:val="20"/>
        </w:rPr>
        <w:t xml:space="preserve"> (tretji odstavek)</w:t>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15345A" w:rsidRPr="002F30DF">
        <w:rPr>
          <w:rFonts w:cs="Arial"/>
          <w:b/>
          <w:sz w:val="20"/>
          <w:szCs w:val="20"/>
        </w:rPr>
        <w:t>46</w:t>
      </w:r>
      <w:r w:rsidRPr="002F30DF">
        <w:rPr>
          <w:rFonts w:cs="Arial"/>
          <w:b/>
          <w:sz w:val="20"/>
          <w:szCs w:val="20"/>
        </w:rPr>
        <w:t>. členu (vročanje)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dopolnjuje sistem vročanja, kot ga opredeljuje ZUP. Namen te določbe je rešiti problem pravnih oseb ali drugih oseb, ki so vpisane ali se vpisujejo v sodni register, vendar dejansko ne poslujejo oziroma jih ni mogoče najti, ali pa na naslovu, vpisanem v register kot sedež, ni nikogar. Za takšne primere določba tega člena nalaga riziko seznanitve z vlogo osebi, vpisani v sodni register, saj mora ta poskrbeti, da na naslovu, ki je vpisan kot sedež, poskrbi za možnost vročanja. V primeru, da vročitev na naslovu, navedenem v registru, ni mogoča, se vročitev opravi z javnim naznanilom na oglasni deski </w:t>
      </w:r>
      <w:r w:rsidR="00D93BA5" w:rsidRPr="002F30DF">
        <w:rPr>
          <w:rFonts w:cs="Arial"/>
          <w:sz w:val="20"/>
          <w:szCs w:val="20"/>
        </w:rPr>
        <w:t>a</w:t>
      </w:r>
      <w:r w:rsidR="0045309B" w:rsidRPr="002F30DF">
        <w:rPr>
          <w:rFonts w:cs="Arial"/>
          <w:sz w:val="20"/>
          <w:szCs w:val="20"/>
        </w:rPr>
        <w:t>genc</w:t>
      </w:r>
      <w:r w:rsidRPr="002F30DF">
        <w:rPr>
          <w:rFonts w:cs="Arial"/>
          <w:sz w:val="20"/>
          <w:szCs w:val="20"/>
        </w:rPr>
        <w:t>ije in na enotnem državnem portalu e</w:t>
      </w:r>
      <w:r w:rsidR="00814AB6" w:rsidRPr="002F30DF">
        <w:rPr>
          <w:rFonts w:cs="Arial"/>
          <w:sz w:val="20"/>
          <w:szCs w:val="20"/>
        </w:rPr>
        <w:t>-</w:t>
      </w:r>
      <w:r w:rsidRPr="002F30DF">
        <w:rPr>
          <w:rFonts w:cs="Arial"/>
          <w:sz w:val="20"/>
          <w:szCs w:val="20"/>
        </w:rPr>
        <w:t xml:space="preserve">uprava, na njegovem naslovu pa se pusti obvestilo o načinu vročitve. Po preteku 15 dni od dneva, ko je bilo naznanilo </w:t>
      </w:r>
      <w:r w:rsidR="00814AB6" w:rsidRPr="002F30DF">
        <w:rPr>
          <w:rFonts w:cs="Arial"/>
          <w:sz w:val="20"/>
          <w:szCs w:val="20"/>
        </w:rPr>
        <w:t xml:space="preserve">objavljeno </w:t>
      </w:r>
      <w:r w:rsidRPr="002F30DF">
        <w:rPr>
          <w:rFonts w:cs="Arial"/>
          <w:sz w:val="20"/>
          <w:szCs w:val="20"/>
        </w:rPr>
        <w:t>na oglasn</w:t>
      </w:r>
      <w:r w:rsidR="00814AB6" w:rsidRPr="002F30DF">
        <w:rPr>
          <w:rFonts w:cs="Arial"/>
          <w:sz w:val="20"/>
          <w:szCs w:val="20"/>
        </w:rPr>
        <w:t>i</w:t>
      </w:r>
      <w:r w:rsidRPr="002F30DF">
        <w:rPr>
          <w:rFonts w:cs="Arial"/>
          <w:sz w:val="20"/>
          <w:szCs w:val="20"/>
        </w:rPr>
        <w:t xml:space="preserve"> desk</w:t>
      </w:r>
      <w:r w:rsidR="00814AB6" w:rsidRPr="002F30DF">
        <w:rPr>
          <w:rFonts w:cs="Arial"/>
          <w:sz w:val="20"/>
          <w:szCs w:val="20"/>
        </w:rPr>
        <w:t>i</w:t>
      </w:r>
      <w:r w:rsidRPr="002F30DF">
        <w:rPr>
          <w:rFonts w:cs="Arial"/>
          <w:sz w:val="20"/>
          <w:szCs w:val="20"/>
        </w:rPr>
        <w:t xml:space="preserve"> in na enotnem državnem portalu e</w:t>
      </w:r>
      <w:r w:rsidR="00814AB6" w:rsidRPr="002F30DF">
        <w:rPr>
          <w:rFonts w:cs="Arial"/>
          <w:sz w:val="20"/>
          <w:szCs w:val="20"/>
        </w:rPr>
        <w:t>-</w:t>
      </w:r>
      <w:r w:rsidRPr="002F30DF">
        <w:rPr>
          <w:rFonts w:cs="Arial"/>
          <w:sz w:val="20"/>
          <w:szCs w:val="20"/>
        </w:rPr>
        <w:t>uprava, velja vročitev za opravljeno, vendar mora biti naslovnik v obvest</w:t>
      </w:r>
      <w:r w:rsidR="001943B4" w:rsidRPr="002F30DF">
        <w:rPr>
          <w:rFonts w:cs="Arial"/>
          <w:sz w:val="20"/>
          <w:szCs w:val="20"/>
        </w:rPr>
        <w:t>ilu o vročitvi o tem opozorjen.</w:t>
      </w:r>
    </w:p>
    <w:p w:rsidR="00882C65" w:rsidRPr="002F30DF" w:rsidRDefault="00882C65"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15345A" w:rsidRPr="002F30DF">
        <w:rPr>
          <w:rFonts w:cs="Arial"/>
          <w:b/>
          <w:sz w:val="20"/>
          <w:szCs w:val="20"/>
        </w:rPr>
        <w:t>4</w:t>
      </w:r>
      <w:r w:rsidR="00577EFC" w:rsidRPr="002F30DF">
        <w:rPr>
          <w:rFonts w:cs="Arial"/>
          <w:b/>
          <w:sz w:val="20"/>
          <w:szCs w:val="20"/>
        </w:rPr>
        <w:t>7</w:t>
      </w:r>
      <w:r w:rsidRPr="002F30DF">
        <w:rPr>
          <w:rFonts w:cs="Arial"/>
          <w:b/>
          <w:sz w:val="20"/>
          <w:szCs w:val="20"/>
        </w:rPr>
        <w:t>. členu (povzetek relevantnih dejstev)</w:t>
      </w:r>
    </w:p>
    <w:p w:rsidR="007522E3" w:rsidRPr="002F30DF" w:rsidRDefault="007522E3" w:rsidP="0025166A">
      <w:pPr>
        <w:spacing w:line="260" w:lineRule="atLeast"/>
        <w:rPr>
          <w:rFonts w:cs="Arial"/>
          <w:b/>
          <w:sz w:val="20"/>
          <w:szCs w:val="20"/>
        </w:rPr>
      </w:pPr>
    </w:p>
    <w:p w:rsidR="007522E3" w:rsidRPr="002F30DF" w:rsidRDefault="007522E3" w:rsidP="00A8307A">
      <w:pPr>
        <w:pStyle w:val="Odstavek"/>
        <w:spacing w:before="0" w:line="260" w:lineRule="atLeast"/>
        <w:ind w:firstLine="0"/>
        <w:rPr>
          <w:sz w:val="20"/>
          <w:szCs w:val="20"/>
        </w:rPr>
      </w:pPr>
      <w:r w:rsidRPr="002F30DF">
        <w:rPr>
          <w:sz w:val="20"/>
          <w:szCs w:val="20"/>
        </w:rPr>
        <w:t xml:space="preserve">Že ZPOmK-1 je nalagal </w:t>
      </w:r>
      <w:r w:rsidR="00FA15AD" w:rsidRPr="002F30DF">
        <w:rPr>
          <w:sz w:val="20"/>
          <w:szCs w:val="20"/>
        </w:rPr>
        <w:t>a</w:t>
      </w:r>
      <w:r w:rsidRPr="002F30DF">
        <w:rPr>
          <w:sz w:val="20"/>
          <w:szCs w:val="20"/>
        </w:rPr>
        <w:t>genciji dolžnost izdaje povzetka relevantnih dejstev, v katerem se navedejo dejstva in dokazi, ki so pomembni za odločitev glede domnevne kršitve.</w:t>
      </w:r>
      <w:r w:rsidR="00A8307A" w:rsidRPr="002F30DF">
        <w:rPr>
          <w:sz w:val="20"/>
          <w:szCs w:val="20"/>
        </w:rPr>
        <w:t xml:space="preserve"> Povzetek relevantnih dejstev pa mora vključevati tudi predhodne ugotovitve o domnevnih kršitvah tega zakona ali 101. ali  102. člena </w:t>
      </w:r>
      <w:r w:rsidR="00ED3853" w:rsidRPr="002F30DF">
        <w:rPr>
          <w:sz w:val="20"/>
          <w:szCs w:val="20"/>
        </w:rPr>
        <w:t>PDEU</w:t>
      </w:r>
      <w:r w:rsidR="00A8307A" w:rsidRPr="002F30DF">
        <w:rPr>
          <w:sz w:val="20"/>
          <w:szCs w:val="20"/>
        </w:rPr>
        <w:t>.</w:t>
      </w:r>
      <w:r w:rsidRPr="002F30DF">
        <w:rPr>
          <w:sz w:val="20"/>
          <w:szCs w:val="20"/>
        </w:rPr>
        <w:t xml:space="preserve"> Ta dolžnost se ohranja tudi s tem zakonom. </w:t>
      </w:r>
      <w:r w:rsidR="0045309B" w:rsidRPr="002F30DF">
        <w:rPr>
          <w:sz w:val="20"/>
          <w:szCs w:val="20"/>
        </w:rPr>
        <w:t>Agenc</w:t>
      </w:r>
      <w:r w:rsidRPr="002F30DF">
        <w:rPr>
          <w:sz w:val="20"/>
          <w:szCs w:val="20"/>
        </w:rPr>
        <w:t>ija je dolž</w:t>
      </w:r>
      <w:r w:rsidR="00814AB6" w:rsidRPr="002F30DF">
        <w:rPr>
          <w:sz w:val="20"/>
          <w:szCs w:val="20"/>
        </w:rPr>
        <w:t>n</w:t>
      </w:r>
      <w:r w:rsidRPr="002F30DF">
        <w:rPr>
          <w:sz w:val="20"/>
          <w:szCs w:val="20"/>
        </w:rPr>
        <w:t>a izdati povzetek relevantnih dejstev v primeru, kadar namerava izdati odločbo o ugotovitvi obstoja kršitve povezan</w:t>
      </w:r>
      <w:r w:rsidR="00814AB6" w:rsidRPr="002F30DF">
        <w:rPr>
          <w:sz w:val="20"/>
          <w:szCs w:val="20"/>
        </w:rPr>
        <w:t>e</w:t>
      </w:r>
      <w:r w:rsidR="001670E8" w:rsidRPr="002F30DF">
        <w:rPr>
          <w:sz w:val="20"/>
          <w:szCs w:val="20"/>
        </w:rPr>
        <w:t xml:space="preserve"> z omejevalnimi ravnanji, ne glede na to, ali namerava izreči administrativno sankcijo ali ne, </w:t>
      </w:r>
      <w:r w:rsidRPr="002F30DF">
        <w:rPr>
          <w:sz w:val="20"/>
          <w:szCs w:val="20"/>
        </w:rPr>
        <w:t xml:space="preserve">in v primeru izdaje odločbe o neskladnosti koncentracije s pravili konkurence. Z vročitvijo povzetka relevantnih dejstev se domnevnemu kršitelju omogoči, da se glede ugotovitev </w:t>
      </w:r>
      <w:r w:rsidR="00FA15AD" w:rsidRPr="002F30DF">
        <w:rPr>
          <w:sz w:val="20"/>
          <w:szCs w:val="20"/>
        </w:rPr>
        <w:t>a</w:t>
      </w:r>
      <w:r w:rsidR="0045309B" w:rsidRPr="002F30DF">
        <w:rPr>
          <w:sz w:val="20"/>
          <w:szCs w:val="20"/>
        </w:rPr>
        <w:t>genc</w:t>
      </w:r>
      <w:r w:rsidRPr="002F30DF">
        <w:rPr>
          <w:sz w:val="20"/>
          <w:szCs w:val="20"/>
        </w:rPr>
        <w:t xml:space="preserve">ije izjasni in se na ta način zagotovi spoštovanje načela kontradiktornosti. </w:t>
      </w:r>
    </w:p>
    <w:p w:rsidR="001670E8" w:rsidRPr="002F30DF" w:rsidRDefault="001670E8" w:rsidP="0025166A">
      <w:pPr>
        <w:spacing w:line="260" w:lineRule="atLeast"/>
        <w:rPr>
          <w:rFonts w:cs="Arial"/>
          <w:sz w:val="20"/>
          <w:szCs w:val="20"/>
        </w:rPr>
      </w:pPr>
    </w:p>
    <w:p w:rsidR="00227316" w:rsidRPr="002F30DF" w:rsidRDefault="007522E3" w:rsidP="0025166A">
      <w:pPr>
        <w:spacing w:line="260" w:lineRule="atLeast"/>
        <w:rPr>
          <w:rFonts w:cs="Arial"/>
          <w:sz w:val="20"/>
          <w:szCs w:val="20"/>
        </w:rPr>
      </w:pPr>
      <w:r w:rsidRPr="002F30DF">
        <w:rPr>
          <w:rFonts w:cs="Arial"/>
          <w:sz w:val="20"/>
          <w:szCs w:val="20"/>
        </w:rPr>
        <w:t xml:space="preserve">Povzetek relevantnih dejstev se vroči vsem podjetjem, proti katerim se vodi postopek. Ker v postopku pred </w:t>
      </w:r>
      <w:r w:rsidR="001670E8" w:rsidRPr="002F30DF">
        <w:rPr>
          <w:rFonts w:cs="Arial"/>
          <w:sz w:val="20"/>
          <w:szCs w:val="20"/>
        </w:rPr>
        <w:t>a</w:t>
      </w:r>
      <w:r w:rsidR="0045309B" w:rsidRPr="002F30DF">
        <w:rPr>
          <w:rFonts w:cs="Arial"/>
          <w:sz w:val="20"/>
          <w:szCs w:val="20"/>
        </w:rPr>
        <w:t>genc</w:t>
      </w:r>
      <w:r w:rsidRPr="002F30DF">
        <w:rPr>
          <w:rFonts w:cs="Arial"/>
          <w:sz w:val="20"/>
          <w:szCs w:val="20"/>
        </w:rPr>
        <w:t>ijo lahko sodelujejo podjetja, ki si na trgu medsebojno konkurirajo, in ker bi razkritje zaupnih podatkov enega podjetja lahko pripeljalo drugega v neupravičeno konkurenčno prednost, je potrebno tudi pri vročanju povzetka relevantnih dejstev spoštovati načelo varstva zaupnih podatkov. Zato je potrebno, v kolikor povzetek relevantnih dejstev vsebuje podatke, ki pomenijo zaupne podatke, te podatke izbrisati in drugi stranki vročiti povzetek relevantnih dejstev v obsegu, ki takšnih podatkov ne vsebuje.</w:t>
      </w:r>
      <w:r w:rsidR="001670E8" w:rsidRPr="002F30DF">
        <w:rPr>
          <w:rFonts w:cs="Arial"/>
          <w:sz w:val="20"/>
          <w:szCs w:val="20"/>
        </w:rPr>
        <w:t xml:space="preserve"> </w:t>
      </w:r>
      <w:r w:rsidR="00C07260" w:rsidRPr="002F30DF">
        <w:rPr>
          <w:rFonts w:cs="Arial"/>
          <w:sz w:val="20"/>
          <w:szCs w:val="20"/>
        </w:rPr>
        <w:t xml:space="preserve">Le to stori </w:t>
      </w:r>
      <w:r w:rsidR="004015C5" w:rsidRPr="002F30DF">
        <w:rPr>
          <w:rFonts w:cs="Arial"/>
          <w:sz w:val="20"/>
          <w:szCs w:val="20"/>
        </w:rPr>
        <w:t xml:space="preserve">stranka </w:t>
      </w:r>
      <w:r w:rsidR="00C07260" w:rsidRPr="002F30DF">
        <w:rPr>
          <w:rFonts w:cs="Arial"/>
          <w:sz w:val="20"/>
          <w:szCs w:val="20"/>
        </w:rPr>
        <w:t xml:space="preserve">na zahtevo agencije v roku, ki ga določi </w:t>
      </w:r>
      <w:r w:rsidR="001670E8" w:rsidRPr="002F30DF">
        <w:rPr>
          <w:rFonts w:cs="Arial"/>
          <w:sz w:val="20"/>
          <w:szCs w:val="20"/>
        </w:rPr>
        <w:t>a</w:t>
      </w:r>
      <w:r w:rsidR="00C07260" w:rsidRPr="002F30DF">
        <w:rPr>
          <w:rFonts w:cs="Arial"/>
          <w:sz w:val="20"/>
          <w:szCs w:val="20"/>
        </w:rPr>
        <w:t xml:space="preserve">gencije. </w:t>
      </w:r>
    </w:p>
    <w:p w:rsidR="00C07260" w:rsidRPr="002F30DF" w:rsidRDefault="00C07260" w:rsidP="0025166A">
      <w:pPr>
        <w:spacing w:line="260" w:lineRule="atLeast"/>
        <w:rPr>
          <w:rFonts w:cs="Arial"/>
          <w:sz w:val="20"/>
          <w:szCs w:val="20"/>
        </w:rPr>
      </w:pPr>
    </w:p>
    <w:p w:rsidR="00C07260" w:rsidRPr="002F30DF" w:rsidRDefault="00C07260" w:rsidP="0025166A">
      <w:pPr>
        <w:spacing w:line="260" w:lineRule="atLeast"/>
        <w:rPr>
          <w:rFonts w:cs="Arial"/>
          <w:sz w:val="20"/>
          <w:szCs w:val="20"/>
        </w:rPr>
      </w:pPr>
      <w:r w:rsidRPr="002F30DF">
        <w:rPr>
          <w:rFonts w:cs="Arial"/>
          <w:sz w:val="20"/>
          <w:szCs w:val="20"/>
        </w:rPr>
        <w:t xml:space="preserve">Povzetek relevantnih dejstev se vroči strankam, ki se lahko v roku, ki ga določi </w:t>
      </w:r>
      <w:r w:rsidR="004015C5" w:rsidRPr="002F30DF">
        <w:rPr>
          <w:rFonts w:cs="Arial"/>
          <w:sz w:val="20"/>
          <w:szCs w:val="20"/>
        </w:rPr>
        <w:t>agencija</w:t>
      </w:r>
      <w:r w:rsidRPr="002F30DF">
        <w:rPr>
          <w:rFonts w:cs="Arial"/>
          <w:sz w:val="20"/>
          <w:szCs w:val="20"/>
        </w:rPr>
        <w:t xml:space="preserve">, izjavijo o </w:t>
      </w:r>
      <w:r w:rsidR="006F4460" w:rsidRPr="002F30DF">
        <w:rPr>
          <w:rFonts w:cs="Arial"/>
          <w:sz w:val="20"/>
          <w:szCs w:val="20"/>
        </w:rPr>
        <w:t>njegovi vsebini</w:t>
      </w:r>
      <w:r w:rsidRPr="002F30DF">
        <w:rPr>
          <w:rFonts w:cs="Arial"/>
          <w:sz w:val="20"/>
          <w:szCs w:val="20"/>
        </w:rPr>
        <w:t xml:space="preserve">. Če stranka zamudi rok za posredovanje izjave o povzetku relevantnih dejstev, </w:t>
      </w:r>
      <w:r w:rsidR="004015C5" w:rsidRPr="002F30DF">
        <w:rPr>
          <w:rFonts w:cs="Arial"/>
          <w:sz w:val="20"/>
          <w:szCs w:val="20"/>
        </w:rPr>
        <w:t xml:space="preserve">agencija </w:t>
      </w:r>
      <w:r w:rsidRPr="002F30DF">
        <w:rPr>
          <w:rFonts w:cs="Arial"/>
          <w:sz w:val="20"/>
          <w:szCs w:val="20"/>
        </w:rPr>
        <w:t>le-teh ni dolžna upoštevati.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delno prenašata drugi in tretji odstavek 3. člena Direktive 2019/1, na podlagi katerih je treba </w:t>
      </w:r>
      <w:r w:rsidRPr="002F30DF">
        <w:rPr>
          <w:rFonts w:cs="Arial"/>
          <w:i/>
          <w:sz w:val="20"/>
          <w:szCs w:val="20"/>
        </w:rPr>
        <w:t>stranki zagotoviti pravici do izjave ter določa, da morajo nacionalni organi, pristojni za varstvo konkurence, pred sprejemom odločbe na podlagi 10. člena Direktive 2019/1 sprejeti povzetek ugotovitev o domnevnih kršitvah.</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15345A" w:rsidRPr="002F30DF">
        <w:rPr>
          <w:rFonts w:cs="Arial"/>
          <w:b/>
          <w:sz w:val="20"/>
          <w:szCs w:val="20"/>
        </w:rPr>
        <w:t>4</w:t>
      </w:r>
      <w:r w:rsidR="00577EFC" w:rsidRPr="002F30DF">
        <w:rPr>
          <w:rFonts w:cs="Arial"/>
          <w:b/>
          <w:sz w:val="20"/>
          <w:szCs w:val="20"/>
        </w:rPr>
        <w:t>8</w:t>
      </w:r>
      <w:r w:rsidRPr="002F30DF">
        <w:rPr>
          <w:rFonts w:cs="Arial"/>
          <w:b/>
          <w:sz w:val="20"/>
          <w:szCs w:val="20"/>
        </w:rPr>
        <w:t>. členu (odločbe in sklepi)</w:t>
      </w:r>
    </w:p>
    <w:p w:rsidR="007522E3" w:rsidRPr="002F30DF" w:rsidRDefault="007522E3" w:rsidP="0025166A">
      <w:pPr>
        <w:spacing w:line="260" w:lineRule="atLeast"/>
        <w:rPr>
          <w:rFonts w:cs="Arial"/>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ija meritorno odloči o predmetu postopka z odločbo, ki mora vsebovati uvod, izrek, obrazložitev in pravni pouk skladno z določbami ZUP</w:t>
      </w:r>
      <w:r w:rsidR="0003098E" w:rsidRPr="002F30DF">
        <w:rPr>
          <w:rFonts w:cs="Arial"/>
          <w:sz w:val="20"/>
          <w:szCs w:val="20"/>
        </w:rPr>
        <w:t xml:space="preserve"> ter v primeru izreka administrativne sankcije tudi podatke iz </w:t>
      </w:r>
      <w:r w:rsidR="006122C7" w:rsidRPr="002F30DF">
        <w:rPr>
          <w:rFonts w:cs="Arial"/>
          <w:sz w:val="20"/>
          <w:szCs w:val="20"/>
        </w:rPr>
        <w:t>85</w:t>
      </w:r>
      <w:r w:rsidR="0003098E" w:rsidRPr="002F30DF">
        <w:rPr>
          <w:rFonts w:cs="Arial"/>
          <w:sz w:val="20"/>
          <w:szCs w:val="20"/>
        </w:rPr>
        <w:t>. člena tega zakona</w:t>
      </w:r>
      <w:r w:rsidR="007522E3"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452316" w:rsidP="0025166A">
      <w:pPr>
        <w:spacing w:line="260" w:lineRule="atLeast"/>
        <w:rPr>
          <w:rFonts w:cs="Arial"/>
          <w:sz w:val="20"/>
          <w:szCs w:val="20"/>
        </w:rPr>
      </w:pPr>
      <w:r w:rsidRPr="002F30DF">
        <w:rPr>
          <w:rFonts w:cs="Arial"/>
          <w:sz w:val="20"/>
          <w:szCs w:val="20"/>
        </w:rPr>
        <w:t>Z drugim</w:t>
      </w:r>
      <w:r w:rsidR="007522E3" w:rsidRPr="002F30DF">
        <w:rPr>
          <w:rFonts w:cs="Arial"/>
          <w:sz w:val="20"/>
          <w:szCs w:val="20"/>
          <w:u w:val="single"/>
        </w:rPr>
        <w:t xml:space="preserve"> odstavkom</w:t>
      </w:r>
      <w:r w:rsidR="007522E3" w:rsidRPr="002F30DF">
        <w:rPr>
          <w:rFonts w:cs="Arial"/>
          <w:sz w:val="20"/>
          <w:szCs w:val="20"/>
        </w:rPr>
        <w:t xml:space="preserve"> se dopolnjuje ZUP in </w:t>
      </w:r>
      <w:r w:rsidR="006122C7" w:rsidRPr="002F30DF">
        <w:rPr>
          <w:rFonts w:cs="Arial"/>
          <w:sz w:val="20"/>
          <w:szCs w:val="20"/>
        </w:rPr>
        <w:t>določa</w:t>
      </w:r>
      <w:r w:rsidR="007522E3" w:rsidRPr="002F30DF">
        <w:rPr>
          <w:rFonts w:cs="Arial"/>
          <w:sz w:val="20"/>
          <w:szCs w:val="20"/>
        </w:rPr>
        <w:t xml:space="preserve">, da mora biti sklep, izdan po tem zakonu, obrazložen, če postopek sodnega varstva ni izključen. To je namreč nujno potrebno za zagotovitev, da lahko stranka učinkovito uveljavlja svojo pravico do pravnega sredstva.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Namen </w:t>
      </w:r>
      <w:r w:rsidR="007D4D7F" w:rsidRPr="002F30DF">
        <w:rPr>
          <w:rFonts w:cs="Arial"/>
          <w:sz w:val="20"/>
          <w:szCs w:val="20"/>
          <w:u w:val="single"/>
        </w:rPr>
        <w:t xml:space="preserve">tretjega </w:t>
      </w:r>
      <w:r w:rsidRPr="002F30DF">
        <w:rPr>
          <w:rFonts w:cs="Arial"/>
          <w:sz w:val="20"/>
          <w:szCs w:val="20"/>
          <w:u w:val="single"/>
        </w:rPr>
        <w:t xml:space="preserve">in </w:t>
      </w:r>
      <w:r w:rsidR="007D4D7F" w:rsidRPr="002F30DF">
        <w:rPr>
          <w:rFonts w:cs="Arial"/>
          <w:sz w:val="20"/>
          <w:szCs w:val="20"/>
          <w:u w:val="single"/>
        </w:rPr>
        <w:t>četrtega</w:t>
      </w:r>
      <w:r w:rsidRPr="002F30DF">
        <w:rPr>
          <w:rFonts w:cs="Arial"/>
          <w:sz w:val="20"/>
          <w:szCs w:val="20"/>
          <w:u w:val="single"/>
        </w:rPr>
        <w:t xml:space="preserve"> odstavka</w:t>
      </w:r>
      <w:r w:rsidRPr="002F30DF">
        <w:rPr>
          <w:rFonts w:cs="Arial"/>
          <w:sz w:val="20"/>
          <w:szCs w:val="20"/>
        </w:rPr>
        <w:t xml:space="preserve"> je v dodatni zagotovitvi varstva udeleženega podjetja za ohranitev zaupnih podatkov. Odločba se </w:t>
      </w:r>
      <w:r w:rsidR="0003098E" w:rsidRPr="002F30DF">
        <w:rPr>
          <w:rFonts w:cs="Arial"/>
          <w:sz w:val="20"/>
          <w:szCs w:val="20"/>
        </w:rPr>
        <w:t>vroči vsem strankam postopka, tj</w:t>
      </w:r>
      <w:r w:rsidRPr="002F30DF">
        <w:rPr>
          <w:rFonts w:cs="Arial"/>
          <w:sz w:val="20"/>
          <w:szCs w:val="20"/>
        </w:rPr>
        <w:t xml:space="preserve">. podjetjem, proti katerim se vodi postopek ter priglasiteljem koncentracije. Ker v postopku pred </w:t>
      </w:r>
      <w:r w:rsidR="0003098E" w:rsidRPr="002F30DF">
        <w:rPr>
          <w:rFonts w:cs="Arial"/>
          <w:sz w:val="20"/>
          <w:szCs w:val="20"/>
        </w:rPr>
        <w:t>a</w:t>
      </w:r>
      <w:r w:rsidR="0045309B" w:rsidRPr="002F30DF">
        <w:rPr>
          <w:rFonts w:cs="Arial"/>
          <w:sz w:val="20"/>
          <w:szCs w:val="20"/>
        </w:rPr>
        <w:t>genc</w:t>
      </w:r>
      <w:r w:rsidRPr="002F30DF">
        <w:rPr>
          <w:rFonts w:cs="Arial"/>
          <w:sz w:val="20"/>
          <w:szCs w:val="20"/>
        </w:rPr>
        <w:t xml:space="preserve">ijo lahko sodelujejo podjetja, ki si na trgu medsebojno konkurirajo, in ker bi razkritje zaupnih podatkov enega podjetja lahko pripeljalo drugega v neupravičeno konkurenčno prednost, je potrebno tudi pri vročanju spoštovati načelo varstva zaupnih podatkov. Zato je potrebno, v kolikor odločba vsebuje zaupne podatke, te podatke izbrisati in drugi stranki vročiti odločbo v obsegu, ki takšnih podatkov ne vsebuje.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Publiciteta odločbe se zagotavlja z objavo na spletni strani </w:t>
      </w:r>
      <w:r w:rsidR="0003098E" w:rsidRPr="002F30DF">
        <w:rPr>
          <w:rFonts w:cs="Arial"/>
          <w:sz w:val="20"/>
          <w:szCs w:val="20"/>
        </w:rPr>
        <w:t>a</w:t>
      </w:r>
      <w:r w:rsidR="0045309B" w:rsidRPr="002F30DF">
        <w:rPr>
          <w:rFonts w:cs="Arial"/>
          <w:sz w:val="20"/>
          <w:szCs w:val="20"/>
        </w:rPr>
        <w:t>genc</w:t>
      </w:r>
      <w:r w:rsidRPr="002F30DF">
        <w:rPr>
          <w:rFonts w:cs="Arial"/>
          <w:sz w:val="20"/>
          <w:szCs w:val="20"/>
        </w:rPr>
        <w:t>ije</w:t>
      </w:r>
      <w:r w:rsidR="0003098E" w:rsidRPr="002F30DF">
        <w:rPr>
          <w:rFonts w:cs="Arial"/>
          <w:sz w:val="20"/>
          <w:szCs w:val="20"/>
        </w:rPr>
        <w:t>, kar določa</w:t>
      </w:r>
      <w:r w:rsidRPr="002F30DF">
        <w:rPr>
          <w:rFonts w:cs="Arial"/>
          <w:sz w:val="20"/>
          <w:szCs w:val="20"/>
        </w:rPr>
        <w:t xml:space="preserve"> </w:t>
      </w:r>
      <w:r w:rsidR="007D4D7F" w:rsidRPr="002F30DF">
        <w:rPr>
          <w:rFonts w:cs="Arial"/>
          <w:sz w:val="20"/>
          <w:szCs w:val="20"/>
          <w:u w:val="single"/>
        </w:rPr>
        <w:t xml:space="preserve">peti </w:t>
      </w:r>
      <w:r w:rsidRPr="002F30DF">
        <w:rPr>
          <w:rFonts w:cs="Arial"/>
          <w:sz w:val="20"/>
          <w:szCs w:val="20"/>
          <w:u w:val="single"/>
        </w:rPr>
        <w:t>odstavek</w:t>
      </w:r>
      <w:r w:rsidRPr="002F30DF">
        <w:rPr>
          <w:rFonts w:cs="Arial"/>
          <w:sz w:val="20"/>
          <w:szCs w:val="20"/>
        </w:rPr>
        <w:t xml:space="preserve">. Objava odločbe vsem subjektom na trgu omogoča, da se prilagodijo položaju, ki je nastal z izdano odločbo </w:t>
      </w:r>
      <w:r w:rsidR="0003098E" w:rsidRPr="002F30DF">
        <w:rPr>
          <w:rFonts w:cs="Arial"/>
          <w:sz w:val="20"/>
          <w:szCs w:val="20"/>
        </w:rPr>
        <w:t>a</w:t>
      </w:r>
      <w:r w:rsidR="0045309B" w:rsidRPr="002F30DF">
        <w:rPr>
          <w:rFonts w:cs="Arial"/>
          <w:sz w:val="20"/>
          <w:szCs w:val="20"/>
        </w:rPr>
        <w:t>genc</w:t>
      </w:r>
      <w:r w:rsidRPr="002F30DF">
        <w:rPr>
          <w:rFonts w:cs="Arial"/>
          <w:sz w:val="20"/>
          <w:szCs w:val="20"/>
        </w:rPr>
        <w:t>ije. Za doseg</w:t>
      </w:r>
      <w:r w:rsidR="00CD5AD1" w:rsidRPr="002F30DF">
        <w:rPr>
          <w:rFonts w:cs="Arial"/>
          <w:sz w:val="20"/>
          <w:szCs w:val="20"/>
        </w:rPr>
        <w:t>o</w:t>
      </w:r>
      <w:r w:rsidRPr="002F30DF">
        <w:rPr>
          <w:rFonts w:cs="Arial"/>
          <w:sz w:val="20"/>
          <w:szCs w:val="20"/>
        </w:rPr>
        <w:t xml:space="preserve"> tega namena zadošča že objava izreka odločbe.</w:t>
      </w:r>
    </w:p>
    <w:p w:rsidR="007522E3" w:rsidRPr="002F30DF" w:rsidRDefault="007522E3" w:rsidP="0025166A">
      <w:pPr>
        <w:spacing w:line="260" w:lineRule="atLeast"/>
        <w:rPr>
          <w:rFonts w:cs="Arial"/>
          <w:b/>
          <w:sz w:val="20"/>
          <w:szCs w:val="20"/>
        </w:rPr>
      </w:pPr>
    </w:p>
    <w:p w:rsidR="007522E3" w:rsidRPr="002F30DF" w:rsidRDefault="007522E3" w:rsidP="0025166A">
      <w:pPr>
        <w:suppressAutoHyphens/>
        <w:spacing w:line="260" w:lineRule="atLeast"/>
        <w:rPr>
          <w:rFonts w:cs="Arial"/>
          <w:sz w:val="20"/>
          <w:szCs w:val="20"/>
        </w:rPr>
      </w:pPr>
      <w:r w:rsidRPr="002F30DF">
        <w:rPr>
          <w:rFonts w:cs="Arial"/>
          <w:sz w:val="20"/>
          <w:szCs w:val="20"/>
        </w:rPr>
        <w:lastRenderedPageBreak/>
        <w:t xml:space="preserve">S </w:t>
      </w:r>
      <w:r w:rsidR="007D4D7F" w:rsidRPr="002F30DF">
        <w:rPr>
          <w:rFonts w:cs="Arial"/>
          <w:sz w:val="20"/>
          <w:szCs w:val="20"/>
          <w:u w:val="single"/>
        </w:rPr>
        <w:t xml:space="preserve">šestim </w:t>
      </w:r>
      <w:r w:rsidRPr="002F30DF">
        <w:rPr>
          <w:rFonts w:cs="Arial"/>
          <w:sz w:val="20"/>
          <w:szCs w:val="20"/>
          <w:u w:val="single"/>
        </w:rPr>
        <w:t>odstavkom</w:t>
      </w:r>
      <w:r w:rsidRPr="002F30DF">
        <w:rPr>
          <w:rFonts w:cs="Arial"/>
          <w:sz w:val="20"/>
          <w:szCs w:val="20"/>
        </w:rPr>
        <w:t xml:space="preserve"> se ohranja objava pravnomočnih odločb, ki jih </w:t>
      </w:r>
      <w:r w:rsidR="0003098E" w:rsidRPr="002F30DF">
        <w:rPr>
          <w:rFonts w:cs="Arial"/>
          <w:sz w:val="20"/>
          <w:szCs w:val="20"/>
        </w:rPr>
        <w:t>a</w:t>
      </w:r>
      <w:r w:rsidR="0045309B" w:rsidRPr="002F30DF">
        <w:rPr>
          <w:rFonts w:cs="Arial"/>
          <w:sz w:val="20"/>
          <w:szCs w:val="20"/>
        </w:rPr>
        <w:t>genc</w:t>
      </w:r>
      <w:r w:rsidRPr="002F30DF">
        <w:rPr>
          <w:rFonts w:cs="Arial"/>
          <w:sz w:val="20"/>
          <w:szCs w:val="20"/>
        </w:rPr>
        <w:t xml:space="preserve">ija izda v upravnem postopku in postopku o prekršku, ter pravnomočnih sklepov, s katerimi se postopek konča, brez zaupnih podatkov, s čimer se ohranja transparentnost in javnost delovanja </w:t>
      </w:r>
      <w:r w:rsidR="0003098E" w:rsidRPr="002F30DF">
        <w:rPr>
          <w:rFonts w:cs="Arial"/>
          <w:sz w:val="20"/>
          <w:szCs w:val="20"/>
        </w:rPr>
        <w:t>a</w:t>
      </w:r>
      <w:r w:rsidR="0045309B" w:rsidRPr="002F30DF">
        <w:rPr>
          <w:rFonts w:cs="Arial"/>
          <w:sz w:val="20"/>
          <w:szCs w:val="20"/>
        </w:rPr>
        <w:t>genc</w:t>
      </w:r>
      <w:r w:rsidRPr="002F30DF">
        <w:rPr>
          <w:rFonts w:cs="Arial"/>
          <w:sz w:val="20"/>
          <w:szCs w:val="20"/>
        </w:rPr>
        <w:t>ije. Namen te določbe je, da se udeleženci na trgu seznanijo z aktivnostmi, ki niso skladn</w:t>
      </w:r>
      <w:r w:rsidR="00814AB6" w:rsidRPr="002F30DF">
        <w:rPr>
          <w:rFonts w:cs="Arial"/>
          <w:sz w:val="20"/>
          <w:szCs w:val="20"/>
        </w:rPr>
        <w:t>e</w:t>
      </w:r>
      <w:r w:rsidRPr="002F30DF">
        <w:rPr>
          <w:rFonts w:cs="Arial"/>
          <w:sz w:val="20"/>
          <w:szCs w:val="20"/>
        </w:rPr>
        <w:t xml:space="preserve"> s pravili varstva konkurence in jih odvrniti od ponovitve takšnih dejanj. </w:t>
      </w:r>
    </w:p>
    <w:p w:rsidR="0056563A" w:rsidRPr="002F30DF" w:rsidRDefault="0056563A"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77EFC" w:rsidRPr="002F30DF">
        <w:rPr>
          <w:rFonts w:cs="Arial"/>
          <w:b/>
          <w:sz w:val="20"/>
          <w:szCs w:val="20"/>
        </w:rPr>
        <w:t>49</w:t>
      </w:r>
      <w:r w:rsidRPr="002F30DF">
        <w:rPr>
          <w:rFonts w:cs="Arial"/>
          <w:b/>
          <w:sz w:val="20"/>
          <w:szCs w:val="20"/>
        </w:rPr>
        <w:t>. členu (uvedba postopka po uradni dolžnosti)</w:t>
      </w:r>
    </w:p>
    <w:p w:rsidR="007522E3" w:rsidRPr="002F30DF" w:rsidRDefault="007522E3" w:rsidP="0025166A">
      <w:pPr>
        <w:spacing w:line="260" w:lineRule="atLeast"/>
        <w:rPr>
          <w:rFonts w:cs="Arial"/>
          <w:sz w:val="20"/>
          <w:szCs w:val="20"/>
        </w:rPr>
      </w:pPr>
    </w:p>
    <w:p w:rsidR="00CD5AD1"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začne postopek ugotavljanja omejevalnih ravnanj le po uradni dolžnosti. Predpostavka za uvedbo postopka je izkazana verjetnost kršitve 5. ali 8. člena tega zakona ali 101. ali 102. člena PDEU, torej verjetnost kršitve prepovedi omejevalnih sporazumov ali zloraba prevladujočega položaja na trgu. </w:t>
      </w:r>
    </w:p>
    <w:p w:rsidR="00A42050" w:rsidRPr="002F30DF" w:rsidRDefault="00A42050"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Podlaga za uvedbo postopka so podatki, ki jih </w:t>
      </w:r>
      <w:r w:rsidR="0003098E" w:rsidRPr="002F30DF">
        <w:rPr>
          <w:rFonts w:cs="Arial"/>
          <w:sz w:val="20"/>
          <w:szCs w:val="20"/>
        </w:rPr>
        <w:t>a</w:t>
      </w:r>
      <w:r w:rsidR="0045309B" w:rsidRPr="002F30DF">
        <w:rPr>
          <w:rFonts w:cs="Arial"/>
          <w:sz w:val="20"/>
          <w:szCs w:val="20"/>
        </w:rPr>
        <w:t>genc</w:t>
      </w:r>
      <w:r w:rsidRPr="002F30DF">
        <w:rPr>
          <w:rFonts w:cs="Arial"/>
          <w:sz w:val="20"/>
          <w:szCs w:val="20"/>
        </w:rPr>
        <w:t xml:space="preserve">ija sama pridobi ali pa jih posreduje vlagatelj pobude, prijave, sporočila. V obeh primerih </w:t>
      </w:r>
      <w:r w:rsidR="0003098E" w:rsidRPr="002F30DF">
        <w:rPr>
          <w:rFonts w:cs="Arial"/>
          <w:sz w:val="20"/>
          <w:szCs w:val="20"/>
        </w:rPr>
        <w:t>a</w:t>
      </w:r>
      <w:r w:rsidR="0045309B" w:rsidRPr="002F30DF">
        <w:rPr>
          <w:rFonts w:cs="Arial"/>
          <w:sz w:val="20"/>
          <w:szCs w:val="20"/>
        </w:rPr>
        <w:t>genc</w:t>
      </w:r>
      <w:r w:rsidRPr="002F30DF">
        <w:rPr>
          <w:rFonts w:cs="Arial"/>
          <w:sz w:val="20"/>
          <w:szCs w:val="20"/>
        </w:rPr>
        <w:t xml:space="preserve">ija sama odloči o uvedbi postopka (popolna diskrecijska pravica </w:t>
      </w:r>
      <w:r w:rsidR="0003098E" w:rsidRPr="002F30DF">
        <w:rPr>
          <w:rFonts w:cs="Arial"/>
          <w:sz w:val="20"/>
          <w:szCs w:val="20"/>
        </w:rPr>
        <w:t>a</w:t>
      </w:r>
      <w:r w:rsidR="0045309B" w:rsidRPr="002F30DF">
        <w:rPr>
          <w:rFonts w:cs="Arial"/>
          <w:sz w:val="20"/>
          <w:szCs w:val="20"/>
        </w:rPr>
        <w:t>genc</w:t>
      </w:r>
      <w:r w:rsidRPr="002F30DF">
        <w:rPr>
          <w:rFonts w:cs="Arial"/>
          <w:sz w:val="20"/>
          <w:szCs w:val="20"/>
        </w:rPr>
        <w:t xml:space="preserve">ije). Postopek </w:t>
      </w:r>
      <w:r w:rsidR="00361385" w:rsidRPr="002F30DF">
        <w:rPr>
          <w:rFonts w:cs="Arial"/>
          <w:sz w:val="20"/>
          <w:szCs w:val="20"/>
        </w:rPr>
        <w:t xml:space="preserve">pri omejevalnih ravnanjih se </w:t>
      </w:r>
      <w:r w:rsidRPr="002F30DF">
        <w:rPr>
          <w:rFonts w:cs="Arial"/>
          <w:sz w:val="20"/>
          <w:szCs w:val="20"/>
        </w:rPr>
        <w:t xml:space="preserve">pred </w:t>
      </w:r>
      <w:r w:rsidR="0003098E" w:rsidRPr="002F30DF">
        <w:rPr>
          <w:rFonts w:cs="Arial"/>
          <w:sz w:val="20"/>
          <w:szCs w:val="20"/>
        </w:rPr>
        <w:t>a</w:t>
      </w:r>
      <w:r w:rsidR="0045309B" w:rsidRPr="002F30DF">
        <w:rPr>
          <w:rFonts w:cs="Arial"/>
          <w:sz w:val="20"/>
          <w:szCs w:val="20"/>
        </w:rPr>
        <w:t>genc</w:t>
      </w:r>
      <w:r w:rsidRPr="002F30DF">
        <w:rPr>
          <w:rFonts w:cs="Arial"/>
          <w:sz w:val="20"/>
          <w:szCs w:val="20"/>
        </w:rPr>
        <w:t>ijo začne s sklepom o uvedbi postopka.</w:t>
      </w:r>
    </w:p>
    <w:p w:rsidR="00A42050" w:rsidRPr="002F30DF" w:rsidRDefault="00A42050"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B2061" w:rsidRPr="002F30DF">
        <w:rPr>
          <w:rFonts w:cs="Arial"/>
          <w:b/>
          <w:sz w:val="20"/>
          <w:szCs w:val="20"/>
        </w:rPr>
        <w:t>5</w:t>
      </w:r>
      <w:r w:rsidR="00577EFC" w:rsidRPr="002F30DF">
        <w:rPr>
          <w:rFonts w:cs="Arial"/>
          <w:b/>
          <w:sz w:val="20"/>
          <w:szCs w:val="20"/>
        </w:rPr>
        <w:t>0</w:t>
      </w:r>
      <w:r w:rsidRPr="002F30DF">
        <w:rPr>
          <w:rFonts w:cs="Arial"/>
          <w:b/>
          <w:sz w:val="20"/>
          <w:szCs w:val="20"/>
        </w:rPr>
        <w:t>. člen</w:t>
      </w:r>
      <w:r w:rsidR="003B2061" w:rsidRPr="002F30DF">
        <w:rPr>
          <w:rFonts w:cs="Arial"/>
          <w:b/>
          <w:sz w:val="20"/>
          <w:szCs w:val="20"/>
        </w:rPr>
        <w:t>u</w:t>
      </w:r>
      <w:r w:rsidRPr="002F30DF">
        <w:rPr>
          <w:rFonts w:cs="Arial"/>
          <w:b/>
          <w:sz w:val="20"/>
          <w:szCs w:val="20"/>
        </w:rPr>
        <w:t xml:space="preserve"> (sklep o uvedbi postopka)</w:t>
      </w:r>
    </w:p>
    <w:p w:rsidR="007522E3" w:rsidRPr="002F30DF" w:rsidRDefault="007522E3" w:rsidP="0025166A">
      <w:pPr>
        <w:spacing w:line="260" w:lineRule="atLeast"/>
        <w:rPr>
          <w:rFonts w:cs="Arial"/>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opredeljuje vsebino sklepa, na podlagi katerega se postopek začne. V njem je potrebno navesti določbe zakona, za katere je izkazana verjetnost kršitve in obrazložiti odločitev o začetku postopka. Pri navedbi določb zakona, za katere je izkazana verjetnost kršitve, se zahteva le navedbo generaln</w:t>
      </w:r>
      <w:r w:rsidR="00814AB6" w:rsidRPr="002F30DF">
        <w:rPr>
          <w:rFonts w:cs="Arial"/>
          <w:sz w:val="20"/>
          <w:szCs w:val="20"/>
        </w:rPr>
        <w:t>e</w:t>
      </w:r>
      <w:r w:rsidRPr="002F30DF">
        <w:rPr>
          <w:rFonts w:cs="Arial"/>
          <w:sz w:val="20"/>
          <w:szCs w:val="20"/>
        </w:rPr>
        <w:t xml:space="preserve"> klavzul</w:t>
      </w:r>
      <w:r w:rsidR="00814AB6" w:rsidRPr="002F30DF">
        <w:rPr>
          <w:rFonts w:cs="Arial"/>
          <w:sz w:val="20"/>
          <w:szCs w:val="20"/>
        </w:rPr>
        <w:t>e</w:t>
      </w:r>
      <w:r w:rsidRPr="002F30DF">
        <w:rPr>
          <w:rFonts w:cs="Arial"/>
          <w:sz w:val="20"/>
          <w:szCs w:val="20"/>
        </w:rPr>
        <w:t xml:space="preserve">, pod katero domnevna kršitev zapade. Vsebina sklepa omogoča, da se podjetja seznanijo z izhodiščnimi stališči </w:t>
      </w:r>
      <w:r w:rsidR="00D93BA5" w:rsidRPr="002F30DF">
        <w:rPr>
          <w:rFonts w:cs="Arial"/>
          <w:sz w:val="20"/>
          <w:szCs w:val="20"/>
        </w:rPr>
        <w:t>a</w:t>
      </w:r>
      <w:r w:rsidR="0045309B" w:rsidRPr="002F30DF">
        <w:rPr>
          <w:rFonts w:cs="Arial"/>
          <w:sz w:val="20"/>
          <w:szCs w:val="20"/>
        </w:rPr>
        <w:t>genc</w:t>
      </w:r>
      <w:r w:rsidRPr="002F30DF">
        <w:rPr>
          <w:rFonts w:cs="Arial"/>
          <w:sz w:val="20"/>
          <w:szCs w:val="20"/>
        </w:rPr>
        <w:t>ije in učinkovito izvršujejo pravico do obrambe, hkrati pa sklep opredeljuje tudi sam predmet odločanja.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Ker je sklep o uvedbi postopka le procesna odločitev, ki v pravice podjetja, na katerega se nanaša, ne posega, ni potrebno zagotoviti pravice do sodnega varstva zoper sklep</w:t>
      </w:r>
      <w:r w:rsidR="00C54017" w:rsidRPr="002F30DF">
        <w:rPr>
          <w:rFonts w:cs="Arial"/>
          <w:sz w:val="20"/>
          <w:szCs w:val="20"/>
        </w:rPr>
        <w:t xml:space="preserve"> o uvedbi postopka</w:t>
      </w:r>
      <w:r w:rsidRPr="002F30DF">
        <w:rPr>
          <w:rFonts w:cs="Arial"/>
          <w:sz w:val="20"/>
          <w:szCs w:val="20"/>
        </w:rPr>
        <w:t xml:space="preserve"> (</w:t>
      </w:r>
      <w:r w:rsidRPr="002F30DF">
        <w:rPr>
          <w:rFonts w:cs="Arial"/>
          <w:sz w:val="20"/>
          <w:szCs w:val="20"/>
          <w:u w:val="single"/>
        </w:rPr>
        <w:t>drugi odstavek</w:t>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se nanaša na objavo in sam publicitetni učinek objave izvlečka sklepa o uvedbi postopka. Ta se namreč objavi na spletni strani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ije, vendar je potrebno poudariti, da se ne objavi celotni sklep o uvedbi postopka, temveč zgolj njegov povzetek, ki obsega: navedbo subjektov, na katere se sklep nanaša, </w:t>
      </w:r>
      <w:r w:rsidRPr="002F30DF">
        <w:rPr>
          <w:rFonts w:cs="Arial"/>
          <w:sz w:val="20"/>
          <w:szCs w:val="20"/>
        </w:rPr>
        <w:lastRenderedPageBreak/>
        <w:t xml:space="preserve">navedbo razlogov za uvedbo postopka ter določb tega zakona, ki so podlaga za uvedbo. Vsebuje pa tudi poziv osebam, da </w:t>
      </w:r>
      <w:r w:rsidR="00D93BA5" w:rsidRPr="002F30DF">
        <w:rPr>
          <w:rFonts w:cs="Arial"/>
          <w:sz w:val="20"/>
          <w:szCs w:val="20"/>
        </w:rPr>
        <w:t>a</w:t>
      </w:r>
      <w:r w:rsidR="0045309B" w:rsidRPr="002F30DF">
        <w:rPr>
          <w:rFonts w:cs="Arial"/>
          <w:sz w:val="20"/>
          <w:szCs w:val="20"/>
        </w:rPr>
        <w:t>genc</w:t>
      </w:r>
      <w:r w:rsidRPr="002F30DF">
        <w:rPr>
          <w:rFonts w:cs="Arial"/>
          <w:sz w:val="20"/>
          <w:szCs w:val="20"/>
        </w:rPr>
        <w:t>ij</w:t>
      </w:r>
      <w:r w:rsidR="00814AB6" w:rsidRPr="002F30DF">
        <w:rPr>
          <w:rFonts w:cs="Arial"/>
          <w:sz w:val="20"/>
          <w:szCs w:val="20"/>
        </w:rPr>
        <w:t>i</w:t>
      </w:r>
      <w:r w:rsidRPr="002F30DF">
        <w:rPr>
          <w:rFonts w:cs="Arial"/>
          <w:sz w:val="20"/>
          <w:szCs w:val="20"/>
        </w:rPr>
        <w:t xml:space="preserve"> pošljejo podatke, ki bi bili lahko pomembni za odločitev (</w:t>
      </w:r>
      <w:r w:rsidRPr="002F30DF">
        <w:rPr>
          <w:rFonts w:cs="Arial"/>
          <w:sz w:val="20"/>
          <w:szCs w:val="20"/>
          <w:u w:val="single"/>
        </w:rPr>
        <w:t>četrti odstavek</w:t>
      </w:r>
      <w:r w:rsidRPr="002F30DF">
        <w:rPr>
          <w:rFonts w:cs="Arial"/>
          <w:sz w:val="20"/>
          <w:szCs w:val="20"/>
        </w:rPr>
        <w:t>)</w:t>
      </w:r>
      <w:r w:rsidR="00814AB6" w:rsidRPr="002F30DF">
        <w:rPr>
          <w:rFonts w:cs="Arial"/>
          <w:sz w:val="20"/>
          <w:szCs w:val="20"/>
        </w:rPr>
        <w:t>.</w:t>
      </w:r>
    </w:p>
    <w:p w:rsidR="007522E3" w:rsidRPr="002F30DF" w:rsidRDefault="007522E3" w:rsidP="0025166A">
      <w:pPr>
        <w:spacing w:line="260" w:lineRule="atLeast"/>
        <w:rPr>
          <w:rFonts w:cs="Arial"/>
          <w:sz w:val="20"/>
          <w:szCs w:val="20"/>
        </w:rPr>
      </w:pPr>
    </w:p>
    <w:p w:rsidR="006F4460" w:rsidRPr="002F30DF" w:rsidRDefault="00A921E9" w:rsidP="006F4460">
      <w:pPr>
        <w:spacing w:line="260" w:lineRule="atLeast"/>
        <w:rPr>
          <w:rFonts w:cs="Arial"/>
          <w:sz w:val="20"/>
          <w:szCs w:val="20"/>
        </w:rPr>
      </w:pPr>
      <w:r w:rsidRPr="002F30DF">
        <w:rPr>
          <w:rFonts w:cs="Arial"/>
          <w:sz w:val="20"/>
          <w:szCs w:val="20"/>
        </w:rPr>
        <w:t xml:space="preserve">Če se pokaže, da je treba postopek razširiti tudi na kakšno drugo kršitev ali zoper kakšno drugo podjetje, izda agencija sklep, s katerim razširi sklep o uvedbi postopka. </w:t>
      </w:r>
      <w:r w:rsidR="006F4460" w:rsidRPr="002F30DF">
        <w:rPr>
          <w:rFonts w:cs="Arial"/>
          <w:sz w:val="20"/>
          <w:szCs w:val="20"/>
        </w:rPr>
        <w:t>Glede sklepa o razširitvi sklepa o uvedbi postopka se smiselno uporabljajo prejšnji odstavki</w:t>
      </w:r>
      <w:r w:rsidR="00361385" w:rsidRPr="002F30DF">
        <w:rPr>
          <w:rFonts w:cs="Arial"/>
          <w:sz w:val="20"/>
          <w:szCs w:val="20"/>
        </w:rPr>
        <w:t xml:space="preserve"> </w:t>
      </w:r>
      <w:r w:rsidR="006F4460" w:rsidRPr="002F30DF">
        <w:rPr>
          <w:rFonts w:cs="Arial"/>
          <w:sz w:val="20"/>
          <w:szCs w:val="20"/>
        </w:rPr>
        <w:t>(</w:t>
      </w:r>
      <w:r w:rsidR="006F4460" w:rsidRPr="002F30DF">
        <w:rPr>
          <w:rFonts w:cs="Arial"/>
          <w:sz w:val="20"/>
          <w:szCs w:val="20"/>
          <w:u w:val="single"/>
        </w:rPr>
        <w:t>peti odstavek</w:t>
      </w:r>
      <w:r w:rsidR="006F4460" w:rsidRPr="002F30DF">
        <w:rPr>
          <w:rFonts w:cs="Arial"/>
          <w:sz w:val="20"/>
          <w:szCs w:val="20"/>
        </w:rPr>
        <w:t>).</w:t>
      </w:r>
    </w:p>
    <w:p w:rsidR="006F4460" w:rsidRPr="002F30DF" w:rsidRDefault="006F4460"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8E681F" w:rsidRPr="002F30DF">
        <w:rPr>
          <w:rFonts w:cs="Arial"/>
          <w:b/>
          <w:sz w:val="20"/>
          <w:szCs w:val="20"/>
        </w:rPr>
        <w:t>5</w:t>
      </w:r>
      <w:r w:rsidR="00577EFC" w:rsidRPr="002F30DF">
        <w:rPr>
          <w:rFonts w:cs="Arial"/>
          <w:b/>
          <w:sz w:val="20"/>
          <w:szCs w:val="20"/>
        </w:rPr>
        <w:t>1</w:t>
      </w:r>
      <w:r w:rsidRPr="002F30DF">
        <w:rPr>
          <w:rFonts w:cs="Arial"/>
          <w:b/>
          <w:sz w:val="20"/>
          <w:szCs w:val="20"/>
        </w:rPr>
        <w:t>. člen</w:t>
      </w:r>
      <w:r w:rsidR="003B2061" w:rsidRPr="002F30DF">
        <w:rPr>
          <w:rFonts w:cs="Arial"/>
          <w:b/>
          <w:sz w:val="20"/>
          <w:szCs w:val="20"/>
        </w:rPr>
        <w:t>u</w:t>
      </w:r>
      <w:r w:rsidRPr="002F30DF">
        <w:rPr>
          <w:rFonts w:cs="Arial"/>
          <w:b/>
          <w:sz w:val="20"/>
          <w:szCs w:val="20"/>
        </w:rPr>
        <w:t xml:space="preserve"> (enotni postopek)</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Zaradi načela ekonomičnosti </w:t>
      </w:r>
      <w:r w:rsidR="0003098E" w:rsidRPr="002F30DF">
        <w:rPr>
          <w:rFonts w:cs="Arial"/>
          <w:sz w:val="20"/>
          <w:szCs w:val="20"/>
        </w:rPr>
        <w:t>a</w:t>
      </w:r>
      <w:r w:rsidR="0045309B" w:rsidRPr="002F30DF">
        <w:rPr>
          <w:rFonts w:cs="Arial"/>
          <w:sz w:val="20"/>
          <w:szCs w:val="20"/>
        </w:rPr>
        <w:t>genc</w:t>
      </w:r>
      <w:r w:rsidRPr="002F30DF">
        <w:rPr>
          <w:rFonts w:cs="Arial"/>
          <w:sz w:val="20"/>
          <w:szCs w:val="20"/>
        </w:rPr>
        <w:t xml:space="preserve">ija, v primeru, ko vodi postopek zaradi kršitev določb 101. ali 102. člena PDEU, hkrati enotno vodi tudi postopek zaradi kršitev določb 5. ali 8. člena tega zakona, in ne dveh ločenih postopkov. V kolikor se med postopkom izkaže, da zaradi neizkazanega vpliva na trgovanje med državami članicami ni podlage za vodenje postopka po 101. ali 102. členu PDEU, </w:t>
      </w:r>
      <w:r w:rsidR="002B623B" w:rsidRPr="002F30DF">
        <w:rPr>
          <w:rFonts w:cs="Arial"/>
          <w:sz w:val="20"/>
          <w:szCs w:val="20"/>
        </w:rPr>
        <w:t>a</w:t>
      </w:r>
      <w:r w:rsidR="0045309B" w:rsidRPr="002F30DF">
        <w:rPr>
          <w:rFonts w:cs="Arial"/>
          <w:sz w:val="20"/>
          <w:szCs w:val="20"/>
        </w:rPr>
        <w:t>genc</w:t>
      </w:r>
      <w:r w:rsidRPr="002F30DF">
        <w:rPr>
          <w:rFonts w:cs="Arial"/>
          <w:sz w:val="20"/>
          <w:szCs w:val="20"/>
        </w:rPr>
        <w:t>ija v tem delu postopek s sklepom ustavi, postopek ugotavljanja kršitev 5. ali 8. člena tega zakona pa nadaljuje. Zoper sklep o ustavitvi postopka ni sodnega varstva.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Drugi odstavek se glede na ZPOmK-1 razlikuje le v obveznosti, da </w:t>
      </w:r>
      <w:r w:rsidR="002B623B" w:rsidRPr="002F30DF">
        <w:rPr>
          <w:rFonts w:cs="Arial"/>
          <w:sz w:val="20"/>
          <w:szCs w:val="20"/>
        </w:rPr>
        <w:t>a</w:t>
      </w:r>
      <w:r w:rsidR="0045309B" w:rsidRPr="002F30DF">
        <w:rPr>
          <w:rFonts w:cs="Arial"/>
          <w:sz w:val="20"/>
          <w:szCs w:val="20"/>
        </w:rPr>
        <w:t>genc</w:t>
      </w:r>
      <w:r w:rsidRPr="002F30DF">
        <w:rPr>
          <w:rFonts w:cs="Arial"/>
          <w:sz w:val="20"/>
          <w:szCs w:val="20"/>
        </w:rPr>
        <w:t>ija o ustavitvi vodenja postopka po 101. ali 102. členu PDEU obvesti Evropsk</w:t>
      </w:r>
      <w:r w:rsidR="0045309B" w:rsidRPr="002F30DF">
        <w:rPr>
          <w:rFonts w:cs="Arial"/>
          <w:sz w:val="20"/>
          <w:szCs w:val="20"/>
        </w:rPr>
        <w:t>o komisijo</w:t>
      </w:r>
      <w:r w:rsidRPr="002F30DF">
        <w:rPr>
          <w:rFonts w:cs="Arial"/>
          <w:sz w:val="20"/>
          <w:szCs w:val="20"/>
        </w:rPr>
        <w:t xml:space="preserve">, s čimer se zagotavlja prenos drugega odstavka 10. člena Direktive 2019/1, ki določa, da kadar se </w:t>
      </w:r>
      <w:r w:rsidRPr="002F30DF">
        <w:rPr>
          <w:rFonts w:cs="Arial"/>
          <w:i/>
          <w:sz w:val="20"/>
          <w:szCs w:val="20"/>
        </w:rPr>
        <w:t>nacionalni organi, pristojni za varstvo konkurence, po tem, ko obvestijo Komisijo v skladu s členom 11(3) Uredbe (ES) št. 1/2003, odločijo, da ni razloga za nadaljevanje postopka za uveljavljanje pravil konkurence in zato zaključijo ta postopek, države članice zagotovijo, da ti nacionalni organi, pristojni za varstvo konkurence, ustrezno obvestijo Komisijo.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B2061" w:rsidRPr="002F30DF">
        <w:rPr>
          <w:rFonts w:cs="Arial"/>
          <w:b/>
          <w:sz w:val="20"/>
          <w:szCs w:val="20"/>
        </w:rPr>
        <w:t>5</w:t>
      </w:r>
      <w:r w:rsidR="00577EFC" w:rsidRPr="002F30DF">
        <w:rPr>
          <w:rFonts w:cs="Arial"/>
          <w:b/>
          <w:sz w:val="20"/>
          <w:szCs w:val="20"/>
        </w:rPr>
        <w:t>2</w:t>
      </w:r>
      <w:r w:rsidRPr="002F30DF">
        <w:rPr>
          <w:rFonts w:cs="Arial"/>
          <w:b/>
          <w:sz w:val="20"/>
          <w:szCs w:val="20"/>
        </w:rPr>
        <w:t>. členu (raziskave sektorja ali določenih vrst sporazumov)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Raziskava sektorja ali posameznih vrst sporazumov je sredstvo, s katerim </w:t>
      </w:r>
      <w:r w:rsidR="002B623B" w:rsidRPr="002F30DF">
        <w:rPr>
          <w:rFonts w:cs="Arial"/>
          <w:sz w:val="20"/>
          <w:szCs w:val="20"/>
        </w:rPr>
        <w:t>a</w:t>
      </w:r>
      <w:r w:rsidR="0045309B" w:rsidRPr="002F30DF">
        <w:rPr>
          <w:rFonts w:cs="Arial"/>
          <w:sz w:val="20"/>
          <w:szCs w:val="20"/>
        </w:rPr>
        <w:t>genc</w:t>
      </w:r>
      <w:r w:rsidRPr="002F30DF">
        <w:rPr>
          <w:rFonts w:cs="Arial"/>
          <w:sz w:val="20"/>
          <w:szCs w:val="20"/>
        </w:rPr>
        <w:t>ija lahko pridobi poglobljene informacije o določenem sektorju, da bi tako prepoznal</w:t>
      </w:r>
      <w:r w:rsidR="00D73F0F" w:rsidRPr="002F30DF">
        <w:rPr>
          <w:rFonts w:cs="Arial"/>
          <w:sz w:val="20"/>
          <w:szCs w:val="20"/>
        </w:rPr>
        <w:t>a</w:t>
      </w:r>
      <w:r w:rsidRPr="002F30DF">
        <w:rPr>
          <w:rFonts w:cs="Arial"/>
          <w:sz w:val="20"/>
          <w:szCs w:val="20"/>
        </w:rPr>
        <w:t xml:space="preserve"> ovire za konkurenco na tem trgu. </w:t>
      </w:r>
      <w:r w:rsidR="0045309B" w:rsidRPr="002F30DF">
        <w:rPr>
          <w:rFonts w:cs="Arial"/>
          <w:sz w:val="20"/>
          <w:szCs w:val="20"/>
        </w:rPr>
        <w:t>Agenc</w:t>
      </w:r>
      <w:r w:rsidRPr="002F30DF">
        <w:rPr>
          <w:rFonts w:cs="Arial"/>
          <w:sz w:val="20"/>
          <w:szCs w:val="20"/>
        </w:rPr>
        <w:t>ija sproži raziskavo, če meni, da konkurenca ne deluje, kot bi morala</w:t>
      </w:r>
      <w:r w:rsidR="00361385" w:rsidRPr="002F30DF">
        <w:rPr>
          <w:rFonts w:cs="Arial"/>
          <w:sz w:val="20"/>
          <w:szCs w:val="20"/>
        </w:rPr>
        <w:t>, torej</w:t>
      </w:r>
      <w:r w:rsidRPr="002F30DF">
        <w:rPr>
          <w:rFonts w:cs="Arial"/>
          <w:sz w:val="20"/>
          <w:szCs w:val="20"/>
        </w:rPr>
        <w:t xml:space="preserve"> če togost cen ali druge okoliščine kažejo na verjetnost omejevanja ali izkrivljanja konkurence. Ker gre v primeru sektorskih </w:t>
      </w:r>
      <w:r w:rsidR="00361385" w:rsidRPr="002F30DF">
        <w:rPr>
          <w:rFonts w:cs="Arial"/>
          <w:sz w:val="20"/>
          <w:szCs w:val="20"/>
        </w:rPr>
        <w:t xml:space="preserve">raziskav </w:t>
      </w:r>
      <w:r w:rsidRPr="002F30DF">
        <w:rPr>
          <w:rFonts w:cs="Arial"/>
          <w:sz w:val="20"/>
          <w:szCs w:val="20"/>
        </w:rPr>
        <w:t xml:space="preserve">za enak postopek pridobivanja podatkov in dokumentov, kot ga </w:t>
      </w:r>
      <w:r w:rsidR="002B623B" w:rsidRPr="002F30DF">
        <w:rPr>
          <w:rFonts w:cs="Arial"/>
          <w:sz w:val="20"/>
          <w:szCs w:val="20"/>
        </w:rPr>
        <w:t>a</w:t>
      </w:r>
      <w:r w:rsidR="0045309B" w:rsidRPr="002F30DF">
        <w:rPr>
          <w:rFonts w:cs="Arial"/>
          <w:sz w:val="20"/>
          <w:szCs w:val="20"/>
        </w:rPr>
        <w:t>genc</w:t>
      </w:r>
      <w:r w:rsidRPr="002F30DF">
        <w:rPr>
          <w:rFonts w:cs="Arial"/>
          <w:sz w:val="20"/>
          <w:szCs w:val="20"/>
        </w:rPr>
        <w:t xml:space="preserve">ija </w:t>
      </w:r>
      <w:r w:rsidRPr="002F30DF">
        <w:rPr>
          <w:rFonts w:cs="Arial"/>
          <w:sz w:val="20"/>
          <w:szCs w:val="20"/>
        </w:rPr>
        <w:lastRenderedPageBreak/>
        <w:t>izvaja v primeru domnevnih kršitev tega zakona, se tudi v tem postopku za pridobivanje podatkov in dokumentov, vključno s poslovnimi skrivnostmi in drugimi zaupnimi podatki, smiselno uporabljajo določbe</w:t>
      </w:r>
      <w:r w:rsidR="00911D48" w:rsidRPr="002F30DF">
        <w:rPr>
          <w:rFonts w:cs="Arial"/>
          <w:sz w:val="20"/>
          <w:szCs w:val="20"/>
        </w:rPr>
        <w:t xml:space="preserve"> o zahtevi za posredovanje podatkov, uvedbi p</w:t>
      </w:r>
      <w:r w:rsidR="00361385" w:rsidRPr="002F30DF">
        <w:rPr>
          <w:rFonts w:cs="Arial"/>
          <w:sz w:val="20"/>
          <w:szCs w:val="20"/>
        </w:rPr>
        <w:t>reiskave, preiskavi, opravljanju</w:t>
      </w:r>
      <w:r w:rsidR="00911D48" w:rsidRPr="002F30DF">
        <w:rPr>
          <w:rFonts w:cs="Arial"/>
          <w:sz w:val="20"/>
          <w:szCs w:val="20"/>
        </w:rPr>
        <w:t xml:space="preserve"> preiskave, oviranju preiskave, privilegirani komunikaciji in zapisniku</w:t>
      </w:r>
      <w:r w:rsidRPr="002F30DF">
        <w:rPr>
          <w:rFonts w:cs="Arial"/>
          <w:sz w:val="20"/>
          <w:szCs w:val="20"/>
        </w:rPr>
        <w:t xml:space="preserve">. Po izvedeni sektorski raziskavi lahko </w:t>
      </w:r>
      <w:r w:rsidR="002B623B" w:rsidRPr="002F30DF">
        <w:rPr>
          <w:rFonts w:cs="Arial"/>
          <w:sz w:val="20"/>
          <w:szCs w:val="20"/>
        </w:rPr>
        <w:t>a</w:t>
      </w:r>
      <w:r w:rsidR="0045309B" w:rsidRPr="002F30DF">
        <w:rPr>
          <w:rFonts w:cs="Arial"/>
          <w:sz w:val="20"/>
          <w:szCs w:val="20"/>
        </w:rPr>
        <w:t>genc</w:t>
      </w:r>
      <w:r w:rsidRPr="002F30DF">
        <w:rPr>
          <w:rFonts w:cs="Arial"/>
          <w:sz w:val="20"/>
          <w:szCs w:val="20"/>
        </w:rPr>
        <w:t xml:space="preserve">ija objavi poročilo o izsledkih raziskave (vendar brez zaupnih podatkov). V objavi poročila lahko </w:t>
      </w:r>
      <w:r w:rsidR="002B623B" w:rsidRPr="002F30DF">
        <w:rPr>
          <w:rFonts w:cs="Arial"/>
          <w:sz w:val="20"/>
          <w:szCs w:val="20"/>
        </w:rPr>
        <w:t>a</w:t>
      </w:r>
      <w:r w:rsidR="0045309B" w:rsidRPr="002F30DF">
        <w:rPr>
          <w:rFonts w:cs="Arial"/>
          <w:sz w:val="20"/>
          <w:szCs w:val="20"/>
        </w:rPr>
        <w:t>genc</w:t>
      </w:r>
      <w:r w:rsidRPr="002F30DF">
        <w:rPr>
          <w:rFonts w:cs="Arial"/>
          <w:sz w:val="20"/>
          <w:szCs w:val="20"/>
        </w:rPr>
        <w:t>ija povabi zainteresirane tretje osebe, naj podajo svoje pripombe.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Sektorske </w:t>
      </w:r>
      <w:r w:rsidR="008141DC">
        <w:rPr>
          <w:rFonts w:cs="Arial"/>
          <w:sz w:val="20"/>
          <w:szCs w:val="20"/>
        </w:rPr>
        <w:t>raziska</w:t>
      </w:r>
      <w:r w:rsidR="00361385" w:rsidRPr="002F30DF">
        <w:rPr>
          <w:rFonts w:cs="Arial"/>
          <w:sz w:val="20"/>
          <w:szCs w:val="20"/>
        </w:rPr>
        <w:t xml:space="preserve">ve </w:t>
      </w:r>
      <w:r w:rsidRPr="002F30DF">
        <w:rPr>
          <w:rFonts w:cs="Arial"/>
          <w:sz w:val="20"/>
          <w:szCs w:val="20"/>
        </w:rPr>
        <w:t xml:space="preserve">so prvi korak preverjanja ali je v določenem sektorju vzpostavljena učinkovita konkurenca. Zato lahko </w:t>
      </w:r>
      <w:r w:rsidR="002B623B" w:rsidRPr="002F30DF">
        <w:rPr>
          <w:rFonts w:cs="Arial"/>
          <w:sz w:val="20"/>
          <w:szCs w:val="20"/>
        </w:rPr>
        <w:t>a</w:t>
      </w:r>
      <w:r w:rsidR="0045309B" w:rsidRPr="002F30DF">
        <w:rPr>
          <w:rFonts w:cs="Arial"/>
          <w:sz w:val="20"/>
          <w:szCs w:val="20"/>
        </w:rPr>
        <w:t>genc</w:t>
      </w:r>
      <w:r w:rsidRPr="002F30DF">
        <w:rPr>
          <w:rFonts w:cs="Arial"/>
          <w:sz w:val="20"/>
          <w:szCs w:val="20"/>
        </w:rPr>
        <w:t>ija uporabi podatke, ki jih je pridobila v raziskavi v postopkih ugotavljanja kršitev določb tega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w:t>
      </w:r>
      <w:r w:rsidR="008E681F" w:rsidRPr="002F30DF">
        <w:rPr>
          <w:rFonts w:cs="Arial"/>
          <w:b/>
          <w:sz w:val="20"/>
          <w:szCs w:val="20"/>
        </w:rPr>
        <w:t xml:space="preserve"> </w:t>
      </w:r>
      <w:r w:rsidR="003B2061" w:rsidRPr="002F30DF">
        <w:rPr>
          <w:rFonts w:cs="Arial"/>
          <w:b/>
          <w:sz w:val="20"/>
          <w:szCs w:val="20"/>
        </w:rPr>
        <w:t>5</w:t>
      </w:r>
      <w:r w:rsidR="00577EFC" w:rsidRPr="002F30DF">
        <w:rPr>
          <w:rFonts w:cs="Arial"/>
          <w:b/>
          <w:sz w:val="20"/>
          <w:szCs w:val="20"/>
        </w:rPr>
        <w:t>3</w:t>
      </w:r>
      <w:r w:rsidRPr="002F30DF">
        <w:rPr>
          <w:rFonts w:cs="Arial"/>
          <w:b/>
          <w:sz w:val="20"/>
          <w:szCs w:val="20"/>
        </w:rPr>
        <w:t xml:space="preserve">. členu (zahteva za </w:t>
      </w:r>
      <w:r w:rsidR="00126F4C" w:rsidRPr="002F30DF">
        <w:rPr>
          <w:rFonts w:cs="Arial"/>
          <w:b/>
          <w:sz w:val="20"/>
          <w:szCs w:val="20"/>
        </w:rPr>
        <w:t xml:space="preserve">predložitev </w:t>
      </w:r>
      <w:r w:rsidRPr="002F30DF">
        <w:rPr>
          <w:rFonts w:cs="Arial"/>
          <w:b/>
          <w:sz w:val="20"/>
          <w:szCs w:val="20"/>
        </w:rPr>
        <w:t>podatkov)</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Informacije, predložene prostovoljno na podlagi zahteve za informacijo, predstavljajo dragocen vir informacij </w:t>
      </w:r>
      <w:r w:rsidR="002B623B" w:rsidRPr="002F30DF">
        <w:rPr>
          <w:rFonts w:cs="Arial"/>
          <w:sz w:val="20"/>
          <w:szCs w:val="20"/>
        </w:rPr>
        <w:t>a</w:t>
      </w:r>
      <w:r w:rsidR="0045309B" w:rsidRPr="002F30DF">
        <w:rPr>
          <w:rFonts w:cs="Arial"/>
          <w:sz w:val="20"/>
          <w:szCs w:val="20"/>
        </w:rPr>
        <w:t>genc</w:t>
      </w:r>
      <w:r w:rsidRPr="002F30DF">
        <w:rPr>
          <w:rFonts w:cs="Arial"/>
          <w:sz w:val="20"/>
          <w:szCs w:val="20"/>
        </w:rPr>
        <w:t>iji in pripomorejo k učinkovitemu izvajanju pravil varstv</w:t>
      </w:r>
      <w:r w:rsidR="001875E6" w:rsidRPr="002F30DF">
        <w:rPr>
          <w:rFonts w:cs="Arial"/>
          <w:sz w:val="20"/>
          <w:szCs w:val="20"/>
        </w:rPr>
        <w:t>a</w:t>
      </w:r>
      <w:r w:rsidRPr="002F30DF">
        <w:rPr>
          <w:rFonts w:cs="Arial"/>
          <w:sz w:val="20"/>
          <w:szCs w:val="20"/>
        </w:rPr>
        <w:t xml:space="preserve"> konkurence. Pravica </w:t>
      </w:r>
      <w:r w:rsidR="002B623B" w:rsidRPr="002F30DF">
        <w:rPr>
          <w:rFonts w:cs="Arial"/>
          <w:sz w:val="20"/>
          <w:szCs w:val="20"/>
        </w:rPr>
        <w:t>a</w:t>
      </w:r>
      <w:r w:rsidR="0045309B" w:rsidRPr="002F30DF">
        <w:rPr>
          <w:rFonts w:cs="Arial"/>
          <w:sz w:val="20"/>
          <w:szCs w:val="20"/>
        </w:rPr>
        <w:t>genc</w:t>
      </w:r>
      <w:r w:rsidRPr="002F30DF">
        <w:rPr>
          <w:rFonts w:cs="Arial"/>
          <w:sz w:val="20"/>
          <w:szCs w:val="20"/>
        </w:rPr>
        <w:t>ije, da takšne informacije zahteva</w:t>
      </w:r>
      <w:r w:rsidR="001875E6" w:rsidRPr="002F30DF">
        <w:rPr>
          <w:rFonts w:cs="Arial"/>
          <w:sz w:val="20"/>
          <w:szCs w:val="20"/>
        </w:rPr>
        <w:t>,</w:t>
      </w:r>
      <w:r w:rsidRPr="002F30DF">
        <w:rPr>
          <w:rFonts w:cs="Arial"/>
          <w:sz w:val="20"/>
          <w:szCs w:val="20"/>
        </w:rPr>
        <w:t xml:space="preserve"> je bistvenega pomena za odkrivanje kršitev konkurenčnega prava. Na zahtev</w:t>
      </w:r>
      <w:r w:rsidR="0046725C" w:rsidRPr="002F30DF">
        <w:rPr>
          <w:rFonts w:cs="Arial"/>
          <w:sz w:val="20"/>
          <w:szCs w:val="20"/>
        </w:rPr>
        <w:t>o</w:t>
      </w:r>
      <w:r w:rsidRPr="002F30DF">
        <w:rPr>
          <w:rFonts w:cs="Arial"/>
          <w:sz w:val="20"/>
          <w:szCs w:val="20"/>
        </w:rPr>
        <w:t xml:space="preserve"> za </w:t>
      </w:r>
      <w:r w:rsidR="0046725C" w:rsidRPr="002F30DF">
        <w:rPr>
          <w:rFonts w:cs="Arial"/>
          <w:sz w:val="20"/>
          <w:szCs w:val="20"/>
        </w:rPr>
        <w:t xml:space="preserve">posredovanje podatkov </w:t>
      </w:r>
      <w:r w:rsidRPr="002F30DF">
        <w:rPr>
          <w:rFonts w:cs="Arial"/>
          <w:sz w:val="20"/>
          <w:szCs w:val="20"/>
        </w:rPr>
        <w:t xml:space="preserve">se nanaša tudi 8. člen Direktive 2019/1, ki določa, da </w:t>
      </w:r>
      <w:r w:rsidRPr="002F30DF">
        <w:rPr>
          <w:rFonts w:cs="Arial"/>
          <w:i/>
          <w:sz w:val="20"/>
          <w:szCs w:val="20"/>
        </w:rPr>
        <w:t>države članice zagotovijo, da lahko nacionalni upravni organi, pristojni za varstvo konkurence, od podjetij in podjetniških združenj zahtevajo, da jim v določenem in razumnem roku predložijo vse potrebne informacije za uporabo 101</w:t>
      </w:r>
      <w:r w:rsidR="0046725C" w:rsidRPr="002F30DF">
        <w:rPr>
          <w:rFonts w:cs="Arial"/>
          <w:i/>
          <w:sz w:val="20"/>
          <w:szCs w:val="20"/>
        </w:rPr>
        <w:t>.</w:t>
      </w:r>
      <w:r w:rsidRPr="002F30DF">
        <w:rPr>
          <w:rFonts w:cs="Arial"/>
          <w:i/>
          <w:sz w:val="20"/>
          <w:szCs w:val="20"/>
        </w:rPr>
        <w:t xml:space="preserve"> in 102</w:t>
      </w:r>
      <w:r w:rsidR="0046725C" w:rsidRPr="002F30DF">
        <w:rPr>
          <w:rFonts w:cs="Arial"/>
          <w:i/>
          <w:sz w:val="20"/>
          <w:szCs w:val="20"/>
        </w:rPr>
        <w:t>. člena</w:t>
      </w:r>
      <w:r w:rsidRPr="002F30DF">
        <w:rPr>
          <w:rFonts w:cs="Arial"/>
          <w:i/>
          <w:sz w:val="20"/>
          <w:szCs w:val="20"/>
        </w:rPr>
        <w:t xml:space="preserve"> PDEU. Take zahteve za informacije so sorazmerne ter naslovnikov, ki so jim zahteve namenjene, ne obvezujejo, da priznajo kršitev 101</w:t>
      </w:r>
      <w:r w:rsidR="0046725C" w:rsidRPr="002F30DF">
        <w:rPr>
          <w:rFonts w:cs="Arial"/>
          <w:i/>
          <w:sz w:val="20"/>
          <w:szCs w:val="20"/>
        </w:rPr>
        <w:t>.</w:t>
      </w:r>
      <w:r w:rsidRPr="002F30DF">
        <w:rPr>
          <w:rFonts w:cs="Arial"/>
          <w:i/>
          <w:sz w:val="20"/>
          <w:szCs w:val="20"/>
        </w:rPr>
        <w:t xml:space="preserve"> in 102</w:t>
      </w:r>
      <w:r w:rsidR="0046725C" w:rsidRPr="002F30DF">
        <w:rPr>
          <w:rFonts w:cs="Arial"/>
          <w:i/>
          <w:sz w:val="20"/>
          <w:szCs w:val="20"/>
        </w:rPr>
        <w:t>. členov</w:t>
      </w:r>
      <w:r w:rsidRPr="002F30DF">
        <w:rPr>
          <w:rFonts w:cs="Arial"/>
          <w:i/>
          <w:sz w:val="20"/>
          <w:szCs w:val="20"/>
        </w:rPr>
        <w:t xml:space="preserve"> PDEU. Obveznost zagotoviti vse potrebne informacije zajema informacije, ki so dostopne takim podjetjem ali podjetniškim združenjem. Nacionalni organi, pristojni za </w:t>
      </w:r>
      <w:r w:rsidR="002B623B" w:rsidRPr="002F30DF">
        <w:rPr>
          <w:rFonts w:cs="Arial"/>
          <w:i/>
          <w:sz w:val="20"/>
          <w:szCs w:val="20"/>
        </w:rPr>
        <w:t xml:space="preserve">varstvo </w:t>
      </w:r>
      <w:r w:rsidRPr="002F30DF">
        <w:rPr>
          <w:rFonts w:cs="Arial"/>
          <w:i/>
          <w:sz w:val="20"/>
          <w:szCs w:val="20"/>
        </w:rPr>
        <w:t>konkurenc</w:t>
      </w:r>
      <w:r w:rsidR="002B623B" w:rsidRPr="002F30DF">
        <w:rPr>
          <w:rFonts w:cs="Arial"/>
          <w:i/>
          <w:sz w:val="20"/>
          <w:szCs w:val="20"/>
        </w:rPr>
        <w:t>e</w:t>
      </w:r>
      <w:r w:rsidRPr="002F30DF">
        <w:rPr>
          <w:rFonts w:cs="Arial"/>
          <w:i/>
          <w:sz w:val="20"/>
          <w:szCs w:val="20"/>
        </w:rPr>
        <w:t>, so pooblaščeni tudi, da od katere koli druge fizične ali pravne osebe zahtevajo, da v določenem in razumnem roku predloži informacije, ki bi lahko bile relevantne za uporabo 101</w:t>
      </w:r>
      <w:r w:rsidR="002B623B" w:rsidRPr="002F30DF">
        <w:rPr>
          <w:rFonts w:cs="Arial"/>
          <w:i/>
          <w:sz w:val="20"/>
          <w:szCs w:val="20"/>
        </w:rPr>
        <w:t>.</w:t>
      </w:r>
      <w:r w:rsidRPr="002F30DF">
        <w:rPr>
          <w:rFonts w:cs="Arial"/>
          <w:i/>
          <w:sz w:val="20"/>
          <w:szCs w:val="20"/>
        </w:rPr>
        <w:t xml:space="preserve"> in 102</w:t>
      </w:r>
      <w:r w:rsidR="002B623B" w:rsidRPr="002F30DF">
        <w:rPr>
          <w:rFonts w:cs="Arial"/>
          <w:i/>
          <w:sz w:val="20"/>
          <w:szCs w:val="20"/>
        </w:rPr>
        <w:t>. člena</w:t>
      </w:r>
      <w:r w:rsidRPr="002F30DF">
        <w:rPr>
          <w:rFonts w:cs="Arial"/>
          <w:i/>
          <w:sz w:val="20"/>
          <w:szCs w:val="20"/>
        </w:rPr>
        <w:t xml:space="preserve"> PDEU.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Določbo glede zahteve za posredovanje podatkov je vseboval že ZPOmK-1 v 27. členu, ki se večinoma ohranja nespremenjen.</w:t>
      </w:r>
    </w:p>
    <w:p w:rsidR="00814AB6" w:rsidRPr="002F30DF" w:rsidRDefault="00814AB6"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 podlagi </w:t>
      </w:r>
      <w:r w:rsidRPr="002F30DF">
        <w:rPr>
          <w:rFonts w:cs="Arial"/>
          <w:sz w:val="20"/>
          <w:szCs w:val="20"/>
          <w:u w:val="single"/>
        </w:rPr>
        <w:t>prvega odstavka</w:t>
      </w:r>
      <w:r w:rsidRPr="002F30DF">
        <w:rPr>
          <w:rFonts w:cs="Arial"/>
          <w:sz w:val="20"/>
          <w:szCs w:val="20"/>
        </w:rPr>
        <w:t xml:space="preserve"> </w:t>
      </w:r>
      <w:r w:rsidR="002B623B" w:rsidRPr="002F30DF">
        <w:rPr>
          <w:rFonts w:cs="Arial"/>
          <w:sz w:val="20"/>
          <w:szCs w:val="20"/>
        </w:rPr>
        <w:t>a</w:t>
      </w:r>
      <w:r w:rsidR="0045309B" w:rsidRPr="002F30DF">
        <w:rPr>
          <w:rFonts w:cs="Arial"/>
          <w:sz w:val="20"/>
          <w:szCs w:val="20"/>
        </w:rPr>
        <w:t>genc</w:t>
      </w:r>
      <w:r w:rsidRPr="002F30DF">
        <w:rPr>
          <w:rFonts w:cs="Arial"/>
          <w:sz w:val="20"/>
          <w:szCs w:val="20"/>
        </w:rPr>
        <w:t xml:space="preserve">ija lahko naslovi zahtevo za </w:t>
      </w:r>
      <w:r w:rsidR="00126F4C" w:rsidRPr="002F30DF">
        <w:rPr>
          <w:rFonts w:cs="Arial"/>
          <w:sz w:val="20"/>
          <w:szCs w:val="20"/>
        </w:rPr>
        <w:t xml:space="preserve">predložitev </w:t>
      </w:r>
      <w:r w:rsidRPr="002F30DF">
        <w:rPr>
          <w:rFonts w:cs="Arial"/>
          <w:sz w:val="20"/>
          <w:szCs w:val="20"/>
        </w:rPr>
        <w:t xml:space="preserve">podatkov na vsako podjetje, družbenike, člane organov vodenja ali nadzora, na osebe, zaposlene pri podjetju ter na druge fizične osebe. To lahko </w:t>
      </w:r>
      <w:r w:rsidR="002C0A89" w:rsidRPr="002F30DF">
        <w:rPr>
          <w:rFonts w:cs="Arial"/>
          <w:sz w:val="20"/>
          <w:szCs w:val="20"/>
        </w:rPr>
        <w:t xml:space="preserve">agencija </w:t>
      </w:r>
      <w:r w:rsidRPr="002F30DF">
        <w:rPr>
          <w:rFonts w:cs="Arial"/>
          <w:sz w:val="20"/>
          <w:szCs w:val="20"/>
        </w:rPr>
        <w:t xml:space="preserve">stori po izdaji sklepa o uvedbi postopka, kot tudi že pred izdajo sklepa o uvedbi postopka, saj </w:t>
      </w:r>
      <w:r w:rsidRPr="002F30DF">
        <w:rPr>
          <w:rFonts w:cs="Arial"/>
          <w:sz w:val="20"/>
          <w:szCs w:val="20"/>
        </w:rPr>
        <w:lastRenderedPageBreak/>
        <w:t xml:space="preserve">zahteva </w:t>
      </w:r>
      <w:r w:rsidR="004B1D9C" w:rsidRPr="002F30DF">
        <w:rPr>
          <w:rFonts w:cs="Arial"/>
          <w:sz w:val="20"/>
          <w:szCs w:val="20"/>
        </w:rPr>
        <w:t xml:space="preserve">za posredovanje podatkov </w:t>
      </w:r>
      <w:r w:rsidRPr="002F30DF">
        <w:rPr>
          <w:rFonts w:cs="Arial"/>
          <w:sz w:val="20"/>
          <w:szCs w:val="20"/>
        </w:rPr>
        <w:t xml:space="preserve">predstavlja način, s katerim </w:t>
      </w:r>
      <w:r w:rsidR="002B623B" w:rsidRPr="002F30DF">
        <w:rPr>
          <w:rFonts w:cs="Arial"/>
          <w:sz w:val="20"/>
          <w:szCs w:val="20"/>
        </w:rPr>
        <w:t>a</w:t>
      </w:r>
      <w:r w:rsidR="0045309B" w:rsidRPr="002F30DF">
        <w:rPr>
          <w:rFonts w:cs="Arial"/>
          <w:sz w:val="20"/>
          <w:szCs w:val="20"/>
        </w:rPr>
        <w:t>genc</w:t>
      </w:r>
      <w:r w:rsidRPr="002F30DF">
        <w:rPr>
          <w:rFonts w:cs="Arial"/>
          <w:sz w:val="20"/>
          <w:szCs w:val="20"/>
        </w:rPr>
        <w:t xml:space="preserve">ija pridobi potrebne informacije. Zahteva za posredovanje </w:t>
      </w:r>
      <w:r w:rsidR="001875E6" w:rsidRPr="002F30DF">
        <w:rPr>
          <w:rFonts w:cs="Arial"/>
          <w:sz w:val="20"/>
          <w:szCs w:val="20"/>
        </w:rPr>
        <w:t xml:space="preserve">vseh </w:t>
      </w:r>
      <w:r w:rsidRPr="002F30DF">
        <w:rPr>
          <w:rFonts w:cs="Arial"/>
          <w:sz w:val="20"/>
          <w:szCs w:val="20"/>
        </w:rPr>
        <w:t>podatkov mora biti sorazmerna</w:t>
      </w:r>
      <w:r w:rsidR="00ED3853" w:rsidRPr="002F30DF">
        <w:rPr>
          <w:rFonts w:cs="Arial"/>
          <w:sz w:val="20"/>
          <w:szCs w:val="20"/>
        </w:rPr>
        <w:t xml:space="preserve"> in se</w:t>
      </w:r>
      <w:r w:rsidR="001875E6" w:rsidRPr="002F30DF">
        <w:rPr>
          <w:rFonts w:cs="Arial"/>
          <w:sz w:val="20"/>
          <w:szCs w:val="20"/>
        </w:rPr>
        <w:t xml:space="preserve"> mora</w:t>
      </w:r>
      <w:r w:rsidR="00ED3853" w:rsidRPr="002F30DF">
        <w:rPr>
          <w:rFonts w:cs="Arial"/>
          <w:sz w:val="20"/>
          <w:szCs w:val="20"/>
        </w:rPr>
        <w:t xml:space="preserve"> nanašati na podatke, ki bi lahko bili relevantni za uporabo tega zakona ali 101. ali 102. člena PDEU</w:t>
      </w:r>
      <w:r w:rsidRPr="002F30DF">
        <w:rPr>
          <w:rFonts w:cs="Arial"/>
          <w:sz w:val="20"/>
          <w:szCs w:val="20"/>
        </w:rPr>
        <w:t xml:space="preserve">. Ko </w:t>
      </w:r>
      <w:r w:rsidR="002B623B" w:rsidRPr="002F30DF">
        <w:rPr>
          <w:rFonts w:cs="Arial"/>
          <w:sz w:val="20"/>
          <w:szCs w:val="20"/>
        </w:rPr>
        <w:t>a</w:t>
      </w:r>
      <w:r w:rsidR="0045309B" w:rsidRPr="002F30DF">
        <w:rPr>
          <w:rFonts w:cs="Arial"/>
          <w:sz w:val="20"/>
          <w:szCs w:val="20"/>
        </w:rPr>
        <w:t>genc</w:t>
      </w:r>
      <w:r w:rsidRPr="002F30DF">
        <w:rPr>
          <w:rFonts w:cs="Arial"/>
          <w:sz w:val="20"/>
          <w:szCs w:val="20"/>
        </w:rPr>
        <w:t>ija preuči pridobljene informacije, se v skladu z diskrecijsko pravico odloči, ali bo proti posameznemu podjetju uvedl</w:t>
      </w:r>
      <w:r w:rsidR="00814AB6" w:rsidRPr="002F30DF">
        <w:rPr>
          <w:rFonts w:cs="Arial"/>
          <w:sz w:val="20"/>
          <w:szCs w:val="20"/>
        </w:rPr>
        <w:t>a</w:t>
      </w:r>
      <w:r w:rsidRPr="002F30DF">
        <w:rPr>
          <w:rFonts w:cs="Arial"/>
          <w:sz w:val="20"/>
          <w:szCs w:val="20"/>
        </w:rPr>
        <w:t xml:space="preserve"> postopek. Če pa je bila zahteva posredovana po izdaji sklepa o uvedbi postopka, z njim nadaljuje in izda odločbo.</w:t>
      </w:r>
      <w:r w:rsidR="00FC48A6" w:rsidRPr="002F30DF">
        <w:rPr>
          <w:rFonts w:cs="Arial"/>
          <w:sz w:val="20"/>
          <w:szCs w:val="20"/>
        </w:rPr>
        <w:t xml:space="preserve"> Glede na to, da se s predlogom tega zakona na novo uvaja administrativna sankcija za po</w:t>
      </w:r>
      <w:r w:rsidR="002B623B" w:rsidRPr="002F30DF">
        <w:rPr>
          <w:rFonts w:cs="Arial"/>
          <w:sz w:val="20"/>
          <w:szCs w:val="20"/>
        </w:rPr>
        <w:t>sredovanje ne</w:t>
      </w:r>
      <w:r w:rsidR="00FC48A6" w:rsidRPr="002F30DF">
        <w:rPr>
          <w:rFonts w:cs="Arial"/>
          <w:sz w:val="20"/>
          <w:szCs w:val="20"/>
        </w:rPr>
        <w:t xml:space="preserve">točnih ali zavajajočih podatkov, se v prvem odstavku določi tudi, da agencija v zahtevi za posredovanje podatkov opozori naslovnika na to, da </w:t>
      </w:r>
      <w:r w:rsidR="00921C32" w:rsidRPr="002F30DF">
        <w:rPr>
          <w:rFonts w:cs="Arial"/>
          <w:sz w:val="20"/>
          <w:szCs w:val="20"/>
        </w:rPr>
        <w:t>mu lahko za posredovanje netočnih ali zavajajočih podatkov izreče administrativno sankcijo.</w:t>
      </w:r>
      <w:r w:rsidR="00FC48A6" w:rsidRPr="002F30DF">
        <w:rPr>
          <w:rFonts w:cs="Arial"/>
          <w:sz w:val="20"/>
          <w:szCs w:val="20"/>
        </w:rPr>
        <w:t xml:space="preserve"> Še vedno pa se ohranja prostovoljna narava </w:t>
      </w:r>
      <w:r w:rsidR="00126F4C" w:rsidRPr="002F30DF">
        <w:rPr>
          <w:rFonts w:cs="Arial"/>
          <w:sz w:val="20"/>
          <w:szCs w:val="20"/>
        </w:rPr>
        <w:t xml:space="preserve">predložitve </w:t>
      </w:r>
      <w:r w:rsidR="002B623B" w:rsidRPr="002F30DF">
        <w:rPr>
          <w:rFonts w:cs="Arial"/>
          <w:sz w:val="20"/>
          <w:szCs w:val="20"/>
        </w:rPr>
        <w:t>podatkov, saj za ne</w:t>
      </w:r>
      <w:r w:rsidR="00B32234" w:rsidRPr="002F30DF">
        <w:rPr>
          <w:rFonts w:cs="Arial"/>
          <w:sz w:val="20"/>
          <w:szCs w:val="20"/>
        </w:rPr>
        <w:t xml:space="preserve"> </w:t>
      </w:r>
      <w:r w:rsidR="00FC48A6" w:rsidRPr="002F30DF">
        <w:rPr>
          <w:rFonts w:cs="Arial"/>
          <w:sz w:val="20"/>
          <w:szCs w:val="20"/>
        </w:rPr>
        <w:t>posredovanje podatkov na podlagi prvega odstavka tega člena agencija naslovniku ne more izreči administrativne sankcije.</w:t>
      </w:r>
    </w:p>
    <w:p w:rsidR="000C7973" w:rsidRPr="002F30DF" w:rsidRDefault="000C7973" w:rsidP="0025166A">
      <w:pPr>
        <w:spacing w:line="260" w:lineRule="atLeast"/>
        <w:rPr>
          <w:rFonts w:cs="Arial"/>
          <w:sz w:val="20"/>
          <w:szCs w:val="20"/>
        </w:rPr>
      </w:pPr>
      <w:r w:rsidRPr="002F30DF">
        <w:rPr>
          <w:rFonts w:cs="Arial"/>
          <w:sz w:val="20"/>
          <w:szCs w:val="20"/>
        </w:rPr>
        <w:t>Ta pravica podjetju ali podjetniškemu združenju ne bi smela povzročiti obveznosti, ki je nesorazmerna glede na potrebe preiskave. Ne bi smela na primer povzročiti, da ima podjetje ali podjetniško združenje pretirane stroške ali delo.</w:t>
      </w:r>
    </w:p>
    <w:p w:rsidR="007522E3" w:rsidRPr="002F30DF" w:rsidRDefault="007522E3" w:rsidP="0025166A">
      <w:pPr>
        <w:spacing w:line="260" w:lineRule="atLeast"/>
        <w:rPr>
          <w:rFonts w:cs="Arial"/>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lahko zahteva podatke od podjetja tudi s posebnim sklepom </w:t>
      </w:r>
      <w:r w:rsidR="007522E3" w:rsidRPr="002F30DF">
        <w:rPr>
          <w:rFonts w:cs="Arial"/>
          <w:sz w:val="20"/>
          <w:szCs w:val="20"/>
          <w:u w:val="single"/>
        </w:rPr>
        <w:t>(drugi odstavek)</w:t>
      </w:r>
      <w:r w:rsidR="007522E3" w:rsidRPr="002F30DF">
        <w:rPr>
          <w:rFonts w:cs="Arial"/>
          <w:sz w:val="20"/>
          <w:szCs w:val="20"/>
        </w:rPr>
        <w:t xml:space="preserve">, ki obsega pravno podlago, namen zahteve, določitev podatkov, ki jih mora podjetje posredovati, ter primeren rok za njihovo </w:t>
      </w:r>
      <w:r w:rsidR="00126F4C" w:rsidRPr="002F30DF">
        <w:rPr>
          <w:rFonts w:cs="Arial"/>
          <w:sz w:val="20"/>
          <w:szCs w:val="20"/>
        </w:rPr>
        <w:t xml:space="preserve">predložitev </w:t>
      </w:r>
      <w:r w:rsidR="007522E3" w:rsidRPr="002F30DF">
        <w:rPr>
          <w:rFonts w:cs="Arial"/>
          <w:sz w:val="20"/>
          <w:szCs w:val="20"/>
        </w:rPr>
        <w:t xml:space="preserve">in opozorilo o administrativni sankciji zaradi </w:t>
      </w:r>
      <w:r w:rsidR="00126F4C" w:rsidRPr="002F30DF">
        <w:rPr>
          <w:rFonts w:cs="Arial"/>
          <w:sz w:val="20"/>
          <w:szCs w:val="20"/>
        </w:rPr>
        <w:t xml:space="preserve">preložitve </w:t>
      </w:r>
      <w:r w:rsidR="007522E3" w:rsidRPr="002F30DF">
        <w:rPr>
          <w:rFonts w:cs="Arial"/>
          <w:sz w:val="20"/>
          <w:szCs w:val="20"/>
        </w:rPr>
        <w:t>nepravilnih, nepopolnih ali zavajajočih podatkov oziroma zaradi ne</w:t>
      </w:r>
      <w:r w:rsidR="00B32234" w:rsidRPr="002F30DF">
        <w:rPr>
          <w:rFonts w:cs="Arial"/>
          <w:sz w:val="20"/>
          <w:szCs w:val="20"/>
        </w:rPr>
        <w:t xml:space="preserve"> </w:t>
      </w:r>
      <w:r w:rsidR="007522E3" w:rsidRPr="002F30DF">
        <w:rPr>
          <w:rFonts w:cs="Arial"/>
          <w:sz w:val="20"/>
          <w:szCs w:val="20"/>
        </w:rPr>
        <w:t>predložitve podatkov v določenem roku. Zoper sklep ni sodnega varstva.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podjetju</w:t>
      </w:r>
      <w:r w:rsidR="00B32234" w:rsidRPr="002F30DF">
        <w:rPr>
          <w:rFonts w:cs="Arial"/>
          <w:sz w:val="20"/>
          <w:szCs w:val="20"/>
        </w:rPr>
        <w:t xml:space="preserve">, vključno </w:t>
      </w:r>
      <w:r w:rsidR="002C0A89" w:rsidRPr="002F30DF">
        <w:rPr>
          <w:rFonts w:cs="Arial"/>
          <w:sz w:val="20"/>
          <w:szCs w:val="20"/>
        </w:rPr>
        <w:t>podjetniškemu združenju</w:t>
      </w:r>
      <w:r w:rsidR="00B32234" w:rsidRPr="002F30DF">
        <w:rPr>
          <w:rFonts w:cs="Arial"/>
          <w:sz w:val="20"/>
          <w:szCs w:val="20"/>
        </w:rPr>
        <w:t>,</w:t>
      </w:r>
      <w:r w:rsidR="002C0A89" w:rsidRPr="002F30DF">
        <w:rPr>
          <w:rFonts w:cs="Arial"/>
          <w:sz w:val="20"/>
          <w:szCs w:val="20"/>
        </w:rPr>
        <w:t xml:space="preserve"> </w:t>
      </w:r>
      <w:r w:rsidR="001875E6" w:rsidRPr="002F30DF">
        <w:rPr>
          <w:rFonts w:cs="Arial"/>
          <w:sz w:val="20"/>
          <w:szCs w:val="20"/>
        </w:rPr>
        <w:t>nalaga</w:t>
      </w:r>
      <w:r w:rsidRPr="002F30DF">
        <w:rPr>
          <w:rFonts w:cs="Arial"/>
          <w:sz w:val="20"/>
          <w:szCs w:val="20"/>
        </w:rPr>
        <w:t xml:space="preserve">, da mora na podlagi sklepa iz drugega odstavka </w:t>
      </w:r>
      <w:r w:rsidR="008A7536" w:rsidRPr="002F30DF">
        <w:rPr>
          <w:rFonts w:cs="Arial"/>
          <w:sz w:val="20"/>
          <w:szCs w:val="20"/>
        </w:rPr>
        <w:t xml:space="preserve">predložiti </w:t>
      </w:r>
      <w:r w:rsidRPr="002F30DF">
        <w:rPr>
          <w:rFonts w:cs="Arial"/>
          <w:sz w:val="20"/>
          <w:szCs w:val="20"/>
        </w:rPr>
        <w:t xml:space="preserve">vse </w:t>
      </w:r>
      <w:r w:rsidR="00DD6B1A" w:rsidRPr="002F30DF">
        <w:rPr>
          <w:rFonts w:cs="Arial"/>
          <w:sz w:val="20"/>
          <w:szCs w:val="20"/>
        </w:rPr>
        <w:t>podatke</w:t>
      </w:r>
      <w:r w:rsidRPr="002F30DF">
        <w:rPr>
          <w:rFonts w:cs="Arial"/>
          <w:sz w:val="20"/>
          <w:szCs w:val="20"/>
        </w:rPr>
        <w:t>, ki so pomembn</w:t>
      </w:r>
      <w:r w:rsidR="004B1D9C" w:rsidRPr="002F30DF">
        <w:rPr>
          <w:rFonts w:cs="Arial"/>
          <w:sz w:val="20"/>
          <w:szCs w:val="20"/>
        </w:rPr>
        <w:t>i</w:t>
      </w:r>
      <w:r w:rsidRPr="002F30DF">
        <w:rPr>
          <w:rFonts w:cs="Arial"/>
          <w:sz w:val="20"/>
          <w:szCs w:val="20"/>
        </w:rPr>
        <w:t xml:space="preserve"> v zvezi z očitki</w:t>
      </w:r>
      <w:r w:rsidR="002F43C6" w:rsidRPr="002F30DF">
        <w:rPr>
          <w:rFonts w:cs="Arial"/>
          <w:sz w:val="20"/>
          <w:szCs w:val="20"/>
        </w:rPr>
        <w:t>. Zahteva se nanaša na informacije v katerikoli obliki, vključno z elektronsko pošto in sporočili iz sistema za takojšnje sporočanje</w:t>
      </w:r>
      <w:r w:rsidR="001875E6" w:rsidRPr="002F30DF">
        <w:rPr>
          <w:rFonts w:cs="Arial"/>
          <w:sz w:val="20"/>
          <w:szCs w:val="20"/>
        </w:rPr>
        <w:t xml:space="preserve"> in</w:t>
      </w:r>
      <w:r w:rsidR="002F43C6" w:rsidRPr="002F30DF">
        <w:rPr>
          <w:rFonts w:cs="Arial"/>
          <w:sz w:val="20"/>
          <w:szCs w:val="20"/>
        </w:rPr>
        <w:t xml:space="preserve"> ne glede na to, kje se hranijo, t</w:t>
      </w:r>
      <w:r w:rsidR="001875E6" w:rsidRPr="002F30DF">
        <w:rPr>
          <w:rFonts w:cs="Arial"/>
          <w:sz w:val="20"/>
          <w:szCs w:val="20"/>
        </w:rPr>
        <w:t>orej se nanaša t</w:t>
      </w:r>
      <w:r w:rsidR="002F43C6" w:rsidRPr="002F30DF">
        <w:rPr>
          <w:rFonts w:cs="Arial"/>
          <w:sz w:val="20"/>
          <w:szCs w:val="20"/>
        </w:rPr>
        <w:t xml:space="preserve">udi </w:t>
      </w:r>
      <w:r w:rsidR="001875E6" w:rsidRPr="002F30DF">
        <w:rPr>
          <w:rFonts w:cs="Arial"/>
          <w:sz w:val="20"/>
          <w:szCs w:val="20"/>
        </w:rPr>
        <w:t xml:space="preserve">na podatke </w:t>
      </w:r>
      <w:r w:rsidR="002F43C6" w:rsidRPr="002F30DF">
        <w:rPr>
          <w:rFonts w:cs="Arial"/>
          <w:sz w:val="20"/>
          <w:szCs w:val="20"/>
        </w:rPr>
        <w:t>v oblaku ali na strežnikih, pod pogojem, da so dostopne podjetju, ki je naslovnik zahteve.</w:t>
      </w:r>
      <w:r w:rsidR="00E00ACA" w:rsidRPr="002F30DF">
        <w:rPr>
          <w:rFonts w:cs="Arial"/>
          <w:sz w:val="20"/>
          <w:szCs w:val="20"/>
        </w:rPr>
        <w:t xml:space="preserve"> </w:t>
      </w:r>
      <w:r w:rsidR="002F43C6" w:rsidRPr="002F30DF">
        <w:rPr>
          <w:rFonts w:cs="Arial"/>
          <w:sz w:val="20"/>
          <w:szCs w:val="20"/>
        </w:rPr>
        <w:t xml:space="preserve">Pri </w:t>
      </w:r>
      <w:r w:rsidRPr="002F30DF">
        <w:rPr>
          <w:rFonts w:cs="Arial"/>
          <w:sz w:val="20"/>
          <w:szCs w:val="20"/>
        </w:rPr>
        <w:t>tem</w:t>
      </w:r>
      <w:r w:rsidR="002F43C6" w:rsidRPr="002F30DF">
        <w:rPr>
          <w:rFonts w:cs="Arial"/>
          <w:sz w:val="20"/>
          <w:szCs w:val="20"/>
        </w:rPr>
        <w:t xml:space="preserve"> pa</w:t>
      </w:r>
      <w:r w:rsidRPr="002F30DF">
        <w:rPr>
          <w:rFonts w:cs="Arial"/>
          <w:sz w:val="20"/>
          <w:szCs w:val="20"/>
        </w:rPr>
        <w:t xml:space="preserve"> podjetju ni treba priznati kršitve (gre za t.i. privilegij zoper samoobtožbo). Podjetja so torej dolžna odgovoriti na konkretna vprašanja </w:t>
      </w:r>
      <w:r w:rsidR="002B623B" w:rsidRPr="002F30DF">
        <w:rPr>
          <w:rFonts w:cs="Arial"/>
          <w:sz w:val="20"/>
          <w:szCs w:val="20"/>
        </w:rPr>
        <w:t>a</w:t>
      </w:r>
      <w:r w:rsidR="0045309B" w:rsidRPr="002F30DF">
        <w:rPr>
          <w:rFonts w:cs="Arial"/>
          <w:sz w:val="20"/>
          <w:szCs w:val="20"/>
        </w:rPr>
        <w:t>genc</w:t>
      </w:r>
      <w:r w:rsidRPr="002F30DF">
        <w:rPr>
          <w:rFonts w:cs="Arial"/>
          <w:sz w:val="20"/>
          <w:szCs w:val="20"/>
        </w:rPr>
        <w:t xml:space="preserve">ije in zagotoviti dokumente tudi v primeru, da je dokumente mogoče uporabiti proti njim kot dokaz za ugotavljanje kršitve. </w:t>
      </w:r>
    </w:p>
    <w:p w:rsidR="007522E3" w:rsidRPr="002F30DF" w:rsidRDefault="007522E3" w:rsidP="0025166A">
      <w:pPr>
        <w:spacing w:line="260" w:lineRule="atLeast"/>
        <w:rPr>
          <w:rFonts w:cs="Arial"/>
          <w:sz w:val="20"/>
          <w:szCs w:val="20"/>
        </w:rPr>
      </w:pPr>
    </w:p>
    <w:p w:rsidR="007522E3" w:rsidRPr="002F30DF" w:rsidRDefault="007522E3" w:rsidP="0025166A">
      <w:pPr>
        <w:pStyle w:val="Odstavek"/>
        <w:spacing w:before="0" w:line="260" w:lineRule="atLeast"/>
        <w:ind w:firstLine="0"/>
        <w:rPr>
          <w:sz w:val="20"/>
          <w:szCs w:val="20"/>
        </w:rPr>
      </w:pPr>
      <w:r w:rsidRPr="002F30DF">
        <w:rPr>
          <w:sz w:val="20"/>
          <w:szCs w:val="20"/>
          <w:u w:val="single"/>
        </w:rPr>
        <w:t>Četrti odstavek</w:t>
      </w:r>
      <w:r w:rsidRPr="002F30DF">
        <w:rPr>
          <w:sz w:val="20"/>
          <w:szCs w:val="20"/>
        </w:rPr>
        <w:t xml:space="preserve"> določa ustavitv</w:t>
      </w:r>
      <w:r w:rsidR="004B1D9C" w:rsidRPr="002F30DF">
        <w:rPr>
          <w:sz w:val="20"/>
          <w:szCs w:val="20"/>
        </w:rPr>
        <w:t>e teka</w:t>
      </w:r>
      <w:r w:rsidRPr="002F30DF">
        <w:rPr>
          <w:sz w:val="20"/>
          <w:szCs w:val="20"/>
        </w:rPr>
        <w:t xml:space="preserve"> roka za izdajo odločbe za čas, ko je stranka v zamudi z odgovorom na zahtevo za posredovanje podatkov.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lastRenderedPageBreak/>
        <w:t>K</w:t>
      </w:r>
      <w:r w:rsidR="008E681F" w:rsidRPr="002F30DF">
        <w:rPr>
          <w:rFonts w:cs="Arial"/>
          <w:b/>
          <w:sz w:val="20"/>
          <w:szCs w:val="20"/>
        </w:rPr>
        <w:t xml:space="preserve"> </w:t>
      </w:r>
      <w:r w:rsidR="003B2061" w:rsidRPr="002F30DF">
        <w:rPr>
          <w:rFonts w:cs="Arial"/>
          <w:b/>
          <w:sz w:val="20"/>
          <w:szCs w:val="20"/>
        </w:rPr>
        <w:t>5</w:t>
      </w:r>
      <w:r w:rsidR="00577EFC" w:rsidRPr="002F30DF">
        <w:rPr>
          <w:rFonts w:cs="Arial"/>
          <w:b/>
          <w:sz w:val="20"/>
          <w:szCs w:val="20"/>
        </w:rPr>
        <w:t>4</w:t>
      </w:r>
      <w:r w:rsidRPr="002F30DF">
        <w:rPr>
          <w:rFonts w:cs="Arial"/>
          <w:b/>
          <w:sz w:val="20"/>
          <w:szCs w:val="20"/>
        </w:rPr>
        <w:t>. členu (zbiranje informacij)</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Predlog tega člena uvaja v poglavje o preiskavah novo preiskovalno orodje, ki je namenjen</w:t>
      </w:r>
      <w:r w:rsidR="001F5531" w:rsidRPr="002F30DF">
        <w:rPr>
          <w:rFonts w:cs="Arial"/>
          <w:sz w:val="20"/>
          <w:szCs w:val="20"/>
        </w:rPr>
        <w:t>o</w:t>
      </w:r>
      <w:r w:rsidRPr="002F30DF">
        <w:rPr>
          <w:rFonts w:cs="Arial"/>
          <w:sz w:val="20"/>
          <w:szCs w:val="20"/>
        </w:rPr>
        <w:t xml:space="preserve"> zbiranju </w:t>
      </w:r>
      <w:r w:rsidR="00882C65" w:rsidRPr="002F30DF">
        <w:rPr>
          <w:rFonts w:cs="Arial"/>
          <w:sz w:val="20"/>
          <w:szCs w:val="20"/>
        </w:rPr>
        <w:t>informacij</w:t>
      </w:r>
      <w:r w:rsidR="001F5531" w:rsidRPr="002F30DF">
        <w:rPr>
          <w:rFonts w:cs="Arial"/>
          <w:sz w:val="20"/>
          <w:szCs w:val="20"/>
        </w:rPr>
        <w:t>. S tem členom se</w:t>
      </w:r>
      <w:r w:rsidR="00AA702C" w:rsidRPr="002F30DF">
        <w:rPr>
          <w:rFonts w:cs="Arial"/>
          <w:sz w:val="20"/>
          <w:szCs w:val="20"/>
        </w:rPr>
        <w:t xml:space="preserve"> </w:t>
      </w:r>
      <w:r w:rsidR="001F5531" w:rsidRPr="002F30DF">
        <w:rPr>
          <w:rFonts w:cs="Arial"/>
          <w:sz w:val="20"/>
          <w:szCs w:val="20"/>
        </w:rPr>
        <w:t>zagotavlja</w:t>
      </w:r>
      <w:r w:rsidRPr="002F30DF">
        <w:rPr>
          <w:rFonts w:cs="Arial"/>
          <w:sz w:val="20"/>
          <w:szCs w:val="20"/>
        </w:rPr>
        <w:t xml:space="preserve"> prenos 9. člena Direktive 2019/1, </w:t>
      </w:r>
      <w:r w:rsidRPr="002F30DF">
        <w:rPr>
          <w:rFonts w:cs="Arial"/>
          <w:i/>
          <w:sz w:val="20"/>
          <w:szCs w:val="20"/>
        </w:rPr>
        <w:t>ki državam članicam nalaga, da zagotovijo, da so nacionalni upravni organi, pristojni za varstvo konkurence, pooblaščeni najmanj, da lahko na razgovor povabi</w:t>
      </w:r>
      <w:r w:rsidR="001F5531" w:rsidRPr="002F30DF">
        <w:rPr>
          <w:rFonts w:cs="Arial"/>
          <w:i/>
          <w:sz w:val="20"/>
          <w:szCs w:val="20"/>
        </w:rPr>
        <w:t>jo</w:t>
      </w:r>
      <w:r w:rsidRPr="002F30DF">
        <w:rPr>
          <w:rFonts w:cs="Arial"/>
          <w:i/>
          <w:sz w:val="20"/>
          <w:szCs w:val="20"/>
        </w:rPr>
        <w:t xml:space="preserve"> katerega koli predstavnika podjetja ali podjetniškega združenja, katerega koli predstavnika druge pravne osebe in katero koli fizično osebo, kadar bi takšen predstavnik ali fizična oseba lahko razpolagala z informacijami, relevantnimi za uporabo 101</w:t>
      </w:r>
      <w:r w:rsidR="00CD5AD1" w:rsidRPr="002F30DF">
        <w:rPr>
          <w:rFonts w:cs="Arial"/>
          <w:i/>
          <w:sz w:val="20"/>
          <w:szCs w:val="20"/>
        </w:rPr>
        <w:t>.</w:t>
      </w:r>
      <w:r w:rsidRPr="002F30DF">
        <w:rPr>
          <w:rFonts w:cs="Arial"/>
          <w:i/>
          <w:sz w:val="20"/>
          <w:szCs w:val="20"/>
        </w:rPr>
        <w:t xml:space="preserve"> in 102</w:t>
      </w:r>
      <w:r w:rsidR="00CD5AD1" w:rsidRPr="002F30DF">
        <w:rPr>
          <w:rFonts w:cs="Arial"/>
          <w:i/>
          <w:sz w:val="20"/>
          <w:szCs w:val="20"/>
        </w:rPr>
        <w:t>. člena</w:t>
      </w:r>
      <w:r w:rsidRPr="002F30DF">
        <w:rPr>
          <w:rFonts w:cs="Arial"/>
          <w:i/>
          <w:sz w:val="20"/>
          <w:szCs w:val="20"/>
        </w:rPr>
        <w:t xml:space="preserve"> PDEU.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Namen predlagane </w:t>
      </w:r>
      <w:r w:rsidR="00B05BF5" w:rsidRPr="002F30DF">
        <w:rPr>
          <w:rFonts w:cs="Arial"/>
          <w:sz w:val="20"/>
          <w:szCs w:val="20"/>
        </w:rPr>
        <w:t xml:space="preserve">določbe </w:t>
      </w:r>
      <w:r w:rsidRPr="002F30DF">
        <w:rPr>
          <w:rFonts w:cs="Arial"/>
          <w:sz w:val="20"/>
          <w:szCs w:val="20"/>
        </w:rPr>
        <w:t>je zagotoviti zadostna sredstva za odkrivanje kršitev ter zadostiti zahtevam po učinkovitem ugotavljanju dejstev v skladu z načelom materialne resnice, predlagane novosti pa ne gredo v škodo procesnih pravic strank in vsebujejo dovolj varovalk, da onemogočajo zlorabo pooblastil.</w:t>
      </w:r>
    </w:p>
    <w:p w:rsidR="007522E3" w:rsidRPr="002F30DF" w:rsidRDefault="007522E3" w:rsidP="0025166A">
      <w:pPr>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 xml:space="preserve">Gre za samostojno preiskovalno orodje, ki ga je treba ločiti od zbiranja pojasnil o dejstvih ali dokumentih po </w:t>
      </w:r>
      <w:r w:rsidR="00B03121" w:rsidRPr="002F30DF">
        <w:rPr>
          <w:rFonts w:cs="Arial"/>
          <w:sz w:val="20"/>
          <w:szCs w:val="20"/>
        </w:rPr>
        <w:t xml:space="preserve">peti </w:t>
      </w:r>
      <w:r w:rsidRPr="002F30DF">
        <w:rPr>
          <w:rFonts w:cs="Arial"/>
          <w:sz w:val="20"/>
          <w:szCs w:val="20"/>
        </w:rPr>
        <w:t xml:space="preserve">alineji drugega odstavka </w:t>
      </w:r>
      <w:r w:rsidR="003B2061" w:rsidRPr="002F30DF">
        <w:rPr>
          <w:rFonts w:cs="Arial"/>
          <w:sz w:val="20"/>
          <w:szCs w:val="20"/>
        </w:rPr>
        <w:t>57</w:t>
      </w:r>
      <w:r w:rsidR="00BF5841" w:rsidRPr="002F30DF">
        <w:rPr>
          <w:rFonts w:cs="Arial"/>
          <w:sz w:val="20"/>
          <w:szCs w:val="20"/>
        </w:rPr>
        <w:t>.</w:t>
      </w:r>
      <w:r w:rsidRPr="002F30DF">
        <w:rPr>
          <w:rFonts w:cs="Arial"/>
          <w:sz w:val="20"/>
          <w:szCs w:val="20"/>
        </w:rPr>
        <w:t xml:space="preserve"> člena tega zakona. Preiskovalno </w:t>
      </w:r>
      <w:r w:rsidR="00B03121" w:rsidRPr="002F30DF">
        <w:rPr>
          <w:rFonts w:cs="Arial"/>
          <w:sz w:val="20"/>
          <w:szCs w:val="20"/>
        </w:rPr>
        <w:t xml:space="preserve">orodje </w:t>
      </w:r>
      <w:r w:rsidRPr="002F30DF">
        <w:rPr>
          <w:rFonts w:cs="Arial"/>
          <w:sz w:val="20"/>
          <w:szCs w:val="20"/>
        </w:rPr>
        <w:t xml:space="preserve">zbiranja informacij lahko </w:t>
      </w:r>
      <w:r w:rsidR="00AB65F1" w:rsidRPr="002F30DF">
        <w:rPr>
          <w:rFonts w:cs="Arial"/>
          <w:sz w:val="20"/>
          <w:szCs w:val="20"/>
        </w:rPr>
        <w:t>a</w:t>
      </w:r>
      <w:r w:rsidR="0045309B" w:rsidRPr="002F30DF">
        <w:rPr>
          <w:rFonts w:cs="Arial"/>
          <w:sz w:val="20"/>
          <w:szCs w:val="20"/>
        </w:rPr>
        <w:t>genc</w:t>
      </w:r>
      <w:r w:rsidRPr="002F30DF">
        <w:rPr>
          <w:rFonts w:cs="Arial"/>
          <w:sz w:val="20"/>
          <w:szCs w:val="20"/>
        </w:rPr>
        <w:t xml:space="preserve">ija uporabi, ko izvaja nadzor nad določbami tega zakona ali 101. ali 102. člena PDEU v času izvedbe preiskave.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Institut zbiranja informacij je treba ločiti od zasliševanja prič, strank ali izvedencev po ZUP. Določbe ZUP se uporabljajo zgolj za vabilo.</w:t>
      </w:r>
    </w:p>
    <w:p w:rsidR="007522E3" w:rsidRPr="002F30DF" w:rsidRDefault="007522E3" w:rsidP="0025166A">
      <w:pPr>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 xml:space="preserve">Po predlogu </w:t>
      </w:r>
      <w:r w:rsidRPr="002F30DF">
        <w:rPr>
          <w:rFonts w:cs="Arial"/>
          <w:sz w:val="20"/>
          <w:szCs w:val="20"/>
          <w:u w:val="single"/>
        </w:rPr>
        <w:t xml:space="preserve">prvega odstavka </w:t>
      </w:r>
      <w:r w:rsidRPr="002F30DF">
        <w:rPr>
          <w:rFonts w:cs="Arial"/>
          <w:sz w:val="20"/>
          <w:szCs w:val="20"/>
        </w:rPr>
        <w:t xml:space="preserve">lahko </w:t>
      </w:r>
      <w:r w:rsidR="00AB65F1" w:rsidRPr="002F30DF">
        <w:rPr>
          <w:rFonts w:cs="Arial"/>
          <w:sz w:val="20"/>
          <w:szCs w:val="20"/>
        </w:rPr>
        <w:t>a</w:t>
      </w:r>
      <w:r w:rsidR="0045309B" w:rsidRPr="002F30DF">
        <w:rPr>
          <w:rFonts w:cs="Arial"/>
          <w:sz w:val="20"/>
          <w:szCs w:val="20"/>
        </w:rPr>
        <w:t>genc</w:t>
      </w:r>
      <w:r w:rsidRPr="002F30DF">
        <w:rPr>
          <w:rFonts w:cs="Arial"/>
          <w:sz w:val="20"/>
          <w:szCs w:val="20"/>
        </w:rPr>
        <w:t>ija zbira informacije od</w:t>
      </w:r>
      <w:r w:rsidR="004B1D9C" w:rsidRPr="002F30DF">
        <w:rPr>
          <w:rFonts w:cs="Arial"/>
          <w:sz w:val="20"/>
          <w:szCs w:val="20"/>
        </w:rPr>
        <w:t xml:space="preserve"> podjetij ali</w:t>
      </w:r>
      <w:r w:rsidRPr="002F30DF">
        <w:rPr>
          <w:rFonts w:cs="Arial"/>
          <w:sz w:val="20"/>
          <w:szCs w:val="20"/>
        </w:rPr>
        <w:t xml:space="preserve"> fizičnih oseb, na primer od zakonitih zastopnikov podjetij, pooblaščencev, zaposlenih in bivših zaposlenih v podjetju. </w:t>
      </w:r>
      <w:r w:rsidR="0045309B" w:rsidRPr="002F30DF">
        <w:rPr>
          <w:rFonts w:cs="Arial"/>
          <w:sz w:val="20"/>
          <w:szCs w:val="20"/>
        </w:rPr>
        <w:t>Agenc</w:t>
      </w:r>
      <w:r w:rsidRPr="002F30DF">
        <w:rPr>
          <w:rFonts w:cs="Arial"/>
          <w:sz w:val="20"/>
          <w:szCs w:val="20"/>
        </w:rPr>
        <w:t xml:space="preserve">ija lahko zbira informacije še preden izda sklep o uvedbi postopka, vendar pa </w:t>
      </w:r>
      <w:r w:rsidR="00AB65F1" w:rsidRPr="002F30DF">
        <w:rPr>
          <w:rFonts w:cs="Arial"/>
          <w:sz w:val="20"/>
          <w:szCs w:val="20"/>
        </w:rPr>
        <w:t>a</w:t>
      </w:r>
      <w:r w:rsidR="0045309B" w:rsidRPr="002F30DF">
        <w:rPr>
          <w:rFonts w:cs="Arial"/>
          <w:sz w:val="20"/>
          <w:szCs w:val="20"/>
        </w:rPr>
        <w:t>genc</w:t>
      </w:r>
      <w:r w:rsidRPr="002F30DF">
        <w:rPr>
          <w:rFonts w:cs="Arial"/>
          <w:sz w:val="20"/>
          <w:szCs w:val="20"/>
        </w:rPr>
        <w:t xml:space="preserve">ija ne sme na slepo iskati dokazov, temveč mora iti za usmerjeno iskanje podatkov v določen predmet ali namen nadzora, o katerem mora </w:t>
      </w:r>
      <w:r w:rsidR="00D93BA5" w:rsidRPr="002F30DF">
        <w:rPr>
          <w:rFonts w:cs="Arial"/>
          <w:sz w:val="20"/>
          <w:szCs w:val="20"/>
        </w:rPr>
        <w:t>a</w:t>
      </w:r>
      <w:r w:rsidR="0045309B" w:rsidRPr="002F30DF">
        <w:rPr>
          <w:rFonts w:cs="Arial"/>
          <w:sz w:val="20"/>
          <w:szCs w:val="20"/>
        </w:rPr>
        <w:t>genc</w:t>
      </w:r>
      <w:r w:rsidRPr="002F30DF">
        <w:rPr>
          <w:rFonts w:cs="Arial"/>
          <w:sz w:val="20"/>
          <w:szCs w:val="20"/>
        </w:rPr>
        <w:t>ija tudi seznaniti osebo, od katere zbira informacije.</w:t>
      </w:r>
    </w:p>
    <w:p w:rsidR="007522E3" w:rsidRPr="002F30DF" w:rsidRDefault="007522E3" w:rsidP="0025166A">
      <w:pPr>
        <w:spacing w:line="260" w:lineRule="atLeast"/>
        <w:rPr>
          <w:rFonts w:cs="Arial"/>
          <w:sz w:val="20"/>
          <w:szCs w:val="20"/>
        </w:rPr>
      </w:pPr>
    </w:p>
    <w:p w:rsidR="007522E3" w:rsidRPr="002F30DF" w:rsidRDefault="00B236D4" w:rsidP="0025166A">
      <w:pPr>
        <w:tabs>
          <w:tab w:val="left" w:pos="1530"/>
        </w:tabs>
        <w:spacing w:line="260" w:lineRule="atLeast"/>
        <w:rPr>
          <w:rFonts w:cs="Arial"/>
          <w:sz w:val="20"/>
          <w:szCs w:val="20"/>
        </w:rPr>
      </w:pPr>
      <w:r w:rsidRPr="002F30DF">
        <w:rPr>
          <w:rFonts w:cs="Arial"/>
          <w:sz w:val="20"/>
          <w:szCs w:val="20"/>
        </w:rPr>
        <w:t>Z namenom zbiranja informacij se določi, da</w:t>
      </w:r>
      <w:r w:rsidR="007522E3" w:rsidRPr="002F30DF">
        <w:rPr>
          <w:rFonts w:cs="Arial"/>
          <w:sz w:val="20"/>
          <w:szCs w:val="20"/>
        </w:rPr>
        <w:t xml:space="preserve"> </w:t>
      </w:r>
      <w:r w:rsidRPr="002F30DF">
        <w:rPr>
          <w:rFonts w:cs="Arial"/>
          <w:sz w:val="20"/>
          <w:szCs w:val="20"/>
        </w:rPr>
        <w:t>agencija osebe povabi k sebi.</w:t>
      </w:r>
      <w:r w:rsidR="001D1C57" w:rsidRPr="002F30DF">
        <w:rPr>
          <w:rFonts w:cs="Arial"/>
          <w:sz w:val="20"/>
          <w:szCs w:val="20"/>
        </w:rPr>
        <w:t xml:space="preserve"> Z namenom brez ciljnega iskanja informacij mora agencija v vabilu jasno navesti zakaj je oseba vabljena, torej </w:t>
      </w:r>
      <w:r w:rsidR="00B03121" w:rsidRPr="002F30DF">
        <w:rPr>
          <w:rFonts w:cs="Arial"/>
          <w:sz w:val="20"/>
          <w:szCs w:val="20"/>
        </w:rPr>
        <w:t xml:space="preserve">mora </w:t>
      </w:r>
      <w:r w:rsidR="001D1C57" w:rsidRPr="002F30DF">
        <w:rPr>
          <w:rFonts w:cs="Arial"/>
          <w:sz w:val="20"/>
          <w:szCs w:val="20"/>
        </w:rPr>
        <w:t>navesti predmet ali namen nadzora, v zvezi s katerim je oseba vabljena in v zvezi s katerim agencija zbira informacije</w:t>
      </w:r>
      <w:r w:rsidR="004B23DE" w:rsidRPr="002F30DF">
        <w:rPr>
          <w:rFonts w:cs="Arial"/>
          <w:sz w:val="20"/>
          <w:szCs w:val="20"/>
        </w:rPr>
        <w:t xml:space="preserve"> in opozoriti na posledica neodziva na povabilo.</w:t>
      </w:r>
      <w:r w:rsidRPr="002F30DF">
        <w:rPr>
          <w:rFonts w:cs="Arial"/>
          <w:sz w:val="20"/>
          <w:szCs w:val="20"/>
        </w:rPr>
        <w:t xml:space="preserve"> </w:t>
      </w:r>
      <w:r w:rsidR="007522E3" w:rsidRPr="002F30DF">
        <w:rPr>
          <w:rFonts w:cs="Arial"/>
          <w:sz w:val="20"/>
          <w:szCs w:val="20"/>
        </w:rPr>
        <w:t xml:space="preserve">Glede vabila se smiselno uporablja ZUP, </w:t>
      </w:r>
      <w:r w:rsidR="001F5531" w:rsidRPr="002F30DF">
        <w:rPr>
          <w:rFonts w:cs="Arial"/>
          <w:sz w:val="20"/>
          <w:szCs w:val="20"/>
        </w:rPr>
        <w:t xml:space="preserve">v skladu s katerim </w:t>
      </w:r>
      <w:r w:rsidR="00AB65F1"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ija v pisnem vabilu navede ime in sedež organa, ki vabi, </w:t>
      </w:r>
      <w:r w:rsidR="007522E3" w:rsidRPr="002F30DF">
        <w:rPr>
          <w:rFonts w:cs="Arial"/>
          <w:sz w:val="20"/>
          <w:szCs w:val="20"/>
        </w:rPr>
        <w:lastRenderedPageBreak/>
        <w:t xml:space="preserve">osebno ime in naslov tistega, ki je povabljen, kraj in dan, če je mogoče pa tudi uro prihoda, v kateri zadevi in kot kaj je povabljen (kot stranka, priča, izvedenec itd.), poleg tega pa še, katere pripomočke in dokazila naj prinese. V vabilu mora biti navedeno tudi, ali mora vabljena oseba priti osebno ali lahko pošlje pooblaščenca, ki jo bo zastopal ter opozorilo, da mora v primeru, če se vabilu ne more odzvati, to sporočiti </w:t>
      </w:r>
      <w:r w:rsidR="004B1D9C" w:rsidRPr="002F30DF">
        <w:rPr>
          <w:rFonts w:cs="Arial"/>
          <w:sz w:val="20"/>
          <w:szCs w:val="20"/>
        </w:rPr>
        <w:t>agenciji</w:t>
      </w:r>
      <w:r w:rsidR="007522E3" w:rsidRPr="002F30DF">
        <w:rPr>
          <w:rFonts w:cs="Arial"/>
          <w:sz w:val="20"/>
          <w:szCs w:val="20"/>
        </w:rPr>
        <w:t>. Povabljenega je treba prav tako opozoriti na posledice, če se vabilu ne bi odzval ali če ne bi sporočil, da ne more priti (71. člen ZUP)</w:t>
      </w:r>
      <w:r w:rsidR="00814AB6" w:rsidRPr="002F30DF">
        <w:rPr>
          <w:rFonts w:cs="Arial"/>
          <w:sz w:val="20"/>
          <w:szCs w:val="20"/>
        </w:rPr>
        <w:t>.</w:t>
      </w:r>
      <w:r w:rsidR="007522E3" w:rsidRPr="002F30DF">
        <w:rPr>
          <w:rFonts w:cs="Arial"/>
          <w:sz w:val="20"/>
          <w:szCs w:val="20"/>
        </w:rPr>
        <w:t xml:space="preserve"> Vabljena oseba se bo morala vabilu odzvati. </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 xml:space="preserve">Ker podjetje nima lastne volje, se v </w:t>
      </w:r>
      <w:r w:rsidR="00B236D4" w:rsidRPr="002F30DF">
        <w:rPr>
          <w:rFonts w:cs="Arial"/>
          <w:sz w:val="20"/>
          <w:szCs w:val="20"/>
          <w:u w:val="single"/>
        </w:rPr>
        <w:t xml:space="preserve">tretjem </w:t>
      </w:r>
      <w:r w:rsidRPr="002F30DF">
        <w:rPr>
          <w:rFonts w:cs="Arial"/>
          <w:sz w:val="20"/>
          <w:szCs w:val="20"/>
          <w:u w:val="single"/>
        </w:rPr>
        <w:t>odstavku</w:t>
      </w:r>
      <w:r w:rsidRPr="002F30DF">
        <w:rPr>
          <w:rFonts w:cs="Arial"/>
          <w:sz w:val="20"/>
          <w:szCs w:val="20"/>
        </w:rPr>
        <w:t xml:space="preserve"> določi </w:t>
      </w:r>
      <w:r w:rsidR="001F5531" w:rsidRPr="002F30DF">
        <w:rPr>
          <w:rFonts w:cs="Arial"/>
          <w:sz w:val="20"/>
          <w:szCs w:val="20"/>
        </w:rPr>
        <w:t>v katerih primerih</w:t>
      </w:r>
      <w:r w:rsidRPr="002F30DF">
        <w:rPr>
          <w:rFonts w:cs="Arial"/>
          <w:sz w:val="20"/>
          <w:szCs w:val="20"/>
        </w:rPr>
        <w:t xml:space="preserve"> se</w:t>
      </w:r>
      <w:r w:rsidR="001F5531" w:rsidRPr="002F30DF">
        <w:rPr>
          <w:rFonts w:cs="Arial"/>
          <w:sz w:val="20"/>
          <w:szCs w:val="20"/>
        </w:rPr>
        <w:t xml:space="preserve"> šteje, da se</w:t>
      </w:r>
      <w:r w:rsidRPr="002F30DF">
        <w:rPr>
          <w:rFonts w:cs="Arial"/>
          <w:sz w:val="20"/>
          <w:szCs w:val="20"/>
        </w:rPr>
        <w:t xml:space="preserve"> podjetje ne udeleži sestanka. </w:t>
      </w:r>
      <w:r w:rsidR="001F5531" w:rsidRPr="002F30DF">
        <w:rPr>
          <w:rFonts w:cs="Arial"/>
          <w:sz w:val="20"/>
          <w:szCs w:val="20"/>
        </w:rPr>
        <w:t>In sicer</w:t>
      </w:r>
      <w:r w:rsidR="00AB65F1" w:rsidRPr="002F30DF">
        <w:rPr>
          <w:rFonts w:cs="Arial"/>
          <w:sz w:val="20"/>
          <w:szCs w:val="20"/>
        </w:rPr>
        <w:t xml:space="preserve"> </w:t>
      </w:r>
      <w:r w:rsidRPr="002F30DF">
        <w:rPr>
          <w:rFonts w:cs="Arial"/>
          <w:sz w:val="20"/>
          <w:szCs w:val="20"/>
        </w:rPr>
        <w:t>če se vabilu ne odzovejo in sestanka ne udeležijo člani organ</w:t>
      </w:r>
      <w:r w:rsidR="004B1D9C" w:rsidRPr="002F30DF">
        <w:rPr>
          <w:rFonts w:cs="Arial"/>
          <w:sz w:val="20"/>
          <w:szCs w:val="20"/>
        </w:rPr>
        <w:t>a</w:t>
      </w:r>
      <w:r w:rsidRPr="002F30DF">
        <w:rPr>
          <w:rFonts w:cs="Arial"/>
          <w:sz w:val="20"/>
          <w:szCs w:val="20"/>
        </w:rPr>
        <w:t xml:space="preserve"> vodenja </w:t>
      </w:r>
      <w:r w:rsidR="004B1D9C" w:rsidRPr="002F30DF">
        <w:rPr>
          <w:rFonts w:cs="Arial"/>
          <w:sz w:val="20"/>
          <w:szCs w:val="20"/>
        </w:rPr>
        <w:t xml:space="preserve">ali </w:t>
      </w:r>
      <w:r w:rsidRPr="002F30DF">
        <w:rPr>
          <w:rFonts w:cs="Arial"/>
          <w:sz w:val="20"/>
          <w:szCs w:val="20"/>
        </w:rPr>
        <w:t>nadzora podjetja, zaposleni v podjetju ali pogodbeni sodelavci podjetja</w:t>
      </w:r>
      <w:r w:rsidR="001F5531" w:rsidRPr="002F30DF">
        <w:rPr>
          <w:rFonts w:cs="Arial"/>
          <w:sz w:val="20"/>
          <w:szCs w:val="20"/>
        </w:rPr>
        <w:t>, se šteje, da se sestanka ni udeležilo podjetje</w:t>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 xml:space="preserve">Zaradi zagotavljanja privilegija zoper samoobtožbo in pravice do molka je v </w:t>
      </w:r>
      <w:r w:rsidR="002949A6" w:rsidRPr="002F30DF">
        <w:rPr>
          <w:rFonts w:cs="Arial"/>
          <w:sz w:val="20"/>
          <w:szCs w:val="20"/>
          <w:u w:val="single"/>
        </w:rPr>
        <w:t xml:space="preserve">četrtem </w:t>
      </w:r>
      <w:r w:rsidRPr="002F30DF">
        <w:rPr>
          <w:rFonts w:cs="Arial"/>
          <w:sz w:val="20"/>
          <w:szCs w:val="20"/>
          <w:u w:val="single"/>
        </w:rPr>
        <w:t>odstavku</w:t>
      </w:r>
      <w:r w:rsidRPr="002F30DF">
        <w:rPr>
          <w:rFonts w:cs="Arial"/>
          <w:sz w:val="20"/>
          <w:szCs w:val="20"/>
        </w:rPr>
        <w:t xml:space="preserve"> določeno, da oseba, od katere </w:t>
      </w:r>
      <w:r w:rsidR="00AB65F1" w:rsidRPr="002F30DF">
        <w:rPr>
          <w:rFonts w:cs="Arial"/>
          <w:sz w:val="20"/>
          <w:szCs w:val="20"/>
        </w:rPr>
        <w:t>a</w:t>
      </w:r>
      <w:r w:rsidR="0045309B" w:rsidRPr="002F30DF">
        <w:rPr>
          <w:rFonts w:cs="Arial"/>
          <w:sz w:val="20"/>
          <w:szCs w:val="20"/>
        </w:rPr>
        <w:t>genc</w:t>
      </w:r>
      <w:r w:rsidRPr="002F30DF">
        <w:rPr>
          <w:rFonts w:cs="Arial"/>
          <w:sz w:val="20"/>
          <w:szCs w:val="20"/>
        </w:rPr>
        <w:t xml:space="preserve">ija zbira informacije, ni dolžna priznati kršitve tega zakona ali 101. ali 102. členu PDEU ter da ni dolžna podati informacij zoper sebe ali svoje bližnje. </w:t>
      </w:r>
    </w:p>
    <w:p w:rsidR="007522E3" w:rsidRPr="002F30DF" w:rsidRDefault="007522E3" w:rsidP="0025166A">
      <w:pPr>
        <w:tabs>
          <w:tab w:val="left" w:pos="1530"/>
        </w:tabs>
        <w:spacing w:line="260" w:lineRule="atLeast"/>
        <w:rPr>
          <w:rFonts w:cs="Arial"/>
          <w:sz w:val="20"/>
          <w:szCs w:val="20"/>
        </w:rPr>
      </w:pPr>
    </w:p>
    <w:p w:rsidR="007522E3" w:rsidRPr="002F30DF" w:rsidRDefault="002949A6" w:rsidP="0025166A">
      <w:pPr>
        <w:tabs>
          <w:tab w:val="left" w:pos="1530"/>
        </w:tabs>
        <w:spacing w:line="260" w:lineRule="atLeast"/>
        <w:rPr>
          <w:rFonts w:cs="Arial"/>
          <w:sz w:val="20"/>
          <w:szCs w:val="20"/>
        </w:rPr>
      </w:pPr>
      <w:r w:rsidRPr="002F30DF">
        <w:rPr>
          <w:rFonts w:cs="Arial"/>
          <w:sz w:val="20"/>
          <w:szCs w:val="20"/>
          <w:u w:val="single"/>
        </w:rPr>
        <w:t xml:space="preserve">Peti </w:t>
      </w:r>
      <w:r w:rsidR="007522E3" w:rsidRPr="002F30DF">
        <w:rPr>
          <w:rFonts w:cs="Arial"/>
          <w:sz w:val="20"/>
          <w:szCs w:val="20"/>
          <w:u w:val="single"/>
        </w:rPr>
        <w:t>odstavek</w:t>
      </w:r>
      <w:r w:rsidR="007522E3" w:rsidRPr="002F30DF">
        <w:rPr>
          <w:rFonts w:cs="Arial"/>
          <w:sz w:val="20"/>
          <w:szCs w:val="20"/>
        </w:rPr>
        <w:t xml:space="preserve"> ureja na kakšen način </w:t>
      </w:r>
      <w:r w:rsidR="00AB65F1" w:rsidRPr="002F30DF">
        <w:rPr>
          <w:rFonts w:cs="Arial"/>
          <w:sz w:val="20"/>
          <w:szCs w:val="20"/>
        </w:rPr>
        <w:t>a</w:t>
      </w:r>
      <w:r w:rsidR="0045309B" w:rsidRPr="002F30DF">
        <w:rPr>
          <w:rFonts w:cs="Arial"/>
          <w:sz w:val="20"/>
          <w:szCs w:val="20"/>
        </w:rPr>
        <w:t>genc</w:t>
      </w:r>
      <w:r w:rsidR="007522E3" w:rsidRPr="002F30DF">
        <w:rPr>
          <w:rFonts w:cs="Arial"/>
          <w:sz w:val="20"/>
          <w:szCs w:val="20"/>
        </w:rPr>
        <w:t>ija beleži zbrane informacije.</w:t>
      </w:r>
    </w:p>
    <w:p w:rsidR="007522E3" w:rsidRPr="002F30DF" w:rsidRDefault="007522E3" w:rsidP="0025166A">
      <w:pPr>
        <w:tabs>
          <w:tab w:val="left" w:pos="1530"/>
        </w:tabs>
        <w:spacing w:line="260" w:lineRule="atLeast"/>
        <w:rPr>
          <w:rFonts w:cs="Arial"/>
          <w:sz w:val="20"/>
          <w:szCs w:val="20"/>
        </w:rPr>
      </w:pPr>
    </w:p>
    <w:p w:rsidR="007522E3" w:rsidRPr="002F30DF" w:rsidRDefault="002949A6" w:rsidP="0025166A">
      <w:pPr>
        <w:tabs>
          <w:tab w:val="left" w:pos="1530"/>
        </w:tabs>
        <w:spacing w:line="260" w:lineRule="atLeast"/>
        <w:rPr>
          <w:rFonts w:cs="Arial"/>
          <w:sz w:val="20"/>
          <w:szCs w:val="20"/>
        </w:rPr>
      </w:pPr>
      <w:r w:rsidRPr="002F30DF">
        <w:rPr>
          <w:rFonts w:cs="Arial"/>
          <w:sz w:val="20"/>
          <w:szCs w:val="20"/>
          <w:u w:val="single"/>
        </w:rPr>
        <w:t xml:space="preserve">Šesti </w:t>
      </w:r>
      <w:r w:rsidR="007522E3" w:rsidRPr="002F30DF">
        <w:rPr>
          <w:rFonts w:cs="Arial"/>
          <w:sz w:val="20"/>
          <w:szCs w:val="20"/>
          <w:u w:val="single"/>
        </w:rPr>
        <w:t>odstavek</w:t>
      </w:r>
      <w:r w:rsidR="007522E3" w:rsidRPr="002F30DF">
        <w:rPr>
          <w:rFonts w:cs="Arial"/>
          <w:sz w:val="20"/>
          <w:szCs w:val="20"/>
        </w:rPr>
        <w:t xml:space="preserve"> se nanaša na uporabo zbranih informacij. Poleg splošne določbe</w:t>
      </w:r>
      <w:r w:rsidR="00301923" w:rsidRPr="002F30DF">
        <w:rPr>
          <w:rFonts w:cs="Arial"/>
          <w:sz w:val="20"/>
          <w:szCs w:val="20"/>
        </w:rPr>
        <w:t xml:space="preserve"> 28</w:t>
      </w:r>
      <w:r w:rsidR="007522E3" w:rsidRPr="002F30DF">
        <w:rPr>
          <w:rFonts w:cs="Arial"/>
          <w:sz w:val="20"/>
          <w:szCs w:val="20"/>
        </w:rPr>
        <w:t xml:space="preserve">. člena tega zakona, na podlagi katere </w:t>
      </w:r>
      <w:r w:rsidR="00AB65F1"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ija ne more opreti odločbe na tista dejstva in dokaze, glede katerih podjetju, proti kateremu se vodi postopek, ni bila dana možnost, da se o njih izjavi, pa </w:t>
      </w:r>
      <w:r w:rsidR="00D93BA5" w:rsidRPr="002F30DF">
        <w:rPr>
          <w:rFonts w:cs="Arial"/>
          <w:sz w:val="20"/>
          <w:szCs w:val="20"/>
        </w:rPr>
        <w:t>a</w:t>
      </w:r>
      <w:r w:rsidR="0045309B" w:rsidRPr="002F30DF">
        <w:rPr>
          <w:rFonts w:cs="Arial"/>
          <w:sz w:val="20"/>
          <w:szCs w:val="20"/>
        </w:rPr>
        <w:t>genc</w:t>
      </w:r>
      <w:r w:rsidR="007522E3" w:rsidRPr="002F30DF">
        <w:rPr>
          <w:rFonts w:cs="Arial"/>
          <w:sz w:val="20"/>
          <w:szCs w:val="20"/>
        </w:rPr>
        <w:t>ija</w:t>
      </w:r>
      <w:r w:rsidR="002F4027" w:rsidRPr="002F30DF">
        <w:rPr>
          <w:rFonts w:cs="Arial"/>
          <w:sz w:val="20"/>
          <w:szCs w:val="20"/>
        </w:rPr>
        <w:t xml:space="preserve"> zbranih informacij</w:t>
      </w:r>
      <w:r w:rsidR="007522E3" w:rsidRPr="002F30DF">
        <w:rPr>
          <w:rFonts w:cs="Arial"/>
          <w:sz w:val="20"/>
          <w:szCs w:val="20"/>
        </w:rPr>
        <w:t xml:space="preserve"> ne sme uporabiti tudi zoper osebo, ki ni bila poučenih o svojih pravicah. </w:t>
      </w:r>
    </w:p>
    <w:p w:rsidR="00494F8D" w:rsidRPr="002F30DF" w:rsidRDefault="00494F8D"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B2061" w:rsidRPr="002F30DF">
        <w:rPr>
          <w:rFonts w:cs="Arial"/>
          <w:b/>
          <w:sz w:val="20"/>
          <w:szCs w:val="20"/>
        </w:rPr>
        <w:t>5</w:t>
      </w:r>
      <w:r w:rsidR="00577EFC" w:rsidRPr="002F30DF">
        <w:rPr>
          <w:rFonts w:cs="Arial"/>
          <w:b/>
          <w:sz w:val="20"/>
          <w:szCs w:val="20"/>
        </w:rPr>
        <w:t>5</w:t>
      </w:r>
      <w:r w:rsidRPr="002F30DF">
        <w:rPr>
          <w:rFonts w:cs="Arial"/>
          <w:b/>
          <w:sz w:val="20"/>
          <w:szCs w:val="20"/>
        </w:rPr>
        <w:t>. členu (uvedba preiskave)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 učinkovito opravljanje nalog nadzora in sankcioniranje kršitev tega zakona ali 101. ali 102. člena PDEU </w:t>
      </w:r>
      <w:r w:rsidR="00AB65F1" w:rsidRPr="002F30DF">
        <w:rPr>
          <w:rFonts w:cs="Arial"/>
          <w:sz w:val="20"/>
          <w:szCs w:val="20"/>
        </w:rPr>
        <w:t>a</w:t>
      </w:r>
      <w:r w:rsidR="0045309B" w:rsidRPr="002F30DF">
        <w:rPr>
          <w:rFonts w:cs="Arial"/>
          <w:sz w:val="20"/>
          <w:szCs w:val="20"/>
        </w:rPr>
        <w:t>genc</w:t>
      </w:r>
      <w:r w:rsidRPr="002F30DF">
        <w:rPr>
          <w:rFonts w:cs="Arial"/>
          <w:sz w:val="20"/>
          <w:szCs w:val="20"/>
        </w:rPr>
        <w:t xml:space="preserve">ija potrebuje preiskovalna pooblastila, s katerimi lahko tudi proti volji osebe opravi podroben pregled poslovnih prostorov podjetja, proti kateremu se vodi postopek, z namenom, da bi se pridobili podatki, zasegle listine in drugi nosilci podatkov, na podlagi katerih lahko </w:t>
      </w:r>
      <w:r w:rsidR="004B1D9C" w:rsidRPr="002F30DF">
        <w:rPr>
          <w:rFonts w:cs="Arial"/>
          <w:sz w:val="20"/>
          <w:szCs w:val="20"/>
        </w:rPr>
        <w:t>agencija</w:t>
      </w:r>
      <w:r w:rsidRPr="002F30DF">
        <w:rPr>
          <w:rFonts w:cs="Arial"/>
          <w:sz w:val="20"/>
          <w:szCs w:val="20"/>
        </w:rPr>
        <w:t xml:space="preserve"> oceni, ali je podjetje kršilo oziroma krši določbe tega zakona oziroma 101. ali 102. člen P</w:t>
      </w:r>
      <w:r w:rsidR="00AB65F1" w:rsidRPr="002F30DF">
        <w:rPr>
          <w:rFonts w:cs="Arial"/>
          <w:sz w:val="20"/>
          <w:szCs w:val="20"/>
        </w:rPr>
        <w:t>DEU</w:t>
      </w:r>
      <w:r w:rsidRPr="002F30DF">
        <w:rPr>
          <w:rFonts w:cs="Arial"/>
          <w:sz w:val="20"/>
          <w:szCs w:val="20"/>
        </w:rPr>
        <w:t xml:space="preserve">. Večina teh kršitev je takšnih, da so navzven vidni le njihovi posamezni učinki, ne pa tudi konkretna dejanja, ki so jih povzročila (na primer skrivni kartelni dogovori). </w:t>
      </w:r>
      <w:r w:rsidRPr="002F30DF">
        <w:rPr>
          <w:rFonts w:cs="Arial"/>
          <w:sz w:val="20"/>
          <w:szCs w:val="20"/>
        </w:rPr>
        <w:lastRenderedPageBreak/>
        <w:t>To pomeni, da je treba za uspešno dokazovanje pregledati zlasti poslovne listine (pogodbe, zapisnike sestankov itd</w:t>
      </w:r>
      <w:r w:rsidR="002F4027" w:rsidRPr="002F30DF">
        <w:rPr>
          <w:rFonts w:cs="Arial"/>
          <w:sz w:val="20"/>
          <w:szCs w:val="20"/>
        </w:rPr>
        <w:t>.</w:t>
      </w:r>
      <w:r w:rsidRPr="002F30DF">
        <w:rPr>
          <w:rFonts w:cs="Arial"/>
          <w:sz w:val="20"/>
          <w:szCs w:val="20"/>
        </w:rPr>
        <w:t xml:space="preserve">) in vsebino komunikacije na elektronskih nosilcih podatkov, ki jo bo mogoče praviloma zaseči samo v za javnost zaprtih poslovnih prostorih podjetja. </w:t>
      </w:r>
    </w:p>
    <w:p w:rsidR="007522E3" w:rsidRPr="002F30DF" w:rsidRDefault="007522E3" w:rsidP="0025166A">
      <w:pPr>
        <w:spacing w:line="260" w:lineRule="atLeast"/>
        <w:rPr>
          <w:rFonts w:cs="Arial"/>
          <w:sz w:val="20"/>
          <w:szCs w:val="20"/>
        </w:rPr>
      </w:pPr>
    </w:p>
    <w:p w:rsidR="007522E3" w:rsidRPr="002F30DF" w:rsidRDefault="004015C5" w:rsidP="0025166A">
      <w:pPr>
        <w:spacing w:line="260" w:lineRule="atLeast"/>
        <w:rPr>
          <w:rFonts w:cs="Arial"/>
          <w:sz w:val="20"/>
          <w:szCs w:val="20"/>
        </w:rPr>
      </w:pPr>
      <w:r w:rsidRPr="002F30DF">
        <w:rPr>
          <w:rFonts w:cs="Arial"/>
          <w:sz w:val="20"/>
          <w:szCs w:val="20"/>
        </w:rPr>
        <w:t>V</w:t>
      </w:r>
      <w:r w:rsidR="007522E3" w:rsidRPr="002F30DF">
        <w:rPr>
          <w:rFonts w:cs="Arial"/>
          <w:sz w:val="20"/>
          <w:szCs w:val="20"/>
        </w:rPr>
        <w:t xml:space="preserve"> </w:t>
      </w:r>
      <w:r w:rsidR="007522E3" w:rsidRPr="002F30DF">
        <w:rPr>
          <w:rFonts w:cs="Arial"/>
          <w:sz w:val="20"/>
          <w:szCs w:val="20"/>
          <w:u w:val="single"/>
        </w:rPr>
        <w:t>prvem odstavku</w:t>
      </w:r>
      <w:r w:rsidR="007522E3" w:rsidRPr="002F30DF">
        <w:rPr>
          <w:rFonts w:cs="Arial"/>
          <w:sz w:val="20"/>
          <w:szCs w:val="20"/>
        </w:rPr>
        <w:t xml:space="preserve"> </w:t>
      </w:r>
      <w:r w:rsidRPr="002F30DF">
        <w:rPr>
          <w:rFonts w:cs="Arial"/>
          <w:sz w:val="20"/>
          <w:szCs w:val="20"/>
        </w:rPr>
        <w:t xml:space="preserve">se </w:t>
      </w:r>
      <w:r w:rsidR="007B1F39" w:rsidRPr="002F30DF">
        <w:rPr>
          <w:rFonts w:cs="Arial"/>
          <w:sz w:val="20"/>
          <w:szCs w:val="20"/>
        </w:rPr>
        <w:t xml:space="preserve">določi, da agencij lahko izvedbe vse nenapovedane preglede podjetij, </w:t>
      </w:r>
      <w:r w:rsidR="000B3BB1" w:rsidRPr="002F30DF">
        <w:rPr>
          <w:rFonts w:cs="Arial"/>
          <w:sz w:val="20"/>
          <w:szCs w:val="20"/>
        </w:rPr>
        <w:t xml:space="preserve">zoper katere se vodi postopek preiskave ali drugih podjetij, </w:t>
      </w:r>
      <w:r w:rsidR="007B1F39" w:rsidRPr="002F30DF">
        <w:rPr>
          <w:rFonts w:cs="Arial"/>
          <w:sz w:val="20"/>
          <w:szCs w:val="20"/>
        </w:rPr>
        <w:t xml:space="preserve">potrebnih za uporabo določb tega zakona ali 101. ali 102. člena PDEU </w:t>
      </w:r>
      <w:r w:rsidR="007522E3" w:rsidRPr="002F30DF">
        <w:rPr>
          <w:rFonts w:cs="Arial"/>
          <w:sz w:val="20"/>
          <w:szCs w:val="20"/>
        </w:rPr>
        <w:t xml:space="preserve">na podlagi bodisi privolitve podjetja in kadar je potrebno tudi osebe, katere podatki se pregledujejo, ali na podlagi obrazložene pisne odredbe pristojnega sodišča ob navzočnosti dveh polnoletnih prič. S to določbo se v naš pravni red prenaša prvi odstavek 6. člena Direktive 2019/1, ki določa, da </w:t>
      </w:r>
      <w:r w:rsidR="007522E3" w:rsidRPr="002F30DF">
        <w:rPr>
          <w:rFonts w:cs="Arial"/>
          <w:i/>
          <w:sz w:val="20"/>
          <w:szCs w:val="20"/>
        </w:rPr>
        <w:t>države članice</w:t>
      </w:r>
      <w:r w:rsidR="007522E3" w:rsidRPr="002F30DF">
        <w:rPr>
          <w:rFonts w:cs="Arial"/>
          <w:sz w:val="20"/>
          <w:szCs w:val="20"/>
        </w:rPr>
        <w:t xml:space="preserve"> </w:t>
      </w:r>
      <w:r w:rsidR="007522E3" w:rsidRPr="002F30DF">
        <w:rPr>
          <w:rFonts w:cs="Arial"/>
          <w:i/>
          <w:sz w:val="20"/>
          <w:szCs w:val="20"/>
        </w:rPr>
        <w:t>zagotovijo, da lahko nacionalni upravni organi, pristojni za konkurenco, izvedejo vse nenapovedane preglede podjetij in podjetniških združenj, potrebne za uporabo 101</w:t>
      </w:r>
      <w:r w:rsidR="007D6C3D" w:rsidRPr="002F30DF">
        <w:rPr>
          <w:rFonts w:cs="Arial"/>
          <w:i/>
          <w:sz w:val="20"/>
          <w:szCs w:val="20"/>
        </w:rPr>
        <w:t>.</w:t>
      </w:r>
      <w:r w:rsidR="007522E3" w:rsidRPr="002F30DF">
        <w:rPr>
          <w:rFonts w:cs="Arial"/>
          <w:i/>
          <w:sz w:val="20"/>
          <w:szCs w:val="20"/>
        </w:rPr>
        <w:t xml:space="preserve"> in 102</w:t>
      </w:r>
      <w:r w:rsidR="007D6C3D" w:rsidRPr="002F30DF">
        <w:rPr>
          <w:rFonts w:cs="Arial"/>
          <w:i/>
          <w:sz w:val="20"/>
          <w:szCs w:val="20"/>
        </w:rPr>
        <w:t>. člena</w:t>
      </w:r>
      <w:r w:rsidR="007522E3" w:rsidRPr="002F30DF">
        <w:rPr>
          <w:rFonts w:cs="Arial"/>
          <w:i/>
          <w:sz w:val="20"/>
          <w:szCs w:val="20"/>
        </w:rPr>
        <w:t xml:space="preserve"> PDEU.</w:t>
      </w:r>
      <w:r w:rsidR="007B1F39" w:rsidRPr="002F30DF">
        <w:rPr>
          <w:rFonts w:cs="Arial"/>
          <w:i/>
          <w:sz w:val="20"/>
          <w:szCs w:val="20"/>
        </w:rPr>
        <w:t xml:space="preserve"> </w:t>
      </w:r>
      <w:r w:rsidR="007B1F39" w:rsidRPr="002F30DF">
        <w:rPr>
          <w:rFonts w:cs="Arial"/>
          <w:sz w:val="20"/>
          <w:szCs w:val="20"/>
        </w:rPr>
        <w:t xml:space="preserve">Zato je treba dosedanji prvi odstavek 28. člena </w:t>
      </w:r>
      <w:r w:rsidR="0027091D" w:rsidRPr="002F30DF">
        <w:rPr>
          <w:rFonts w:cs="Arial"/>
          <w:sz w:val="20"/>
          <w:szCs w:val="20"/>
        </w:rPr>
        <w:t xml:space="preserve">ZPOmK-1 </w:t>
      </w:r>
      <w:r w:rsidR="007B1F39" w:rsidRPr="002F30DF">
        <w:rPr>
          <w:rFonts w:cs="Arial"/>
          <w:sz w:val="20"/>
          <w:szCs w:val="20"/>
        </w:rPr>
        <w:t>spremeniti na način, da se ta člen ne uporablja zgolj za podjetja, proti katerim  se vodi postopek, ampak za vsa podjetja.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ohranja dosedanjo ureditev</w:t>
      </w:r>
      <w:r w:rsidR="004015C5" w:rsidRPr="002F30DF">
        <w:rPr>
          <w:rFonts w:cs="Arial"/>
          <w:sz w:val="20"/>
          <w:szCs w:val="20"/>
        </w:rPr>
        <w:t xml:space="preserve"> glede vročitve odredbe za preiskavo</w:t>
      </w:r>
      <w:r w:rsidR="00D5138E" w:rsidRPr="002F30DF">
        <w:rPr>
          <w:rFonts w:cs="Arial"/>
          <w:sz w:val="20"/>
          <w:szCs w:val="20"/>
        </w:rPr>
        <w:t>, in sicer</w:t>
      </w:r>
      <w:r w:rsidRPr="002F30DF">
        <w:rPr>
          <w:rFonts w:cs="Arial"/>
          <w:sz w:val="20"/>
          <w:szCs w:val="20"/>
        </w:rPr>
        <w:t xml:space="preserve"> </w:t>
      </w:r>
      <w:r w:rsidR="00AB65F1" w:rsidRPr="002F30DF">
        <w:rPr>
          <w:rFonts w:cs="Arial"/>
          <w:sz w:val="20"/>
          <w:szCs w:val="20"/>
        </w:rPr>
        <w:t>a</w:t>
      </w:r>
      <w:r w:rsidR="0045309B" w:rsidRPr="002F30DF">
        <w:rPr>
          <w:rFonts w:cs="Arial"/>
          <w:sz w:val="20"/>
          <w:szCs w:val="20"/>
        </w:rPr>
        <w:t>genc</w:t>
      </w:r>
      <w:r w:rsidRPr="002F30DF">
        <w:rPr>
          <w:rFonts w:cs="Arial"/>
          <w:sz w:val="20"/>
          <w:szCs w:val="20"/>
        </w:rPr>
        <w:t>ija vro</w:t>
      </w:r>
      <w:r w:rsidR="008141DC">
        <w:rPr>
          <w:rFonts w:cs="Arial"/>
          <w:sz w:val="20"/>
          <w:szCs w:val="20"/>
        </w:rPr>
        <w:t>či odredbo za preiskavo podjetju</w:t>
      </w:r>
      <w:r w:rsidRPr="002F30DF">
        <w:rPr>
          <w:rFonts w:cs="Arial"/>
          <w:sz w:val="20"/>
          <w:szCs w:val="20"/>
        </w:rPr>
        <w:t>, zo</w:t>
      </w:r>
      <w:r w:rsidR="008141DC">
        <w:rPr>
          <w:rFonts w:cs="Arial"/>
          <w:sz w:val="20"/>
          <w:szCs w:val="20"/>
        </w:rPr>
        <w:t>per</w:t>
      </w:r>
      <w:r w:rsidR="000B3BB1" w:rsidRPr="002F30DF">
        <w:rPr>
          <w:rFonts w:cs="Arial"/>
          <w:sz w:val="20"/>
          <w:szCs w:val="20"/>
        </w:rPr>
        <w:t xml:space="preserve"> katerem </w:t>
      </w:r>
      <w:r w:rsidRPr="002F30DF">
        <w:rPr>
          <w:rFonts w:cs="Arial"/>
          <w:sz w:val="20"/>
          <w:szCs w:val="20"/>
        </w:rPr>
        <w:t>naj se izvede preiskav</w:t>
      </w:r>
      <w:r w:rsidR="00AB65F1" w:rsidRPr="002F30DF">
        <w:rPr>
          <w:rFonts w:cs="Arial"/>
          <w:sz w:val="20"/>
          <w:szCs w:val="20"/>
        </w:rPr>
        <w:t>a</w:t>
      </w:r>
      <w:r w:rsidRPr="002F30DF">
        <w:rPr>
          <w:rFonts w:cs="Arial"/>
          <w:sz w:val="20"/>
          <w:szCs w:val="20"/>
        </w:rPr>
        <w:t xml:space="preserve">, na začetku preiskave.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trike/>
          <w:sz w:val="20"/>
          <w:szCs w:val="20"/>
        </w:rPr>
      </w:pPr>
      <w:r w:rsidRPr="002F30DF">
        <w:rPr>
          <w:rFonts w:cs="Arial"/>
          <w:sz w:val="20"/>
          <w:szCs w:val="20"/>
          <w:u w:val="single"/>
        </w:rPr>
        <w:t>Tretji odstavek</w:t>
      </w:r>
      <w:r w:rsidRPr="002F30DF">
        <w:rPr>
          <w:rFonts w:cs="Arial"/>
          <w:sz w:val="20"/>
          <w:szCs w:val="20"/>
        </w:rPr>
        <w:t xml:space="preserve"> ureja pogoje za izdajo odredbe za preiskavo. Tako kot že ZPOmK-1 se tudi s tem zakonom določ</w:t>
      </w:r>
      <w:r w:rsidR="00376B3F" w:rsidRPr="002F30DF">
        <w:rPr>
          <w:rFonts w:cs="Arial"/>
          <w:sz w:val="20"/>
          <w:szCs w:val="20"/>
        </w:rPr>
        <w:t>a</w:t>
      </w:r>
      <w:r w:rsidRPr="002F30DF">
        <w:rPr>
          <w:rFonts w:cs="Arial"/>
          <w:sz w:val="20"/>
          <w:szCs w:val="20"/>
        </w:rPr>
        <w:t xml:space="preserve">, da sodišče izda odredbo za preiskavo na predlog </w:t>
      </w:r>
      <w:r w:rsidR="00AB65F1" w:rsidRPr="002F30DF">
        <w:rPr>
          <w:rFonts w:cs="Arial"/>
          <w:sz w:val="20"/>
          <w:szCs w:val="20"/>
        </w:rPr>
        <w:t>a</w:t>
      </w:r>
      <w:r w:rsidR="0045309B" w:rsidRPr="002F30DF">
        <w:rPr>
          <w:rFonts w:cs="Arial"/>
          <w:sz w:val="20"/>
          <w:szCs w:val="20"/>
        </w:rPr>
        <w:t>genc</w:t>
      </w:r>
      <w:r w:rsidRPr="002F30DF">
        <w:rPr>
          <w:rFonts w:cs="Arial"/>
          <w:sz w:val="20"/>
          <w:szCs w:val="20"/>
        </w:rPr>
        <w:t>ije, če obstajajo utemeljeni razlogi za sum, da podjetje krši ali je kršilo določbe tega zakona ali 101. ali 102. člena PDEU. Ti pogoji za izdajo odredbe za pr</w:t>
      </w:r>
      <w:r w:rsidR="007D6C3D" w:rsidRPr="002F30DF">
        <w:rPr>
          <w:rFonts w:cs="Arial"/>
          <w:sz w:val="20"/>
          <w:szCs w:val="20"/>
        </w:rPr>
        <w:t>eiskavo so skladni z Direktivo</w:t>
      </w:r>
      <w:r w:rsidRPr="002F30DF">
        <w:rPr>
          <w:rFonts w:cs="Arial"/>
          <w:sz w:val="20"/>
          <w:szCs w:val="20"/>
        </w:rPr>
        <w:t xml:space="preserve"> 2019/1, ki v 31. uvodni </w:t>
      </w:r>
      <w:r w:rsidR="00721AA6" w:rsidRPr="002F30DF">
        <w:rPr>
          <w:rFonts w:cs="Arial"/>
          <w:sz w:val="20"/>
          <w:szCs w:val="20"/>
        </w:rPr>
        <w:t>izjavi</w:t>
      </w:r>
      <w:r w:rsidRPr="002F30DF">
        <w:rPr>
          <w:rFonts w:cs="Arial"/>
          <w:sz w:val="20"/>
          <w:szCs w:val="20"/>
        </w:rPr>
        <w:t xml:space="preserve"> pojasnjuje, </w:t>
      </w:r>
      <w:r w:rsidRPr="002F30DF">
        <w:rPr>
          <w:rFonts w:cs="Arial"/>
          <w:i/>
          <w:sz w:val="20"/>
          <w:szCs w:val="20"/>
        </w:rPr>
        <w:t>da bi morali imeti nacionalni upravni organi, pristojni za konkurenco, možnost, da opravijo vse potrebne preglede prostorov podjetij in podjetniških združenj, kadar lahko v skladu s sodno prakso Sodišča dokažejo, da obstajajo utemeljeni razlogi za sum, da je prišlo do kršitve 101. ali 102. člena PDEU.</w:t>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F76EE8" w:rsidRPr="002F30DF" w:rsidRDefault="007522E3" w:rsidP="007F589D">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četrtem odstavku</w:t>
      </w:r>
      <w:r w:rsidRPr="002F30DF">
        <w:rPr>
          <w:rFonts w:cs="Arial"/>
          <w:sz w:val="20"/>
          <w:szCs w:val="20"/>
        </w:rPr>
        <w:t xml:space="preserve"> se ohranja pristojnost sodnika </w:t>
      </w:r>
      <w:r w:rsidR="000B3BB1" w:rsidRPr="002F30DF">
        <w:rPr>
          <w:rFonts w:cs="Arial"/>
          <w:sz w:val="20"/>
          <w:szCs w:val="20"/>
        </w:rPr>
        <w:t xml:space="preserve">Okrožnega  </w:t>
      </w:r>
      <w:r w:rsidRPr="002F30DF">
        <w:rPr>
          <w:rFonts w:cs="Arial"/>
          <w:sz w:val="20"/>
          <w:szCs w:val="20"/>
        </w:rPr>
        <w:t>sodišča v Ljubljani za izdajo odredbe za preiskavo.</w:t>
      </w:r>
      <w:r w:rsidR="0084693A" w:rsidRPr="002F30DF">
        <w:rPr>
          <w:rFonts w:cs="Arial"/>
          <w:sz w:val="20"/>
          <w:szCs w:val="20"/>
        </w:rPr>
        <w:t xml:space="preserve"> Sodnik mora izdati odredbo v 48 urah od prejema popolnega predloga agencij</w:t>
      </w:r>
      <w:r w:rsidR="0027091D" w:rsidRPr="002F30DF">
        <w:rPr>
          <w:rFonts w:cs="Arial"/>
          <w:sz w:val="20"/>
          <w:szCs w:val="20"/>
        </w:rPr>
        <w:t>e</w:t>
      </w:r>
      <w:r w:rsidR="0084693A" w:rsidRPr="002F30DF">
        <w:rPr>
          <w:rFonts w:cs="Arial"/>
          <w:sz w:val="20"/>
          <w:szCs w:val="20"/>
        </w:rPr>
        <w:t>.</w:t>
      </w:r>
      <w:r w:rsidRPr="002F30DF">
        <w:rPr>
          <w:rFonts w:cs="Arial"/>
          <w:sz w:val="20"/>
          <w:szCs w:val="20"/>
        </w:rPr>
        <w:t xml:space="preserve"> </w:t>
      </w:r>
      <w:r w:rsidR="00F76EE8" w:rsidRPr="002F30DF">
        <w:rPr>
          <w:rFonts w:cs="Arial"/>
          <w:sz w:val="20"/>
          <w:szCs w:val="20"/>
        </w:rPr>
        <w:t xml:space="preserve">Vsebina predloga za izdajo odredbe se v bistvenem ne razlike od ureditve v ZPOmK-1. Agencija v odredbi opredeli prostore, zemljišča </w:t>
      </w:r>
      <w:r w:rsidR="00F76EE8" w:rsidRPr="002F30DF">
        <w:rPr>
          <w:rFonts w:cs="Arial"/>
          <w:sz w:val="20"/>
          <w:szCs w:val="20"/>
        </w:rPr>
        <w:lastRenderedPageBreak/>
        <w:t>in prevozna sredst</w:t>
      </w:r>
      <w:r w:rsidR="00A96567" w:rsidRPr="002F30DF">
        <w:rPr>
          <w:rFonts w:cs="Arial"/>
          <w:sz w:val="20"/>
          <w:szCs w:val="20"/>
        </w:rPr>
        <w:t>v</w:t>
      </w:r>
      <w:r w:rsidR="00F76EE8" w:rsidRPr="002F30DF">
        <w:rPr>
          <w:rFonts w:cs="Arial"/>
          <w:sz w:val="20"/>
          <w:szCs w:val="20"/>
        </w:rPr>
        <w:t>a poslovne knjige, drugo dokumentacije, vključno z opredelitvijo</w:t>
      </w:r>
      <w:r w:rsidR="004B2F93" w:rsidRPr="002F30DF">
        <w:rPr>
          <w:rFonts w:cs="Arial"/>
          <w:sz w:val="20"/>
          <w:szCs w:val="20"/>
        </w:rPr>
        <w:t xml:space="preserve"> </w:t>
      </w:r>
      <w:r w:rsidR="000B3BB1" w:rsidRPr="002F30DF">
        <w:rPr>
          <w:rFonts w:cs="Arial"/>
          <w:sz w:val="20"/>
          <w:szCs w:val="20"/>
        </w:rPr>
        <w:t xml:space="preserve">elektronskih naprav in z njo povezanih naprav ter nosilcev elektronskih podatkov, kot so telefon, telefaks, računalnik, optični mediji, spominske kartice, drugi nosilci elektronskih podatkov, in tudi podatki na elektronskih napravah, ki jih podjetje hrani pri ponudniku storitev informacijske tehnologije, kakor so zlasti storitev najema strežnika in storitve v oblaku </w:t>
      </w:r>
      <w:r w:rsidR="00F76EE8" w:rsidRPr="002F30DF">
        <w:rPr>
          <w:rFonts w:cs="Arial"/>
          <w:sz w:val="20"/>
          <w:szCs w:val="20"/>
        </w:rPr>
        <w:t xml:space="preserve">, </w:t>
      </w:r>
      <w:r w:rsidR="0027091D" w:rsidRPr="002F30DF">
        <w:rPr>
          <w:rFonts w:cs="Arial"/>
          <w:sz w:val="20"/>
          <w:szCs w:val="20"/>
        </w:rPr>
        <w:t>kateri so dostopni podjetju</w:t>
      </w:r>
      <w:r w:rsidR="007B1F39" w:rsidRPr="002F30DF">
        <w:rPr>
          <w:rFonts w:cs="Arial"/>
          <w:sz w:val="20"/>
          <w:szCs w:val="20"/>
        </w:rPr>
        <w:t xml:space="preserve"> in osebi, ki je predmet pregled</w:t>
      </w:r>
      <w:r w:rsidR="0027091D" w:rsidRPr="002F30DF">
        <w:rPr>
          <w:rFonts w:cs="Arial"/>
          <w:sz w:val="20"/>
          <w:szCs w:val="20"/>
        </w:rPr>
        <w:t>a</w:t>
      </w:r>
      <w:r w:rsidR="007B1F39" w:rsidRPr="002F30DF">
        <w:rPr>
          <w:rFonts w:cs="Arial"/>
          <w:sz w:val="20"/>
          <w:szCs w:val="20"/>
        </w:rPr>
        <w:t xml:space="preserve">, in ki so povezani s podjetjem, ki je predmet preiskave </w:t>
      </w:r>
      <w:r w:rsidR="00F76EE8" w:rsidRPr="002F30DF">
        <w:rPr>
          <w:rFonts w:cs="Arial"/>
          <w:sz w:val="20"/>
          <w:szCs w:val="20"/>
        </w:rPr>
        <w:t>(v nadaljnjem besedilu: elektronska naprava</w:t>
      </w:r>
      <w:r w:rsidR="007B1F39" w:rsidRPr="002F30DF">
        <w:rPr>
          <w:rFonts w:cs="Arial"/>
          <w:sz w:val="20"/>
          <w:szCs w:val="20"/>
        </w:rPr>
        <w:t xml:space="preserve">) in </w:t>
      </w:r>
      <w:r w:rsidR="00F76EE8" w:rsidRPr="002F30DF">
        <w:rPr>
          <w:rFonts w:cs="Arial"/>
          <w:sz w:val="20"/>
          <w:szCs w:val="20"/>
        </w:rPr>
        <w:t>ki jih je treba pregledati. Poleg tega tudi utemelji razloge za preiskavo, opredeli vsebino</w:t>
      </w:r>
      <w:r w:rsidR="00A96567" w:rsidRPr="002F30DF">
        <w:rPr>
          <w:rFonts w:cs="Arial"/>
          <w:sz w:val="20"/>
          <w:szCs w:val="20"/>
        </w:rPr>
        <w:t xml:space="preserve"> podatkov poslovnih knjig in </w:t>
      </w:r>
      <w:r w:rsidR="00F76EE8" w:rsidRPr="002F30DF">
        <w:rPr>
          <w:rFonts w:cs="Arial"/>
          <w:sz w:val="20"/>
          <w:szCs w:val="20"/>
        </w:rPr>
        <w:t xml:space="preserve">druge dokumentacije, ki se iščejo, navede okoliščine za uporabo </w:t>
      </w:r>
      <w:r w:rsidR="000B3BB1" w:rsidRPr="002F30DF">
        <w:rPr>
          <w:rFonts w:cs="Arial"/>
          <w:sz w:val="20"/>
          <w:szCs w:val="20"/>
        </w:rPr>
        <w:t>preiskave</w:t>
      </w:r>
      <w:r w:rsidR="00F76EE8" w:rsidRPr="002F30DF">
        <w:rPr>
          <w:rFonts w:cs="Arial"/>
          <w:sz w:val="20"/>
          <w:szCs w:val="20"/>
        </w:rPr>
        <w:t xml:space="preserve"> in način </w:t>
      </w:r>
      <w:r w:rsidR="000B3BB1" w:rsidRPr="002F30DF">
        <w:rPr>
          <w:rFonts w:cs="Arial"/>
          <w:sz w:val="20"/>
          <w:szCs w:val="20"/>
        </w:rPr>
        <w:t xml:space="preserve">njene </w:t>
      </w:r>
      <w:r w:rsidR="00F76EE8" w:rsidRPr="002F30DF">
        <w:rPr>
          <w:rFonts w:cs="Arial"/>
          <w:sz w:val="20"/>
          <w:szCs w:val="20"/>
        </w:rPr>
        <w:t xml:space="preserve">izvršitve, in rok za izvedbo </w:t>
      </w:r>
      <w:r w:rsidR="000B3BB1" w:rsidRPr="002F30DF">
        <w:rPr>
          <w:rFonts w:cs="Arial"/>
          <w:sz w:val="20"/>
          <w:szCs w:val="20"/>
        </w:rPr>
        <w:t>preiskave</w:t>
      </w:r>
      <w:r w:rsidR="00F76EE8" w:rsidRPr="002F30DF">
        <w:rPr>
          <w:rFonts w:cs="Arial"/>
          <w:sz w:val="20"/>
          <w:szCs w:val="20"/>
        </w:rPr>
        <w:t xml:space="preserve"> v prostorih podjetja. Zaradi jasnosti se s tem predlogom določi tudi vsebina odredbe za preiskavo.</w:t>
      </w:r>
    </w:p>
    <w:p w:rsidR="00627FD2" w:rsidRPr="002F30DF" w:rsidRDefault="00627FD2" w:rsidP="0025166A">
      <w:pPr>
        <w:spacing w:line="260" w:lineRule="atLeast"/>
        <w:rPr>
          <w:rFonts w:cs="Arial"/>
          <w:sz w:val="20"/>
          <w:szCs w:val="20"/>
        </w:rPr>
      </w:pPr>
    </w:p>
    <w:p w:rsidR="00627FD2" w:rsidRPr="002F30DF" w:rsidRDefault="00627FD2" w:rsidP="00627FD2">
      <w:pPr>
        <w:spacing w:line="260" w:lineRule="atLeast"/>
        <w:rPr>
          <w:rFonts w:cs="Arial"/>
          <w:sz w:val="20"/>
          <w:szCs w:val="20"/>
        </w:rPr>
      </w:pPr>
      <w:r w:rsidRPr="002F30DF">
        <w:rPr>
          <w:rFonts w:cs="Arial"/>
          <w:sz w:val="20"/>
          <w:szCs w:val="20"/>
        </w:rPr>
        <w:t>Čeprav Direktiva 2019/1 ne do</w:t>
      </w:r>
      <w:r w:rsidR="00AB65F1" w:rsidRPr="002F30DF">
        <w:rPr>
          <w:rFonts w:cs="Arial"/>
          <w:sz w:val="20"/>
          <w:szCs w:val="20"/>
        </w:rPr>
        <w:t>loča vsebine predloga za odredbo</w:t>
      </w:r>
      <w:r w:rsidRPr="002F30DF">
        <w:rPr>
          <w:rFonts w:cs="Arial"/>
          <w:sz w:val="20"/>
          <w:szCs w:val="20"/>
        </w:rPr>
        <w:t xml:space="preserve"> ali</w:t>
      </w:r>
      <w:r w:rsidR="00AB65F1" w:rsidRPr="002F30DF">
        <w:rPr>
          <w:rFonts w:cs="Arial"/>
          <w:sz w:val="20"/>
          <w:szCs w:val="20"/>
        </w:rPr>
        <w:t xml:space="preserve"> same</w:t>
      </w:r>
      <w:r w:rsidRPr="002F30DF">
        <w:rPr>
          <w:rFonts w:cs="Arial"/>
          <w:sz w:val="20"/>
          <w:szCs w:val="20"/>
        </w:rPr>
        <w:t xml:space="preserve"> odredbe, pa je treba pri tem upoštevati 32. uvodno </w:t>
      </w:r>
      <w:r w:rsidR="00721AA6" w:rsidRPr="002F30DF">
        <w:rPr>
          <w:rFonts w:cs="Arial"/>
          <w:sz w:val="20"/>
          <w:szCs w:val="20"/>
        </w:rPr>
        <w:t>izjavo</w:t>
      </w:r>
      <w:r w:rsidRPr="002F30DF">
        <w:rPr>
          <w:rFonts w:cs="Arial"/>
          <w:sz w:val="20"/>
          <w:szCs w:val="20"/>
        </w:rPr>
        <w:t>, ki določa, da bi moralo pooblastilo za preiskavo nujno vključevati pooblastilo za iskanje dokumentov, datotek ali podobnih podatkov na napravah, ki vnaprej niso natančno opredeljene.</w:t>
      </w:r>
      <w:r w:rsidR="00C30B22" w:rsidRPr="002F30DF">
        <w:rPr>
          <w:rFonts w:cs="Arial"/>
          <w:sz w:val="20"/>
          <w:szCs w:val="20"/>
        </w:rPr>
        <w:t xml:space="preserve"> Brez tega pooblastila ne bi bilo mogoče pridobiti potrebnih informacij za preiskavo, kadar bi jo podjetja ali podjetniška združenja ovirala ali zavrnila sodelovanje. Pooblastilo za preučitev poslovnih knjig bi moralo zajemati vse oblike korespondence, vključno z elektronskimi sporočili, ne glede na to, ali so prikazana kot neprebrana ali so bila izbrisana.</w:t>
      </w:r>
    </w:p>
    <w:p w:rsidR="007522E3" w:rsidRPr="002F30DF" w:rsidRDefault="007522E3" w:rsidP="0025166A">
      <w:pPr>
        <w:spacing w:line="260" w:lineRule="atLeast"/>
        <w:rPr>
          <w:rFonts w:cs="Arial"/>
          <w:sz w:val="20"/>
          <w:szCs w:val="20"/>
        </w:rPr>
      </w:pPr>
    </w:p>
    <w:p w:rsidR="007522E3" w:rsidRPr="002F30DF" w:rsidRDefault="0027091D" w:rsidP="0025166A">
      <w:pPr>
        <w:spacing w:line="260" w:lineRule="atLeast"/>
        <w:rPr>
          <w:rFonts w:cs="Arial"/>
          <w:sz w:val="20"/>
          <w:szCs w:val="20"/>
        </w:rPr>
      </w:pPr>
      <w:r w:rsidRPr="002F30DF">
        <w:rPr>
          <w:rFonts w:cs="Arial"/>
          <w:sz w:val="20"/>
          <w:szCs w:val="20"/>
          <w:u w:val="single"/>
        </w:rPr>
        <w:t xml:space="preserve">Peti </w:t>
      </w:r>
      <w:r w:rsidR="007522E3" w:rsidRPr="002F30DF">
        <w:rPr>
          <w:rFonts w:cs="Arial"/>
          <w:sz w:val="20"/>
          <w:szCs w:val="20"/>
          <w:u w:val="single"/>
        </w:rPr>
        <w:t>odstavek</w:t>
      </w:r>
      <w:r w:rsidR="0084693A" w:rsidRPr="002F30DF">
        <w:rPr>
          <w:rFonts w:cs="Arial"/>
          <w:sz w:val="20"/>
          <w:szCs w:val="20"/>
        </w:rPr>
        <w:t xml:space="preserve"> dopušča</w:t>
      </w:r>
      <w:r w:rsidR="000B3BB1" w:rsidRPr="002F30DF">
        <w:rPr>
          <w:rFonts w:cs="Arial"/>
          <w:sz w:val="20"/>
          <w:szCs w:val="20"/>
        </w:rPr>
        <w:t xml:space="preserve">, da </w:t>
      </w:r>
      <w:r w:rsidR="0084693A" w:rsidRPr="002F30DF">
        <w:rPr>
          <w:rFonts w:cs="Arial"/>
          <w:sz w:val="20"/>
          <w:szCs w:val="20"/>
        </w:rPr>
        <w:t xml:space="preserve"> agencij</w:t>
      </w:r>
      <w:r w:rsidR="000B3BB1" w:rsidRPr="002F30DF">
        <w:rPr>
          <w:rFonts w:cs="Arial"/>
          <w:sz w:val="20"/>
          <w:szCs w:val="20"/>
        </w:rPr>
        <w:t>a zahteva, da o zavrnjenem predlogu</w:t>
      </w:r>
      <w:r w:rsidR="0084693A" w:rsidRPr="002F30DF">
        <w:rPr>
          <w:rFonts w:cs="Arial"/>
          <w:sz w:val="20"/>
          <w:szCs w:val="20"/>
        </w:rPr>
        <w:t xml:space="preserve"> za izdajo odredbe</w:t>
      </w:r>
      <w:r w:rsidR="000B3BB1" w:rsidRPr="002F30DF">
        <w:rPr>
          <w:rFonts w:cs="Arial"/>
          <w:sz w:val="20"/>
          <w:szCs w:val="20"/>
        </w:rPr>
        <w:t xml:space="preserve"> odloči senat treh sodnikov</w:t>
      </w:r>
      <w:r w:rsidR="0084693A" w:rsidRPr="002F30DF">
        <w:rPr>
          <w:rFonts w:cs="Arial"/>
          <w:sz w:val="20"/>
          <w:szCs w:val="20"/>
        </w:rPr>
        <w:t>.</w:t>
      </w:r>
      <w:r w:rsidR="007B0AE4" w:rsidRPr="002F30DF">
        <w:rPr>
          <w:rFonts w:cs="Arial"/>
          <w:sz w:val="20"/>
          <w:szCs w:val="20"/>
        </w:rPr>
        <w:t xml:space="preserve"> O pritožbi odloča</w:t>
      </w:r>
      <w:r w:rsidR="007522E3" w:rsidRPr="002F30DF">
        <w:rPr>
          <w:rFonts w:cs="Arial"/>
          <w:sz w:val="20"/>
          <w:szCs w:val="20"/>
        </w:rPr>
        <w:t xml:space="preserve"> senat treh sodnikov Okrožnega sodišča v Ljubljani. Senat mora </w:t>
      </w:r>
      <w:r w:rsidR="007B0AE4" w:rsidRPr="002F30DF">
        <w:rPr>
          <w:rFonts w:cs="Arial"/>
          <w:sz w:val="20"/>
          <w:szCs w:val="20"/>
        </w:rPr>
        <w:t xml:space="preserve">o </w:t>
      </w:r>
      <w:r w:rsidR="000B3BB1" w:rsidRPr="002F30DF">
        <w:rPr>
          <w:rFonts w:cs="Arial"/>
          <w:sz w:val="20"/>
          <w:szCs w:val="20"/>
        </w:rPr>
        <w:t xml:space="preserve">zahtevi agencije </w:t>
      </w:r>
      <w:r w:rsidR="007522E3" w:rsidRPr="002F30DF">
        <w:rPr>
          <w:rFonts w:cs="Arial"/>
          <w:sz w:val="20"/>
          <w:szCs w:val="20"/>
        </w:rPr>
        <w:t xml:space="preserve">odločiti najpozneje v </w:t>
      </w:r>
      <w:r w:rsidR="007B0AE4" w:rsidRPr="002F30DF">
        <w:rPr>
          <w:rFonts w:cs="Arial"/>
          <w:sz w:val="20"/>
          <w:szCs w:val="20"/>
        </w:rPr>
        <w:t xml:space="preserve">48 urah od prejema </w:t>
      </w:r>
      <w:r w:rsidR="000B3BB1" w:rsidRPr="002F30DF">
        <w:rPr>
          <w:rFonts w:cs="Arial"/>
          <w:sz w:val="20"/>
          <w:szCs w:val="20"/>
        </w:rPr>
        <w:t>zahteve in obrazloženega mnenja</w:t>
      </w:r>
      <w:r w:rsidR="007B0AE4" w:rsidRPr="002F30DF">
        <w:rPr>
          <w:rFonts w:cs="Arial"/>
          <w:sz w:val="20"/>
          <w:szCs w:val="20"/>
        </w:rPr>
        <w:t>.</w:t>
      </w:r>
      <w:r w:rsidR="007522E3" w:rsidRPr="002F30DF">
        <w:rPr>
          <w:rFonts w:cs="Arial"/>
          <w:sz w:val="20"/>
          <w:szCs w:val="20"/>
        </w:rPr>
        <w:t xml:space="preserve"> S tem odstavkom se zagotavlja prenos točke b) tretjega odstavka 30. člena Direktive 2019/1, ki določa, da </w:t>
      </w:r>
      <w:r w:rsidR="007522E3" w:rsidRPr="002F30DF">
        <w:rPr>
          <w:rFonts w:cs="Arial"/>
          <w:i/>
          <w:sz w:val="20"/>
          <w:szCs w:val="20"/>
        </w:rPr>
        <w:t>je nacionalni upravni organ, pristojen za varstvo konkurence, pooblaščen, da vloži pritožbo zoper zavrnitev nacionalnega pravosodnega organa, da pre</w:t>
      </w:r>
      <w:r w:rsidR="00B73AE0" w:rsidRPr="002F30DF">
        <w:rPr>
          <w:rFonts w:cs="Arial"/>
          <w:i/>
          <w:sz w:val="20"/>
          <w:szCs w:val="20"/>
        </w:rPr>
        <w:t>d</w:t>
      </w:r>
      <w:r w:rsidR="007522E3" w:rsidRPr="002F30DF">
        <w:rPr>
          <w:rFonts w:cs="Arial"/>
          <w:i/>
          <w:sz w:val="20"/>
          <w:szCs w:val="20"/>
        </w:rPr>
        <w:t>hodno odobri pregled iz 6. in 7. člena te direktive, kolikor je taka odobritev potrebna</w:t>
      </w:r>
      <w:r w:rsidR="007522E3"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27091D" w:rsidP="0025166A">
      <w:pPr>
        <w:spacing w:line="260" w:lineRule="atLeast"/>
        <w:rPr>
          <w:rFonts w:cs="Arial"/>
          <w:sz w:val="20"/>
          <w:szCs w:val="20"/>
        </w:rPr>
      </w:pPr>
      <w:r w:rsidRPr="002F30DF">
        <w:rPr>
          <w:rFonts w:cs="Arial"/>
          <w:sz w:val="20"/>
          <w:szCs w:val="20"/>
          <w:u w:val="single"/>
        </w:rPr>
        <w:t xml:space="preserve">Šesti </w:t>
      </w:r>
      <w:r w:rsidR="007522E3" w:rsidRPr="002F30DF">
        <w:rPr>
          <w:rFonts w:cs="Arial"/>
          <w:sz w:val="20"/>
          <w:szCs w:val="20"/>
          <w:u w:val="single"/>
        </w:rPr>
        <w:t>odstavek</w:t>
      </w:r>
      <w:r w:rsidR="007522E3" w:rsidRPr="002F30DF">
        <w:rPr>
          <w:rFonts w:cs="Arial"/>
          <w:sz w:val="20"/>
          <w:szCs w:val="20"/>
        </w:rPr>
        <w:t xml:space="preserve"> določa nujnost obravnave v postopku in sodiščem nalaga, da o njih odločajo prednostno.</w:t>
      </w:r>
    </w:p>
    <w:p w:rsidR="000B3BB1" w:rsidRPr="002F30DF" w:rsidRDefault="000B3BB1" w:rsidP="0025166A">
      <w:pPr>
        <w:spacing w:line="260" w:lineRule="atLeast"/>
        <w:rPr>
          <w:rFonts w:cs="Arial"/>
          <w:sz w:val="20"/>
          <w:szCs w:val="20"/>
        </w:rPr>
      </w:pPr>
    </w:p>
    <w:p w:rsidR="000B3BB1" w:rsidRPr="002F30DF" w:rsidRDefault="000B3BB1" w:rsidP="000B3BB1">
      <w:pPr>
        <w:spacing w:line="260" w:lineRule="atLeast"/>
        <w:rPr>
          <w:rFonts w:cs="Arial"/>
          <w:sz w:val="20"/>
          <w:szCs w:val="20"/>
        </w:rPr>
      </w:pPr>
      <w:r w:rsidRPr="002F30DF">
        <w:rPr>
          <w:rFonts w:cs="Arial"/>
          <w:sz w:val="20"/>
          <w:szCs w:val="20"/>
        </w:rPr>
        <w:t>Sedmi odstavek</w:t>
      </w:r>
      <w:r w:rsidRPr="002F30DF">
        <w:rPr>
          <w:rFonts w:cs="Arial"/>
          <w:sz w:val="20"/>
          <w:szCs w:val="20"/>
          <w:u w:val="single"/>
        </w:rPr>
        <w:t xml:space="preserve"> </w:t>
      </w:r>
      <w:r w:rsidRPr="002F30DF">
        <w:rPr>
          <w:rFonts w:cs="Arial"/>
          <w:sz w:val="20"/>
          <w:szCs w:val="20"/>
        </w:rPr>
        <w:t xml:space="preserve">določa </w:t>
      </w:r>
      <w:r w:rsidR="0062058E" w:rsidRPr="002F30DF">
        <w:rPr>
          <w:rFonts w:cs="Arial"/>
          <w:sz w:val="20"/>
          <w:szCs w:val="20"/>
        </w:rPr>
        <w:t xml:space="preserve">, da v kolikor </w:t>
      </w:r>
      <w:r w:rsidRPr="002F30DF">
        <w:rPr>
          <w:rFonts w:cs="Arial"/>
          <w:sz w:val="20"/>
          <w:szCs w:val="20"/>
        </w:rPr>
        <w:t xml:space="preserve">se pri preiskavi najdejo podatki, ki niso v zvezi s kršitvijo, zaradi katere je bila preiskava izvedena, pač pa kažejo na drugo </w:t>
      </w:r>
      <w:r w:rsidRPr="002F30DF">
        <w:rPr>
          <w:rFonts w:cs="Arial"/>
          <w:sz w:val="20"/>
          <w:szCs w:val="20"/>
        </w:rPr>
        <w:lastRenderedPageBreak/>
        <w:t xml:space="preserve">kršitev tega zakona ali 101. ali 102. člena </w:t>
      </w:r>
      <w:r w:rsidR="0062058E" w:rsidRPr="002F30DF">
        <w:rPr>
          <w:rFonts w:cs="Arial"/>
          <w:sz w:val="20"/>
          <w:szCs w:val="20"/>
        </w:rPr>
        <w:t>PDEU</w:t>
      </w:r>
      <w:r w:rsidRPr="002F30DF">
        <w:rPr>
          <w:rFonts w:cs="Arial"/>
          <w:sz w:val="20"/>
          <w:szCs w:val="20"/>
        </w:rPr>
        <w:t>, agencija pridobi tudi te podatke</w:t>
      </w:r>
      <w:r w:rsidR="0062058E" w:rsidRPr="002F30DF">
        <w:rPr>
          <w:rFonts w:cs="Arial"/>
          <w:sz w:val="20"/>
          <w:szCs w:val="20"/>
        </w:rPr>
        <w:t xml:space="preserve"> in jih </w:t>
      </w:r>
      <w:r w:rsidRPr="002F30DF">
        <w:rPr>
          <w:rFonts w:cs="Arial"/>
          <w:sz w:val="20"/>
          <w:szCs w:val="20"/>
        </w:rPr>
        <w:t>uporabi kot dokaz.</w:t>
      </w:r>
    </w:p>
    <w:p w:rsidR="000B3BB1" w:rsidRPr="002F30DF" w:rsidRDefault="000B3BB1" w:rsidP="000B3BB1">
      <w:pPr>
        <w:spacing w:line="260" w:lineRule="atLeast"/>
        <w:rPr>
          <w:rFonts w:cs="Arial"/>
          <w:sz w:val="20"/>
          <w:szCs w:val="20"/>
        </w:rPr>
      </w:pPr>
    </w:p>
    <w:p w:rsidR="000B3BB1" w:rsidRPr="002F30DF" w:rsidRDefault="0062058E" w:rsidP="000B3BB1">
      <w:pPr>
        <w:spacing w:line="260" w:lineRule="atLeast"/>
        <w:rPr>
          <w:rFonts w:cs="Arial"/>
          <w:sz w:val="20"/>
          <w:szCs w:val="20"/>
          <w:u w:val="single"/>
        </w:rPr>
      </w:pPr>
      <w:r w:rsidRPr="002F30DF">
        <w:rPr>
          <w:rFonts w:cs="Arial"/>
          <w:sz w:val="20"/>
          <w:szCs w:val="20"/>
        </w:rPr>
        <w:t>Osmi odstavek vseb</w:t>
      </w:r>
      <w:r w:rsidR="007A389B" w:rsidRPr="002F30DF">
        <w:rPr>
          <w:rFonts w:cs="Arial"/>
          <w:sz w:val="20"/>
          <w:szCs w:val="20"/>
        </w:rPr>
        <w:t>u</w:t>
      </w:r>
      <w:r w:rsidRPr="002F30DF">
        <w:rPr>
          <w:rFonts w:cs="Arial"/>
          <w:sz w:val="20"/>
          <w:szCs w:val="20"/>
        </w:rPr>
        <w:t>je določilo v zvezi s povračilom</w:t>
      </w:r>
      <w:r w:rsidR="000B3BB1" w:rsidRPr="002F30DF">
        <w:rPr>
          <w:rFonts w:cs="Arial"/>
          <w:sz w:val="20"/>
          <w:szCs w:val="20"/>
        </w:rPr>
        <w:t xml:space="preserve"> stroškov pr</w:t>
      </w:r>
      <w:r w:rsidRPr="002F30DF">
        <w:rPr>
          <w:rFonts w:cs="Arial"/>
          <w:sz w:val="20"/>
          <w:szCs w:val="20"/>
        </w:rPr>
        <w:t>ič, ki sodelujejo pri preiskavi, pri čemer se v zvezi s tem</w:t>
      </w:r>
      <w:r w:rsidR="000B3BB1" w:rsidRPr="002F30DF">
        <w:rPr>
          <w:rFonts w:cs="Arial"/>
          <w:sz w:val="20"/>
          <w:szCs w:val="20"/>
        </w:rPr>
        <w:t xml:space="preserve"> smiselno uporabljajo določbe, ki urejajo povračilo stroškov prič po predpisih, ki urejajo splošni upravni postopek.</w:t>
      </w:r>
    </w:p>
    <w:p w:rsidR="00494F8D" w:rsidRPr="002F30DF" w:rsidRDefault="00494F8D"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B2061" w:rsidRPr="002F30DF">
        <w:rPr>
          <w:rFonts w:cs="Arial"/>
          <w:b/>
          <w:sz w:val="20"/>
          <w:szCs w:val="20"/>
        </w:rPr>
        <w:t>5</w:t>
      </w:r>
      <w:r w:rsidR="00577EFC" w:rsidRPr="002F30DF">
        <w:rPr>
          <w:rFonts w:cs="Arial"/>
          <w:b/>
          <w:sz w:val="20"/>
          <w:szCs w:val="20"/>
        </w:rPr>
        <w:t>6</w:t>
      </w:r>
      <w:r w:rsidRPr="002F30DF">
        <w:rPr>
          <w:rFonts w:cs="Arial"/>
          <w:b/>
          <w:sz w:val="20"/>
          <w:szCs w:val="20"/>
        </w:rPr>
        <w:t>. členu (preiskava)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Direktiva 2019/1 v prvem odstavku 6. člena nalaga državam članicam, </w:t>
      </w:r>
      <w:r w:rsidRPr="002F30DF">
        <w:rPr>
          <w:rFonts w:cs="Arial"/>
          <w:i/>
          <w:sz w:val="20"/>
          <w:szCs w:val="20"/>
        </w:rPr>
        <w:t>da zagotovijo, da so uradniki in druge spremljevalne osebe, ki so jih nacionalni organi, pristojni za varstvo konkurence, pooblastili ali imenovali za izvajanje takih pregledov, pooblaščeni najmanj, da:</w:t>
      </w:r>
    </w:p>
    <w:p w:rsidR="007522E3" w:rsidRPr="002F30DF" w:rsidRDefault="007522E3" w:rsidP="0025166A">
      <w:pPr>
        <w:tabs>
          <w:tab w:val="left" w:pos="284"/>
        </w:tabs>
        <w:spacing w:line="260" w:lineRule="atLeast"/>
        <w:ind w:left="284" w:hanging="284"/>
        <w:rPr>
          <w:rFonts w:cs="Arial"/>
          <w:i/>
          <w:sz w:val="20"/>
          <w:szCs w:val="20"/>
        </w:rPr>
      </w:pPr>
      <w:r w:rsidRPr="002F30DF">
        <w:rPr>
          <w:rFonts w:cs="Arial"/>
          <w:i/>
          <w:sz w:val="20"/>
          <w:szCs w:val="20"/>
        </w:rPr>
        <w:t>(a) vstopijo v vse prostore, na zemljišča in v prevozna sredstva podjetij in podjetniških združenj;</w:t>
      </w:r>
    </w:p>
    <w:p w:rsidR="007522E3" w:rsidRPr="002F30DF" w:rsidRDefault="007522E3" w:rsidP="0025166A">
      <w:pPr>
        <w:tabs>
          <w:tab w:val="left" w:pos="284"/>
        </w:tabs>
        <w:spacing w:line="260" w:lineRule="atLeast"/>
        <w:ind w:left="284" w:hanging="284"/>
        <w:rPr>
          <w:rFonts w:cs="Arial"/>
          <w:i/>
          <w:sz w:val="20"/>
          <w:szCs w:val="20"/>
        </w:rPr>
      </w:pPr>
      <w:r w:rsidRPr="002F30DF">
        <w:rPr>
          <w:rFonts w:cs="Arial"/>
          <w:i/>
          <w:sz w:val="20"/>
          <w:szCs w:val="20"/>
        </w:rPr>
        <w:t>(b) pregledajo poslovne knjige in drugo dokumentacijo, povezano s poslovanjem podjetja, ne glede na vrsto nosilca, na katerem je shranjena, in imajo pravico do dostopa do katerih koli informacij, ki so dostopne subjektu, ki je predmet pregleda;</w:t>
      </w:r>
    </w:p>
    <w:p w:rsidR="007522E3" w:rsidRPr="002F30DF" w:rsidRDefault="007522E3" w:rsidP="0025166A">
      <w:pPr>
        <w:tabs>
          <w:tab w:val="left" w:pos="284"/>
        </w:tabs>
        <w:spacing w:line="260" w:lineRule="atLeast"/>
        <w:ind w:left="284" w:hanging="284"/>
        <w:rPr>
          <w:rFonts w:cs="Arial"/>
          <w:i/>
          <w:sz w:val="20"/>
          <w:szCs w:val="20"/>
        </w:rPr>
      </w:pPr>
      <w:r w:rsidRPr="002F30DF">
        <w:rPr>
          <w:rFonts w:cs="Arial"/>
          <w:i/>
          <w:sz w:val="20"/>
          <w:szCs w:val="20"/>
        </w:rPr>
        <w:t>(c) odvzamejo ali pridobijo, ne glede na obliko, kopije takšnih poslovnih knjig ali dokumentacije ali izvlečke iz njih in, kadar menijo, da je to ustrezno, nadaljujejo s takimi iskanji informacij in izberejo kopije ali izvlečke v prostorih nacionalnih organov, pristojnih za konkurenco, ali katerih koli drugih za to določenih prostorih;</w:t>
      </w:r>
    </w:p>
    <w:p w:rsidR="007522E3" w:rsidRPr="002F30DF" w:rsidRDefault="007522E3" w:rsidP="0025166A">
      <w:pPr>
        <w:tabs>
          <w:tab w:val="left" w:pos="284"/>
        </w:tabs>
        <w:spacing w:line="260" w:lineRule="atLeast"/>
        <w:ind w:left="284" w:hanging="284"/>
        <w:rPr>
          <w:rFonts w:cs="Arial"/>
          <w:i/>
          <w:sz w:val="20"/>
          <w:szCs w:val="20"/>
        </w:rPr>
      </w:pPr>
      <w:r w:rsidRPr="002F30DF">
        <w:rPr>
          <w:rFonts w:cs="Arial"/>
          <w:i/>
          <w:sz w:val="20"/>
          <w:szCs w:val="20"/>
        </w:rPr>
        <w:t>(d) zapečatijo vse poslovne prostore ter poslovne knjige ali dokumentacijo za trajanje in v obsegu, ki sta potrebna za izvedbo pregleda;</w:t>
      </w:r>
    </w:p>
    <w:p w:rsidR="007522E3" w:rsidRPr="002F30DF" w:rsidRDefault="007522E3" w:rsidP="0025166A">
      <w:pPr>
        <w:tabs>
          <w:tab w:val="left" w:pos="284"/>
        </w:tabs>
        <w:spacing w:line="260" w:lineRule="atLeast"/>
        <w:ind w:left="284" w:hanging="284"/>
        <w:rPr>
          <w:rFonts w:cs="Arial"/>
          <w:i/>
          <w:sz w:val="20"/>
          <w:szCs w:val="20"/>
        </w:rPr>
      </w:pPr>
      <w:r w:rsidRPr="002F30DF">
        <w:rPr>
          <w:rFonts w:cs="Arial"/>
          <w:i/>
          <w:sz w:val="20"/>
          <w:szCs w:val="20"/>
        </w:rPr>
        <w:t>(e) zaprosijo katerega koli predstavnika ali člana osebja podjetja ali podjetniškega združenja za pojasnilo dejstev ali dokumentov, ki se nanašajo na predmet in namen pregleda, in njegove odgovore zabeležijo v zapisnik.</w:t>
      </w:r>
    </w:p>
    <w:p w:rsidR="007522E3" w:rsidRPr="002F30DF" w:rsidRDefault="007522E3" w:rsidP="0025166A">
      <w:pPr>
        <w:spacing w:line="260" w:lineRule="atLeast"/>
        <w:rPr>
          <w:rFonts w:cs="Arial"/>
          <w:sz w:val="20"/>
          <w:szCs w:val="20"/>
        </w:rPr>
      </w:pPr>
    </w:p>
    <w:p w:rsidR="00B127C7" w:rsidRPr="002F30DF" w:rsidRDefault="00721AA6" w:rsidP="0025166A">
      <w:pPr>
        <w:spacing w:line="260" w:lineRule="atLeast"/>
        <w:rPr>
          <w:rFonts w:cs="Arial"/>
          <w:sz w:val="20"/>
          <w:szCs w:val="20"/>
        </w:rPr>
      </w:pPr>
      <w:r w:rsidRPr="002F30DF">
        <w:rPr>
          <w:rFonts w:cs="Arial"/>
          <w:sz w:val="20"/>
          <w:szCs w:val="20"/>
        </w:rPr>
        <w:t xml:space="preserve">Uvodna izjava </w:t>
      </w:r>
      <w:r w:rsidR="00B127C7" w:rsidRPr="002F30DF">
        <w:rPr>
          <w:rFonts w:cs="Arial"/>
          <w:sz w:val="20"/>
          <w:szCs w:val="20"/>
        </w:rPr>
        <w:t>32 pojasnjuje, da bi morala preiskovalna pooblastila</w:t>
      </w:r>
      <w:r w:rsidR="00EE5C04" w:rsidRPr="002F30DF">
        <w:rPr>
          <w:rFonts w:cs="Arial"/>
          <w:sz w:val="20"/>
          <w:szCs w:val="20"/>
        </w:rPr>
        <w:t xml:space="preserve"> omogočili</w:t>
      </w:r>
      <w:r w:rsidR="00B127C7" w:rsidRPr="002F30DF">
        <w:rPr>
          <w:rFonts w:cs="Arial"/>
          <w:sz w:val="20"/>
          <w:szCs w:val="20"/>
        </w:rPr>
        <w:t xml:space="preserve"> nacionalni</w:t>
      </w:r>
      <w:r w:rsidR="00EE5C04" w:rsidRPr="002F30DF">
        <w:rPr>
          <w:rFonts w:cs="Arial"/>
          <w:sz w:val="20"/>
          <w:szCs w:val="20"/>
        </w:rPr>
        <w:t>m</w:t>
      </w:r>
      <w:r w:rsidR="00B127C7" w:rsidRPr="002F30DF">
        <w:rPr>
          <w:rFonts w:cs="Arial"/>
          <w:sz w:val="20"/>
          <w:szCs w:val="20"/>
        </w:rPr>
        <w:t xml:space="preserve"> upravni</w:t>
      </w:r>
      <w:r w:rsidR="00EE5C04" w:rsidRPr="002F30DF">
        <w:rPr>
          <w:rFonts w:cs="Arial"/>
          <w:sz w:val="20"/>
          <w:szCs w:val="20"/>
        </w:rPr>
        <w:t>m</w:t>
      </w:r>
      <w:r w:rsidR="00B127C7" w:rsidRPr="002F30DF">
        <w:rPr>
          <w:rFonts w:cs="Arial"/>
          <w:sz w:val="20"/>
          <w:szCs w:val="20"/>
        </w:rPr>
        <w:t xml:space="preserve"> organo</w:t>
      </w:r>
      <w:r w:rsidR="00EE5C04" w:rsidRPr="002F30DF">
        <w:rPr>
          <w:rFonts w:cs="Arial"/>
          <w:sz w:val="20"/>
          <w:szCs w:val="20"/>
        </w:rPr>
        <w:t>m</w:t>
      </w:r>
      <w:r w:rsidR="00B127C7" w:rsidRPr="002F30DF">
        <w:rPr>
          <w:rFonts w:cs="Arial"/>
          <w:sz w:val="20"/>
          <w:szCs w:val="20"/>
        </w:rPr>
        <w:t>, pristojni</w:t>
      </w:r>
      <w:r w:rsidR="00EE5C04" w:rsidRPr="002F30DF">
        <w:rPr>
          <w:rFonts w:cs="Arial"/>
          <w:sz w:val="20"/>
          <w:szCs w:val="20"/>
        </w:rPr>
        <w:t>m</w:t>
      </w:r>
      <w:r w:rsidR="00B127C7" w:rsidRPr="002F30DF">
        <w:rPr>
          <w:rFonts w:cs="Arial"/>
          <w:sz w:val="20"/>
          <w:szCs w:val="20"/>
        </w:rPr>
        <w:t xml:space="preserve"> za varstvo konkurence, </w:t>
      </w:r>
      <w:r w:rsidR="00EE5C04" w:rsidRPr="002F30DF">
        <w:rPr>
          <w:rFonts w:cs="Arial"/>
          <w:sz w:val="20"/>
          <w:szCs w:val="20"/>
        </w:rPr>
        <w:t>da pridobijo vse informacije v zvezi s podjetjem, ki je predmet preiskovalnega ukrepa, v digitalni obliki, vključno s forenzičnimi podatki, ne glede na nosilec, na katerem so informacije shranjene, kot so prenosni računalnik, mobilni telefon, druge mobilne naprave ali shranjene v oblaku.</w:t>
      </w:r>
    </w:p>
    <w:p w:rsidR="00EE5C04" w:rsidRPr="002F30DF" w:rsidRDefault="00EE5C04" w:rsidP="0025166A">
      <w:pPr>
        <w:spacing w:line="260" w:lineRule="atLeast"/>
        <w:rPr>
          <w:rFonts w:cs="Arial"/>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u w:val="single"/>
        </w:rPr>
        <w:lastRenderedPageBreak/>
        <w:t>Prvi odstavek</w:t>
      </w:r>
      <w:r w:rsidRPr="002F30DF">
        <w:rPr>
          <w:rFonts w:cs="Arial"/>
          <w:sz w:val="20"/>
          <w:szCs w:val="20"/>
        </w:rPr>
        <w:t xml:space="preserve"> daje osebam, ki so zaposlene na </w:t>
      </w:r>
      <w:r w:rsidR="00B73AE0" w:rsidRPr="002F30DF">
        <w:rPr>
          <w:rFonts w:cs="Arial"/>
          <w:sz w:val="20"/>
          <w:szCs w:val="20"/>
        </w:rPr>
        <w:t>a</w:t>
      </w:r>
      <w:r w:rsidR="0045309B" w:rsidRPr="002F30DF">
        <w:rPr>
          <w:rFonts w:cs="Arial"/>
          <w:sz w:val="20"/>
          <w:szCs w:val="20"/>
        </w:rPr>
        <w:t>genc</w:t>
      </w:r>
      <w:r w:rsidRPr="002F30DF">
        <w:rPr>
          <w:rFonts w:cs="Arial"/>
          <w:sz w:val="20"/>
          <w:szCs w:val="20"/>
        </w:rPr>
        <w:t xml:space="preserve">iji in v določenih primerih tudi specializiranim organizacijam, zavodom ali posameznikom pooblastila za opravljanje preiskave.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Pooblačene osebe </w:t>
      </w:r>
      <w:r w:rsidR="004B1D9C" w:rsidRPr="002F30DF">
        <w:rPr>
          <w:rFonts w:cs="Arial"/>
          <w:sz w:val="20"/>
          <w:szCs w:val="20"/>
        </w:rPr>
        <w:t>imajo</w:t>
      </w:r>
      <w:r w:rsidRPr="002F30DF">
        <w:rPr>
          <w:rFonts w:cs="Arial"/>
          <w:sz w:val="20"/>
          <w:szCs w:val="20"/>
        </w:rPr>
        <w:t xml:space="preserve"> že na podlagi ZPOmK-1 vsa pooblastila, ki jih določa Direktiv</w:t>
      </w:r>
      <w:r w:rsidR="0054566C" w:rsidRPr="002F30DF">
        <w:rPr>
          <w:rFonts w:cs="Arial"/>
          <w:sz w:val="20"/>
          <w:szCs w:val="20"/>
        </w:rPr>
        <w:t>a</w:t>
      </w:r>
      <w:r w:rsidRPr="002F30DF">
        <w:rPr>
          <w:rFonts w:cs="Arial"/>
          <w:sz w:val="20"/>
          <w:szCs w:val="20"/>
        </w:rPr>
        <w:t xml:space="preserve"> 2019/1, zato se v </w:t>
      </w:r>
      <w:r w:rsidRPr="002F30DF">
        <w:rPr>
          <w:rFonts w:cs="Arial"/>
          <w:sz w:val="20"/>
          <w:szCs w:val="20"/>
          <w:u w:val="single"/>
        </w:rPr>
        <w:t>drugem o</w:t>
      </w:r>
      <w:r w:rsidR="002F4027" w:rsidRPr="002F30DF">
        <w:rPr>
          <w:rFonts w:cs="Arial"/>
          <w:sz w:val="20"/>
          <w:szCs w:val="20"/>
          <w:u w:val="single"/>
        </w:rPr>
        <w:t>d</w:t>
      </w:r>
      <w:r w:rsidRPr="002F30DF">
        <w:rPr>
          <w:rFonts w:cs="Arial"/>
          <w:sz w:val="20"/>
          <w:szCs w:val="20"/>
          <w:u w:val="single"/>
        </w:rPr>
        <w:t>stavku</w:t>
      </w:r>
      <w:r w:rsidRPr="002F30DF">
        <w:rPr>
          <w:rFonts w:cs="Arial"/>
          <w:sz w:val="20"/>
          <w:szCs w:val="20"/>
        </w:rPr>
        <w:t xml:space="preserve"> ohranja sedanji obseg pooblastil</w:t>
      </w:r>
      <w:r w:rsidR="0027091D" w:rsidRPr="002F30DF">
        <w:rPr>
          <w:rFonts w:cs="Arial"/>
          <w:sz w:val="20"/>
          <w:szCs w:val="20"/>
        </w:rPr>
        <w:t>, ki pa jih je treba zaradi polne harmonizacije 6. člena Direktive 2019/1 nekoliko prilagoditi</w:t>
      </w:r>
      <w:r w:rsidRPr="002F30DF">
        <w:rPr>
          <w:rFonts w:cs="Arial"/>
          <w:sz w:val="20"/>
          <w:szCs w:val="20"/>
        </w:rPr>
        <w:t xml:space="preserve">. </w:t>
      </w:r>
      <w:r w:rsidR="0001762E" w:rsidRPr="002F30DF">
        <w:rPr>
          <w:rFonts w:cs="Arial"/>
          <w:sz w:val="20"/>
          <w:szCs w:val="20"/>
        </w:rPr>
        <w:t>Skladno s tem se določa, da  so o</w:t>
      </w:r>
      <w:r w:rsidR="007B1F39" w:rsidRPr="002F30DF">
        <w:rPr>
          <w:rFonts w:cs="Arial"/>
          <w:sz w:val="20"/>
          <w:szCs w:val="20"/>
        </w:rPr>
        <w:t>sebe, ki sodelujejo pri preiskavi, pooblaščene, da</w:t>
      </w:r>
      <w:r w:rsidRPr="002F30DF">
        <w:rPr>
          <w:rFonts w:cs="Arial"/>
          <w:sz w:val="20"/>
          <w:szCs w:val="20"/>
        </w:rPr>
        <w:t>:</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vstopi</w:t>
      </w:r>
      <w:r w:rsidR="0054566C" w:rsidRPr="002F30DF">
        <w:rPr>
          <w:rFonts w:cs="Arial"/>
          <w:sz w:val="20"/>
          <w:szCs w:val="20"/>
        </w:rPr>
        <w:t>jo</w:t>
      </w:r>
      <w:r w:rsidRPr="002F30DF">
        <w:rPr>
          <w:rFonts w:cs="Arial"/>
          <w:sz w:val="20"/>
          <w:szCs w:val="20"/>
        </w:rPr>
        <w:t xml:space="preserve"> </w:t>
      </w:r>
      <w:r w:rsidR="007B1F39" w:rsidRPr="002F30DF">
        <w:rPr>
          <w:rFonts w:cs="Arial"/>
          <w:sz w:val="20"/>
          <w:szCs w:val="20"/>
        </w:rPr>
        <w:t xml:space="preserve">vse </w:t>
      </w:r>
      <w:r w:rsidRPr="002F30DF">
        <w:rPr>
          <w:rFonts w:cs="Arial"/>
          <w:sz w:val="20"/>
          <w:szCs w:val="20"/>
        </w:rPr>
        <w:t>prostore, zemljišča in prevozna sredstva na sedežu podjetij in na drugem kraju, na katerem podjetje samo ali drugo podjetje po njegovem pooblastilu opravlja dejavnost in posle;</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pregleda</w:t>
      </w:r>
      <w:r w:rsidR="0054566C" w:rsidRPr="002F30DF">
        <w:rPr>
          <w:rFonts w:cs="Arial"/>
          <w:sz w:val="20"/>
          <w:szCs w:val="20"/>
        </w:rPr>
        <w:t>jo</w:t>
      </w:r>
      <w:r w:rsidRPr="002F30DF">
        <w:rPr>
          <w:rFonts w:cs="Arial"/>
          <w:sz w:val="20"/>
          <w:szCs w:val="20"/>
        </w:rPr>
        <w:t xml:space="preserve"> poslovne knjige</w:t>
      </w:r>
      <w:r w:rsidR="006413F2" w:rsidRPr="002F30DF">
        <w:rPr>
          <w:rFonts w:cs="Arial"/>
          <w:sz w:val="20"/>
          <w:szCs w:val="20"/>
        </w:rPr>
        <w:t xml:space="preserve"> in drugo dokumentacijo</w:t>
      </w:r>
      <w:r w:rsidR="00A868C3" w:rsidRPr="002F30DF">
        <w:rPr>
          <w:rFonts w:cs="Arial"/>
          <w:sz w:val="20"/>
          <w:szCs w:val="20"/>
        </w:rPr>
        <w:t>,</w:t>
      </w:r>
      <w:r w:rsidR="00511779" w:rsidRPr="002F30DF">
        <w:rPr>
          <w:rFonts w:cs="Arial"/>
          <w:sz w:val="20"/>
          <w:szCs w:val="20"/>
        </w:rPr>
        <w:t xml:space="preserve"> povezano s poslovanjem podjetja, ne glede na vrsto nosilca, na katerem je </w:t>
      </w:r>
      <w:r w:rsidR="004B2F93" w:rsidRPr="002F30DF">
        <w:rPr>
          <w:rFonts w:cs="Arial"/>
          <w:sz w:val="20"/>
          <w:szCs w:val="20"/>
        </w:rPr>
        <w:t xml:space="preserve">zapisana ali </w:t>
      </w:r>
      <w:r w:rsidR="00511779" w:rsidRPr="002F30DF">
        <w:rPr>
          <w:rFonts w:cs="Arial"/>
          <w:sz w:val="20"/>
          <w:szCs w:val="20"/>
        </w:rPr>
        <w:t>shranjena</w:t>
      </w:r>
      <w:r w:rsidRPr="002F30DF">
        <w:rPr>
          <w:rFonts w:cs="Arial"/>
          <w:sz w:val="20"/>
          <w:szCs w:val="20"/>
        </w:rPr>
        <w:t>,</w:t>
      </w:r>
      <w:r w:rsidR="00B73AE0" w:rsidRPr="002F30DF">
        <w:rPr>
          <w:rFonts w:cs="Arial"/>
          <w:sz w:val="20"/>
          <w:szCs w:val="20"/>
        </w:rPr>
        <w:t xml:space="preserve"> vključno z elektronskimi napravami</w:t>
      </w:r>
      <w:r w:rsidR="0001762E" w:rsidRPr="002F30DF">
        <w:rPr>
          <w:rFonts w:cs="Arial"/>
          <w:sz w:val="20"/>
          <w:szCs w:val="20"/>
        </w:rPr>
        <w:t>,</w:t>
      </w:r>
      <w:r w:rsidRPr="002F30DF">
        <w:rPr>
          <w:rFonts w:cs="Arial"/>
          <w:sz w:val="20"/>
          <w:szCs w:val="20"/>
        </w:rPr>
        <w:t xml:space="preserve"> in imajo pravico do dostopa do katerih koli informacij, ki so </w:t>
      </w:r>
      <w:r w:rsidR="0001762E" w:rsidRPr="002F30DF">
        <w:rPr>
          <w:rFonts w:cs="Arial"/>
          <w:sz w:val="20"/>
          <w:szCs w:val="20"/>
        </w:rPr>
        <w:t xml:space="preserve">dostopni </w:t>
      </w:r>
      <w:r w:rsidRPr="002F30DF">
        <w:rPr>
          <w:rFonts w:cs="Arial"/>
          <w:sz w:val="20"/>
          <w:szCs w:val="20"/>
        </w:rPr>
        <w:t xml:space="preserve">podjetju, </w:t>
      </w:r>
      <w:r w:rsidR="00511779" w:rsidRPr="002F30DF">
        <w:rPr>
          <w:rFonts w:cs="Arial"/>
          <w:sz w:val="20"/>
          <w:szCs w:val="20"/>
        </w:rPr>
        <w:t>ki je predmet pregleda</w:t>
      </w:r>
      <w:r w:rsidRPr="002F30DF">
        <w:rPr>
          <w:rFonts w:cs="Arial"/>
          <w:sz w:val="20"/>
          <w:szCs w:val="20"/>
        </w:rPr>
        <w:t>, torej tudi do tistih podatkov, ki se nahajajo npr. v oblaku ali v oddaljenem arhivu;</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odvz</w:t>
      </w:r>
      <w:r w:rsidR="0054566C" w:rsidRPr="002F30DF">
        <w:rPr>
          <w:rFonts w:cs="Arial"/>
          <w:sz w:val="20"/>
          <w:szCs w:val="20"/>
        </w:rPr>
        <w:t>amejo</w:t>
      </w:r>
      <w:r w:rsidRPr="002F30DF">
        <w:rPr>
          <w:rFonts w:cs="Arial"/>
          <w:sz w:val="20"/>
          <w:szCs w:val="20"/>
        </w:rPr>
        <w:t xml:space="preserve"> ali pridobi</w:t>
      </w:r>
      <w:r w:rsidR="0054566C" w:rsidRPr="002F30DF">
        <w:rPr>
          <w:rFonts w:cs="Arial"/>
          <w:sz w:val="20"/>
          <w:szCs w:val="20"/>
        </w:rPr>
        <w:t>jo</w:t>
      </w:r>
      <w:r w:rsidRPr="002F30DF">
        <w:rPr>
          <w:rFonts w:cs="Arial"/>
          <w:sz w:val="20"/>
          <w:szCs w:val="20"/>
        </w:rPr>
        <w:t xml:space="preserve"> kopije, ne glede na obliko, forenzične kopije ali izvlečke iz poslovnih knjig in druge dokumentacije v kakršni koli obliki z uporabo fotokopirnih sredstev ter računalniške opreme podjetja ali </w:t>
      </w:r>
      <w:r w:rsidR="00B73AE0" w:rsidRPr="002F30DF">
        <w:rPr>
          <w:rFonts w:cs="Arial"/>
          <w:sz w:val="20"/>
          <w:szCs w:val="20"/>
        </w:rPr>
        <w:t>a</w:t>
      </w:r>
      <w:r w:rsidR="0045309B" w:rsidRPr="002F30DF">
        <w:rPr>
          <w:rFonts w:cs="Arial"/>
          <w:sz w:val="20"/>
          <w:szCs w:val="20"/>
        </w:rPr>
        <w:t>genc</w:t>
      </w:r>
      <w:r w:rsidRPr="002F30DF">
        <w:rPr>
          <w:rFonts w:cs="Arial"/>
          <w:sz w:val="20"/>
          <w:szCs w:val="20"/>
        </w:rPr>
        <w:t>ije. Če</w:t>
      </w:r>
      <w:r w:rsidR="00511779" w:rsidRPr="002F30DF">
        <w:rPr>
          <w:rFonts w:cs="Arial"/>
          <w:sz w:val="20"/>
          <w:szCs w:val="20"/>
        </w:rPr>
        <w:t xml:space="preserve"> pooblaščene osebe menijo, da je to ustrezno, nadaljujejo s takimi iskanji informacij in izberejo kopije ali izvlečke v prostorih agencije ali katerihkoli drugih za to določenih prostorih</w:t>
      </w:r>
      <w:r w:rsidRPr="002F30DF">
        <w:rPr>
          <w:rFonts w:cs="Arial"/>
          <w:sz w:val="20"/>
          <w:szCs w:val="20"/>
        </w:rPr>
        <w:t xml:space="preserve">. O tem </w:t>
      </w:r>
      <w:r w:rsidR="00B73AE0" w:rsidRPr="002F30DF">
        <w:rPr>
          <w:rFonts w:cs="Arial"/>
          <w:sz w:val="20"/>
          <w:szCs w:val="20"/>
        </w:rPr>
        <w:t>pooblaščene uradne osebe naredijo</w:t>
      </w:r>
      <w:r w:rsidRPr="002F30DF">
        <w:rPr>
          <w:rFonts w:cs="Arial"/>
          <w:sz w:val="20"/>
          <w:szCs w:val="20"/>
        </w:rPr>
        <w:t xml:space="preserve"> uradni zaznamek;</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zapečati</w:t>
      </w:r>
      <w:r w:rsidR="0054566C" w:rsidRPr="002F30DF">
        <w:rPr>
          <w:rFonts w:cs="Arial"/>
          <w:sz w:val="20"/>
          <w:szCs w:val="20"/>
        </w:rPr>
        <w:t>jo</w:t>
      </w:r>
      <w:r w:rsidRPr="002F30DF">
        <w:rPr>
          <w:rFonts w:cs="Arial"/>
          <w:sz w:val="20"/>
          <w:szCs w:val="20"/>
        </w:rPr>
        <w:t xml:space="preserve"> vse poslovne prostore ter</w:t>
      </w:r>
      <w:r w:rsidR="00511779" w:rsidRPr="002F30DF">
        <w:rPr>
          <w:rFonts w:cs="Arial"/>
          <w:sz w:val="20"/>
          <w:szCs w:val="20"/>
        </w:rPr>
        <w:t xml:space="preserve"> zapečatijo in zasežejo</w:t>
      </w:r>
      <w:r w:rsidRPr="002F30DF">
        <w:rPr>
          <w:rFonts w:cs="Arial"/>
          <w:sz w:val="20"/>
          <w:szCs w:val="20"/>
        </w:rPr>
        <w:t xml:space="preserve"> poslovne knjige in drugo dokumentacijo za </w:t>
      </w:r>
      <w:r w:rsidR="00511779" w:rsidRPr="002F30DF">
        <w:rPr>
          <w:rFonts w:cs="Arial"/>
          <w:sz w:val="20"/>
          <w:szCs w:val="20"/>
        </w:rPr>
        <w:t xml:space="preserve">trajanje </w:t>
      </w:r>
      <w:r w:rsidRPr="002F30DF">
        <w:rPr>
          <w:rFonts w:cs="Arial"/>
          <w:sz w:val="20"/>
          <w:szCs w:val="20"/>
        </w:rPr>
        <w:t>in v obsegu, potrebnem za njeno izvedbo</w:t>
      </w:r>
      <w:r w:rsidR="00511779" w:rsidRPr="002F30DF">
        <w:rPr>
          <w:rFonts w:cs="Arial"/>
          <w:sz w:val="20"/>
          <w:szCs w:val="20"/>
        </w:rPr>
        <w:t>, vendar skupno za največ 30 delovnih dni</w:t>
      </w:r>
      <w:r w:rsidRPr="002F30DF">
        <w:rPr>
          <w:rFonts w:cs="Arial"/>
          <w:sz w:val="20"/>
          <w:szCs w:val="20"/>
        </w:rPr>
        <w:t>;</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zahteva</w:t>
      </w:r>
      <w:r w:rsidR="0054566C" w:rsidRPr="002F30DF">
        <w:rPr>
          <w:rFonts w:cs="Arial"/>
          <w:sz w:val="20"/>
          <w:szCs w:val="20"/>
        </w:rPr>
        <w:t>jo</w:t>
      </w:r>
      <w:r w:rsidRPr="002F30DF">
        <w:rPr>
          <w:rFonts w:cs="Arial"/>
          <w:sz w:val="20"/>
          <w:szCs w:val="20"/>
        </w:rPr>
        <w:t xml:space="preserve"> od katerega koli predstavnika ali osebe zaposlene v podjetju ustno ali pisno pojasnilo dejstev ali dokumentov, ki se nanašajo na predmet ali namen preiskave, ter o tem sestavijo zapisnik. Če pooblaščena oseba zahteva pisno pojasnilo, določi rok, v katerem mora biti posredovano;</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pregleda</w:t>
      </w:r>
      <w:r w:rsidR="0054566C" w:rsidRPr="002F30DF">
        <w:rPr>
          <w:rFonts w:cs="Arial"/>
          <w:sz w:val="20"/>
          <w:szCs w:val="20"/>
        </w:rPr>
        <w:t>jo</w:t>
      </w:r>
      <w:r w:rsidRPr="002F30DF">
        <w:rPr>
          <w:rFonts w:cs="Arial"/>
          <w:sz w:val="20"/>
          <w:szCs w:val="20"/>
        </w:rPr>
        <w:t xml:space="preserve"> listine, s katerimi lahko ugotovijo istovetnost oseb;</w:t>
      </w:r>
      <w:r w:rsidR="00B73AE0" w:rsidRPr="002F30DF">
        <w:rPr>
          <w:rFonts w:cs="Arial"/>
          <w:sz w:val="20"/>
          <w:szCs w:val="20"/>
        </w:rPr>
        <w:t xml:space="preserve"> ter</w:t>
      </w:r>
    </w:p>
    <w:p w:rsidR="007522E3" w:rsidRPr="002F30DF" w:rsidRDefault="007522E3" w:rsidP="00431BAA">
      <w:pPr>
        <w:numPr>
          <w:ilvl w:val="0"/>
          <w:numId w:val="66"/>
        </w:numPr>
        <w:overflowPunct/>
        <w:autoSpaceDE/>
        <w:autoSpaceDN/>
        <w:adjustRightInd/>
        <w:spacing w:line="260" w:lineRule="atLeast"/>
        <w:ind w:left="426"/>
        <w:textAlignment w:val="auto"/>
        <w:rPr>
          <w:rFonts w:cs="Arial"/>
          <w:sz w:val="20"/>
          <w:szCs w:val="20"/>
        </w:rPr>
      </w:pPr>
      <w:r w:rsidRPr="002F30DF">
        <w:rPr>
          <w:rFonts w:cs="Arial"/>
          <w:sz w:val="20"/>
          <w:szCs w:val="20"/>
        </w:rPr>
        <w:t>opravi</w:t>
      </w:r>
      <w:r w:rsidR="0054566C" w:rsidRPr="002F30DF">
        <w:rPr>
          <w:rFonts w:cs="Arial"/>
          <w:sz w:val="20"/>
          <w:szCs w:val="20"/>
        </w:rPr>
        <w:t>jo</w:t>
      </w:r>
      <w:r w:rsidRPr="002F30DF">
        <w:rPr>
          <w:rFonts w:cs="Arial"/>
          <w:sz w:val="20"/>
          <w:szCs w:val="20"/>
        </w:rPr>
        <w:t xml:space="preserve"> druga dejanja, ki so v skladu z namenom preiskave.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 namenom pravilnega prenosa Direktive 2019/1 je glede na ZPOmK-1 dopolnjena druga alineja na način, da je izrecno navedeno, da imajo pooblaščene osebe dostop do katerih koli informacij, ki so dostopne podjetju, ki je predmet pregleda, </w:t>
      </w:r>
      <w:r w:rsidRPr="002F30DF">
        <w:rPr>
          <w:rFonts w:cs="Arial"/>
          <w:sz w:val="20"/>
          <w:szCs w:val="20"/>
        </w:rPr>
        <w:lastRenderedPageBreak/>
        <w:t xml:space="preserve">torej tudi do informacij, ki jih ima podjetje, ki se </w:t>
      </w:r>
      <w:r w:rsidR="006413F2" w:rsidRPr="002F30DF">
        <w:rPr>
          <w:rFonts w:cs="Arial"/>
          <w:sz w:val="20"/>
          <w:szCs w:val="20"/>
        </w:rPr>
        <w:t xml:space="preserve">ga </w:t>
      </w:r>
      <w:r w:rsidRPr="002F30DF">
        <w:rPr>
          <w:rFonts w:cs="Arial"/>
          <w:sz w:val="20"/>
          <w:szCs w:val="20"/>
        </w:rPr>
        <w:t xml:space="preserve">pregleduje, shranjene na oddaljenih lokacijah, strežnikih itd. Namen te določbe je preprečiti, da bi podjetja shranjevale </w:t>
      </w:r>
      <w:r w:rsidR="006413F2" w:rsidRPr="002F30DF">
        <w:rPr>
          <w:rFonts w:cs="Arial"/>
          <w:sz w:val="20"/>
          <w:szCs w:val="20"/>
        </w:rPr>
        <w:t xml:space="preserve">podatke </w:t>
      </w:r>
      <w:r w:rsidRPr="002F30DF">
        <w:rPr>
          <w:rFonts w:cs="Arial"/>
          <w:sz w:val="20"/>
          <w:szCs w:val="20"/>
        </w:rPr>
        <w:t xml:space="preserve">na strežnikih, ki niso v njegovi posesti. Iz istega razloga </w:t>
      </w:r>
      <w:r w:rsidR="0001762E" w:rsidRPr="002F30DF">
        <w:rPr>
          <w:rFonts w:cs="Arial"/>
          <w:sz w:val="20"/>
          <w:szCs w:val="20"/>
        </w:rPr>
        <w:t xml:space="preserve">sta </w:t>
      </w:r>
      <w:r w:rsidRPr="002F30DF">
        <w:rPr>
          <w:rFonts w:cs="Arial"/>
          <w:sz w:val="20"/>
          <w:szCs w:val="20"/>
        </w:rPr>
        <w:t>dopolnjen</w:t>
      </w:r>
      <w:r w:rsidR="0001762E" w:rsidRPr="002F30DF">
        <w:rPr>
          <w:rFonts w:cs="Arial"/>
          <w:sz w:val="20"/>
          <w:szCs w:val="20"/>
        </w:rPr>
        <w:t>i oziroma spremenjena</w:t>
      </w:r>
      <w:r w:rsidRPr="002F30DF">
        <w:rPr>
          <w:rFonts w:cs="Arial"/>
          <w:sz w:val="20"/>
          <w:szCs w:val="20"/>
        </w:rPr>
        <w:t xml:space="preserve"> tudi </w:t>
      </w:r>
      <w:r w:rsidR="0001762E" w:rsidRPr="002F30DF">
        <w:rPr>
          <w:rFonts w:cs="Arial"/>
          <w:sz w:val="20"/>
          <w:szCs w:val="20"/>
        </w:rPr>
        <w:t xml:space="preserve">četrta </w:t>
      </w:r>
      <w:r w:rsidRPr="002F30DF">
        <w:rPr>
          <w:rFonts w:cs="Arial"/>
          <w:sz w:val="20"/>
          <w:szCs w:val="20"/>
        </w:rPr>
        <w:t>alineja.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mora </w:t>
      </w:r>
      <w:r w:rsidR="00B73AE0" w:rsidRPr="002F30DF">
        <w:rPr>
          <w:rFonts w:cs="Arial"/>
          <w:sz w:val="20"/>
          <w:szCs w:val="20"/>
        </w:rPr>
        <w:t>a</w:t>
      </w:r>
      <w:r w:rsidR="0045309B" w:rsidRPr="002F30DF">
        <w:rPr>
          <w:rFonts w:cs="Arial"/>
          <w:sz w:val="20"/>
          <w:szCs w:val="20"/>
        </w:rPr>
        <w:t>genc</w:t>
      </w:r>
      <w:r w:rsidRPr="002F30DF">
        <w:rPr>
          <w:rFonts w:cs="Arial"/>
          <w:sz w:val="20"/>
          <w:szCs w:val="20"/>
        </w:rPr>
        <w:t>ija v primeru, če zaseže predmete ter poslovne knjige in drugo dokumentacijo v zapisniku navesti, kje so bili najdeni, jih opisati in izdati potrdilo o njihovem zasegu. Določba se od določbe v ZPOmK-1 razlikuje le v vrsti dokumenta, v katere</w:t>
      </w:r>
      <w:r w:rsidR="006413F2" w:rsidRPr="002F30DF">
        <w:rPr>
          <w:rFonts w:cs="Arial"/>
          <w:sz w:val="20"/>
          <w:szCs w:val="20"/>
        </w:rPr>
        <w:t>m</w:t>
      </w:r>
      <w:r w:rsidRPr="002F30DF">
        <w:rPr>
          <w:rFonts w:cs="Arial"/>
          <w:sz w:val="20"/>
          <w:szCs w:val="20"/>
        </w:rPr>
        <w:t xml:space="preserve"> </w:t>
      </w:r>
      <w:r w:rsidR="003816F4" w:rsidRPr="002F30DF">
        <w:rPr>
          <w:rFonts w:cs="Arial"/>
          <w:sz w:val="20"/>
          <w:szCs w:val="20"/>
        </w:rPr>
        <w:t>a</w:t>
      </w:r>
      <w:r w:rsidR="0045309B" w:rsidRPr="002F30DF">
        <w:rPr>
          <w:rFonts w:cs="Arial"/>
          <w:sz w:val="20"/>
          <w:szCs w:val="20"/>
        </w:rPr>
        <w:t>genc</w:t>
      </w:r>
      <w:r w:rsidRPr="002F30DF">
        <w:rPr>
          <w:rFonts w:cs="Arial"/>
          <w:sz w:val="20"/>
          <w:szCs w:val="20"/>
        </w:rPr>
        <w:t>ija nave</w:t>
      </w:r>
      <w:r w:rsidR="006413F2" w:rsidRPr="002F30DF">
        <w:rPr>
          <w:rFonts w:cs="Arial"/>
          <w:sz w:val="20"/>
          <w:szCs w:val="20"/>
        </w:rPr>
        <w:t>de</w:t>
      </w:r>
      <w:r w:rsidRPr="002F30DF">
        <w:rPr>
          <w:rFonts w:cs="Arial"/>
          <w:sz w:val="20"/>
          <w:szCs w:val="20"/>
        </w:rPr>
        <w:t xml:space="preserve"> podatke o zaseženih predmetnih. </w:t>
      </w:r>
      <w:r w:rsidR="004B1D9C" w:rsidRPr="002F30DF">
        <w:rPr>
          <w:rFonts w:cs="Arial"/>
          <w:sz w:val="20"/>
          <w:szCs w:val="20"/>
        </w:rPr>
        <w:t>A</w:t>
      </w:r>
      <w:r w:rsidR="0045309B" w:rsidRPr="002F30DF">
        <w:rPr>
          <w:rFonts w:cs="Arial"/>
          <w:sz w:val="20"/>
          <w:szCs w:val="20"/>
        </w:rPr>
        <w:t>genc</w:t>
      </w:r>
      <w:r w:rsidRPr="002F30DF">
        <w:rPr>
          <w:rFonts w:cs="Arial"/>
          <w:sz w:val="20"/>
          <w:szCs w:val="20"/>
        </w:rPr>
        <w:t>ija</w:t>
      </w:r>
      <w:r w:rsidR="004B1D9C" w:rsidRPr="002F30DF">
        <w:rPr>
          <w:rFonts w:cs="Arial"/>
          <w:sz w:val="20"/>
          <w:szCs w:val="20"/>
        </w:rPr>
        <w:t xml:space="preserve"> bo</w:t>
      </w:r>
      <w:r w:rsidRPr="002F30DF">
        <w:rPr>
          <w:rFonts w:cs="Arial"/>
          <w:sz w:val="20"/>
          <w:szCs w:val="20"/>
        </w:rPr>
        <w:t xml:space="preserve"> te podatke naved</w:t>
      </w:r>
      <w:r w:rsidR="004B1D9C" w:rsidRPr="002F30DF">
        <w:rPr>
          <w:rFonts w:cs="Arial"/>
          <w:sz w:val="20"/>
          <w:szCs w:val="20"/>
        </w:rPr>
        <w:t>la</w:t>
      </w:r>
      <w:r w:rsidRPr="002F30DF">
        <w:rPr>
          <w:rFonts w:cs="Arial"/>
          <w:sz w:val="20"/>
          <w:szCs w:val="20"/>
        </w:rPr>
        <w:t xml:space="preserve"> v zapisnik</w:t>
      </w:r>
      <w:r w:rsidR="006413F2" w:rsidRPr="002F30DF">
        <w:rPr>
          <w:rFonts w:cs="Arial"/>
          <w:sz w:val="20"/>
          <w:szCs w:val="20"/>
        </w:rPr>
        <w:t>u</w:t>
      </w:r>
      <w:r w:rsidRPr="002F30DF">
        <w:rPr>
          <w:rFonts w:cs="Arial"/>
          <w:sz w:val="20"/>
          <w:szCs w:val="20"/>
        </w:rPr>
        <w:t>, ki ga izda ob preiskavi in ne več v poročil</w:t>
      </w:r>
      <w:r w:rsidR="006413F2" w:rsidRPr="002F30DF">
        <w:rPr>
          <w:rFonts w:cs="Arial"/>
          <w:sz w:val="20"/>
          <w:szCs w:val="20"/>
        </w:rPr>
        <w:t>u</w:t>
      </w:r>
      <w:r w:rsidRPr="002F30DF">
        <w:rPr>
          <w:rFonts w:cs="Arial"/>
          <w:sz w:val="20"/>
          <w:szCs w:val="20"/>
        </w:rPr>
        <w:t xml:space="preserve"> o preiskavi, saj le-tega </w:t>
      </w:r>
      <w:r w:rsidR="003816F4" w:rsidRPr="002F30DF">
        <w:rPr>
          <w:rFonts w:cs="Arial"/>
          <w:sz w:val="20"/>
          <w:szCs w:val="20"/>
        </w:rPr>
        <w:t>a</w:t>
      </w:r>
      <w:r w:rsidR="0045309B" w:rsidRPr="002F30DF">
        <w:rPr>
          <w:rFonts w:cs="Arial"/>
          <w:sz w:val="20"/>
          <w:szCs w:val="20"/>
        </w:rPr>
        <w:t>genc</w:t>
      </w:r>
      <w:r w:rsidRPr="002F30DF">
        <w:rPr>
          <w:rFonts w:cs="Arial"/>
          <w:sz w:val="20"/>
          <w:szCs w:val="20"/>
        </w:rPr>
        <w:t>iji po novem n</w:t>
      </w:r>
      <w:r w:rsidR="006413F2" w:rsidRPr="002F30DF">
        <w:rPr>
          <w:rFonts w:cs="Arial"/>
          <w:sz w:val="20"/>
          <w:szCs w:val="20"/>
        </w:rPr>
        <w:t>i</w:t>
      </w:r>
      <w:r w:rsidRPr="002F30DF">
        <w:rPr>
          <w:rFonts w:cs="Arial"/>
          <w:sz w:val="20"/>
          <w:szCs w:val="20"/>
        </w:rPr>
        <w:t xml:space="preserve"> treba </w:t>
      </w:r>
      <w:r w:rsidR="006413F2" w:rsidRPr="002F30DF">
        <w:rPr>
          <w:rFonts w:cs="Arial"/>
          <w:sz w:val="20"/>
          <w:szCs w:val="20"/>
        </w:rPr>
        <w:t xml:space="preserve">več </w:t>
      </w:r>
      <w:r w:rsidRPr="002F30DF">
        <w:rPr>
          <w:rFonts w:cs="Arial"/>
          <w:sz w:val="20"/>
          <w:szCs w:val="20"/>
        </w:rPr>
        <w:t>sestaviti. Drugače kot ZPOmK-1 pa se s tem zakonom opredeljuje način zavarovanja podatkov na zaseženih elektronskih napravah in za ravnanje s forenzičnimi kopijami.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w:t>
      </w:r>
      <w:r w:rsidRPr="002F30DF">
        <w:rPr>
          <w:rFonts w:cs="Arial"/>
          <w:sz w:val="20"/>
          <w:szCs w:val="20"/>
          <w:u w:val="single"/>
        </w:rPr>
        <w:t>četrtim odstavkom</w:t>
      </w:r>
      <w:r w:rsidRPr="002F30DF">
        <w:rPr>
          <w:rFonts w:cs="Arial"/>
          <w:sz w:val="20"/>
          <w:szCs w:val="20"/>
        </w:rPr>
        <w:t xml:space="preserve"> se ohranja dosedanja sodelovalna dolžnost podjetja pri opravljanju preiskave. Podjetja morajo pooblaščenim osebam omogočiti dostop do prostorov, </w:t>
      </w:r>
      <w:r w:rsidR="007B0EB8" w:rsidRPr="002F30DF">
        <w:rPr>
          <w:rFonts w:cs="Arial"/>
          <w:sz w:val="20"/>
          <w:szCs w:val="20"/>
        </w:rPr>
        <w:t xml:space="preserve">zemljišč in prevoznih sredstev, </w:t>
      </w:r>
      <w:r w:rsidRPr="002F30DF">
        <w:rPr>
          <w:rFonts w:cs="Arial"/>
          <w:sz w:val="20"/>
          <w:szCs w:val="20"/>
        </w:rPr>
        <w:t xml:space="preserve">poslovnih knjig </w:t>
      </w:r>
      <w:r w:rsidR="007B0EB8" w:rsidRPr="002F30DF">
        <w:rPr>
          <w:rFonts w:cs="Arial"/>
          <w:sz w:val="20"/>
          <w:szCs w:val="20"/>
        </w:rPr>
        <w:t xml:space="preserve">ter </w:t>
      </w:r>
      <w:r w:rsidRPr="002F30DF">
        <w:rPr>
          <w:rFonts w:cs="Arial"/>
          <w:sz w:val="20"/>
          <w:szCs w:val="20"/>
        </w:rPr>
        <w:t>druge dokumentacije</w:t>
      </w:r>
      <w:r w:rsidR="00547E49" w:rsidRPr="002F30DF">
        <w:rPr>
          <w:rFonts w:cs="Arial"/>
          <w:sz w:val="20"/>
          <w:szCs w:val="20"/>
        </w:rPr>
        <w:t xml:space="preserve">. Ta odstavek </w:t>
      </w:r>
      <w:r w:rsidRPr="002F30DF">
        <w:rPr>
          <w:rFonts w:cs="Arial"/>
          <w:sz w:val="20"/>
          <w:szCs w:val="20"/>
        </w:rPr>
        <w:t>omogoča pooblaščenim osebam, da opravijo preiskavo tudi, če se podjetje s preiskavo ne strinja. S to določb</w:t>
      </w:r>
      <w:r w:rsidR="00547E49" w:rsidRPr="002F30DF">
        <w:rPr>
          <w:rFonts w:cs="Arial"/>
          <w:sz w:val="20"/>
          <w:szCs w:val="20"/>
        </w:rPr>
        <w:t>o</w:t>
      </w:r>
      <w:r w:rsidRPr="002F30DF">
        <w:rPr>
          <w:rFonts w:cs="Arial"/>
          <w:sz w:val="20"/>
          <w:szCs w:val="20"/>
        </w:rPr>
        <w:t xml:space="preserve"> je v naš pravni sistem prenesen prvi stavek drugega odstavka 6. člena Direktive 2019/1, ki določa, da </w:t>
      </w:r>
      <w:r w:rsidRPr="002F30DF">
        <w:rPr>
          <w:rFonts w:cs="Arial"/>
          <w:i/>
          <w:sz w:val="20"/>
          <w:szCs w:val="20"/>
        </w:rPr>
        <w:t>države članice</w:t>
      </w:r>
      <w:r w:rsidRPr="002F30DF">
        <w:rPr>
          <w:rFonts w:cs="Arial"/>
          <w:sz w:val="20"/>
          <w:szCs w:val="20"/>
        </w:rPr>
        <w:t xml:space="preserve"> </w:t>
      </w:r>
      <w:r w:rsidRPr="002F30DF">
        <w:rPr>
          <w:rFonts w:cs="Arial"/>
          <w:i/>
          <w:sz w:val="20"/>
          <w:szCs w:val="20"/>
        </w:rPr>
        <w:t>zagotovijo, da se morajo podjetja in podjetniška združenja podvreči pregledom iz</w:t>
      </w:r>
      <w:r w:rsidR="0001762E" w:rsidRPr="002F30DF">
        <w:rPr>
          <w:rFonts w:cs="Arial"/>
          <w:i/>
          <w:sz w:val="20"/>
          <w:szCs w:val="20"/>
        </w:rPr>
        <w:t xml:space="preserve"> prvega</w:t>
      </w:r>
      <w:r w:rsidRPr="002F30DF">
        <w:rPr>
          <w:rFonts w:cs="Arial"/>
          <w:i/>
          <w:sz w:val="20"/>
          <w:szCs w:val="20"/>
        </w:rPr>
        <w:t xml:space="preserve"> odstavka. </w:t>
      </w:r>
    </w:p>
    <w:p w:rsidR="007522E3" w:rsidRPr="002F30DF" w:rsidRDefault="007522E3" w:rsidP="0025166A">
      <w:pPr>
        <w:spacing w:line="260" w:lineRule="atLeast"/>
        <w:rPr>
          <w:rFonts w:cs="Arial"/>
          <w:b/>
          <w:sz w:val="20"/>
          <w:szCs w:val="20"/>
        </w:rPr>
      </w:pPr>
    </w:p>
    <w:p w:rsidR="007522E3" w:rsidRPr="002F30DF" w:rsidRDefault="007522E3" w:rsidP="0025166A">
      <w:pPr>
        <w:pStyle w:val="Odstavek"/>
        <w:spacing w:before="0" w:line="260" w:lineRule="atLeast"/>
        <w:ind w:firstLine="0"/>
        <w:rPr>
          <w:sz w:val="20"/>
          <w:szCs w:val="20"/>
        </w:rPr>
      </w:pPr>
      <w:r w:rsidRPr="002F30DF">
        <w:rPr>
          <w:sz w:val="20"/>
          <w:szCs w:val="20"/>
        </w:rPr>
        <w:t xml:space="preserve">Ker so elektronske naprave lahko zaščitene z različnimi gesli oziroma šifrirnimi ključi se v </w:t>
      </w:r>
      <w:r w:rsidRPr="002F30DF">
        <w:rPr>
          <w:sz w:val="20"/>
          <w:szCs w:val="20"/>
          <w:u w:val="single"/>
        </w:rPr>
        <w:t>petem odstavku</w:t>
      </w:r>
      <w:r w:rsidRPr="002F30DF">
        <w:rPr>
          <w:sz w:val="20"/>
          <w:szCs w:val="20"/>
        </w:rPr>
        <w:t xml:space="preserve"> ohranja obveznost, da mora oseba, ki je uporabnik elektronske naprave, ki se pregleduje, pooblaščeni osebi omogočiti dostop do </w:t>
      </w:r>
      <w:r w:rsidR="00547E49" w:rsidRPr="002F30DF">
        <w:rPr>
          <w:sz w:val="20"/>
          <w:szCs w:val="20"/>
        </w:rPr>
        <w:t xml:space="preserve">te </w:t>
      </w:r>
      <w:r w:rsidRPr="002F30DF">
        <w:rPr>
          <w:sz w:val="20"/>
          <w:szCs w:val="20"/>
        </w:rPr>
        <w:t>naprave, predložiti šifrirne ključe oziroma gesla in dati pojasnila o uporabi te naprave. Nadalje nalaga pooblaščenim osebam, da preglede elektronskih naprav opravi</w:t>
      </w:r>
      <w:r w:rsidR="00547E49" w:rsidRPr="002F30DF">
        <w:rPr>
          <w:sz w:val="20"/>
          <w:szCs w:val="20"/>
        </w:rPr>
        <w:t>jo</w:t>
      </w:r>
      <w:r w:rsidRPr="002F30DF">
        <w:rPr>
          <w:sz w:val="20"/>
          <w:szCs w:val="20"/>
        </w:rPr>
        <w:t xml:space="preserve"> tako, da se v najmanjši možni meri posega v pravice oseb, k</w:t>
      </w:r>
      <w:r w:rsidR="00547E49" w:rsidRPr="002F30DF">
        <w:rPr>
          <w:sz w:val="20"/>
          <w:szCs w:val="20"/>
        </w:rPr>
        <w:t>aterih se ne nadzoruje</w:t>
      </w:r>
      <w:r w:rsidRPr="002F30DF">
        <w:rPr>
          <w:sz w:val="20"/>
          <w:szCs w:val="20"/>
        </w:rPr>
        <w:t>, in da pri tem varujejo zaupnost podatkov ter da se pri pregledu ne povzroča nesorazmerna škoda. Zaradi zagotovitve zasebnosti ima oseba, ki takšno zasebnost glede njene vsebine pričakuje</w:t>
      </w:r>
      <w:r w:rsidR="00547E49" w:rsidRPr="002F30DF">
        <w:rPr>
          <w:sz w:val="20"/>
          <w:szCs w:val="20"/>
        </w:rPr>
        <w:t>,</w:t>
      </w:r>
      <w:r w:rsidRPr="002F30DF">
        <w:rPr>
          <w:sz w:val="20"/>
          <w:szCs w:val="20"/>
        </w:rPr>
        <w:t xml:space="preserve"> pravico, da je pri pregledu vsebine elektronske naprave navzoča. O tej pravici jo mora pooblaščena poučiti. </w:t>
      </w:r>
      <w:r w:rsidR="0045309B" w:rsidRPr="002F30DF">
        <w:rPr>
          <w:sz w:val="20"/>
          <w:szCs w:val="20"/>
        </w:rPr>
        <w:t>Agenc</w:t>
      </w:r>
      <w:r w:rsidRPr="002F30DF">
        <w:rPr>
          <w:sz w:val="20"/>
          <w:szCs w:val="20"/>
        </w:rPr>
        <w:t>ija z zaseženim elektronskim napravami ali kopijam elektronskih podatkov ravna tako, da zagotovi istovetnost in integriteto elektronskih podatkov.</w:t>
      </w:r>
    </w:p>
    <w:p w:rsidR="007522E3" w:rsidRPr="002F30DF" w:rsidRDefault="007522E3" w:rsidP="0025166A">
      <w:pPr>
        <w:pStyle w:val="Odstavek"/>
        <w:spacing w:before="0" w:line="260" w:lineRule="atLeast"/>
        <w:ind w:firstLine="0"/>
        <w:rPr>
          <w:sz w:val="20"/>
          <w:szCs w:val="20"/>
        </w:rPr>
      </w:pPr>
    </w:p>
    <w:p w:rsidR="007522E3" w:rsidRPr="002F30DF" w:rsidRDefault="007522E3" w:rsidP="0025166A">
      <w:pPr>
        <w:pStyle w:val="Odstavek"/>
        <w:spacing w:before="0" w:line="260" w:lineRule="atLeast"/>
        <w:ind w:firstLine="0"/>
        <w:rPr>
          <w:sz w:val="20"/>
          <w:szCs w:val="20"/>
        </w:rPr>
      </w:pPr>
      <w:r w:rsidRPr="002F30DF">
        <w:rPr>
          <w:sz w:val="20"/>
          <w:szCs w:val="20"/>
          <w:u w:val="single"/>
        </w:rPr>
        <w:lastRenderedPageBreak/>
        <w:t>Šesti odstavek</w:t>
      </w:r>
      <w:r w:rsidRPr="002F30DF">
        <w:rPr>
          <w:sz w:val="20"/>
          <w:szCs w:val="20"/>
        </w:rPr>
        <w:t xml:space="preserve"> določa čas v katerem lahko pooblaščene osebe opravijo preiskavo</w:t>
      </w:r>
      <w:r w:rsidR="007B0EB8" w:rsidRPr="002F30DF">
        <w:rPr>
          <w:sz w:val="20"/>
          <w:szCs w:val="20"/>
        </w:rPr>
        <w:t xml:space="preserve">, in sicer je ta med 6. in 22. uro. Preiskava se lahko </w:t>
      </w:r>
      <w:r w:rsidR="007B0EB8" w:rsidRPr="002F30DF">
        <w:rPr>
          <w:color w:val="000000"/>
          <w:sz w:val="20"/>
          <w:szCs w:val="20"/>
          <w:shd w:val="clear" w:color="auto" w:fill="FFFFFF"/>
        </w:rPr>
        <w:t>opravlja tudi izven tako določenega časa, če se je v njem začela, pa se do 22. ure še ni končala ali če sodnik v odredbi za preiskavo iz 4. odstavka 56.  člena, oceni, da bi bili lahko zaradi odlašanja uničene poslovne knjige in druga dokumentacija oziroma predmeti, pomembni za postopek, in to posebej dovoli</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w:t>
      </w:r>
      <w:r w:rsidR="00334415" w:rsidRPr="002F30DF">
        <w:rPr>
          <w:rFonts w:cs="Arial"/>
          <w:b/>
          <w:sz w:val="20"/>
          <w:szCs w:val="20"/>
        </w:rPr>
        <w:t xml:space="preserve"> </w:t>
      </w:r>
      <w:r w:rsidR="003B2061" w:rsidRPr="002F30DF">
        <w:rPr>
          <w:rFonts w:cs="Arial"/>
          <w:b/>
          <w:sz w:val="20"/>
          <w:szCs w:val="20"/>
        </w:rPr>
        <w:t>5</w:t>
      </w:r>
      <w:r w:rsidR="00577EFC" w:rsidRPr="002F30DF">
        <w:rPr>
          <w:rFonts w:cs="Arial"/>
          <w:b/>
          <w:sz w:val="20"/>
          <w:szCs w:val="20"/>
        </w:rPr>
        <w:t>7</w:t>
      </w:r>
      <w:r w:rsidRPr="002F30DF">
        <w:rPr>
          <w:rFonts w:cs="Arial"/>
          <w:b/>
          <w:sz w:val="20"/>
          <w:szCs w:val="20"/>
        </w:rPr>
        <w:t>. členu (opravljanje preiskave)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ureja dokazila, s katerimi pooblaščena oseba izkazuje pooblastilo za opravljanje preiskave. Na podlagi </w:t>
      </w:r>
      <w:r w:rsidRPr="002F30DF">
        <w:rPr>
          <w:rFonts w:cs="Arial"/>
          <w:sz w:val="20"/>
          <w:szCs w:val="20"/>
          <w:u w:val="single"/>
        </w:rPr>
        <w:t>prvega odstavka</w:t>
      </w:r>
      <w:r w:rsidRPr="002F30DF">
        <w:rPr>
          <w:rFonts w:cs="Arial"/>
          <w:sz w:val="20"/>
          <w:szCs w:val="20"/>
        </w:rPr>
        <w:t xml:space="preserve"> bodo osebe, ki so zaposlene </w:t>
      </w:r>
      <w:r w:rsidR="004B1D9C" w:rsidRPr="002F30DF">
        <w:rPr>
          <w:rFonts w:cs="Arial"/>
          <w:sz w:val="20"/>
          <w:szCs w:val="20"/>
        </w:rPr>
        <w:t xml:space="preserve">v </w:t>
      </w:r>
      <w:r w:rsidR="003816F4" w:rsidRPr="002F30DF">
        <w:rPr>
          <w:rFonts w:cs="Arial"/>
          <w:sz w:val="20"/>
          <w:szCs w:val="20"/>
        </w:rPr>
        <w:t>a</w:t>
      </w:r>
      <w:r w:rsidR="0045309B" w:rsidRPr="002F30DF">
        <w:rPr>
          <w:rFonts w:cs="Arial"/>
          <w:sz w:val="20"/>
          <w:szCs w:val="20"/>
        </w:rPr>
        <w:t>genc</w:t>
      </w:r>
      <w:r w:rsidRPr="002F30DF">
        <w:rPr>
          <w:rFonts w:cs="Arial"/>
          <w:sz w:val="20"/>
          <w:szCs w:val="20"/>
        </w:rPr>
        <w:t>iji, izkazovale pooblastilo s službeno izkaznico, medtem ko bodo specializirane organizacije, zavodi ali posamezniki to izkazovali s pisnim pooblastilo</w:t>
      </w:r>
      <w:r w:rsidR="0001762E" w:rsidRPr="002F30DF">
        <w:rPr>
          <w:rFonts w:cs="Arial"/>
          <w:sz w:val="20"/>
          <w:szCs w:val="20"/>
        </w:rPr>
        <w:t>m</w:t>
      </w:r>
      <w:r w:rsidRPr="002F30DF">
        <w:rPr>
          <w:rFonts w:cs="Arial"/>
          <w:sz w:val="20"/>
          <w:szCs w:val="20"/>
        </w:rPr>
        <w:t xml:space="preserve"> </w:t>
      </w:r>
      <w:r w:rsidR="004D1322" w:rsidRPr="002F30DF">
        <w:rPr>
          <w:rFonts w:cs="Arial"/>
          <w:sz w:val="20"/>
          <w:szCs w:val="20"/>
        </w:rPr>
        <w:t xml:space="preserve">direktorja </w:t>
      </w:r>
      <w:r w:rsidR="003816F4" w:rsidRPr="002F30DF">
        <w:rPr>
          <w:rFonts w:cs="Arial"/>
          <w:sz w:val="20"/>
          <w:szCs w:val="20"/>
        </w:rPr>
        <w:t>a</w:t>
      </w:r>
      <w:r w:rsidR="0045309B" w:rsidRPr="002F30DF">
        <w:rPr>
          <w:rFonts w:cs="Arial"/>
          <w:sz w:val="20"/>
          <w:szCs w:val="20"/>
        </w:rPr>
        <w:t>genc</w:t>
      </w:r>
      <w:r w:rsidRPr="002F30DF">
        <w:rPr>
          <w:rFonts w:cs="Arial"/>
          <w:sz w:val="20"/>
          <w:szCs w:val="20"/>
        </w:rPr>
        <w:t>ije, v katerem bo moral biti jasno naveden tudi obseg pooblastil.</w:t>
      </w:r>
    </w:p>
    <w:p w:rsidR="007522E3" w:rsidRPr="002F30DF" w:rsidRDefault="007522E3" w:rsidP="0025166A">
      <w:pPr>
        <w:spacing w:line="260" w:lineRule="atLeast"/>
        <w:rPr>
          <w:rFonts w:cs="Arial"/>
          <w:sz w:val="20"/>
          <w:szCs w:val="20"/>
        </w:rPr>
      </w:pPr>
    </w:p>
    <w:p w:rsidR="00494F8D" w:rsidRPr="002F30DF" w:rsidRDefault="007522E3" w:rsidP="0025166A">
      <w:pPr>
        <w:spacing w:line="260" w:lineRule="atLeast"/>
        <w:rPr>
          <w:rFonts w:cs="Arial"/>
          <w:sz w:val="20"/>
          <w:szCs w:val="20"/>
        </w:rPr>
      </w:pPr>
      <w:r w:rsidRPr="002F30DF">
        <w:rPr>
          <w:rFonts w:cs="Arial"/>
          <w:sz w:val="20"/>
          <w:szCs w:val="20"/>
          <w:u w:val="single"/>
        </w:rPr>
        <w:t xml:space="preserve">Drugi in tretji odstavek </w:t>
      </w:r>
      <w:r w:rsidRPr="002F30DF">
        <w:rPr>
          <w:rFonts w:cs="Arial"/>
          <w:sz w:val="20"/>
          <w:szCs w:val="20"/>
        </w:rPr>
        <w:t xml:space="preserve">določata pravno podlago za izdajo službene izkaznice osebam, ki so zaposlene na </w:t>
      </w:r>
      <w:r w:rsidR="003816F4" w:rsidRPr="002F30DF">
        <w:rPr>
          <w:rFonts w:cs="Arial"/>
          <w:sz w:val="20"/>
          <w:szCs w:val="20"/>
        </w:rPr>
        <w:t>a</w:t>
      </w:r>
      <w:r w:rsidR="0045309B" w:rsidRPr="002F30DF">
        <w:rPr>
          <w:rFonts w:cs="Arial"/>
          <w:sz w:val="20"/>
          <w:szCs w:val="20"/>
        </w:rPr>
        <w:t>genc</w:t>
      </w:r>
      <w:r w:rsidRPr="002F30DF">
        <w:rPr>
          <w:rFonts w:cs="Arial"/>
          <w:sz w:val="20"/>
          <w:szCs w:val="20"/>
        </w:rPr>
        <w:t>ij</w:t>
      </w:r>
      <w:r w:rsidR="002F4027" w:rsidRPr="002F30DF">
        <w:rPr>
          <w:rFonts w:cs="Arial"/>
          <w:sz w:val="20"/>
          <w:szCs w:val="20"/>
        </w:rPr>
        <w:t>i</w:t>
      </w:r>
      <w:r w:rsidRPr="002F30DF">
        <w:rPr>
          <w:rFonts w:cs="Arial"/>
          <w:sz w:val="20"/>
          <w:szCs w:val="20"/>
        </w:rPr>
        <w:t xml:space="preserve"> ter </w:t>
      </w:r>
      <w:r w:rsidR="00433AC4" w:rsidRPr="002F30DF">
        <w:rPr>
          <w:rFonts w:cs="Arial"/>
          <w:sz w:val="20"/>
          <w:szCs w:val="20"/>
        </w:rPr>
        <w:t xml:space="preserve">za izdajo pravilnika, v katerem se uredi oblika službene izkaznice in postopek za njeno izdajo. </w:t>
      </w:r>
    </w:p>
    <w:p w:rsidR="00494F8D" w:rsidRPr="002F30DF" w:rsidRDefault="00494F8D"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B2061" w:rsidRPr="002F30DF">
        <w:rPr>
          <w:rFonts w:cs="Arial"/>
          <w:b/>
          <w:sz w:val="20"/>
          <w:szCs w:val="20"/>
        </w:rPr>
        <w:t>5</w:t>
      </w:r>
      <w:r w:rsidR="00577EFC" w:rsidRPr="002F30DF">
        <w:rPr>
          <w:rFonts w:cs="Arial"/>
          <w:b/>
          <w:sz w:val="20"/>
          <w:szCs w:val="20"/>
        </w:rPr>
        <w:t>8</w:t>
      </w:r>
      <w:r w:rsidRPr="002F30DF">
        <w:rPr>
          <w:rFonts w:cs="Arial"/>
          <w:b/>
          <w:sz w:val="20"/>
          <w:szCs w:val="20"/>
        </w:rPr>
        <w:t>. členu (oviranje preiskave)</w:t>
      </w:r>
    </w:p>
    <w:p w:rsidR="007522E3" w:rsidRPr="002F30DF" w:rsidRDefault="003816F4" w:rsidP="003816F4">
      <w:pPr>
        <w:tabs>
          <w:tab w:val="left" w:pos="6329"/>
        </w:tabs>
        <w:spacing w:line="260" w:lineRule="atLeast"/>
        <w:rPr>
          <w:rFonts w:cs="Arial"/>
          <w:b/>
          <w:sz w:val="20"/>
          <w:szCs w:val="20"/>
        </w:rPr>
      </w:pPr>
      <w:r w:rsidRPr="002F30DF">
        <w:rPr>
          <w:rFonts w:cs="Arial"/>
          <w:b/>
          <w:sz w:val="20"/>
          <w:szCs w:val="20"/>
        </w:rPr>
        <w:tab/>
      </w:r>
    </w:p>
    <w:p w:rsidR="007522E3" w:rsidRPr="002F30DF" w:rsidRDefault="007522E3" w:rsidP="0025166A">
      <w:pPr>
        <w:spacing w:line="260" w:lineRule="atLeast"/>
        <w:rPr>
          <w:rFonts w:cs="Arial"/>
          <w:sz w:val="20"/>
          <w:szCs w:val="20"/>
        </w:rPr>
      </w:pPr>
      <w:r w:rsidRPr="002F30DF">
        <w:rPr>
          <w:rFonts w:cs="Arial"/>
          <w:sz w:val="20"/>
          <w:szCs w:val="20"/>
        </w:rPr>
        <w:t xml:space="preserve">Med izvajanjem preiskave je podjetju, v skladu s četrtim odstavkom </w:t>
      </w:r>
      <w:r w:rsidR="003B2061" w:rsidRPr="002F30DF">
        <w:rPr>
          <w:rFonts w:cs="Arial"/>
          <w:sz w:val="20"/>
          <w:szCs w:val="20"/>
        </w:rPr>
        <w:t>57</w:t>
      </w:r>
      <w:r w:rsidRPr="002F30DF">
        <w:rPr>
          <w:rFonts w:cs="Arial"/>
          <w:sz w:val="20"/>
          <w:szCs w:val="20"/>
        </w:rPr>
        <w:t>. člena tega zakona</w:t>
      </w:r>
      <w:r w:rsidR="004B1D9C" w:rsidRPr="002F30DF">
        <w:rPr>
          <w:rFonts w:cs="Arial"/>
          <w:sz w:val="20"/>
          <w:szCs w:val="20"/>
        </w:rPr>
        <w:t>,</w:t>
      </w:r>
      <w:r w:rsidRPr="002F30DF">
        <w:rPr>
          <w:rFonts w:cs="Arial"/>
          <w:sz w:val="20"/>
          <w:szCs w:val="20"/>
        </w:rPr>
        <w:t xml:space="preserve"> naložena sodelovalna dolžnost. Ker </w:t>
      </w:r>
      <w:r w:rsidR="002F4027" w:rsidRPr="002F30DF">
        <w:rPr>
          <w:rFonts w:cs="Arial"/>
          <w:sz w:val="20"/>
          <w:szCs w:val="20"/>
        </w:rPr>
        <w:t xml:space="preserve">se lahko zgodi, da bi </w:t>
      </w:r>
      <w:r w:rsidRPr="002F30DF">
        <w:rPr>
          <w:rFonts w:cs="Arial"/>
          <w:sz w:val="20"/>
          <w:szCs w:val="20"/>
        </w:rPr>
        <w:t xml:space="preserve">podjetje </w:t>
      </w:r>
      <w:r w:rsidR="002F4027" w:rsidRPr="002F30DF">
        <w:rPr>
          <w:rFonts w:cs="Arial"/>
          <w:sz w:val="20"/>
          <w:szCs w:val="20"/>
        </w:rPr>
        <w:t>oviralo</w:t>
      </w:r>
      <w:r w:rsidRPr="002F30DF">
        <w:rPr>
          <w:rFonts w:cs="Arial"/>
          <w:sz w:val="20"/>
          <w:szCs w:val="20"/>
        </w:rPr>
        <w:t xml:space="preserve"> preiskavo, so v tem členu urejene posledice oviranja preiskave.</w:t>
      </w:r>
    </w:p>
    <w:p w:rsidR="007522E3" w:rsidRPr="002F30DF" w:rsidRDefault="007522E3" w:rsidP="0025166A">
      <w:pPr>
        <w:spacing w:line="260" w:lineRule="atLeast"/>
        <w:rPr>
          <w:rFonts w:cs="Arial"/>
          <w:sz w:val="20"/>
          <w:szCs w:val="20"/>
        </w:rPr>
      </w:pPr>
    </w:p>
    <w:p w:rsidR="007522E3" w:rsidRPr="002F30DF" w:rsidRDefault="004B1D9C" w:rsidP="0025166A">
      <w:pPr>
        <w:spacing w:line="260" w:lineRule="atLeast"/>
        <w:rPr>
          <w:rFonts w:cs="Arial"/>
          <w:i/>
          <w:sz w:val="20"/>
          <w:szCs w:val="20"/>
        </w:rPr>
      </w:pPr>
      <w:r w:rsidRPr="002F30DF">
        <w:rPr>
          <w:rFonts w:cs="Arial"/>
          <w:sz w:val="20"/>
          <w:szCs w:val="20"/>
        </w:rPr>
        <w:t>Če</w:t>
      </w:r>
      <w:r w:rsidR="007522E3" w:rsidRPr="002F30DF">
        <w:rPr>
          <w:rFonts w:cs="Arial"/>
          <w:sz w:val="20"/>
          <w:szCs w:val="20"/>
        </w:rPr>
        <w:t xml:space="preserve"> podjetje kakorkoli ovira pooblaščeno osebo pri izvajanju preiskave, lahko ta opravi preiskavo mimo volje podjetja ob pomoči policije. Pri </w:t>
      </w:r>
      <w:r w:rsidR="002F4027" w:rsidRPr="002F30DF">
        <w:rPr>
          <w:rFonts w:cs="Arial"/>
          <w:sz w:val="20"/>
          <w:szCs w:val="20"/>
        </w:rPr>
        <w:t xml:space="preserve">tem </w:t>
      </w:r>
      <w:r w:rsidR="007522E3" w:rsidRPr="002F30DF">
        <w:rPr>
          <w:rFonts w:cs="Arial"/>
          <w:sz w:val="20"/>
          <w:szCs w:val="20"/>
        </w:rPr>
        <w:t>velja neizpodbojna domneva, da podjetje ovira preiskavo, če jo ovirajo člani organov vodenja ali nadzora, zaposleni v podjetj</w:t>
      </w:r>
      <w:r w:rsidR="002F4027" w:rsidRPr="002F30DF">
        <w:rPr>
          <w:rFonts w:cs="Arial"/>
          <w:sz w:val="20"/>
          <w:szCs w:val="20"/>
        </w:rPr>
        <w:t>u</w:t>
      </w:r>
      <w:r w:rsidR="007522E3" w:rsidRPr="002F30DF">
        <w:rPr>
          <w:rFonts w:cs="Arial"/>
          <w:sz w:val="20"/>
          <w:szCs w:val="20"/>
        </w:rPr>
        <w:t xml:space="preserve"> ali pogodbeni sodelavci podjetja. S tem členom</w:t>
      </w:r>
      <w:r w:rsidR="002F4027" w:rsidRPr="002F30DF">
        <w:rPr>
          <w:rFonts w:cs="Arial"/>
          <w:sz w:val="20"/>
          <w:szCs w:val="20"/>
        </w:rPr>
        <w:t xml:space="preserve"> se</w:t>
      </w:r>
      <w:r w:rsidR="007522E3" w:rsidRPr="002F30DF">
        <w:rPr>
          <w:rFonts w:cs="Arial"/>
          <w:sz w:val="20"/>
          <w:szCs w:val="20"/>
        </w:rPr>
        <w:t xml:space="preserve"> prenašata drugi in tretji stavek drugega odstavka 6. člena Direktive 2019/1, ki </w:t>
      </w:r>
      <w:r w:rsidR="007522E3" w:rsidRPr="002F30DF">
        <w:rPr>
          <w:rFonts w:cs="Arial"/>
          <w:i/>
          <w:sz w:val="20"/>
          <w:szCs w:val="20"/>
        </w:rPr>
        <w:t>državam članicam nalaga, da zagotovijo, da kadar podjetje ali podjetniško združenje nasprotuje pregledu, ki ga odredi nacionalni upravni organ, pristojen za varstvo konkurence, in/ali ga odobri nacionalni pravosodni organ, lahko nacionalni organi, pristojni za varstvo konkurence, pridobijo potrebno pomoč policije ali enakovrednega organa za izvajanje tovrstnih pooblastil, da jim omogoči izvedbo pregleda. Takšna pomoč se lahko pridobi tudi kot previdnostni ukrep.</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Za oviranje preiskave lahko </w:t>
      </w:r>
      <w:r w:rsidR="003816F4" w:rsidRPr="002F30DF">
        <w:rPr>
          <w:rFonts w:cs="Arial"/>
          <w:sz w:val="20"/>
          <w:szCs w:val="20"/>
        </w:rPr>
        <w:t>a</w:t>
      </w:r>
      <w:r w:rsidR="0045309B" w:rsidRPr="002F30DF">
        <w:rPr>
          <w:rFonts w:cs="Arial"/>
          <w:sz w:val="20"/>
          <w:szCs w:val="20"/>
        </w:rPr>
        <w:t>genc</w:t>
      </w:r>
      <w:r w:rsidRPr="002F30DF">
        <w:rPr>
          <w:rFonts w:cs="Arial"/>
          <w:sz w:val="20"/>
          <w:szCs w:val="20"/>
        </w:rPr>
        <w:t xml:space="preserve">ija podjetju naloži plačilo administrativne sankcije v skladu </w:t>
      </w:r>
      <w:r w:rsidR="003B2061" w:rsidRPr="002F30DF">
        <w:rPr>
          <w:rFonts w:cs="Arial"/>
          <w:sz w:val="20"/>
          <w:szCs w:val="20"/>
        </w:rPr>
        <w:t xml:space="preserve">s </w:t>
      </w:r>
      <w:r w:rsidR="001B20D2" w:rsidRPr="002F30DF">
        <w:rPr>
          <w:rFonts w:cs="Arial"/>
          <w:sz w:val="20"/>
          <w:szCs w:val="20"/>
        </w:rPr>
        <w:t>8</w:t>
      </w:r>
      <w:r w:rsidR="003B2061" w:rsidRPr="002F30DF">
        <w:rPr>
          <w:rFonts w:cs="Arial"/>
          <w:sz w:val="20"/>
          <w:szCs w:val="20"/>
        </w:rPr>
        <w:t>5</w:t>
      </w:r>
      <w:r w:rsidRPr="002F30DF">
        <w:rPr>
          <w:rFonts w:cs="Arial"/>
          <w:sz w:val="20"/>
          <w:szCs w:val="20"/>
        </w:rPr>
        <w:t xml:space="preserve">. členom tega zakona. In sicer v primeru kakršnega koli oviranja preiskave </w:t>
      </w:r>
      <w:r w:rsidR="003816F4" w:rsidRPr="002F30DF">
        <w:rPr>
          <w:rFonts w:cs="Arial"/>
          <w:sz w:val="20"/>
          <w:szCs w:val="20"/>
        </w:rPr>
        <w:t>a</w:t>
      </w:r>
      <w:r w:rsidR="0045309B" w:rsidRPr="002F30DF">
        <w:rPr>
          <w:rFonts w:cs="Arial"/>
          <w:sz w:val="20"/>
          <w:szCs w:val="20"/>
        </w:rPr>
        <w:t>genc</w:t>
      </w:r>
      <w:r w:rsidRPr="002F30DF">
        <w:rPr>
          <w:rFonts w:cs="Arial"/>
          <w:sz w:val="20"/>
          <w:szCs w:val="20"/>
        </w:rPr>
        <w:t>ija lahko naloži podjetju plačilo administrativne sankcije v obliki enkratnega zneska v višini največ enega odstotka letnega prometa podjetja v prehodnem letu ali pa naloži plačilo periodične administrativne sankcije v obliki dnevnega denarnega zneska v višini največ pet odstotkov povprečnega dnevnega skupnega prometa podje</w:t>
      </w:r>
      <w:r w:rsidR="00C90F38" w:rsidRPr="002F30DF">
        <w:rPr>
          <w:rFonts w:cs="Arial"/>
          <w:sz w:val="20"/>
          <w:szCs w:val="20"/>
        </w:rPr>
        <w:t>tja v predhodnem poslovnem letu.</w:t>
      </w: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77EFC" w:rsidRPr="002F30DF">
        <w:rPr>
          <w:rFonts w:cs="Arial"/>
          <w:b/>
          <w:sz w:val="20"/>
          <w:szCs w:val="20"/>
        </w:rPr>
        <w:t>59</w:t>
      </w:r>
      <w:r w:rsidRPr="002F30DF">
        <w:rPr>
          <w:rFonts w:cs="Arial"/>
          <w:b/>
          <w:sz w:val="20"/>
          <w:szCs w:val="20"/>
        </w:rPr>
        <w:t>. členu (privilegirana komunikacija)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tem členu je urejeno varstvo zaupnosti komunikacije med odvetnikom in stranko (angl. legal professional privilege; v nadaljevanju: privilegirana komunikacija), ki z izvzemom privilegirane komunikacije iz preiskave vzpostavlja potrebno ravnotežje med interesi učinkovite preiskave in interesi preiskovanega podjetja. Privilegirana komunikacija obsega kakršnokoli korespondenco (pisma, obvestila ali drugi načini komunikacije) med podjetjem, zoper katerega se izvaja preiskava, in njegovim odvetnikom glede določenega postopka. Lahko gre za komunikacijo, do katere pride med samim postopkom ali že pred postopkom, če se ta nanaša na predmet postopka</w:t>
      </w:r>
      <w:r w:rsidR="00B5681F"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Drugi do četrti odstavek urejajo ravnanje s privilegirano komunikacijo in glede na ZPOmK-1 ostajajo nespremenjeni. Podjetje, zoper katerega se izvaja preiskava, ali njegov odvetnik lahko pooblaščeni osebi zavrnejo dostop do nekaterih podatkov s sklicevanjem na privilegij, določen v prvem odstavku. V kolikor želijo določene dokumente izločiti iz pregleda, to dejstvo naznanijo pooblaščeni osebi. Vsebine dokumenta v tem primeru niso dolžni razkriti. Če p</w:t>
      </w:r>
      <w:r w:rsidR="004B1D9C" w:rsidRPr="002F30DF">
        <w:rPr>
          <w:rFonts w:cs="Arial"/>
          <w:sz w:val="20"/>
          <w:szCs w:val="20"/>
        </w:rPr>
        <w:t>a</w:t>
      </w:r>
      <w:r w:rsidRPr="002F30DF">
        <w:rPr>
          <w:rFonts w:cs="Arial"/>
          <w:sz w:val="20"/>
          <w:szCs w:val="20"/>
        </w:rPr>
        <w:t xml:space="preserve"> podjetje meni, da je to v njenem interesu, se podjetje lahko odloči, da predloži tovrstno komunikacijo.</w:t>
      </w:r>
      <w:r w:rsidRPr="002F30DF">
        <w:rPr>
          <w:rFonts w:cs="Arial"/>
          <w:sz w:val="20"/>
          <w:szCs w:val="20"/>
          <w:vertAlign w:val="superscript"/>
        </w:rPr>
        <w:footnoteReference w:id="7"/>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Pooblaščena oseba nato dokument zgolj na hitro pregleda in pri tem ne prebira vsebine dokumenta, če je dokument primeren za to, sicer pa podjetje dokazuje privilegiranost dokumenta na drugačen način: pove, kdo je avtor dokumenta, komu je dokument namenjen itd. Odločitev o tem, ali je posamezen dokument ali drug način komunikacije, varovan s tem privilegijem, ni prepuščena pooblaščeni osebi. V primeru, da je pooblaščena oseba mnenja, da ne gre za privilegirano </w:t>
      </w:r>
      <w:r w:rsidRPr="002F30DF">
        <w:rPr>
          <w:rFonts w:cs="Arial"/>
          <w:sz w:val="20"/>
          <w:szCs w:val="20"/>
        </w:rPr>
        <w:lastRenderedPageBreak/>
        <w:t xml:space="preserve">komunikacijo, vloži dokument (ali njegovo kopijo) v zapečateno kuverto, na katero se podpišeta pooblaščena oseba in oseba, ki se sklicuje na privilegij. Zapečateno kuverto, skupaj z zahtevo za odločitev v zadevi, pošlje </w:t>
      </w:r>
      <w:r w:rsidR="003816F4" w:rsidRPr="002F30DF">
        <w:rPr>
          <w:rFonts w:cs="Arial"/>
          <w:sz w:val="20"/>
          <w:szCs w:val="20"/>
        </w:rPr>
        <w:t>a</w:t>
      </w:r>
      <w:r w:rsidR="0045309B" w:rsidRPr="002F30DF">
        <w:rPr>
          <w:rFonts w:cs="Arial"/>
          <w:sz w:val="20"/>
          <w:szCs w:val="20"/>
        </w:rPr>
        <w:t>genc</w:t>
      </w:r>
      <w:r w:rsidRPr="002F30DF">
        <w:rPr>
          <w:rFonts w:cs="Arial"/>
          <w:sz w:val="20"/>
          <w:szCs w:val="20"/>
        </w:rPr>
        <w:t xml:space="preserve">ija na Upravno sodišče Republike Slovenije v Ljubljani, ki o utemeljenosti oziroma neutemeljenosti obstoja privilegirane komunikacije odloči v roku </w:t>
      </w:r>
      <w:r w:rsidR="00880C9B" w:rsidRPr="002F30DF">
        <w:rPr>
          <w:rFonts w:cs="Arial"/>
          <w:sz w:val="20"/>
          <w:szCs w:val="20"/>
        </w:rPr>
        <w:t xml:space="preserve">15 </w:t>
      </w:r>
      <w:r w:rsidRPr="002F30DF">
        <w:rPr>
          <w:rFonts w:cs="Arial"/>
          <w:sz w:val="20"/>
          <w:szCs w:val="20"/>
        </w:rPr>
        <w:t xml:space="preserve">dni od dneva vložitve zahteve. Če odloči, da ne gre za privilegirano komunikacijo, posreduje dokumente </w:t>
      </w:r>
      <w:r w:rsidR="003816F4" w:rsidRPr="002F30DF">
        <w:rPr>
          <w:rFonts w:cs="Arial"/>
          <w:sz w:val="20"/>
          <w:szCs w:val="20"/>
        </w:rPr>
        <w:t>a</w:t>
      </w:r>
      <w:r w:rsidR="0045309B" w:rsidRPr="002F30DF">
        <w:rPr>
          <w:rFonts w:cs="Arial"/>
          <w:sz w:val="20"/>
          <w:szCs w:val="20"/>
        </w:rPr>
        <w:t>genc</w:t>
      </w:r>
      <w:r w:rsidRPr="002F30DF">
        <w:rPr>
          <w:rFonts w:cs="Arial"/>
          <w:sz w:val="20"/>
          <w:szCs w:val="20"/>
        </w:rPr>
        <w:t>iji, če pa odloči, da gre za privilegirano komunikacijo, jih posreduje podjetju, proti kateremu se izvaja preiskava, ali njegovemu odvetniku. Zoper to odločbo ni pravnega sredstva.</w:t>
      </w:r>
    </w:p>
    <w:p w:rsidR="00B05ABA" w:rsidRPr="002F30DF" w:rsidRDefault="00B05ABA" w:rsidP="0025166A">
      <w:pPr>
        <w:spacing w:line="260" w:lineRule="atLeast"/>
        <w:rPr>
          <w:rFonts w:cs="Arial"/>
          <w:sz w:val="20"/>
          <w:szCs w:val="20"/>
        </w:rPr>
      </w:pPr>
    </w:p>
    <w:p w:rsidR="00B05ABA" w:rsidRPr="002F30DF" w:rsidRDefault="00B05ABA" w:rsidP="0025166A">
      <w:pPr>
        <w:spacing w:line="260" w:lineRule="atLeast"/>
        <w:rPr>
          <w:rFonts w:cs="Arial"/>
          <w:sz w:val="20"/>
          <w:szCs w:val="20"/>
        </w:rPr>
      </w:pPr>
      <w:r w:rsidRPr="002F30DF">
        <w:rPr>
          <w:rFonts w:cs="Arial"/>
          <w:sz w:val="20"/>
          <w:szCs w:val="20"/>
        </w:rPr>
        <w:t xml:space="preserve">Preiskovano podjetje oziroma njegov odvetnik običajno že v preiskavi poslovnih prostorov pregleda dokumentacijo in zavrne dostop do podatkov </w:t>
      </w:r>
      <w:r w:rsidR="00581146" w:rsidRPr="002F30DF">
        <w:rPr>
          <w:rFonts w:cs="Arial"/>
          <w:sz w:val="20"/>
          <w:szCs w:val="20"/>
        </w:rPr>
        <w:t>s</w:t>
      </w:r>
      <w:r w:rsidRPr="002F30DF">
        <w:rPr>
          <w:rFonts w:cs="Arial"/>
          <w:sz w:val="20"/>
          <w:szCs w:val="20"/>
        </w:rPr>
        <w:t xml:space="preserve"> sklicevanjem, da gre za privilegirano komunikacij</w:t>
      </w:r>
      <w:r w:rsidR="00581146" w:rsidRPr="002F30DF">
        <w:rPr>
          <w:rFonts w:cs="Arial"/>
          <w:sz w:val="20"/>
          <w:szCs w:val="20"/>
        </w:rPr>
        <w:t>o</w:t>
      </w:r>
      <w:r w:rsidRPr="002F30DF">
        <w:rPr>
          <w:rFonts w:cs="Arial"/>
          <w:sz w:val="20"/>
          <w:szCs w:val="20"/>
        </w:rPr>
        <w:t>, v primeru, kjer se pregled poslovnih knjig in druge dokumentacije ne opravi v času preiskave prostorov podjetja in jih je agencija že odvzela, pridobila ali zasegla, podjetju oziroma njegovemu odvetniku ni bila dana možnost, da bi lahko zahteval izvzem privilegirane komunikacije, mora agencija stranki omogočiti, da uresniči svojo pravico iz prvega odstavka tega člena.</w:t>
      </w:r>
    </w:p>
    <w:p w:rsidR="00B05ABA" w:rsidRPr="002F30DF" w:rsidRDefault="00B05ABA" w:rsidP="0025166A">
      <w:pPr>
        <w:spacing w:line="260" w:lineRule="atLeast"/>
        <w:rPr>
          <w:rFonts w:cs="Arial"/>
          <w:sz w:val="20"/>
          <w:szCs w:val="20"/>
        </w:rPr>
      </w:pPr>
    </w:p>
    <w:p w:rsidR="00B05ABA" w:rsidRPr="002F30DF" w:rsidRDefault="00B05ABA" w:rsidP="0025166A">
      <w:pPr>
        <w:spacing w:line="260" w:lineRule="atLeast"/>
        <w:rPr>
          <w:rFonts w:cs="Arial"/>
          <w:sz w:val="20"/>
          <w:szCs w:val="20"/>
        </w:rPr>
      </w:pPr>
      <w:r w:rsidRPr="002F30DF">
        <w:rPr>
          <w:rFonts w:cs="Arial"/>
          <w:sz w:val="20"/>
          <w:szCs w:val="20"/>
        </w:rPr>
        <w:t xml:space="preserve">Zato predlog </w:t>
      </w:r>
      <w:r w:rsidRPr="002F30DF">
        <w:rPr>
          <w:rFonts w:cs="Arial"/>
          <w:sz w:val="20"/>
          <w:szCs w:val="20"/>
          <w:u w:val="single"/>
        </w:rPr>
        <w:t>petega odstavka</w:t>
      </w:r>
      <w:r w:rsidRPr="002F30DF">
        <w:rPr>
          <w:rFonts w:cs="Arial"/>
          <w:sz w:val="20"/>
          <w:szCs w:val="20"/>
        </w:rPr>
        <w:t xml:space="preserve"> določa, da agencija pozove podjetje, da v roku, ki ne sme biti krajši od 7 dni, navede dokumente iz prvega odstavka tega člena, oziroma povabi podjetje, da prisostvuje pri pregledu poslovnih knjig in druge dokumentacije, kjer lahko poda tovrstne ugovore. Ta določba je namenjena varstv</w:t>
      </w:r>
      <w:r w:rsidR="00581146" w:rsidRPr="002F30DF">
        <w:rPr>
          <w:rFonts w:cs="Arial"/>
          <w:sz w:val="20"/>
          <w:szCs w:val="20"/>
        </w:rPr>
        <w:t>u</w:t>
      </w:r>
      <w:r w:rsidRPr="002F30DF">
        <w:rPr>
          <w:rFonts w:cs="Arial"/>
          <w:sz w:val="20"/>
          <w:szCs w:val="20"/>
        </w:rPr>
        <w:t xml:space="preserve"> učinkovitosti postopka pred agencijo, ki je v javnem interesu, zlasti z namenom preprečevanja zavlačevanja postopka in odlašanja njegove izvedbe. Določba ne omejuje strankine pravice, da se sklicuje na privilegirano komunikacijo, saj zakon jasno določa, na kakšen način jo stranka lahko uresniči, zagotovo pa je cilj zakona strmeti k temu, da bodo stranke v postopku svoje pravice opravile hitro in brez zavlačevanja ali odlašanja.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w:t>
      </w:r>
      <w:r w:rsidR="007238CD" w:rsidRPr="002F30DF">
        <w:rPr>
          <w:rFonts w:cs="Arial"/>
          <w:b/>
          <w:sz w:val="20"/>
          <w:szCs w:val="20"/>
        </w:rPr>
        <w:t xml:space="preserve"> </w:t>
      </w:r>
      <w:r w:rsidR="00E76CAF" w:rsidRPr="002F30DF">
        <w:rPr>
          <w:rFonts w:cs="Arial"/>
          <w:b/>
          <w:sz w:val="20"/>
          <w:szCs w:val="20"/>
        </w:rPr>
        <w:t>6</w:t>
      </w:r>
      <w:r w:rsidR="00577EFC" w:rsidRPr="002F30DF">
        <w:rPr>
          <w:rFonts w:cs="Arial"/>
          <w:b/>
          <w:sz w:val="20"/>
          <w:szCs w:val="20"/>
        </w:rPr>
        <w:t>0</w:t>
      </w:r>
      <w:r w:rsidRPr="002F30DF">
        <w:rPr>
          <w:rFonts w:cs="Arial"/>
          <w:b/>
          <w:sz w:val="20"/>
          <w:szCs w:val="20"/>
        </w:rPr>
        <w:t>. členu (zapisnik)</w:t>
      </w:r>
    </w:p>
    <w:p w:rsidR="007522E3" w:rsidRPr="002F30DF" w:rsidRDefault="007522E3" w:rsidP="00B45333">
      <w:pPr>
        <w:tabs>
          <w:tab w:val="left" w:pos="586"/>
        </w:tabs>
        <w:spacing w:line="260" w:lineRule="atLeast"/>
        <w:rPr>
          <w:rFonts w:cs="Arial"/>
          <w:sz w:val="20"/>
          <w:szCs w:val="20"/>
        </w:rPr>
      </w:pPr>
    </w:p>
    <w:p w:rsidR="002D37C5" w:rsidRPr="002F30DF" w:rsidRDefault="00B45333" w:rsidP="002D37C5">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da agencija </w:t>
      </w:r>
      <w:r w:rsidR="002B1F95" w:rsidRPr="002F30DF">
        <w:rPr>
          <w:rFonts w:cs="Arial"/>
          <w:sz w:val="20"/>
          <w:szCs w:val="20"/>
        </w:rPr>
        <w:t>o</w:t>
      </w:r>
      <w:r w:rsidRPr="002F30DF">
        <w:rPr>
          <w:rFonts w:cs="Arial"/>
          <w:sz w:val="20"/>
          <w:szCs w:val="20"/>
        </w:rPr>
        <w:t xml:space="preserve"> preiskavi sestavi zapisnik, v katerem skladno z </w:t>
      </w:r>
      <w:r w:rsidRPr="002F30DF">
        <w:rPr>
          <w:rFonts w:cs="Arial"/>
          <w:sz w:val="20"/>
          <w:szCs w:val="20"/>
          <w:u w:val="single"/>
        </w:rPr>
        <w:t>drugim odstavkom</w:t>
      </w:r>
      <w:r w:rsidR="002D37C5" w:rsidRPr="002F30DF">
        <w:rPr>
          <w:rFonts w:cs="Arial"/>
          <w:sz w:val="20"/>
          <w:szCs w:val="20"/>
          <w:u w:val="single"/>
        </w:rPr>
        <w:t xml:space="preserve"> </w:t>
      </w:r>
      <w:r w:rsidR="007522E3" w:rsidRPr="002F30DF">
        <w:rPr>
          <w:rFonts w:cs="Arial"/>
          <w:sz w:val="20"/>
          <w:szCs w:val="20"/>
        </w:rPr>
        <w:t xml:space="preserve">navede: </w:t>
      </w:r>
      <w:r w:rsidR="002D37C5" w:rsidRPr="002F30DF">
        <w:rPr>
          <w:rFonts w:cs="Arial"/>
          <w:sz w:val="20"/>
          <w:szCs w:val="20"/>
        </w:rPr>
        <w:t xml:space="preserve">kraj, datum in uro </w:t>
      </w:r>
      <w:r w:rsidR="007D605C" w:rsidRPr="002F30DF">
        <w:rPr>
          <w:rFonts w:cs="Arial"/>
          <w:sz w:val="20"/>
          <w:szCs w:val="20"/>
        </w:rPr>
        <w:t>začetka in konca opravljanja preiskave,</w:t>
      </w:r>
      <w:r w:rsidRPr="002F30DF">
        <w:rPr>
          <w:rFonts w:cs="Arial"/>
          <w:sz w:val="20"/>
          <w:szCs w:val="20"/>
        </w:rPr>
        <w:t xml:space="preserve"> </w:t>
      </w:r>
      <w:r w:rsidR="002D37C5" w:rsidRPr="002F30DF">
        <w:rPr>
          <w:rFonts w:cs="Arial"/>
          <w:sz w:val="20"/>
          <w:szCs w:val="20"/>
        </w:rPr>
        <w:t xml:space="preserve">zadevo, v kateri se </w:t>
      </w:r>
      <w:r w:rsidR="007D605C" w:rsidRPr="002F30DF">
        <w:rPr>
          <w:rFonts w:cs="Arial"/>
          <w:sz w:val="20"/>
          <w:szCs w:val="20"/>
        </w:rPr>
        <w:t>preiskava</w:t>
      </w:r>
      <w:r w:rsidR="002D37C5" w:rsidRPr="002F30DF">
        <w:rPr>
          <w:rFonts w:cs="Arial"/>
          <w:sz w:val="20"/>
          <w:szCs w:val="20"/>
        </w:rPr>
        <w:t xml:space="preserve"> opravlja</w:t>
      </w:r>
      <w:r w:rsidR="007D605C" w:rsidRPr="002F30DF">
        <w:rPr>
          <w:rFonts w:cs="Arial"/>
          <w:sz w:val="20"/>
          <w:szCs w:val="20"/>
        </w:rPr>
        <w:t>,</w:t>
      </w:r>
      <w:r w:rsidR="002D37C5" w:rsidRPr="002F30DF">
        <w:rPr>
          <w:rFonts w:cs="Arial"/>
          <w:sz w:val="20"/>
          <w:szCs w:val="20"/>
        </w:rPr>
        <w:t xml:space="preserve"> ime pooblaščene osebe, ki je vodi</w:t>
      </w:r>
      <w:r w:rsidR="007D605C" w:rsidRPr="002F30DF">
        <w:rPr>
          <w:rFonts w:cs="Arial"/>
          <w:sz w:val="20"/>
          <w:szCs w:val="20"/>
        </w:rPr>
        <w:t>la</w:t>
      </w:r>
      <w:r w:rsidR="002D37C5" w:rsidRPr="002F30DF">
        <w:rPr>
          <w:rFonts w:cs="Arial"/>
          <w:sz w:val="20"/>
          <w:szCs w:val="20"/>
        </w:rPr>
        <w:t xml:space="preserve"> dejanje, zapisnikarja in ostalih udeležencev, ki so sodeloval</w:t>
      </w:r>
      <w:r w:rsidR="007D605C" w:rsidRPr="002F30DF">
        <w:rPr>
          <w:rFonts w:cs="Arial"/>
          <w:sz w:val="20"/>
          <w:szCs w:val="20"/>
        </w:rPr>
        <w:t>i</w:t>
      </w:r>
      <w:r w:rsidR="002D37C5" w:rsidRPr="002F30DF">
        <w:rPr>
          <w:rFonts w:cs="Arial"/>
          <w:sz w:val="20"/>
          <w:szCs w:val="20"/>
        </w:rPr>
        <w:t xml:space="preserve"> pri dejanju</w:t>
      </w:r>
      <w:r w:rsidR="007D605C" w:rsidRPr="002F30DF">
        <w:rPr>
          <w:rFonts w:cs="Arial"/>
          <w:sz w:val="20"/>
          <w:szCs w:val="20"/>
        </w:rPr>
        <w:t>,</w:t>
      </w:r>
      <w:r w:rsidR="002D37C5" w:rsidRPr="002F30DF">
        <w:rPr>
          <w:rFonts w:cs="Arial"/>
          <w:sz w:val="20"/>
          <w:szCs w:val="20"/>
        </w:rPr>
        <w:t xml:space="preserve"> kratek opis poteka preiskave</w:t>
      </w:r>
      <w:r w:rsidR="007D605C" w:rsidRPr="002F30DF">
        <w:rPr>
          <w:rFonts w:cs="Arial"/>
          <w:sz w:val="20"/>
          <w:szCs w:val="20"/>
        </w:rPr>
        <w:t>,</w:t>
      </w:r>
      <w:r w:rsidR="002D37C5" w:rsidRPr="002F30DF">
        <w:rPr>
          <w:rFonts w:cs="Arial"/>
          <w:sz w:val="20"/>
          <w:szCs w:val="20"/>
        </w:rPr>
        <w:t xml:space="preserve"> vsebino v postopku opravljenega dejanja</w:t>
      </w:r>
      <w:r w:rsidRPr="002F30DF">
        <w:rPr>
          <w:rFonts w:cs="Arial"/>
          <w:sz w:val="20"/>
          <w:szCs w:val="20"/>
        </w:rPr>
        <w:t>, dane izjave</w:t>
      </w:r>
      <w:r w:rsidR="002D37C5" w:rsidRPr="002F30DF">
        <w:rPr>
          <w:rFonts w:cs="Arial"/>
          <w:sz w:val="20"/>
          <w:szCs w:val="20"/>
        </w:rPr>
        <w:t xml:space="preserve"> in seznam dokumentov in drugih predmetov, ki jih je agencija pridobila med preiskavo.</w:t>
      </w:r>
    </w:p>
    <w:p w:rsidR="005D4B72" w:rsidRPr="002F30DF" w:rsidRDefault="005D4B72" w:rsidP="0025166A">
      <w:pPr>
        <w:spacing w:line="260" w:lineRule="atLeast"/>
        <w:rPr>
          <w:rFonts w:cs="Arial"/>
          <w:sz w:val="20"/>
          <w:szCs w:val="20"/>
        </w:rPr>
      </w:pPr>
    </w:p>
    <w:p w:rsidR="00AB55B5" w:rsidRPr="002F30DF" w:rsidRDefault="005D4B72" w:rsidP="0025166A">
      <w:pPr>
        <w:spacing w:line="260" w:lineRule="atLeast"/>
        <w:rPr>
          <w:rFonts w:cs="Arial"/>
          <w:sz w:val="20"/>
          <w:szCs w:val="20"/>
        </w:rPr>
      </w:pPr>
      <w:r w:rsidRPr="002F30DF">
        <w:rPr>
          <w:rFonts w:cs="Arial"/>
          <w:sz w:val="20"/>
          <w:szCs w:val="20"/>
        </w:rPr>
        <w:t xml:space="preserve">V </w:t>
      </w:r>
      <w:r w:rsidR="00B45333" w:rsidRPr="002F30DF">
        <w:rPr>
          <w:rFonts w:cs="Arial"/>
          <w:sz w:val="20"/>
          <w:szCs w:val="20"/>
          <w:u w:val="single"/>
        </w:rPr>
        <w:t>tretjem</w:t>
      </w:r>
      <w:r w:rsidRPr="002F30DF">
        <w:rPr>
          <w:rFonts w:cs="Arial"/>
          <w:sz w:val="20"/>
          <w:szCs w:val="20"/>
          <w:u w:val="single"/>
        </w:rPr>
        <w:t xml:space="preserve"> odstavku</w:t>
      </w:r>
      <w:r w:rsidRPr="002F30DF">
        <w:rPr>
          <w:rFonts w:cs="Arial"/>
          <w:sz w:val="20"/>
          <w:szCs w:val="20"/>
        </w:rPr>
        <w:t xml:space="preserve"> je določena pravica udeležencev v preiskavi, da preberejo </w:t>
      </w:r>
      <w:r w:rsidR="002B1F95" w:rsidRPr="002F30DF">
        <w:rPr>
          <w:rFonts w:cs="Arial"/>
          <w:sz w:val="20"/>
          <w:szCs w:val="20"/>
        </w:rPr>
        <w:t xml:space="preserve">oziroma poslušajo branje </w:t>
      </w:r>
      <w:r w:rsidRPr="002F30DF">
        <w:rPr>
          <w:rFonts w:cs="Arial"/>
          <w:sz w:val="20"/>
          <w:szCs w:val="20"/>
        </w:rPr>
        <w:t>zapisnik</w:t>
      </w:r>
      <w:r w:rsidR="002B1F95" w:rsidRPr="002F30DF">
        <w:rPr>
          <w:rFonts w:cs="Arial"/>
          <w:sz w:val="20"/>
          <w:szCs w:val="20"/>
        </w:rPr>
        <w:t>a</w:t>
      </w:r>
      <w:r w:rsidRPr="002F30DF">
        <w:rPr>
          <w:rFonts w:cs="Arial"/>
          <w:sz w:val="20"/>
          <w:szCs w:val="20"/>
        </w:rPr>
        <w:t xml:space="preserve"> in </w:t>
      </w:r>
      <w:r w:rsidR="004B1D9C" w:rsidRPr="002F30DF">
        <w:rPr>
          <w:rFonts w:cs="Arial"/>
          <w:sz w:val="20"/>
          <w:szCs w:val="20"/>
        </w:rPr>
        <w:t xml:space="preserve">da </w:t>
      </w:r>
      <w:r w:rsidRPr="002F30DF">
        <w:rPr>
          <w:rFonts w:cs="Arial"/>
          <w:sz w:val="20"/>
          <w:szCs w:val="20"/>
        </w:rPr>
        <w:t>na</w:t>
      </w:r>
      <w:r w:rsidR="004B1D9C" w:rsidRPr="002F30DF">
        <w:rPr>
          <w:rFonts w:cs="Arial"/>
          <w:sz w:val="20"/>
          <w:szCs w:val="20"/>
        </w:rPr>
        <w:t>n</w:t>
      </w:r>
      <w:r w:rsidRPr="002F30DF">
        <w:rPr>
          <w:rFonts w:cs="Arial"/>
          <w:sz w:val="20"/>
          <w:szCs w:val="20"/>
        </w:rPr>
        <w:t xml:space="preserve">j podajo svoje pripombe. </w:t>
      </w:r>
      <w:r w:rsidR="00461D75" w:rsidRPr="002F30DF">
        <w:rPr>
          <w:rFonts w:cs="Arial"/>
          <w:sz w:val="20"/>
          <w:szCs w:val="20"/>
        </w:rPr>
        <w:t>Na koncu zapisnika se napiše, da so bili udeleženci seznanjeni s pravico</w:t>
      </w:r>
      <w:r w:rsidR="00B45333" w:rsidRPr="002F30DF">
        <w:rPr>
          <w:rFonts w:cs="Arial"/>
          <w:sz w:val="20"/>
          <w:szCs w:val="20"/>
        </w:rPr>
        <w:t xml:space="preserve"> da</w:t>
      </w:r>
      <w:r w:rsidR="00461D75" w:rsidRPr="002F30DF">
        <w:rPr>
          <w:rFonts w:cs="Arial"/>
          <w:sz w:val="20"/>
          <w:szCs w:val="20"/>
        </w:rPr>
        <w:t xml:space="preserve"> zapisnik preberejo</w:t>
      </w:r>
      <w:r w:rsidR="002B1F95" w:rsidRPr="002F30DF">
        <w:rPr>
          <w:rFonts w:cs="Arial"/>
          <w:sz w:val="20"/>
          <w:szCs w:val="20"/>
        </w:rPr>
        <w:t xml:space="preserve"> oziroma poslušajo branje</w:t>
      </w:r>
      <w:r w:rsidR="00461D75" w:rsidRPr="002F30DF">
        <w:rPr>
          <w:rFonts w:cs="Arial"/>
          <w:sz w:val="20"/>
          <w:szCs w:val="20"/>
        </w:rPr>
        <w:t>, in ali so se udeleženci z vsebino zapisnika strinjali oziroma ali imajo pripombe. Če imajo udeleženci pripombe na zapisnik, se v zapisniku</w:t>
      </w:r>
      <w:r w:rsidR="00B45333" w:rsidRPr="002F30DF">
        <w:rPr>
          <w:rFonts w:cs="Arial"/>
          <w:sz w:val="20"/>
          <w:szCs w:val="20"/>
        </w:rPr>
        <w:t xml:space="preserve"> na</w:t>
      </w:r>
      <w:r w:rsidR="00461D75" w:rsidRPr="002F30DF">
        <w:rPr>
          <w:rFonts w:cs="Arial"/>
          <w:sz w:val="20"/>
          <w:szCs w:val="20"/>
        </w:rPr>
        <w:t xml:space="preserve"> kratko in jasno napiše vsebina njihovih pripomb.</w:t>
      </w:r>
      <w:r w:rsidR="00461D75" w:rsidRPr="002F30DF" w:rsidDel="005D4B72">
        <w:rPr>
          <w:rFonts w:cs="Arial"/>
          <w:sz w:val="20"/>
          <w:szCs w:val="20"/>
        </w:rPr>
        <w:t xml:space="preserve"> </w:t>
      </w:r>
      <w:r w:rsidR="00A37FAF" w:rsidRPr="002F30DF">
        <w:rPr>
          <w:rFonts w:cs="Arial"/>
          <w:sz w:val="20"/>
          <w:szCs w:val="20"/>
        </w:rPr>
        <w:t xml:space="preserve">Šele nato </w:t>
      </w:r>
      <w:r w:rsidR="00B45333" w:rsidRPr="002F30DF">
        <w:rPr>
          <w:rFonts w:cs="Arial"/>
          <w:sz w:val="20"/>
          <w:szCs w:val="20"/>
        </w:rPr>
        <w:t>zapisnik</w:t>
      </w:r>
      <w:r w:rsidR="00A37FAF" w:rsidRPr="002F30DF">
        <w:rPr>
          <w:rFonts w:cs="Arial"/>
          <w:sz w:val="20"/>
          <w:szCs w:val="20"/>
        </w:rPr>
        <w:t xml:space="preserve"> podpišejo udeleženci</w:t>
      </w:r>
      <w:r w:rsidR="00B45333" w:rsidRPr="002F30DF">
        <w:rPr>
          <w:rFonts w:cs="Arial"/>
          <w:sz w:val="20"/>
          <w:szCs w:val="20"/>
        </w:rPr>
        <w:t>,</w:t>
      </w:r>
      <w:r w:rsidR="00A37FAF" w:rsidRPr="002F30DF">
        <w:rPr>
          <w:rFonts w:cs="Arial"/>
          <w:sz w:val="20"/>
          <w:szCs w:val="20"/>
        </w:rPr>
        <w:t xml:space="preserve"> na koncu </w:t>
      </w:r>
      <w:r w:rsidR="00B45333" w:rsidRPr="002F30DF">
        <w:rPr>
          <w:rFonts w:cs="Arial"/>
          <w:sz w:val="20"/>
          <w:szCs w:val="20"/>
        </w:rPr>
        <w:t xml:space="preserve">pa </w:t>
      </w:r>
      <w:r w:rsidR="00A37FAF" w:rsidRPr="002F30DF">
        <w:rPr>
          <w:rFonts w:cs="Arial"/>
          <w:sz w:val="20"/>
          <w:szCs w:val="20"/>
        </w:rPr>
        <w:t xml:space="preserve">še uradna osebe, ki je preiskavo vodila ter zapisnikar. </w:t>
      </w:r>
    </w:p>
    <w:p w:rsidR="007D605C" w:rsidRPr="002F30DF" w:rsidRDefault="007D605C" w:rsidP="00461D75">
      <w:pPr>
        <w:spacing w:line="260" w:lineRule="atLeast"/>
        <w:rPr>
          <w:rFonts w:cs="Arial"/>
          <w:sz w:val="20"/>
          <w:szCs w:val="20"/>
        </w:rPr>
      </w:pPr>
    </w:p>
    <w:p w:rsidR="00725E88" w:rsidRPr="002F30DF" w:rsidRDefault="00725E88" w:rsidP="0025166A">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določa, da se določba o zapisniku uporablja tudi v primerih, ko agencija kasneje pregleda v preiskavi zasežene poslovne knjige in drugo dokumentacijo oziroma pridobljene kopije, forenzične kopije ali izvlečke iz poslovnih knjig in druge dokumentacije.</w:t>
      </w:r>
    </w:p>
    <w:p w:rsidR="00725E88" w:rsidRPr="002F30DF" w:rsidRDefault="00725E88" w:rsidP="0025166A">
      <w:pPr>
        <w:spacing w:line="260" w:lineRule="atLeast"/>
        <w:rPr>
          <w:rFonts w:cs="Arial"/>
          <w:sz w:val="20"/>
          <w:szCs w:val="20"/>
        </w:rPr>
      </w:pPr>
    </w:p>
    <w:p w:rsidR="009E36E7" w:rsidRPr="002F30DF" w:rsidRDefault="009E36E7" w:rsidP="009E36E7">
      <w:pPr>
        <w:spacing w:line="260" w:lineRule="atLeast"/>
        <w:rPr>
          <w:rFonts w:cs="Arial"/>
          <w:b/>
          <w:sz w:val="20"/>
          <w:szCs w:val="20"/>
        </w:rPr>
      </w:pPr>
      <w:r w:rsidRPr="002F30DF">
        <w:rPr>
          <w:rFonts w:cs="Arial"/>
          <w:b/>
          <w:sz w:val="20"/>
          <w:szCs w:val="20"/>
        </w:rPr>
        <w:t xml:space="preserve">K </w:t>
      </w:r>
      <w:r w:rsidR="00E76CAF" w:rsidRPr="002F30DF">
        <w:rPr>
          <w:rFonts w:cs="Arial"/>
          <w:b/>
          <w:sz w:val="20"/>
          <w:szCs w:val="20"/>
        </w:rPr>
        <w:t>6</w:t>
      </w:r>
      <w:r w:rsidR="00577EFC" w:rsidRPr="002F30DF">
        <w:rPr>
          <w:rFonts w:cs="Arial"/>
          <w:b/>
          <w:sz w:val="20"/>
          <w:szCs w:val="20"/>
        </w:rPr>
        <w:t>1</w:t>
      </w:r>
      <w:r w:rsidRPr="002F30DF">
        <w:rPr>
          <w:rFonts w:cs="Arial"/>
          <w:b/>
          <w:sz w:val="20"/>
          <w:szCs w:val="20"/>
        </w:rPr>
        <w:t>. členu (preiskava pri tretjih)</w:t>
      </w:r>
    </w:p>
    <w:p w:rsidR="009E36E7" w:rsidRPr="002F30DF" w:rsidRDefault="009E36E7" w:rsidP="009E36E7">
      <w:pPr>
        <w:spacing w:line="260" w:lineRule="atLeast"/>
        <w:rPr>
          <w:rFonts w:cs="Arial"/>
          <w:sz w:val="20"/>
          <w:szCs w:val="20"/>
        </w:rPr>
      </w:pPr>
    </w:p>
    <w:p w:rsidR="009E36E7" w:rsidRPr="002F30DF" w:rsidRDefault="009E36E7" w:rsidP="009E36E7">
      <w:pPr>
        <w:spacing w:line="260" w:lineRule="atLeast"/>
        <w:rPr>
          <w:rFonts w:cs="Arial"/>
          <w:sz w:val="20"/>
          <w:szCs w:val="20"/>
        </w:rPr>
      </w:pPr>
      <w:r w:rsidRPr="002F30DF">
        <w:rPr>
          <w:rFonts w:cs="Arial"/>
          <w:sz w:val="20"/>
          <w:szCs w:val="20"/>
        </w:rPr>
        <w:t xml:space="preserve">Podatki, ki so potrebni za ugotovitev kršitev </w:t>
      </w:r>
      <w:r w:rsidR="00C0582D" w:rsidRPr="002F30DF">
        <w:rPr>
          <w:rFonts w:cs="Arial"/>
          <w:sz w:val="20"/>
          <w:szCs w:val="20"/>
        </w:rPr>
        <w:t xml:space="preserve">tega </w:t>
      </w:r>
      <w:r w:rsidRPr="002F30DF">
        <w:rPr>
          <w:rFonts w:cs="Arial"/>
          <w:sz w:val="20"/>
          <w:szCs w:val="20"/>
        </w:rPr>
        <w:t>zakona</w:t>
      </w:r>
      <w:r w:rsidR="00C0582D" w:rsidRPr="002F30DF">
        <w:rPr>
          <w:rFonts w:cs="Arial"/>
          <w:sz w:val="20"/>
          <w:szCs w:val="20"/>
        </w:rPr>
        <w:t xml:space="preserve"> ali 101. ali 102. člen PDEU</w:t>
      </w:r>
      <w:r w:rsidRPr="002F30DF">
        <w:rPr>
          <w:rFonts w:cs="Arial"/>
          <w:sz w:val="20"/>
          <w:szCs w:val="20"/>
        </w:rPr>
        <w:t xml:space="preserve">, se lahko nahajajo tudi pri tretjih osebah, bodisi podjetjih ali fizičnih osebah. Gre za osebe, ki so s podjetjem v kakršnikoli zvezi (pogodbeni partnerji, poslovni svetovalci itd.). Namen tega člena je zagotoviti </w:t>
      </w:r>
      <w:r w:rsidR="00B45333" w:rsidRPr="002F30DF">
        <w:rPr>
          <w:rFonts w:cs="Arial"/>
          <w:sz w:val="20"/>
          <w:szCs w:val="20"/>
        </w:rPr>
        <w:t>a</w:t>
      </w:r>
      <w:r w:rsidRPr="002F30DF">
        <w:rPr>
          <w:rFonts w:cs="Arial"/>
          <w:sz w:val="20"/>
          <w:szCs w:val="20"/>
        </w:rPr>
        <w:t>genciji preiskovalna pooblastila za izvedbo</w:t>
      </w:r>
      <w:r w:rsidR="00B45333" w:rsidRPr="002F30DF">
        <w:rPr>
          <w:rFonts w:cs="Arial"/>
          <w:sz w:val="20"/>
          <w:szCs w:val="20"/>
        </w:rPr>
        <w:t xml:space="preserve"> postopka na način, ki omogoča a</w:t>
      </w:r>
      <w:r w:rsidRPr="002F30DF">
        <w:rPr>
          <w:rFonts w:cs="Arial"/>
          <w:sz w:val="20"/>
          <w:szCs w:val="20"/>
        </w:rPr>
        <w:t>genciji, da popolno ugotovi dejansko stanje.</w:t>
      </w:r>
    </w:p>
    <w:p w:rsidR="009E36E7" w:rsidRPr="002F30DF" w:rsidRDefault="009E36E7" w:rsidP="009E36E7">
      <w:pPr>
        <w:spacing w:line="260" w:lineRule="atLeast"/>
        <w:rPr>
          <w:rFonts w:cs="Arial"/>
          <w:sz w:val="20"/>
          <w:szCs w:val="20"/>
        </w:rPr>
      </w:pPr>
    </w:p>
    <w:p w:rsidR="009E36E7" w:rsidRPr="002F30DF" w:rsidRDefault="009E36E7" w:rsidP="009E36E7">
      <w:pPr>
        <w:spacing w:line="260" w:lineRule="atLeast"/>
        <w:rPr>
          <w:rFonts w:cs="Arial"/>
          <w:sz w:val="20"/>
          <w:szCs w:val="20"/>
        </w:rPr>
      </w:pPr>
      <w:r w:rsidRPr="002F30DF">
        <w:rPr>
          <w:rFonts w:cs="Arial"/>
          <w:sz w:val="20"/>
          <w:szCs w:val="20"/>
        </w:rPr>
        <w:t xml:space="preserve">Direktiva 2019/1 v 7. členu določa, </w:t>
      </w:r>
      <w:r w:rsidRPr="002F30DF">
        <w:rPr>
          <w:rFonts w:cs="Arial"/>
          <w:i/>
          <w:sz w:val="20"/>
          <w:szCs w:val="20"/>
        </w:rPr>
        <w:t xml:space="preserve">da če obstaja utemeljen sum, da se poslovne knjige oziroma druga dokumentacija, povezana s poslovanjem in predmetom pregleda, ki so lahko pomembne za dokazovanje kršitve 101. ali 102. člena PDEU, hranijo v katerih koli prostorih, na zemljiščih ali v prevoznih sredstvih, ki niso navedeni v točki (a) </w:t>
      </w:r>
      <w:r w:rsidR="00387850" w:rsidRPr="002F30DF">
        <w:rPr>
          <w:rFonts w:cs="Arial"/>
          <w:i/>
          <w:sz w:val="20"/>
          <w:szCs w:val="20"/>
        </w:rPr>
        <w:t xml:space="preserve">prvega odstavka 6. </w:t>
      </w:r>
      <w:r w:rsidRPr="002F30DF">
        <w:rPr>
          <w:rFonts w:cs="Arial"/>
          <w:i/>
          <w:sz w:val="20"/>
          <w:szCs w:val="20"/>
        </w:rPr>
        <w:t>člena te direktive, vključno z domovi vodilnih delavcev in drugih zaposlenih v zadevnih podjetjih ali podjetniških združenjih, države članice zagotovijo, da lahko nacionalni upravni organi, pristojni za konkurenco, izvedejo nenapovedane preglede v teh prostorih, na zemljiščih in v prevoznih sredstvih</w:t>
      </w:r>
      <w:r w:rsidRPr="002F30DF">
        <w:rPr>
          <w:rFonts w:cs="Arial"/>
          <w:sz w:val="20"/>
          <w:szCs w:val="20"/>
        </w:rPr>
        <w:t xml:space="preserve">. </w:t>
      </w:r>
    </w:p>
    <w:p w:rsidR="002840A7" w:rsidRPr="002F30DF" w:rsidRDefault="002840A7" w:rsidP="009E36E7">
      <w:pPr>
        <w:spacing w:line="260" w:lineRule="atLeast"/>
        <w:rPr>
          <w:rFonts w:cs="Arial"/>
          <w:sz w:val="20"/>
          <w:szCs w:val="20"/>
        </w:rPr>
      </w:pPr>
    </w:p>
    <w:p w:rsidR="00725E88" w:rsidRPr="002F30DF" w:rsidRDefault="00725E88" w:rsidP="00E8566F">
      <w:pPr>
        <w:spacing w:line="260" w:lineRule="atLeast"/>
        <w:rPr>
          <w:rFonts w:cs="Arial"/>
          <w:sz w:val="20"/>
          <w:szCs w:val="20"/>
        </w:rPr>
      </w:pPr>
      <w:r w:rsidRPr="002F30DF">
        <w:rPr>
          <w:rFonts w:cs="Arial"/>
          <w:sz w:val="20"/>
          <w:szCs w:val="20"/>
        </w:rPr>
        <w:t xml:space="preserve">Utemeljen sum se nanaša na verjetnost, da bodo v preiskavi pri tretjih najdeni relevantni dokumenti in ne na samo verjetnost obstoja kršitve. Če je pri podjetju pričakovati, da razpolaga z relevantnimi dokumenti, je v primeru preiskave po tem </w:t>
      </w:r>
      <w:r w:rsidRPr="002F30DF">
        <w:rPr>
          <w:rFonts w:cs="Arial"/>
          <w:sz w:val="20"/>
          <w:szCs w:val="20"/>
        </w:rPr>
        <w:lastRenderedPageBreak/>
        <w:t>členu, treba z ustrezno stopnjo verjetnosti izkazati, da se ti dokumenti nahajajo pri tej tretji osebi.</w:t>
      </w:r>
    </w:p>
    <w:p w:rsidR="00A01746" w:rsidRPr="002F30DF" w:rsidRDefault="00A01746" w:rsidP="00E8566F">
      <w:pPr>
        <w:spacing w:line="260" w:lineRule="atLeast"/>
        <w:rPr>
          <w:rFonts w:cs="Arial"/>
          <w:sz w:val="20"/>
          <w:szCs w:val="20"/>
        </w:rPr>
      </w:pPr>
    </w:p>
    <w:p w:rsidR="002D6008" w:rsidRPr="002F30DF" w:rsidRDefault="009E36E7" w:rsidP="009E36E7">
      <w:pPr>
        <w:spacing w:line="260" w:lineRule="atLeast"/>
        <w:rPr>
          <w:rFonts w:cs="Arial"/>
          <w:sz w:val="20"/>
          <w:szCs w:val="20"/>
        </w:rPr>
      </w:pPr>
      <w:r w:rsidRPr="002F30DF">
        <w:rPr>
          <w:rFonts w:cs="Arial"/>
          <w:sz w:val="20"/>
          <w:szCs w:val="20"/>
        </w:rPr>
        <w:t xml:space="preserve">Dosedanji ZPOmK-1 je urejal preiskavo pri tretjih v 33. členu in je določal, da lahko sodišče odobri preiskavo pri tretjih, če obstajajo utemeljeni razlogi za sum, da se poslovne knjige in druga dokumentacija, povezana s poslovanjem in predmetom preiskave, nahaja v prostorih </w:t>
      </w:r>
      <w:r w:rsidR="007A389B" w:rsidRPr="002F30DF">
        <w:rPr>
          <w:rFonts w:cs="Arial"/>
          <w:sz w:val="20"/>
          <w:szCs w:val="20"/>
        </w:rPr>
        <w:t>tretjih</w:t>
      </w:r>
      <w:r w:rsidRPr="002F30DF">
        <w:rPr>
          <w:rFonts w:cs="Arial"/>
          <w:sz w:val="20"/>
          <w:szCs w:val="20"/>
        </w:rPr>
        <w:t xml:space="preserve">,  ali v stanovanjskih prostorih članov organov vodenja podjetja ali nadzora, zaposlenih ali drugih sodelavcev podjetja, proti kateremu se vodi postopek. </w:t>
      </w:r>
    </w:p>
    <w:p w:rsidR="002D6008" w:rsidRPr="002F30DF" w:rsidRDefault="002D6008" w:rsidP="009E36E7">
      <w:pPr>
        <w:spacing w:line="260" w:lineRule="atLeast"/>
        <w:rPr>
          <w:rFonts w:cs="Arial"/>
          <w:sz w:val="20"/>
          <w:szCs w:val="20"/>
        </w:rPr>
      </w:pPr>
    </w:p>
    <w:p w:rsidR="00B45333" w:rsidRPr="002F30DF" w:rsidRDefault="009E36E7" w:rsidP="009E36E7">
      <w:pPr>
        <w:spacing w:line="260" w:lineRule="atLeast"/>
        <w:rPr>
          <w:rFonts w:cs="Arial"/>
          <w:sz w:val="20"/>
          <w:szCs w:val="20"/>
        </w:rPr>
      </w:pPr>
      <w:r w:rsidRPr="002F30DF">
        <w:rPr>
          <w:rFonts w:cs="Arial"/>
          <w:sz w:val="20"/>
          <w:szCs w:val="20"/>
        </w:rPr>
        <w:t xml:space="preserve">Ker Direktiva 2019/1 v tem delu zahteva polno harmonizacijo, je treba dosedanji </w:t>
      </w:r>
      <w:r w:rsidR="002D6008" w:rsidRPr="002F30DF">
        <w:rPr>
          <w:rFonts w:cs="Arial"/>
          <w:sz w:val="20"/>
          <w:szCs w:val="20"/>
        </w:rPr>
        <w:t xml:space="preserve">nacionalni </w:t>
      </w:r>
      <w:r w:rsidRPr="002F30DF">
        <w:rPr>
          <w:rFonts w:cs="Arial"/>
          <w:sz w:val="20"/>
          <w:szCs w:val="20"/>
        </w:rPr>
        <w:t>pravni standard za izdajo odredbe za preiskavo pri tretjih uskladiti z Direktivo 2019/1</w:t>
      </w:r>
      <w:r w:rsidR="0088670C" w:rsidRPr="002F30DF">
        <w:rPr>
          <w:rFonts w:cs="Arial"/>
          <w:sz w:val="20"/>
          <w:szCs w:val="20"/>
        </w:rPr>
        <w:t xml:space="preserve">, ki v prvem odstavku 7. člena določa, da </w:t>
      </w:r>
      <w:r w:rsidR="0088670C" w:rsidRPr="002F30DF">
        <w:rPr>
          <w:rFonts w:cs="Arial"/>
          <w:i/>
          <w:sz w:val="20"/>
          <w:szCs w:val="20"/>
        </w:rPr>
        <w:t>če obstaja utemeljen su</w:t>
      </w:r>
      <w:r w:rsidR="00EC35CF" w:rsidRPr="002F30DF">
        <w:rPr>
          <w:rFonts w:cs="Arial"/>
          <w:i/>
          <w:sz w:val="20"/>
          <w:szCs w:val="20"/>
        </w:rPr>
        <w:t>m</w:t>
      </w:r>
      <w:r w:rsidR="0088670C" w:rsidRPr="002F30DF">
        <w:rPr>
          <w:rFonts w:cs="Arial"/>
          <w:i/>
          <w:sz w:val="20"/>
          <w:szCs w:val="20"/>
        </w:rPr>
        <w:t xml:space="preserve">, da se </w:t>
      </w:r>
      <w:r w:rsidR="00EC35CF" w:rsidRPr="002F30DF">
        <w:rPr>
          <w:rFonts w:cs="Arial"/>
          <w:i/>
          <w:sz w:val="20"/>
          <w:szCs w:val="20"/>
        </w:rPr>
        <w:t>poslovne</w:t>
      </w:r>
      <w:r w:rsidR="0088670C" w:rsidRPr="002F30DF">
        <w:rPr>
          <w:rFonts w:cs="Arial"/>
          <w:i/>
          <w:sz w:val="20"/>
          <w:szCs w:val="20"/>
        </w:rPr>
        <w:t xml:space="preserve"> knjige oziroma druga dokumentacija, povezana s poslovanjem in predmetom pregleda, ki so lahko pomembni za dokazovanje kršitve 101. ali 102. člena PDEU, hranijo v katerih koli prostorih, na </w:t>
      </w:r>
      <w:r w:rsidR="00EC35CF" w:rsidRPr="002F30DF">
        <w:rPr>
          <w:rFonts w:cs="Arial"/>
          <w:i/>
          <w:sz w:val="20"/>
          <w:szCs w:val="20"/>
        </w:rPr>
        <w:t>zemljiščih ali v pr</w:t>
      </w:r>
      <w:r w:rsidR="0088670C" w:rsidRPr="002F30DF">
        <w:rPr>
          <w:rFonts w:cs="Arial"/>
          <w:i/>
          <w:sz w:val="20"/>
          <w:szCs w:val="20"/>
        </w:rPr>
        <w:t xml:space="preserve">evoznih </w:t>
      </w:r>
      <w:r w:rsidR="00EC35CF" w:rsidRPr="002F30DF">
        <w:rPr>
          <w:rFonts w:cs="Arial"/>
          <w:i/>
          <w:sz w:val="20"/>
          <w:szCs w:val="20"/>
        </w:rPr>
        <w:t>sredstvih</w:t>
      </w:r>
      <w:r w:rsidR="0088670C" w:rsidRPr="002F30DF">
        <w:rPr>
          <w:rFonts w:cs="Arial"/>
          <w:i/>
          <w:sz w:val="20"/>
          <w:szCs w:val="20"/>
        </w:rPr>
        <w:t xml:space="preserve">, vključno z domovi vodilnih delavcev in drugih zaposlenih v zadevnih </w:t>
      </w:r>
      <w:r w:rsidR="00EC35CF" w:rsidRPr="002F30DF">
        <w:rPr>
          <w:rFonts w:cs="Arial"/>
          <w:i/>
          <w:sz w:val="20"/>
          <w:szCs w:val="20"/>
        </w:rPr>
        <w:t>podjetjih</w:t>
      </w:r>
      <w:r w:rsidR="0088670C" w:rsidRPr="002F30DF">
        <w:rPr>
          <w:rFonts w:cs="Arial"/>
          <w:i/>
          <w:sz w:val="20"/>
          <w:szCs w:val="20"/>
        </w:rPr>
        <w:t xml:space="preserve"> ali podjetniških združenj</w:t>
      </w:r>
      <w:r w:rsidR="00EC35CF" w:rsidRPr="002F30DF">
        <w:rPr>
          <w:rFonts w:cs="Arial"/>
          <w:i/>
          <w:sz w:val="20"/>
          <w:szCs w:val="20"/>
        </w:rPr>
        <w:t>, države članice zagotovijo, da lahko nacionalni upravni organi, pristojni za varstvo konkurence, izvedejo nenapovedane preglede v teh prostorih, na zemljiščih in v prevoznih sredstvih</w:t>
      </w:r>
      <w:r w:rsidRPr="002F30DF">
        <w:rPr>
          <w:rFonts w:cs="Arial"/>
          <w:i/>
          <w:sz w:val="20"/>
          <w:szCs w:val="20"/>
        </w:rPr>
        <w:t>.</w:t>
      </w:r>
      <w:r w:rsidRPr="002F30DF">
        <w:rPr>
          <w:rFonts w:cs="Arial"/>
          <w:sz w:val="20"/>
          <w:szCs w:val="20"/>
        </w:rPr>
        <w:t xml:space="preserve"> </w:t>
      </w:r>
      <w:r w:rsidR="00EC35CF" w:rsidRPr="002F30DF">
        <w:rPr>
          <w:rFonts w:cs="Arial"/>
          <w:sz w:val="20"/>
          <w:szCs w:val="20"/>
        </w:rPr>
        <w:t>Skladno s tem bo agencija lahko n</w:t>
      </w:r>
      <w:r w:rsidR="00B45333" w:rsidRPr="002F30DF">
        <w:rPr>
          <w:rFonts w:cs="Arial"/>
          <w:sz w:val="20"/>
          <w:szCs w:val="20"/>
        </w:rPr>
        <w:t xml:space="preserve">a podlagi predloga tega člena </w:t>
      </w:r>
      <w:r w:rsidRPr="002F30DF">
        <w:rPr>
          <w:rFonts w:cs="Arial"/>
          <w:sz w:val="20"/>
          <w:szCs w:val="20"/>
        </w:rPr>
        <w:t>opravi</w:t>
      </w:r>
      <w:r w:rsidR="00EC35CF" w:rsidRPr="002F30DF">
        <w:rPr>
          <w:rFonts w:cs="Arial"/>
          <w:sz w:val="20"/>
          <w:szCs w:val="20"/>
        </w:rPr>
        <w:t>la</w:t>
      </w:r>
      <w:r w:rsidRPr="002F30DF">
        <w:rPr>
          <w:rFonts w:cs="Arial"/>
          <w:sz w:val="20"/>
          <w:szCs w:val="20"/>
        </w:rPr>
        <w:t xml:space="preserve"> preiskavo v prostorih tretjih oseb,</w:t>
      </w:r>
      <w:r w:rsidR="00363AFC" w:rsidRPr="002F30DF">
        <w:rPr>
          <w:rFonts w:cs="Arial"/>
          <w:sz w:val="20"/>
          <w:szCs w:val="20"/>
        </w:rPr>
        <w:t xml:space="preserve"> ali drugih prostorih članov organov vodenja podjetja ali nadzora, zaposlenih ali drugih sodelavcev podjetja,</w:t>
      </w:r>
      <w:r w:rsidRPr="002F30DF">
        <w:rPr>
          <w:rFonts w:cs="Arial"/>
          <w:sz w:val="20"/>
          <w:szCs w:val="20"/>
        </w:rPr>
        <w:t xml:space="preserve"> če obstaja utemeljen sum, da se poslovne knjige in druga dokumentacija, ki je povezana s poslovanjem in predmetom preiskave in ki so lahko pomembne za dokazovanje kršitve tega zakona ali 101. ali 102. člena PDEU, nahajajo v  prostorih teh oseb.</w:t>
      </w:r>
    </w:p>
    <w:p w:rsidR="00E8566F" w:rsidRPr="002F30DF" w:rsidRDefault="00E8566F" w:rsidP="00E8566F">
      <w:pPr>
        <w:spacing w:line="260" w:lineRule="atLeast"/>
        <w:rPr>
          <w:rFonts w:cs="Arial"/>
          <w:sz w:val="20"/>
          <w:szCs w:val="20"/>
        </w:rPr>
      </w:pPr>
    </w:p>
    <w:p w:rsidR="009E36E7" w:rsidRPr="002F30DF" w:rsidRDefault="009E36E7" w:rsidP="009E36E7">
      <w:pPr>
        <w:spacing w:line="260" w:lineRule="atLeast"/>
        <w:rPr>
          <w:rFonts w:cs="Arial"/>
          <w:sz w:val="20"/>
          <w:szCs w:val="20"/>
        </w:rPr>
      </w:pPr>
      <w:r w:rsidRPr="002F30DF">
        <w:rPr>
          <w:rFonts w:cs="Arial"/>
          <w:sz w:val="20"/>
          <w:szCs w:val="20"/>
        </w:rPr>
        <w:t>Ker gre v tem primeru za močan poseg</w:t>
      </w:r>
      <w:r w:rsidR="00B45333" w:rsidRPr="002F30DF">
        <w:rPr>
          <w:rFonts w:cs="Arial"/>
          <w:sz w:val="20"/>
          <w:szCs w:val="20"/>
        </w:rPr>
        <w:t xml:space="preserve"> v zasebnost posameznika</w:t>
      </w:r>
      <w:r w:rsidR="00E8566F" w:rsidRPr="002F30DF">
        <w:rPr>
          <w:rFonts w:cs="Arial"/>
          <w:sz w:val="20"/>
          <w:szCs w:val="20"/>
        </w:rPr>
        <w:t xml:space="preserve"> ali tretjega</w:t>
      </w:r>
      <w:r w:rsidR="00B45333" w:rsidRPr="002F30DF">
        <w:rPr>
          <w:rFonts w:cs="Arial"/>
          <w:sz w:val="20"/>
          <w:szCs w:val="20"/>
        </w:rPr>
        <w:t>, mora a</w:t>
      </w:r>
      <w:r w:rsidRPr="002F30DF">
        <w:rPr>
          <w:rFonts w:cs="Arial"/>
          <w:sz w:val="20"/>
          <w:szCs w:val="20"/>
        </w:rPr>
        <w:t xml:space="preserve">gencija tudi v tem primeru pridobiti odredbo za preiskavo stanovanjskih prostorov, </w:t>
      </w:r>
      <w:r w:rsidR="00363AFC" w:rsidRPr="002F30DF">
        <w:rPr>
          <w:rFonts w:cs="Arial"/>
          <w:sz w:val="20"/>
          <w:szCs w:val="20"/>
        </w:rPr>
        <w:t xml:space="preserve">zemljišč ali prevoznih sredstev, </w:t>
      </w:r>
      <w:r w:rsidRPr="002F30DF">
        <w:rPr>
          <w:rFonts w:cs="Arial"/>
          <w:sz w:val="20"/>
          <w:szCs w:val="20"/>
        </w:rPr>
        <w:t>ki jo izda preiskovalni sodnik Okrožnega sodišča v Ljubljani. Obveznost pridobitve predhodne odredbe za preiskavo</w:t>
      </w:r>
      <w:r w:rsidR="00B45333" w:rsidRPr="002F30DF">
        <w:rPr>
          <w:rFonts w:cs="Arial"/>
          <w:sz w:val="20"/>
          <w:szCs w:val="20"/>
        </w:rPr>
        <w:t xml:space="preserve"> pri tretjih določa tudi drugi ods</w:t>
      </w:r>
      <w:r w:rsidRPr="002F30DF">
        <w:rPr>
          <w:rFonts w:cs="Arial"/>
          <w:sz w:val="20"/>
          <w:szCs w:val="20"/>
        </w:rPr>
        <w:t>tavek 7. člena Direktive 2019/1.</w:t>
      </w:r>
    </w:p>
    <w:p w:rsidR="009E36E7" w:rsidRPr="002F30DF" w:rsidRDefault="009E36E7" w:rsidP="009E36E7">
      <w:pPr>
        <w:spacing w:line="260" w:lineRule="atLeast"/>
        <w:rPr>
          <w:rFonts w:cs="Arial"/>
          <w:sz w:val="20"/>
          <w:szCs w:val="20"/>
        </w:rPr>
      </w:pPr>
    </w:p>
    <w:p w:rsidR="009E36E7" w:rsidRPr="002F30DF" w:rsidRDefault="009E36E7" w:rsidP="009E36E7">
      <w:pPr>
        <w:spacing w:line="260" w:lineRule="atLeast"/>
        <w:rPr>
          <w:rFonts w:cs="Arial"/>
          <w:sz w:val="20"/>
          <w:szCs w:val="20"/>
        </w:rPr>
      </w:pPr>
      <w:r w:rsidRPr="002F30DF">
        <w:rPr>
          <w:rFonts w:cs="Arial"/>
          <w:sz w:val="20"/>
          <w:szCs w:val="20"/>
        </w:rPr>
        <w:t>V izogib ponavljanju določb glede uvedbe preiskave, preiskave, opravljanja ter oviranja preiskave in privilegirane komunikacije, se v skladu z drugim odstavkom smiselno uporabljajo členi, ki veljajo za preiskavo v podjetju.</w:t>
      </w:r>
    </w:p>
    <w:p w:rsidR="009E36E7" w:rsidRPr="002F30DF" w:rsidRDefault="009E36E7"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lastRenderedPageBreak/>
        <w:t xml:space="preserve">K </w:t>
      </w:r>
      <w:r w:rsidR="00E76CAF" w:rsidRPr="002F30DF">
        <w:rPr>
          <w:rFonts w:cs="Arial"/>
          <w:b/>
          <w:sz w:val="20"/>
          <w:szCs w:val="20"/>
        </w:rPr>
        <w:t>6</w:t>
      </w:r>
      <w:r w:rsidR="00577EFC" w:rsidRPr="002F30DF">
        <w:rPr>
          <w:rFonts w:cs="Arial"/>
          <w:b/>
          <w:sz w:val="20"/>
          <w:szCs w:val="20"/>
        </w:rPr>
        <w:t>2</w:t>
      </w:r>
      <w:r w:rsidRPr="002F30DF">
        <w:rPr>
          <w:rFonts w:cs="Arial"/>
          <w:b/>
          <w:sz w:val="20"/>
          <w:szCs w:val="20"/>
        </w:rPr>
        <w:t>. členu (</w:t>
      </w:r>
      <w:r w:rsidR="00F4230D" w:rsidRPr="002F30DF">
        <w:rPr>
          <w:rFonts w:cs="Arial"/>
          <w:b/>
          <w:sz w:val="20"/>
          <w:szCs w:val="20"/>
        </w:rPr>
        <w:t xml:space="preserve">ugotovitev in </w:t>
      </w:r>
      <w:r w:rsidRPr="002F30DF">
        <w:rPr>
          <w:rFonts w:cs="Arial"/>
          <w:b/>
          <w:sz w:val="20"/>
          <w:szCs w:val="20"/>
        </w:rPr>
        <w:t>prenehanje kršitve)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Pomen izdaje odločbe, s katero </w:t>
      </w:r>
      <w:r w:rsidR="00F4230D" w:rsidRPr="002F30DF">
        <w:rPr>
          <w:rFonts w:cs="Arial"/>
          <w:sz w:val="20"/>
          <w:szCs w:val="20"/>
        </w:rPr>
        <w:t>a</w:t>
      </w:r>
      <w:r w:rsidR="0045309B" w:rsidRPr="002F30DF">
        <w:rPr>
          <w:rFonts w:cs="Arial"/>
          <w:sz w:val="20"/>
          <w:szCs w:val="20"/>
        </w:rPr>
        <w:t>genc</w:t>
      </w:r>
      <w:r w:rsidRPr="002F30DF">
        <w:rPr>
          <w:rFonts w:cs="Arial"/>
          <w:sz w:val="20"/>
          <w:szCs w:val="20"/>
        </w:rPr>
        <w:t xml:space="preserve">ija zahteva prenehanje kršitev poudarja tudi Direktiva 2019/1, ki v prvem odstavku 10. člena nalaga državam članicam, </w:t>
      </w:r>
      <w:r w:rsidRPr="002F30DF">
        <w:rPr>
          <w:rFonts w:cs="Arial"/>
          <w:i/>
          <w:sz w:val="20"/>
          <w:szCs w:val="20"/>
        </w:rPr>
        <w:t>da zagotovijo, da lahko nacionalni organi, pristojni za varstvo konkurence, kadar ugotovijo kršitev 101. ali 102. člena PDEU, z odločbo zahtevajo od zadevnih podjetij ali podjetniških zdr</w:t>
      </w:r>
      <w:r w:rsidR="007D6C3D" w:rsidRPr="002F30DF">
        <w:rPr>
          <w:rFonts w:cs="Arial"/>
          <w:i/>
          <w:sz w:val="20"/>
          <w:szCs w:val="20"/>
        </w:rPr>
        <w:t xml:space="preserve">uženj, da to kršitev odpravijo. </w:t>
      </w:r>
      <w:r w:rsidRPr="002F30DF">
        <w:rPr>
          <w:rFonts w:cs="Arial"/>
          <w:i/>
          <w:sz w:val="20"/>
          <w:szCs w:val="20"/>
        </w:rPr>
        <w:t>V ta namen jim lahko naložijo vse ravnalne ali strukturne ukrepe, ki so sorazmerni s storjeno kršitvijo in potrebni za njeno učinkovito odpravo. V skladu z načelom sorazmernosti nacionalni organi, pristojni za varstvo konkurenco, kadar izbirajo med dvema enako učinkovitima ukrepoma, izberejo ukrep, ki predstavlja najmanjše breme za podjetje</w:t>
      </w:r>
      <w:r w:rsidRPr="002F30DF">
        <w:rPr>
          <w:rFonts w:cs="Arial"/>
          <w:sz w:val="20"/>
          <w:szCs w:val="20"/>
        </w:rPr>
        <w:t xml:space="preserve">. </w:t>
      </w:r>
      <w:r w:rsidRPr="002F30DF">
        <w:rPr>
          <w:rFonts w:cs="Arial"/>
          <w:i/>
          <w:sz w:val="20"/>
          <w:szCs w:val="20"/>
        </w:rPr>
        <w:t xml:space="preserve">Države članice zagotovijo, da so nacionalni organi, pristojni za varstvo konkurence, pooblaščeni za ugotavljanje, da je bila kršitev 101. ali 102. člena PDEU storjena v preteklosti. Nadalje Direktiva 2019/1 v drugem odstavku 10. člena določa, da kadar se nacionalni organi, pristojni za varstvo konkurence, po tem, ko obvestijo Evropsko komisijo v skladu s </w:t>
      </w:r>
      <w:r w:rsidR="00156BED" w:rsidRPr="002F30DF">
        <w:rPr>
          <w:rFonts w:cs="Arial"/>
          <w:i/>
          <w:sz w:val="20"/>
          <w:szCs w:val="20"/>
        </w:rPr>
        <w:t>tretjim odstavkom 11. člena</w:t>
      </w:r>
      <w:r w:rsidRPr="002F30DF">
        <w:rPr>
          <w:rFonts w:cs="Arial"/>
          <w:i/>
          <w:sz w:val="20"/>
          <w:szCs w:val="20"/>
        </w:rPr>
        <w:t xml:space="preserve"> Ur</w:t>
      </w:r>
      <w:r w:rsidR="007D6C3D" w:rsidRPr="002F30DF">
        <w:rPr>
          <w:rFonts w:cs="Arial"/>
          <w:i/>
          <w:sz w:val="20"/>
          <w:szCs w:val="20"/>
        </w:rPr>
        <w:t xml:space="preserve">edbe (ES) št. </w:t>
      </w:r>
      <w:r w:rsidRPr="002F30DF">
        <w:rPr>
          <w:rFonts w:cs="Arial"/>
          <w:i/>
          <w:sz w:val="20"/>
          <w:szCs w:val="20"/>
        </w:rPr>
        <w:t>1/2003, odločijo, da ni razloga za nadaljevanje postopka za uveljavljanje pravil konkurence in zato zaključijo ta postopek, države članice zagotovijo, da ti nacionalni organi, pristojni za varstvo konkurence, ustrezno obvestijo Evropsko komisijo.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Že 37. člen ZPOmK-1 je omogočal </w:t>
      </w:r>
      <w:r w:rsidR="00F4230D" w:rsidRPr="002F30DF">
        <w:rPr>
          <w:rFonts w:cs="Arial"/>
          <w:sz w:val="20"/>
          <w:szCs w:val="20"/>
        </w:rPr>
        <w:t>agenciji</w:t>
      </w:r>
      <w:r w:rsidRPr="002F30DF">
        <w:rPr>
          <w:rFonts w:cs="Arial"/>
          <w:sz w:val="20"/>
          <w:szCs w:val="20"/>
        </w:rPr>
        <w:t xml:space="preserve">, da je lahko izdala odločbo o ugotovitvi obstoja kršitve </w:t>
      </w:r>
      <w:r w:rsidR="004D0C7A" w:rsidRPr="002F30DF">
        <w:rPr>
          <w:rFonts w:cs="Arial"/>
          <w:sz w:val="20"/>
          <w:szCs w:val="20"/>
        </w:rPr>
        <w:t xml:space="preserve">prepovedi omejevalnih sporazumov ali prepovedi zlorabe prevladujočega položaja </w:t>
      </w:r>
      <w:r w:rsidRPr="002F30DF">
        <w:rPr>
          <w:rFonts w:cs="Arial"/>
          <w:sz w:val="20"/>
          <w:szCs w:val="20"/>
        </w:rPr>
        <w:t>ali 101. ali 102. člena PDEU unije in od podjetja zahteva</w:t>
      </w:r>
      <w:r w:rsidR="00156BED" w:rsidRPr="002F30DF">
        <w:rPr>
          <w:rFonts w:cs="Arial"/>
          <w:sz w:val="20"/>
          <w:szCs w:val="20"/>
        </w:rPr>
        <w:t>la</w:t>
      </w:r>
      <w:r w:rsidRPr="002F30DF">
        <w:rPr>
          <w:rFonts w:cs="Arial"/>
          <w:sz w:val="20"/>
          <w:szCs w:val="20"/>
        </w:rPr>
        <w:t xml:space="preserve">, da s kršitvijo preneha. Ta možnost se ohranja tudi </w:t>
      </w:r>
      <w:r w:rsidRPr="002F30DF">
        <w:rPr>
          <w:rFonts w:cs="Arial"/>
          <w:sz w:val="20"/>
          <w:szCs w:val="20"/>
          <w:u w:val="single"/>
        </w:rPr>
        <w:t>v prvem odstavku</w:t>
      </w:r>
      <w:r w:rsidRPr="002F30DF">
        <w:rPr>
          <w:rFonts w:cs="Arial"/>
          <w:sz w:val="20"/>
          <w:szCs w:val="20"/>
        </w:rPr>
        <w:t xml:space="preserve"> tega člena. Zaradi uvedbe administrativnega sankcioniranja se glede na ZPOmK-1 dopolnjuje z možnostjo</w:t>
      </w:r>
      <w:r w:rsidR="004B1D9C" w:rsidRPr="002F30DF">
        <w:rPr>
          <w:rFonts w:cs="Arial"/>
          <w:sz w:val="20"/>
          <w:szCs w:val="20"/>
        </w:rPr>
        <w:t>, da se v tej odločbi tudi</w:t>
      </w:r>
      <w:r w:rsidRPr="002F30DF">
        <w:rPr>
          <w:rFonts w:cs="Arial"/>
          <w:sz w:val="20"/>
          <w:szCs w:val="20"/>
        </w:rPr>
        <w:t xml:space="preserve"> naloži administrativn</w:t>
      </w:r>
      <w:r w:rsidR="004B1D9C" w:rsidRPr="002F30DF">
        <w:rPr>
          <w:rFonts w:cs="Arial"/>
          <w:sz w:val="20"/>
          <w:szCs w:val="20"/>
        </w:rPr>
        <w:t>a</w:t>
      </w:r>
      <w:r w:rsidRPr="002F30DF">
        <w:rPr>
          <w:rFonts w:cs="Arial"/>
          <w:sz w:val="20"/>
          <w:szCs w:val="20"/>
        </w:rPr>
        <w:t xml:space="preserve"> sankcij</w:t>
      </w:r>
      <w:r w:rsidR="004B1D9C" w:rsidRPr="002F30DF">
        <w:rPr>
          <w:rFonts w:cs="Arial"/>
          <w:sz w:val="20"/>
          <w:szCs w:val="20"/>
        </w:rPr>
        <w:t>a</w:t>
      </w:r>
      <w:r w:rsidRPr="002F30DF">
        <w:rPr>
          <w:rFonts w:cs="Arial"/>
          <w:sz w:val="20"/>
          <w:szCs w:val="20"/>
        </w:rPr>
        <w:t>.</w:t>
      </w:r>
      <w:r w:rsidR="00305541" w:rsidRPr="002F30DF">
        <w:rPr>
          <w:rFonts w:cs="Arial"/>
          <w:sz w:val="20"/>
          <w:szCs w:val="20"/>
        </w:rPr>
        <w:t xml:space="preserve"> Z namenom ustreznega prenosa drugega pododstavka prvega odstavka 10. člena Direktive 2019/1, je v določbi izrecno navedeno, da se odločbe o ugotovitvi obstoja kršitve 5. ali 8. člena ZPOmK-2 ali 101. ali 102. člena PDEU nanaša</w:t>
      </w:r>
      <w:r w:rsidR="00387850" w:rsidRPr="002F30DF">
        <w:rPr>
          <w:rFonts w:cs="Arial"/>
          <w:sz w:val="20"/>
          <w:szCs w:val="20"/>
        </w:rPr>
        <w:t>jo</w:t>
      </w:r>
      <w:r w:rsidR="00305541" w:rsidRPr="002F30DF">
        <w:rPr>
          <w:rFonts w:cs="Arial"/>
          <w:sz w:val="20"/>
          <w:szCs w:val="20"/>
        </w:rPr>
        <w:t xml:space="preserve"> tudi </w:t>
      </w:r>
      <w:r w:rsidR="00237DD8" w:rsidRPr="002F30DF">
        <w:rPr>
          <w:rFonts w:cs="Arial"/>
          <w:sz w:val="20"/>
          <w:szCs w:val="20"/>
        </w:rPr>
        <w:t xml:space="preserve">na </w:t>
      </w:r>
      <w:r w:rsidR="003E5B79" w:rsidRPr="002F30DF">
        <w:rPr>
          <w:rFonts w:cs="Arial"/>
          <w:sz w:val="20"/>
          <w:szCs w:val="20"/>
        </w:rPr>
        <w:t>kršitve</w:t>
      </w:r>
      <w:r w:rsidR="00305541" w:rsidRPr="002F30DF">
        <w:rPr>
          <w:rFonts w:cs="Arial"/>
          <w:sz w:val="20"/>
          <w:szCs w:val="20"/>
        </w:rPr>
        <w:t>, ki jih je podjetje storilo v preteklosti, torej pred začetkom postopka pred agencijo</w:t>
      </w:r>
      <w:r w:rsidR="00237DD8" w:rsidRPr="002F30DF">
        <w:rPr>
          <w:rFonts w:cs="Arial"/>
          <w:sz w:val="20"/>
          <w:szCs w:val="20"/>
        </w:rPr>
        <w:t>, na glede na to, ali so se kršitve že zaključile ali so še v teku.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Tudi </w:t>
      </w:r>
      <w:r w:rsidRPr="002F30DF">
        <w:rPr>
          <w:rFonts w:cs="Arial"/>
          <w:sz w:val="20"/>
          <w:szCs w:val="20"/>
          <w:u w:val="single"/>
        </w:rPr>
        <w:t>drugi odstavek</w:t>
      </w:r>
      <w:r w:rsidRPr="002F30DF">
        <w:rPr>
          <w:rFonts w:cs="Arial"/>
          <w:sz w:val="20"/>
          <w:szCs w:val="20"/>
        </w:rPr>
        <w:t xml:space="preserve"> večino</w:t>
      </w:r>
      <w:r w:rsidR="004D0C7A" w:rsidRPr="002F30DF">
        <w:rPr>
          <w:rFonts w:cs="Arial"/>
          <w:sz w:val="20"/>
          <w:szCs w:val="20"/>
        </w:rPr>
        <w:t>ma</w:t>
      </w:r>
      <w:r w:rsidRPr="002F30DF">
        <w:rPr>
          <w:rFonts w:cs="Arial"/>
          <w:sz w:val="20"/>
          <w:szCs w:val="20"/>
        </w:rPr>
        <w:t xml:space="preserve"> ostaja enak kot </w:t>
      </w:r>
      <w:r w:rsidR="004B1D9C" w:rsidRPr="002F30DF">
        <w:rPr>
          <w:rFonts w:cs="Arial"/>
          <w:sz w:val="20"/>
          <w:szCs w:val="20"/>
        </w:rPr>
        <w:t>ga ureja</w:t>
      </w:r>
      <w:r w:rsidRPr="002F30DF">
        <w:rPr>
          <w:rFonts w:cs="Arial"/>
          <w:sz w:val="20"/>
          <w:szCs w:val="20"/>
        </w:rPr>
        <w:t xml:space="preserve"> veljavni drugi odstavek 37. člena ZPOmK-1, ki z namenom ponovne vzpostavitve konkurence na trgu omogoča </w:t>
      </w:r>
      <w:r w:rsidR="00EC3C08" w:rsidRPr="002F30DF">
        <w:rPr>
          <w:rFonts w:cs="Arial"/>
          <w:sz w:val="20"/>
          <w:szCs w:val="20"/>
        </w:rPr>
        <w:t>a</w:t>
      </w:r>
      <w:r w:rsidR="0045309B" w:rsidRPr="002F30DF">
        <w:rPr>
          <w:rFonts w:cs="Arial"/>
          <w:sz w:val="20"/>
          <w:szCs w:val="20"/>
        </w:rPr>
        <w:t>genc</w:t>
      </w:r>
      <w:r w:rsidRPr="002F30DF">
        <w:rPr>
          <w:rFonts w:cs="Arial"/>
          <w:sz w:val="20"/>
          <w:szCs w:val="20"/>
        </w:rPr>
        <w:t>iji naložitev strukturnih in ravnalnih ukrepov. Ker Direktiva 2019/1 določa, da lahko nacionalni organ, pristojen za varstvo konkurence, naloži ukrepe, ki so sorazmerni s strojeno kršitvijo in so potrebni za prenehanje kršitve, je v drug</w:t>
      </w:r>
      <w:r w:rsidR="00387850" w:rsidRPr="002F30DF">
        <w:rPr>
          <w:rFonts w:cs="Arial"/>
          <w:sz w:val="20"/>
          <w:szCs w:val="20"/>
        </w:rPr>
        <w:t>i</w:t>
      </w:r>
      <w:r w:rsidRPr="002F30DF">
        <w:rPr>
          <w:rFonts w:cs="Arial"/>
          <w:sz w:val="20"/>
          <w:szCs w:val="20"/>
        </w:rPr>
        <w:t xml:space="preserve"> </w:t>
      </w:r>
      <w:r w:rsidRPr="002F30DF">
        <w:rPr>
          <w:rFonts w:cs="Arial"/>
          <w:sz w:val="20"/>
          <w:szCs w:val="20"/>
        </w:rPr>
        <w:lastRenderedPageBreak/>
        <w:t>odstav</w:t>
      </w:r>
      <w:r w:rsidR="00387850" w:rsidRPr="002F30DF">
        <w:rPr>
          <w:rFonts w:cs="Arial"/>
          <w:sz w:val="20"/>
          <w:szCs w:val="20"/>
        </w:rPr>
        <w:t>e</w:t>
      </w:r>
      <w:r w:rsidRPr="002F30DF">
        <w:rPr>
          <w:rFonts w:cs="Arial"/>
          <w:sz w:val="20"/>
          <w:szCs w:val="20"/>
        </w:rPr>
        <w:t xml:space="preserve">k vključen test sorazmernosti, na podlagi katerega mora </w:t>
      </w:r>
      <w:r w:rsidR="00EC3C08" w:rsidRPr="002F30DF">
        <w:rPr>
          <w:rFonts w:cs="Arial"/>
          <w:sz w:val="20"/>
          <w:szCs w:val="20"/>
        </w:rPr>
        <w:t>a</w:t>
      </w:r>
      <w:r w:rsidR="0045309B" w:rsidRPr="002F30DF">
        <w:rPr>
          <w:rFonts w:cs="Arial"/>
          <w:sz w:val="20"/>
          <w:szCs w:val="20"/>
        </w:rPr>
        <w:t>genc</w:t>
      </w:r>
      <w:r w:rsidRPr="002F30DF">
        <w:rPr>
          <w:rFonts w:cs="Arial"/>
          <w:sz w:val="20"/>
          <w:szCs w:val="20"/>
        </w:rPr>
        <w:t xml:space="preserve">ija kadar izbira med dvema enako učinkovitima ukrepoma, izbrati ukrep, ki prestavlja manjše breme za podjetje. Čeprav načeloma predstavljajo strukturni ukrepi, kot je obveznost odtujitve deleža podjetja v konkurenčnem podjetju ali odprodaja poslovne enota, večje breme za podjetje kot ravnalni ukrepi, to ne preprečuje </w:t>
      </w:r>
      <w:r w:rsidR="00EC3C08" w:rsidRPr="002F30DF">
        <w:rPr>
          <w:rFonts w:cs="Arial"/>
          <w:sz w:val="20"/>
          <w:szCs w:val="20"/>
        </w:rPr>
        <w:t>a</w:t>
      </w:r>
      <w:r w:rsidR="0045309B" w:rsidRPr="002F30DF">
        <w:rPr>
          <w:rFonts w:cs="Arial"/>
          <w:sz w:val="20"/>
          <w:szCs w:val="20"/>
        </w:rPr>
        <w:t>genc</w:t>
      </w:r>
      <w:r w:rsidRPr="002F30DF">
        <w:rPr>
          <w:rFonts w:cs="Arial"/>
          <w:sz w:val="20"/>
          <w:szCs w:val="20"/>
        </w:rPr>
        <w:t>iji, da ob upoštevanju konkretnih okoliščin kršitve naloži strukturni ukrep.</w:t>
      </w:r>
      <w:r w:rsidR="00377FDF"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kadar je izpolnitev ukrepov vezana na soglasje ali drugo dejanje </w:t>
      </w:r>
      <w:r w:rsidR="0045309B" w:rsidRPr="002F30DF">
        <w:rPr>
          <w:rFonts w:cs="Arial"/>
          <w:sz w:val="20"/>
          <w:szCs w:val="20"/>
        </w:rPr>
        <w:t>agenc</w:t>
      </w:r>
      <w:r w:rsidRPr="002F30DF">
        <w:rPr>
          <w:rFonts w:cs="Arial"/>
          <w:sz w:val="20"/>
          <w:szCs w:val="20"/>
        </w:rPr>
        <w:t xml:space="preserve">ije, </w:t>
      </w:r>
      <w:r w:rsidR="0045309B" w:rsidRPr="002F30DF">
        <w:rPr>
          <w:rFonts w:cs="Arial"/>
          <w:sz w:val="20"/>
          <w:szCs w:val="20"/>
        </w:rPr>
        <w:t>agenc</w:t>
      </w:r>
      <w:r w:rsidRPr="002F30DF">
        <w:rPr>
          <w:rFonts w:cs="Arial"/>
          <w:sz w:val="20"/>
          <w:szCs w:val="20"/>
        </w:rPr>
        <w:t>ija o tem odloči s sklepom. Zoper sklep ni sodnega varstva.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določa dvoletni instrukcijski rok, v katerem </w:t>
      </w:r>
      <w:r w:rsidR="00EC3C08" w:rsidRPr="002F30DF">
        <w:rPr>
          <w:rFonts w:cs="Arial"/>
          <w:sz w:val="20"/>
          <w:szCs w:val="20"/>
        </w:rPr>
        <w:t>a</w:t>
      </w:r>
      <w:r w:rsidR="0045309B" w:rsidRPr="002F30DF">
        <w:rPr>
          <w:rFonts w:cs="Arial"/>
          <w:sz w:val="20"/>
          <w:szCs w:val="20"/>
        </w:rPr>
        <w:t>genc</w:t>
      </w:r>
      <w:r w:rsidRPr="002F30DF">
        <w:rPr>
          <w:rFonts w:cs="Arial"/>
          <w:sz w:val="20"/>
          <w:szCs w:val="20"/>
        </w:rPr>
        <w:t>ija izda odločbo o ugotovitvi kršitve določb 5. ali 8. člena tega zakona ali 101. ali 102. člena P</w:t>
      </w:r>
      <w:r w:rsidR="004D0C7A" w:rsidRPr="002F30DF">
        <w:rPr>
          <w:rFonts w:cs="Arial"/>
          <w:sz w:val="20"/>
          <w:szCs w:val="20"/>
        </w:rPr>
        <w:t>DEU</w:t>
      </w:r>
      <w:r w:rsidR="00EC3C08" w:rsidRPr="002F30DF">
        <w:rPr>
          <w:rFonts w:cs="Arial"/>
          <w:sz w:val="20"/>
          <w:szCs w:val="20"/>
        </w:rPr>
        <w:t>, če ta zakon ne določa drugače</w:t>
      </w:r>
      <w:r w:rsidR="004D0C7A" w:rsidRPr="002F30DF">
        <w:rPr>
          <w:rFonts w:cs="Arial"/>
          <w:sz w:val="20"/>
          <w:szCs w:val="20"/>
        </w:rPr>
        <w:t>.</w:t>
      </w:r>
      <w:r w:rsidR="00EC3C08"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76CAF" w:rsidRPr="002F30DF">
        <w:rPr>
          <w:rFonts w:cs="Arial"/>
          <w:b/>
          <w:sz w:val="20"/>
          <w:szCs w:val="20"/>
        </w:rPr>
        <w:t>6</w:t>
      </w:r>
      <w:r w:rsidR="00577EFC" w:rsidRPr="002F30DF">
        <w:rPr>
          <w:rFonts w:cs="Arial"/>
          <w:b/>
          <w:sz w:val="20"/>
          <w:szCs w:val="20"/>
        </w:rPr>
        <w:t>3</w:t>
      </w:r>
      <w:r w:rsidRPr="002F30DF">
        <w:rPr>
          <w:rFonts w:cs="Arial"/>
          <w:b/>
          <w:sz w:val="20"/>
          <w:szCs w:val="20"/>
        </w:rPr>
        <w:t>. členu (začasni ukrepi)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času hitrih in dinamičnih trgov s hitro razvijajočo tehnologijo obstaja nevarnost, da </w:t>
      </w:r>
      <w:r w:rsidR="00E61F23" w:rsidRPr="002F30DF">
        <w:rPr>
          <w:rFonts w:cs="Arial"/>
          <w:sz w:val="20"/>
          <w:szCs w:val="20"/>
        </w:rPr>
        <w:t xml:space="preserve">imajo </w:t>
      </w:r>
      <w:r w:rsidRPr="002F30DF">
        <w:rPr>
          <w:rFonts w:cs="Arial"/>
          <w:sz w:val="20"/>
          <w:szCs w:val="20"/>
        </w:rPr>
        <w:t>kršitve pravil varstva konkurence nesprejemljive posledice na konkurenco in na strukturo trga. V izogib takšnim posledicam so začasni ukrepi pomembno orodje za zagotovi</w:t>
      </w:r>
      <w:r w:rsidR="00A35136" w:rsidRPr="002F30DF">
        <w:rPr>
          <w:rFonts w:cs="Arial"/>
          <w:sz w:val="20"/>
          <w:szCs w:val="20"/>
        </w:rPr>
        <w:t>tev</w:t>
      </w:r>
      <w:r w:rsidRPr="002F30DF">
        <w:rPr>
          <w:rFonts w:cs="Arial"/>
          <w:sz w:val="20"/>
          <w:szCs w:val="20"/>
        </w:rPr>
        <w:t xml:space="preserve">, da preiskovana kršitev med potekom preiskave ne povzroči hude in </w:t>
      </w:r>
      <w:r w:rsidR="00117FC4" w:rsidRPr="002F30DF">
        <w:rPr>
          <w:rFonts w:cs="Arial"/>
          <w:sz w:val="20"/>
          <w:szCs w:val="20"/>
        </w:rPr>
        <w:t>težko</w:t>
      </w:r>
      <w:r w:rsidR="00EC3C08" w:rsidRPr="002F30DF">
        <w:rPr>
          <w:rFonts w:cs="Arial"/>
          <w:sz w:val="20"/>
          <w:szCs w:val="20"/>
        </w:rPr>
        <w:t xml:space="preserve"> </w:t>
      </w:r>
      <w:r w:rsidRPr="002F30DF">
        <w:rPr>
          <w:rFonts w:cs="Arial"/>
          <w:sz w:val="20"/>
          <w:szCs w:val="20"/>
        </w:rPr>
        <w:t>popravljive škode za konkurenc</w:t>
      </w:r>
      <w:r w:rsidR="00EC3C08" w:rsidRPr="002F30DF">
        <w:rPr>
          <w:rFonts w:cs="Arial"/>
          <w:sz w:val="20"/>
          <w:szCs w:val="20"/>
        </w:rPr>
        <w:t>o</w:t>
      </w:r>
      <w:r w:rsidRPr="002F30DF">
        <w:rPr>
          <w:rFonts w:cs="Arial"/>
          <w:sz w:val="20"/>
          <w:szCs w:val="20"/>
        </w:rPr>
        <w:t xml:space="preserve">. To orodje je pomembno tudi za preprečevanje sprememb na trgu, ki bi jih bilo težko odpraviti z odločbo, ki jo </w:t>
      </w:r>
      <w:r w:rsidR="00EC3C08" w:rsidRPr="002F30DF">
        <w:rPr>
          <w:rFonts w:cs="Arial"/>
          <w:sz w:val="20"/>
          <w:szCs w:val="20"/>
        </w:rPr>
        <w:t>a</w:t>
      </w:r>
      <w:r w:rsidR="0045309B" w:rsidRPr="002F30DF">
        <w:rPr>
          <w:rFonts w:cs="Arial"/>
          <w:sz w:val="20"/>
          <w:szCs w:val="20"/>
        </w:rPr>
        <w:t>genc</w:t>
      </w:r>
      <w:r w:rsidRPr="002F30DF">
        <w:rPr>
          <w:rFonts w:cs="Arial"/>
          <w:sz w:val="20"/>
          <w:szCs w:val="20"/>
        </w:rPr>
        <w:t xml:space="preserve">ija sprejme ob koncu postopka.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Ta določba ureja začasne ukrepe, ki so pomembno orodje za to, da se zagotovi, da preiskovana kršitev med potem preiskave ne povzroči nepopravljive škode konkurentom, ki ne more biti odpravljena s končno odločitvijo o ugotovitvi kršitve. S sprejetjem začasnih ukrepov se lahko izogne</w:t>
      </w:r>
      <w:r w:rsidR="007D6C3D" w:rsidRPr="002F30DF">
        <w:rPr>
          <w:rFonts w:cs="Arial"/>
          <w:sz w:val="20"/>
          <w:szCs w:val="20"/>
        </w:rPr>
        <w:t xml:space="preserve"> </w:t>
      </w:r>
      <w:r w:rsidRPr="002F30DF">
        <w:rPr>
          <w:rFonts w:cs="Arial"/>
          <w:sz w:val="20"/>
          <w:szCs w:val="20"/>
        </w:rPr>
        <w:t>tudi temu, da postane pooblastilo za odločanje o postopkih izvrševanja konkurence neučinkovito.</w:t>
      </w:r>
    </w:p>
    <w:p w:rsidR="007522E3" w:rsidRPr="002F30DF" w:rsidRDefault="007522E3" w:rsidP="0025166A">
      <w:pPr>
        <w:spacing w:line="260" w:lineRule="atLeast"/>
        <w:rPr>
          <w:rFonts w:cs="Arial"/>
          <w:sz w:val="20"/>
          <w:szCs w:val="20"/>
        </w:rPr>
      </w:pPr>
    </w:p>
    <w:p w:rsidR="007522E3" w:rsidRPr="002F30DF" w:rsidRDefault="007522E3" w:rsidP="002516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pogoje, kdaj lahko </w:t>
      </w:r>
      <w:r w:rsidR="00EC3C08" w:rsidRPr="002F30DF">
        <w:rPr>
          <w:rFonts w:cs="Arial"/>
          <w:sz w:val="20"/>
          <w:szCs w:val="20"/>
        </w:rPr>
        <w:t>a</w:t>
      </w:r>
      <w:r w:rsidR="0045309B" w:rsidRPr="002F30DF">
        <w:rPr>
          <w:rFonts w:cs="Arial"/>
          <w:sz w:val="20"/>
          <w:szCs w:val="20"/>
        </w:rPr>
        <w:t>genc</w:t>
      </w:r>
      <w:r w:rsidRPr="002F30DF">
        <w:rPr>
          <w:rFonts w:cs="Arial"/>
          <w:sz w:val="20"/>
          <w:szCs w:val="20"/>
        </w:rPr>
        <w:t xml:space="preserve">ija podjetju naloži začasne ukrepe. </w:t>
      </w:r>
      <w:r w:rsidR="0045309B" w:rsidRPr="002F30DF">
        <w:rPr>
          <w:rFonts w:cs="Arial"/>
          <w:sz w:val="20"/>
          <w:szCs w:val="20"/>
        </w:rPr>
        <w:t>Agenc</w:t>
      </w:r>
      <w:r w:rsidRPr="002F30DF">
        <w:rPr>
          <w:rFonts w:cs="Arial"/>
          <w:sz w:val="20"/>
          <w:szCs w:val="20"/>
        </w:rPr>
        <w:t>ija lahko v primeru obstoja verjetnosti kršitve določb</w:t>
      </w:r>
      <w:r w:rsidR="00EC3C08" w:rsidRPr="002F30DF">
        <w:rPr>
          <w:rFonts w:cs="Arial"/>
          <w:sz w:val="20"/>
          <w:szCs w:val="20"/>
        </w:rPr>
        <w:t xml:space="preserve"> o</w:t>
      </w:r>
      <w:r w:rsidRPr="002F30DF">
        <w:rPr>
          <w:rFonts w:cs="Arial"/>
          <w:sz w:val="20"/>
          <w:szCs w:val="20"/>
        </w:rPr>
        <w:t xml:space="preserve"> omejevalnih ravnanj</w:t>
      </w:r>
      <w:r w:rsidR="00A35136" w:rsidRPr="002F30DF">
        <w:rPr>
          <w:rFonts w:cs="Arial"/>
          <w:sz w:val="20"/>
          <w:szCs w:val="20"/>
        </w:rPr>
        <w:t>ih</w:t>
      </w:r>
      <w:r w:rsidRPr="002F30DF">
        <w:rPr>
          <w:rFonts w:cs="Arial"/>
          <w:sz w:val="20"/>
          <w:szCs w:val="20"/>
        </w:rPr>
        <w:t xml:space="preserve"> naloži</w:t>
      </w:r>
      <w:r w:rsidR="004D0C7A" w:rsidRPr="002F30DF">
        <w:rPr>
          <w:rFonts w:cs="Arial"/>
          <w:sz w:val="20"/>
          <w:szCs w:val="20"/>
        </w:rPr>
        <w:t xml:space="preserve"> </w:t>
      </w:r>
      <w:r w:rsidRPr="002F30DF">
        <w:rPr>
          <w:rFonts w:cs="Arial"/>
          <w:sz w:val="20"/>
          <w:szCs w:val="20"/>
        </w:rPr>
        <w:t>začasne ukrepe, ko sta kumulativno izpolnjena dva pogoja</w:t>
      </w:r>
      <w:r w:rsidR="00EC3C08" w:rsidRPr="002F30DF">
        <w:rPr>
          <w:rFonts w:cs="Arial"/>
          <w:sz w:val="20"/>
          <w:szCs w:val="20"/>
        </w:rPr>
        <w:t>,</w:t>
      </w:r>
      <w:r w:rsidRPr="002F30DF">
        <w:rPr>
          <w:rFonts w:cs="Arial"/>
          <w:sz w:val="20"/>
          <w:szCs w:val="20"/>
        </w:rPr>
        <w:t xml:space="preserve"> in sicer pogoj nujnosti in pogoj obstoja nevarnosti hude in</w:t>
      </w:r>
      <w:r w:rsidR="00117FC4" w:rsidRPr="002F30DF">
        <w:rPr>
          <w:rFonts w:cs="Arial"/>
          <w:sz w:val="20"/>
          <w:szCs w:val="20"/>
        </w:rPr>
        <w:t xml:space="preserve"> težko</w:t>
      </w:r>
      <w:r w:rsidRPr="002F30DF">
        <w:rPr>
          <w:rFonts w:cs="Arial"/>
          <w:sz w:val="20"/>
          <w:szCs w:val="20"/>
        </w:rPr>
        <w:t xml:space="preserve"> popravljive škode. V skladu z načelom sorazmernosti lahko </w:t>
      </w:r>
      <w:r w:rsidR="00EC3C08" w:rsidRPr="002F30DF">
        <w:rPr>
          <w:rFonts w:cs="Arial"/>
          <w:sz w:val="20"/>
          <w:szCs w:val="20"/>
        </w:rPr>
        <w:t>a</w:t>
      </w:r>
      <w:r w:rsidR="0045309B" w:rsidRPr="002F30DF">
        <w:rPr>
          <w:rFonts w:cs="Arial"/>
          <w:sz w:val="20"/>
          <w:szCs w:val="20"/>
        </w:rPr>
        <w:t>genc</w:t>
      </w:r>
      <w:r w:rsidRPr="002F30DF">
        <w:rPr>
          <w:rFonts w:cs="Arial"/>
          <w:sz w:val="20"/>
          <w:szCs w:val="20"/>
        </w:rPr>
        <w:t>ija naloži le tiste ukrepe, k</w:t>
      </w:r>
      <w:r w:rsidR="004D0C7A" w:rsidRPr="002F30DF">
        <w:rPr>
          <w:rFonts w:cs="Arial"/>
          <w:sz w:val="20"/>
          <w:szCs w:val="20"/>
        </w:rPr>
        <w:t>i</w:t>
      </w:r>
      <w:r w:rsidRPr="002F30DF">
        <w:rPr>
          <w:rFonts w:cs="Arial"/>
          <w:sz w:val="20"/>
          <w:szCs w:val="20"/>
        </w:rPr>
        <w:t xml:space="preserve"> </w:t>
      </w:r>
      <w:r w:rsidR="00117FC4" w:rsidRPr="002F30DF">
        <w:rPr>
          <w:rFonts w:cs="Arial"/>
          <w:sz w:val="20"/>
          <w:szCs w:val="20"/>
        </w:rPr>
        <w:t xml:space="preserve">so </w:t>
      </w:r>
      <w:r w:rsidRPr="002F30DF">
        <w:rPr>
          <w:rFonts w:cs="Arial"/>
          <w:sz w:val="20"/>
          <w:szCs w:val="20"/>
        </w:rPr>
        <w:t xml:space="preserve">potrebni in sorazmerni v določenem primeru. Načelo sorazmernosti zahteva, da ukrepi, ki jih sprejmejo institucije EU, ne presegajo meja, kar je primerno in potrebno za dosego ciljev, ki jih zakonito zasleduje zadevna zakonodaja. </w:t>
      </w:r>
    </w:p>
    <w:p w:rsidR="007522E3" w:rsidRPr="002F30DF" w:rsidRDefault="007522E3" w:rsidP="0025166A">
      <w:pPr>
        <w:tabs>
          <w:tab w:val="left" w:pos="3243"/>
        </w:tabs>
        <w:spacing w:line="260" w:lineRule="atLeast"/>
        <w:rPr>
          <w:rFonts w:cs="Arial"/>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določa, da so naloženi ukrepi začasne narave ter da </w:t>
      </w:r>
      <w:r w:rsidR="00B37A7C" w:rsidRPr="002F30DF">
        <w:rPr>
          <w:rFonts w:cs="Arial"/>
          <w:sz w:val="20"/>
          <w:szCs w:val="20"/>
        </w:rPr>
        <w:t>a</w:t>
      </w:r>
      <w:r w:rsidR="0045309B" w:rsidRPr="002F30DF">
        <w:rPr>
          <w:rFonts w:cs="Arial"/>
          <w:sz w:val="20"/>
          <w:szCs w:val="20"/>
        </w:rPr>
        <w:t>genc</w:t>
      </w:r>
      <w:r w:rsidRPr="002F30DF">
        <w:rPr>
          <w:rFonts w:cs="Arial"/>
          <w:sz w:val="20"/>
          <w:szCs w:val="20"/>
        </w:rPr>
        <w:t xml:space="preserve">ija v sklepu določi čas trajanja naloženega ukrepa. Trajanje naloženega začasnega ukrepa lahko </w:t>
      </w:r>
      <w:r w:rsidR="00B37A7C" w:rsidRPr="002F30DF">
        <w:rPr>
          <w:rFonts w:cs="Arial"/>
          <w:sz w:val="20"/>
          <w:szCs w:val="20"/>
        </w:rPr>
        <w:t>a</w:t>
      </w:r>
      <w:r w:rsidR="0045309B" w:rsidRPr="002F30DF">
        <w:rPr>
          <w:rFonts w:cs="Arial"/>
          <w:sz w:val="20"/>
          <w:szCs w:val="20"/>
        </w:rPr>
        <w:t>genc</w:t>
      </w:r>
      <w:r w:rsidRPr="002F30DF">
        <w:rPr>
          <w:rFonts w:cs="Arial"/>
          <w:sz w:val="20"/>
          <w:szCs w:val="20"/>
        </w:rPr>
        <w:t>ija tudi večkrat podaljša</w:t>
      </w:r>
      <w:r w:rsidR="003C6E61" w:rsidRPr="002F30DF">
        <w:rPr>
          <w:rFonts w:cs="Arial"/>
          <w:sz w:val="20"/>
          <w:szCs w:val="20"/>
        </w:rPr>
        <w:t>, če je to potrebno in primerno, vendar lahko trajajo najdlje do pravnomočnosti odločbe o ugotovitvi kršitve iz prejšnjega člena</w:t>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Direktiva 2019/1 določa, da morajo nacionalni organi, pristojni za varstvo konkurence, obveščati Evropsko mrežo za konkurenco o naložitvi začasnih ukrepov, se </w:t>
      </w:r>
      <w:r w:rsidRPr="002F30DF">
        <w:rPr>
          <w:rFonts w:cs="Arial"/>
          <w:sz w:val="20"/>
          <w:szCs w:val="20"/>
          <w:u w:val="single"/>
        </w:rPr>
        <w:t>v tretjem odstavku</w:t>
      </w:r>
      <w:r w:rsidRPr="002F30DF">
        <w:rPr>
          <w:rFonts w:cs="Arial"/>
          <w:sz w:val="20"/>
          <w:szCs w:val="20"/>
        </w:rPr>
        <w:t xml:space="preserve"> določi, da </w:t>
      </w:r>
      <w:r w:rsidR="00B37A7C" w:rsidRPr="002F30DF">
        <w:rPr>
          <w:rFonts w:cs="Arial"/>
          <w:sz w:val="20"/>
          <w:szCs w:val="20"/>
        </w:rPr>
        <w:t>a</w:t>
      </w:r>
      <w:r w:rsidR="0045309B" w:rsidRPr="002F30DF">
        <w:rPr>
          <w:rFonts w:cs="Arial"/>
          <w:sz w:val="20"/>
          <w:szCs w:val="20"/>
        </w:rPr>
        <w:t>genc</w:t>
      </w:r>
      <w:r w:rsidRPr="002F30DF">
        <w:rPr>
          <w:rFonts w:cs="Arial"/>
          <w:sz w:val="20"/>
          <w:szCs w:val="20"/>
        </w:rPr>
        <w:t>ija</w:t>
      </w:r>
      <w:r w:rsidR="00710503" w:rsidRPr="002F30DF">
        <w:rPr>
          <w:rFonts w:cs="Arial"/>
          <w:sz w:val="20"/>
          <w:szCs w:val="20"/>
        </w:rPr>
        <w:t>, kadar obstaja verjetnost kršitve določb 101. ali 102. člena  Pogodbe o delovanju Evropske unije</w:t>
      </w:r>
      <w:r w:rsidRPr="002F30DF">
        <w:rPr>
          <w:rFonts w:cs="Arial"/>
          <w:sz w:val="20"/>
          <w:szCs w:val="20"/>
        </w:rPr>
        <w:t xml:space="preserve"> obvešča organe, pristojne za varstvo konkurence drugih držav članic in Evropsko </w:t>
      </w:r>
      <w:r w:rsidR="0045309B" w:rsidRPr="002F30DF">
        <w:rPr>
          <w:rFonts w:cs="Arial"/>
          <w:sz w:val="20"/>
          <w:szCs w:val="20"/>
        </w:rPr>
        <w:t>komisijo</w:t>
      </w:r>
      <w:r w:rsidRPr="002F30DF">
        <w:rPr>
          <w:rFonts w:cs="Arial"/>
          <w:sz w:val="20"/>
          <w:szCs w:val="20"/>
        </w:rPr>
        <w:t>. Le</w:t>
      </w:r>
      <w:r w:rsidR="004D0C7A" w:rsidRPr="002F30DF">
        <w:rPr>
          <w:rFonts w:cs="Arial"/>
          <w:sz w:val="20"/>
          <w:szCs w:val="20"/>
        </w:rPr>
        <w:t>–</w:t>
      </w:r>
      <w:r w:rsidRPr="002F30DF">
        <w:rPr>
          <w:rFonts w:cs="Arial"/>
          <w:sz w:val="20"/>
          <w:szCs w:val="20"/>
        </w:rPr>
        <w:t xml:space="preserve">to </w:t>
      </w:r>
      <w:r w:rsidR="00B37A7C" w:rsidRPr="002F30DF">
        <w:rPr>
          <w:rFonts w:cs="Arial"/>
          <w:sz w:val="20"/>
          <w:szCs w:val="20"/>
        </w:rPr>
        <w:t>a</w:t>
      </w:r>
      <w:r w:rsidR="0045309B" w:rsidRPr="002F30DF">
        <w:rPr>
          <w:rFonts w:cs="Arial"/>
          <w:sz w:val="20"/>
          <w:szCs w:val="20"/>
        </w:rPr>
        <w:t>genc</w:t>
      </w:r>
      <w:r w:rsidRPr="002F30DF">
        <w:rPr>
          <w:rFonts w:cs="Arial"/>
          <w:sz w:val="20"/>
          <w:szCs w:val="20"/>
        </w:rPr>
        <w:t>ija stori s sporočilom preko Evropske mreže za konkurenc</w:t>
      </w:r>
      <w:r w:rsidR="00156BED" w:rsidRPr="002F30DF">
        <w:rPr>
          <w:rFonts w:cs="Arial"/>
          <w:sz w:val="20"/>
          <w:szCs w:val="20"/>
        </w:rPr>
        <w:t>o</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ohranja dosedanjo pravico strank, da v roku treh dni od prejema sklepa o začasnih ukrepih, zoper ta sklep vloži tožbo. Sodišče mora o tožbi odločiti brez odlašanja, vendar najkasneje v 15 dneh po prejemu tožbe. S tem odstavkom se zagotavlja prenos drugega odstavka 11. člena Direktive 2019/1, ki določa, da </w:t>
      </w:r>
      <w:r w:rsidRPr="002F30DF">
        <w:rPr>
          <w:rFonts w:cs="Arial"/>
          <w:i/>
          <w:sz w:val="20"/>
          <w:szCs w:val="20"/>
        </w:rPr>
        <w:t>države članice zagotovijo, da se zakonitost, vključno s sorazmernostjo, začasnih ukrepov lahko presoja v pospešenih pritožbenih postopkih.</w:t>
      </w:r>
    </w:p>
    <w:p w:rsidR="004B1D9C" w:rsidRPr="002F30DF" w:rsidRDefault="004B1D9C" w:rsidP="004B1D9C">
      <w:pPr>
        <w:spacing w:line="260" w:lineRule="atLeast"/>
        <w:rPr>
          <w:rFonts w:cs="Arial"/>
          <w:sz w:val="20"/>
          <w:szCs w:val="20"/>
        </w:rPr>
      </w:pPr>
    </w:p>
    <w:p w:rsidR="004B1D9C" w:rsidRPr="002F30DF" w:rsidRDefault="004B1D9C" w:rsidP="004B1D9C">
      <w:pPr>
        <w:spacing w:line="260" w:lineRule="atLeast"/>
        <w:rPr>
          <w:rFonts w:cs="Arial"/>
          <w:sz w:val="20"/>
          <w:szCs w:val="20"/>
        </w:rPr>
      </w:pPr>
      <w:r w:rsidRPr="002F30DF">
        <w:rPr>
          <w:rFonts w:cs="Arial"/>
          <w:sz w:val="20"/>
          <w:szCs w:val="20"/>
        </w:rPr>
        <w:t xml:space="preserve">S tem členom se zagotavlja prenos 11. člena Direktive 2019/1, ki določa, da </w:t>
      </w:r>
      <w:r w:rsidRPr="002F30DF">
        <w:rPr>
          <w:rFonts w:cs="Arial"/>
          <w:i/>
          <w:sz w:val="20"/>
          <w:szCs w:val="20"/>
        </w:rPr>
        <w:t>so nacionalni organi, pristojni za varstvo konkurence, pooblaščeni, da podjetjem ali podjetniškim združenjem po uradni dolžnosti z odločbo naložijo začasne ukrepe, vsaj v nujnih primerih, kadar obstaja nevarnost hude in nepopravljive škode za konkurenco, na podlagi ugotovitve kršitve 101. ali 102. člena PDEU na prvi pogled. Takšna odločba mora biti sorazmerna in se uporablja bodisi za določeno obdobje, ki ga je mogoče podaljšati, kolikor je to potrebno in primerno, ali do sprejetja pravnomočne odločbe. Nacionalni organi, pristojni za varstvo konkurence, obveščajo Evropsko mrežo za konkurenco o naložitvi takih začasnih ukrepov.</w:t>
      </w:r>
      <w:r w:rsidRPr="002F30DF">
        <w:rPr>
          <w:rFonts w:cs="Arial"/>
          <w:sz w:val="20"/>
          <w:szCs w:val="20"/>
        </w:rPr>
        <w:t xml:space="preserve"> V drugem odstavku te direktive pa je določeno, da </w:t>
      </w:r>
      <w:r w:rsidRPr="002F30DF">
        <w:rPr>
          <w:rFonts w:cs="Arial"/>
          <w:i/>
          <w:sz w:val="20"/>
          <w:szCs w:val="20"/>
        </w:rPr>
        <w:t>se zakonitost, vključno s sorazmernostjo, začasnih ukrepov iz prvega odstavka lahko presoja v pospešenih pritožbenih postopkih.</w:t>
      </w:r>
    </w:p>
    <w:p w:rsidR="004B1D9C" w:rsidRPr="002F30DF" w:rsidRDefault="004B1D9C" w:rsidP="004B1D9C">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76CAF" w:rsidRPr="002F30DF">
        <w:rPr>
          <w:rFonts w:cs="Arial"/>
          <w:b/>
          <w:sz w:val="20"/>
          <w:szCs w:val="20"/>
        </w:rPr>
        <w:t>6</w:t>
      </w:r>
      <w:r w:rsidR="00577EFC" w:rsidRPr="002F30DF">
        <w:rPr>
          <w:rFonts w:cs="Arial"/>
          <w:b/>
          <w:sz w:val="20"/>
          <w:szCs w:val="20"/>
        </w:rPr>
        <w:t>4</w:t>
      </w:r>
      <w:r w:rsidRPr="002F30DF">
        <w:rPr>
          <w:rFonts w:cs="Arial"/>
          <w:b/>
          <w:sz w:val="20"/>
          <w:szCs w:val="20"/>
        </w:rPr>
        <w:t>. členu (zaveze)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Na podlagi </w:t>
      </w:r>
      <w:r w:rsidRPr="002F30DF">
        <w:rPr>
          <w:rFonts w:cs="Arial"/>
          <w:sz w:val="20"/>
          <w:szCs w:val="20"/>
          <w:u w:val="single"/>
        </w:rPr>
        <w:t>prvega odstavka</w:t>
      </w:r>
      <w:r w:rsidRPr="002F30DF">
        <w:rPr>
          <w:rFonts w:cs="Arial"/>
          <w:sz w:val="20"/>
          <w:szCs w:val="20"/>
        </w:rPr>
        <w:t xml:space="preserve"> lahko podjetje oziroma podjetja, zoper katere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vodi postopek, predlagajo zaveze, s katerimi se </w:t>
      </w:r>
      <w:r w:rsidR="00710503" w:rsidRPr="002F30DF">
        <w:rPr>
          <w:rFonts w:cs="Arial"/>
          <w:sz w:val="20"/>
          <w:szCs w:val="20"/>
        </w:rPr>
        <w:t>odpravi stanje, iz katerega izhaja verjetnost kršitve določb</w:t>
      </w:r>
      <w:r w:rsidR="00710503" w:rsidRPr="002F30DF" w:rsidDel="009268F7">
        <w:rPr>
          <w:rFonts w:cs="Arial"/>
          <w:sz w:val="20"/>
          <w:szCs w:val="20"/>
        </w:rPr>
        <w:t xml:space="preserve"> </w:t>
      </w:r>
      <w:r w:rsidRPr="002F30DF">
        <w:rPr>
          <w:rFonts w:cs="Arial"/>
          <w:sz w:val="20"/>
          <w:szCs w:val="20"/>
        </w:rPr>
        <w:t>5. ali 8. člen tega zakona ali 101. ali 102. člena PDEU</w:t>
      </w:r>
      <w:r w:rsidR="002D6008" w:rsidRPr="002F30DF">
        <w:rPr>
          <w:rFonts w:cs="Arial"/>
          <w:sz w:val="20"/>
          <w:szCs w:val="20"/>
        </w:rPr>
        <w:t xml:space="preserve">, kar </w:t>
      </w:r>
      <w:r w:rsidR="00D93BA5" w:rsidRPr="002F30DF">
        <w:rPr>
          <w:rFonts w:cs="Arial"/>
          <w:sz w:val="20"/>
          <w:szCs w:val="20"/>
        </w:rPr>
        <w:t>a</w:t>
      </w:r>
      <w:r w:rsidR="002D6008" w:rsidRPr="002F30DF">
        <w:rPr>
          <w:rFonts w:cs="Arial"/>
          <w:sz w:val="20"/>
          <w:szCs w:val="20"/>
        </w:rPr>
        <w:t>gencija opredeli že v sklepu o uvedbi postopka</w:t>
      </w:r>
      <w:r w:rsidRPr="002F30DF">
        <w:rPr>
          <w:rFonts w:cs="Arial"/>
          <w:sz w:val="20"/>
          <w:szCs w:val="20"/>
        </w:rPr>
        <w:t xml:space="preserve">. </w:t>
      </w:r>
      <w:r w:rsidR="00733D5C" w:rsidRPr="002F30DF">
        <w:rPr>
          <w:rFonts w:cs="Arial"/>
          <w:sz w:val="20"/>
          <w:szCs w:val="20"/>
        </w:rPr>
        <w:t xml:space="preserve">Podjetje lahko predlaga zaveze kadarkoli od izdaje sklepa o uvedbi postopa </w:t>
      </w:r>
      <w:r w:rsidR="00B06A2A" w:rsidRPr="002F30DF">
        <w:rPr>
          <w:rFonts w:cs="Arial"/>
          <w:sz w:val="20"/>
          <w:szCs w:val="20"/>
        </w:rPr>
        <w:t xml:space="preserve">do izteka roka za odgovor na povzetek relevantnih dejstev. </w:t>
      </w:r>
      <w:r w:rsidRPr="002F30DF">
        <w:rPr>
          <w:rFonts w:cs="Arial"/>
          <w:sz w:val="20"/>
          <w:szCs w:val="20"/>
        </w:rPr>
        <w:t xml:space="preserve">V primeru sprejema predlaganih zavez ni več nobenih razlogov za ukrepanje s strani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ije, niti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ne ugotavlja, ali je podjetje kršilo 5. ali 8. člena tega zakona ali 101. ali 102. člena PDEU.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oceni, da </w:t>
      </w:r>
      <w:r w:rsidR="00CD4C70" w:rsidRPr="002F30DF">
        <w:rPr>
          <w:rFonts w:cs="Arial"/>
          <w:sz w:val="20"/>
          <w:szCs w:val="20"/>
        </w:rPr>
        <w:t xml:space="preserve">so </w:t>
      </w:r>
      <w:r w:rsidRPr="002F30DF">
        <w:rPr>
          <w:rFonts w:cs="Arial"/>
          <w:sz w:val="20"/>
          <w:szCs w:val="20"/>
        </w:rPr>
        <w:t xml:space="preserve">predlagani ukrepi </w:t>
      </w:r>
      <w:r w:rsidR="00B06A2A" w:rsidRPr="002F30DF">
        <w:rPr>
          <w:rFonts w:cs="Arial"/>
          <w:sz w:val="20"/>
          <w:szCs w:val="20"/>
        </w:rPr>
        <w:t xml:space="preserve">primerni ali </w:t>
      </w:r>
      <w:r w:rsidRPr="002F30DF">
        <w:rPr>
          <w:rFonts w:cs="Arial"/>
          <w:sz w:val="20"/>
          <w:szCs w:val="20"/>
        </w:rPr>
        <w:t xml:space="preserve">zadoščajo za odpravo stanja, iz katerega izhaja verjetnost kršitve 5. ali 8. člena tega zakona ali 101. ali 102. člena PDEU,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predlagane zaveze sprejme z odločbo. </w:t>
      </w:r>
      <w:r w:rsidR="0045309B" w:rsidRPr="002F30DF">
        <w:rPr>
          <w:rFonts w:cs="Arial"/>
          <w:sz w:val="20"/>
          <w:szCs w:val="20"/>
        </w:rPr>
        <w:t>Agenc</w:t>
      </w:r>
      <w:r w:rsidRPr="002F30DF">
        <w:rPr>
          <w:rFonts w:cs="Arial"/>
          <w:sz w:val="20"/>
          <w:szCs w:val="20"/>
        </w:rPr>
        <w:t>ija mora</w:t>
      </w:r>
      <w:r w:rsidR="004D0C7A" w:rsidRPr="002F30DF">
        <w:rPr>
          <w:rFonts w:cs="Arial"/>
          <w:sz w:val="20"/>
          <w:szCs w:val="20"/>
        </w:rPr>
        <w:t xml:space="preserve"> odločbo</w:t>
      </w:r>
      <w:r w:rsidRPr="002F30DF">
        <w:rPr>
          <w:rFonts w:cs="Arial"/>
          <w:sz w:val="20"/>
          <w:szCs w:val="20"/>
        </w:rPr>
        <w:t xml:space="preserve">, skladno s </w:t>
      </w:r>
      <w:r w:rsidRPr="002F30DF">
        <w:rPr>
          <w:rFonts w:cs="Arial"/>
          <w:sz w:val="20"/>
          <w:szCs w:val="20"/>
          <w:u w:val="single"/>
        </w:rPr>
        <w:t>šestim odstavkom</w:t>
      </w:r>
      <w:r w:rsidRPr="002F30DF">
        <w:rPr>
          <w:rFonts w:cs="Arial"/>
          <w:sz w:val="20"/>
          <w:szCs w:val="20"/>
        </w:rPr>
        <w:t xml:space="preserve">, izdati v dveh letih od izdaje sklepa o uvedbi postopka. V nasprotnem primeru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w:t>
      </w:r>
      <w:r w:rsidR="00CD4C70" w:rsidRPr="002F30DF">
        <w:rPr>
          <w:rFonts w:cs="Arial"/>
          <w:sz w:val="20"/>
          <w:szCs w:val="20"/>
        </w:rPr>
        <w:t xml:space="preserve">skladno z </w:t>
      </w:r>
      <w:r w:rsidR="00CD4C70" w:rsidRPr="002F30DF">
        <w:rPr>
          <w:rFonts w:cs="Arial"/>
          <w:sz w:val="20"/>
          <w:szCs w:val="20"/>
          <w:u w:val="single"/>
        </w:rPr>
        <w:t>drugim odstavkom</w:t>
      </w:r>
      <w:r w:rsidR="00CD4C70" w:rsidRPr="002F30DF">
        <w:rPr>
          <w:rFonts w:cs="Arial"/>
          <w:sz w:val="20"/>
          <w:szCs w:val="20"/>
        </w:rPr>
        <w:t xml:space="preserve"> </w:t>
      </w:r>
      <w:r w:rsidRPr="002F30DF">
        <w:rPr>
          <w:rFonts w:cs="Arial"/>
          <w:sz w:val="20"/>
          <w:szCs w:val="20"/>
        </w:rPr>
        <w:t xml:space="preserve">o tem pisno obvesti podjetje, ki je zaveze predlagalo. </w:t>
      </w:r>
    </w:p>
    <w:p w:rsidR="007522E3" w:rsidRPr="002F30DF" w:rsidRDefault="007522E3" w:rsidP="0025166A">
      <w:pPr>
        <w:spacing w:line="260" w:lineRule="atLeast"/>
        <w:rPr>
          <w:rFonts w:cs="Arial"/>
          <w:sz w:val="20"/>
          <w:szCs w:val="20"/>
        </w:rPr>
      </w:pPr>
    </w:p>
    <w:p w:rsidR="007522E3" w:rsidRPr="002F30DF" w:rsidRDefault="00B06A2A"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č</w:t>
      </w:r>
      <w:r w:rsidR="007522E3" w:rsidRPr="002F30DF">
        <w:rPr>
          <w:rFonts w:cs="Arial"/>
          <w:sz w:val="20"/>
          <w:szCs w:val="20"/>
        </w:rPr>
        <w:t xml:space="preserve">e </w:t>
      </w:r>
      <w:r w:rsidR="003E0A92" w:rsidRPr="002F30DF">
        <w:rPr>
          <w:rFonts w:cs="Arial"/>
          <w:sz w:val="20"/>
          <w:szCs w:val="20"/>
        </w:rPr>
        <w:t>so zaveze primerne in zadoščajo za odpravo stanja iz katerega izhaja verjetnost kršitve določb 5. ali 8. člena tega zakona ali 101. ali 102. člena Pogodbe o delovanju Evropske unije, lahko agencija po pridobitvi mnenj drugih udeležencev na trgu predlagane zaveze sprejme z odločbo</w:t>
      </w:r>
      <w:r w:rsidR="007522E3" w:rsidRPr="002F30DF">
        <w:rPr>
          <w:rFonts w:cs="Arial"/>
          <w:sz w:val="20"/>
          <w:szCs w:val="20"/>
        </w:rPr>
        <w:t xml:space="preserve">. </w:t>
      </w:r>
      <w:r w:rsidR="0045309B" w:rsidRPr="002F30DF">
        <w:rPr>
          <w:rFonts w:cs="Arial"/>
          <w:sz w:val="20"/>
          <w:szCs w:val="20"/>
        </w:rPr>
        <w:t>Agenc</w:t>
      </w:r>
      <w:r w:rsidR="007522E3" w:rsidRPr="002F30DF">
        <w:rPr>
          <w:rFonts w:cs="Arial"/>
          <w:sz w:val="20"/>
          <w:szCs w:val="20"/>
        </w:rPr>
        <w:t xml:space="preserve">ija lahko </w:t>
      </w:r>
      <w:r w:rsidR="003E0A92" w:rsidRPr="002F30DF">
        <w:rPr>
          <w:rFonts w:cs="Arial"/>
          <w:sz w:val="20"/>
          <w:szCs w:val="20"/>
        </w:rPr>
        <w:t xml:space="preserve">z odločbo tudi ugotovi, da ne obstojijo več razlogi za nadaljnje ukrepanje in trajanje zavez časovno omeji </w:t>
      </w:r>
      <w:r w:rsidR="007522E3" w:rsidRPr="002F30DF">
        <w:rPr>
          <w:rFonts w:cs="Arial"/>
          <w:sz w:val="20"/>
          <w:szCs w:val="20"/>
        </w:rPr>
        <w:t xml:space="preserve">glede na njeno oceno koliko časa je treba zagotavljati spoštovanje zavez, da se prepreči kršitve določb 5. ali 8. člena tega zakona ali 101. ali 102. člena PDEU. S tem odstavkom se prenaša tretji odstavek 12. člena Direktive 2019/1.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primeru, da je izpolnitev zavez vezana na soglasje ali drugo dejanje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ije, </w:t>
      </w:r>
      <w:r w:rsidR="000F388D" w:rsidRPr="002F30DF">
        <w:rPr>
          <w:rFonts w:cs="Arial"/>
          <w:sz w:val="20"/>
          <w:szCs w:val="20"/>
        </w:rPr>
        <w:t>a</w:t>
      </w:r>
      <w:r w:rsidR="0045309B" w:rsidRPr="002F30DF">
        <w:rPr>
          <w:rFonts w:cs="Arial"/>
          <w:sz w:val="20"/>
          <w:szCs w:val="20"/>
        </w:rPr>
        <w:t>genc</w:t>
      </w:r>
      <w:r w:rsidRPr="002F30DF">
        <w:rPr>
          <w:rFonts w:cs="Arial"/>
          <w:sz w:val="20"/>
          <w:szCs w:val="20"/>
        </w:rPr>
        <w:t>ija o tem odloči s sklepom. Zoper sklep ni sodnega varstva (</w:t>
      </w:r>
      <w:r w:rsidRPr="002F30DF">
        <w:rPr>
          <w:rFonts w:cs="Arial"/>
          <w:sz w:val="20"/>
          <w:szCs w:val="20"/>
          <w:u w:val="single"/>
        </w:rPr>
        <w:t>četrti odstavek</w:t>
      </w:r>
      <w:r w:rsidRPr="002F30DF">
        <w:rPr>
          <w:rFonts w:cs="Arial"/>
          <w:sz w:val="20"/>
          <w:szCs w:val="20"/>
        </w:rPr>
        <w:t>)</w:t>
      </w:r>
      <w:r w:rsidR="004D0C7A"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se po izdaji odločbe iz tretjega odstavka tega člena dejanske okoliščine, na katerih je temeljila odločba, bistveno spremenijo, ali če podjetje ne izpolnjuje zavez ali če odločba temelji na nepopolnih, nepravilnih ali zavajajočih podatkih, ki so jih posredovale stranke,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bodisi na predlog ali po uradni dolžnosti razveljavi odločbo iz tretjega odstavka </w:t>
      </w:r>
      <w:r w:rsidR="00E61F23" w:rsidRPr="002F30DF">
        <w:rPr>
          <w:rFonts w:cs="Arial"/>
          <w:sz w:val="20"/>
          <w:szCs w:val="20"/>
        </w:rPr>
        <w:t xml:space="preserve">in </w:t>
      </w:r>
      <w:r w:rsidR="0060485C" w:rsidRPr="002F30DF">
        <w:rPr>
          <w:rFonts w:cs="Arial"/>
          <w:sz w:val="20"/>
          <w:szCs w:val="20"/>
        </w:rPr>
        <w:t xml:space="preserve">nadaljuje </w:t>
      </w:r>
      <w:r w:rsidR="00E61F23" w:rsidRPr="002F30DF">
        <w:rPr>
          <w:rFonts w:cs="Arial"/>
          <w:sz w:val="20"/>
          <w:szCs w:val="20"/>
        </w:rPr>
        <w:t xml:space="preserve">postopek </w:t>
      </w:r>
      <w:r w:rsidRPr="002F30DF">
        <w:rPr>
          <w:rFonts w:cs="Arial"/>
          <w:sz w:val="20"/>
          <w:szCs w:val="20"/>
        </w:rPr>
        <w:t>(</w:t>
      </w:r>
      <w:r w:rsidRPr="002F30DF">
        <w:rPr>
          <w:rFonts w:cs="Arial"/>
          <w:sz w:val="20"/>
          <w:szCs w:val="20"/>
          <w:u w:val="single"/>
        </w:rPr>
        <w:t>peti odstavek</w:t>
      </w:r>
      <w:r w:rsidRPr="002F30DF">
        <w:rPr>
          <w:rFonts w:cs="Arial"/>
          <w:sz w:val="20"/>
          <w:szCs w:val="20"/>
        </w:rPr>
        <w:t>)</w:t>
      </w:r>
      <w:r w:rsidR="004D0C7A" w:rsidRPr="002F30DF">
        <w:rPr>
          <w:rFonts w:cs="Arial"/>
          <w:sz w:val="20"/>
          <w:szCs w:val="20"/>
        </w:rPr>
        <w:t>.</w:t>
      </w:r>
      <w:r w:rsidR="00D51245"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4B1D9C" w:rsidRPr="002F30DF" w:rsidRDefault="004B1D9C" w:rsidP="004B1D9C">
      <w:pPr>
        <w:spacing w:line="260" w:lineRule="atLeast"/>
        <w:rPr>
          <w:rFonts w:cs="Arial"/>
          <w:sz w:val="20"/>
          <w:szCs w:val="20"/>
        </w:rPr>
      </w:pPr>
      <w:r w:rsidRPr="002F30DF">
        <w:rPr>
          <w:rFonts w:cs="Arial"/>
          <w:sz w:val="20"/>
          <w:szCs w:val="20"/>
        </w:rPr>
        <w:t xml:space="preserve">S to določbo se v naš pravni red prenašata prvi in tretji odstavek 12. člena Direktive 2019/1. Prvi odstavek določa, da države članice zagotovijo, da lahko </w:t>
      </w:r>
      <w:r w:rsidRPr="002F30DF">
        <w:rPr>
          <w:rFonts w:cs="Arial"/>
          <w:i/>
          <w:sz w:val="20"/>
          <w:szCs w:val="20"/>
        </w:rPr>
        <w:t xml:space="preserve">nacionalni organi, pristojni za varstvo konkurence, v postopku za uveljavljanje pravil </w:t>
      </w:r>
      <w:r w:rsidRPr="002F30DF">
        <w:rPr>
          <w:rFonts w:cs="Arial"/>
          <w:i/>
          <w:sz w:val="20"/>
          <w:szCs w:val="20"/>
        </w:rPr>
        <w:lastRenderedPageBreak/>
        <w:t xml:space="preserve">konkurence, ki so ga začeli za sprejetje odločbe, s katero bi zahtevali odpravo kršitve 101. ali 102. člena PDEU, po formalnem ali neformalnem zahtevanju mnenj udeležencev na trgu, zaveze, ki jih dajo podjetja ali podjetniška združenja v odgovor na pomisleke, ki so jih izrazili nacionalni organi, pristojni za varstvo konkurence, z odločbo spremenijo v zavezujoče. Takšna odločba je lahko časovno omejena in ugotavlja, da nacionalni organ, pristojen za varstvo konkurence, nima več razlogov za ukrepanje. </w:t>
      </w:r>
      <w:r w:rsidRPr="002F30DF">
        <w:rPr>
          <w:rFonts w:cs="Arial"/>
          <w:sz w:val="20"/>
          <w:szCs w:val="20"/>
        </w:rPr>
        <w:t xml:space="preserve">Tretji odstavek pa nalaga državam članicam, da </w:t>
      </w:r>
      <w:r w:rsidRPr="002F30DF">
        <w:rPr>
          <w:rFonts w:cs="Arial"/>
          <w:i/>
          <w:sz w:val="20"/>
          <w:szCs w:val="20"/>
        </w:rPr>
        <w:t xml:space="preserve">zagotovijo, da lahko organi, pristojni za varstvo konkurence, ponovno začnejo postopek za uveljavljanje pravil konkurence, kadar se je bistveno spremenilo katero od dejstev, na katerih je temeljila odločba iz </w:t>
      </w:r>
      <w:r w:rsidR="00E61F23" w:rsidRPr="002F30DF">
        <w:rPr>
          <w:rFonts w:cs="Arial"/>
          <w:i/>
          <w:sz w:val="20"/>
          <w:szCs w:val="20"/>
        </w:rPr>
        <w:t xml:space="preserve">prvega </w:t>
      </w:r>
      <w:r w:rsidRPr="002F30DF">
        <w:rPr>
          <w:rFonts w:cs="Arial"/>
          <w:i/>
          <w:sz w:val="20"/>
          <w:szCs w:val="20"/>
        </w:rPr>
        <w:t>odstavka, kadar podjetje ali podjetniško združenje ravna v nasprotju s svojimi zavezami ali kadar je odločba iz</w:t>
      </w:r>
      <w:r w:rsidR="00E61F23" w:rsidRPr="002F30DF">
        <w:rPr>
          <w:rFonts w:cs="Arial"/>
          <w:i/>
          <w:sz w:val="20"/>
          <w:szCs w:val="20"/>
        </w:rPr>
        <w:t xml:space="preserve"> prvega</w:t>
      </w:r>
      <w:r w:rsidRPr="002F30DF">
        <w:rPr>
          <w:rFonts w:cs="Arial"/>
          <w:i/>
          <w:sz w:val="20"/>
          <w:szCs w:val="20"/>
        </w:rPr>
        <w:t xml:space="preserve"> odstavka temeljila na nepopolnih, nepravilnih ali zavajajočih informacijah, ki so jih zagotovile stranke.</w:t>
      </w:r>
    </w:p>
    <w:p w:rsidR="004B1D9C" w:rsidRPr="002F30DF" w:rsidRDefault="004B1D9C"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76CAF" w:rsidRPr="002F30DF">
        <w:rPr>
          <w:rFonts w:cs="Arial"/>
          <w:b/>
          <w:sz w:val="20"/>
          <w:szCs w:val="20"/>
        </w:rPr>
        <w:t>6</w:t>
      </w:r>
      <w:r w:rsidR="00577EFC" w:rsidRPr="002F30DF">
        <w:rPr>
          <w:rFonts w:cs="Arial"/>
          <w:b/>
          <w:sz w:val="20"/>
          <w:szCs w:val="20"/>
        </w:rPr>
        <w:t>5</w:t>
      </w:r>
      <w:r w:rsidRPr="002F30DF">
        <w:rPr>
          <w:rFonts w:cs="Arial"/>
          <w:b/>
          <w:sz w:val="20"/>
          <w:szCs w:val="20"/>
        </w:rPr>
        <w:t>. členu (ustavitev postopka)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Postopek pred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ijo se lahko zaključi z izdajo odločbe, lahko pa tudi s sklepom o ustavitvi postopka. </w:t>
      </w:r>
      <w:r w:rsidR="0045309B" w:rsidRPr="002F30DF">
        <w:rPr>
          <w:rFonts w:cs="Arial"/>
          <w:sz w:val="20"/>
          <w:szCs w:val="20"/>
        </w:rPr>
        <w:t>Agenc</w:t>
      </w:r>
      <w:r w:rsidRPr="002F30DF">
        <w:rPr>
          <w:rFonts w:cs="Arial"/>
          <w:sz w:val="20"/>
          <w:szCs w:val="20"/>
        </w:rPr>
        <w:t>ija s sklepom ustavi postopek, če v postopku ne ugotovi kršitve določb tega zakona ali določb PDEU o omejevalnih ravnanjih ali če okoliščine kažejo na to, da ni več smotrno voditi postopka</w:t>
      </w:r>
      <w:r w:rsidR="00E12D78" w:rsidRPr="002F30DF">
        <w:rPr>
          <w:rFonts w:cs="Arial"/>
          <w:sz w:val="20"/>
          <w:szCs w:val="20"/>
        </w:rPr>
        <w:t>.</w:t>
      </w:r>
      <w:r w:rsidR="0091661C" w:rsidRPr="002F30DF">
        <w:rPr>
          <w:rFonts w:cs="Arial"/>
          <w:sz w:val="20"/>
          <w:szCs w:val="20"/>
        </w:rPr>
        <w:t xml:space="preserve"> </w:t>
      </w:r>
      <w:r w:rsidRPr="002F30DF">
        <w:rPr>
          <w:rFonts w:cs="Arial"/>
          <w:sz w:val="20"/>
          <w:szCs w:val="20"/>
        </w:rPr>
        <w:t xml:space="preserve">Pri presoji, ali je vodenje postopka smotrno, </w:t>
      </w:r>
      <w:r w:rsidR="000F388D" w:rsidRPr="002F30DF">
        <w:rPr>
          <w:rFonts w:cs="Arial"/>
          <w:sz w:val="20"/>
          <w:szCs w:val="20"/>
        </w:rPr>
        <w:t>a</w:t>
      </w:r>
      <w:r w:rsidR="0045309B" w:rsidRPr="002F30DF">
        <w:rPr>
          <w:rFonts w:cs="Arial"/>
          <w:sz w:val="20"/>
          <w:szCs w:val="20"/>
        </w:rPr>
        <w:t>genc</w:t>
      </w:r>
      <w:r w:rsidRPr="002F30DF">
        <w:rPr>
          <w:rFonts w:cs="Arial"/>
          <w:sz w:val="20"/>
          <w:szCs w:val="20"/>
        </w:rPr>
        <w:t>ija uporablja smiselno enake kriterije kot jih uporablja Evropska komisija pri presojanju, ali obstaja interes Evropske unije, in sicer: pomembnost/obseg vpliva na pogoje konkurence na ozemlju Republike Slovenije (geografski doseg, ekonomski pomen domnevne kršitve, tržni položaj domnevnega kršitelja)</w:t>
      </w:r>
      <w:r w:rsidR="00DD7A4B" w:rsidRPr="002F30DF">
        <w:rPr>
          <w:rFonts w:cs="Arial"/>
          <w:sz w:val="20"/>
          <w:szCs w:val="20"/>
        </w:rPr>
        <w:t>,</w:t>
      </w:r>
      <w:r w:rsidRPr="002F30DF">
        <w:rPr>
          <w:rFonts w:cs="Arial"/>
          <w:sz w:val="20"/>
          <w:szCs w:val="20"/>
        </w:rPr>
        <w:t xml:space="preserve"> obstoj sorazmernosti med obsegom preiskave, ki bo potrebna za ugotovitev obstoja kršitve, in verjetnostjo, da se obstoj kršitve sploh dokaže</w:t>
      </w:r>
      <w:r w:rsidR="00DD7A4B" w:rsidRPr="002F30DF">
        <w:rPr>
          <w:rFonts w:cs="Arial"/>
          <w:sz w:val="20"/>
          <w:szCs w:val="20"/>
        </w:rPr>
        <w:t>,</w:t>
      </w:r>
      <w:r w:rsidRPr="002F30DF">
        <w:rPr>
          <w:rFonts w:cs="Arial"/>
          <w:sz w:val="20"/>
          <w:szCs w:val="20"/>
        </w:rPr>
        <w:t xml:space="preserve"> obstoj, prenehanje oziroma razne spremembe zatrjevanega ravnanja ob upoštevanju morebitnih protikonkurenčnih učinkov in resnosti kršitve.</w:t>
      </w:r>
      <w:r w:rsidR="0091661C" w:rsidRPr="002F30DF">
        <w:rPr>
          <w:rFonts w:cs="Arial"/>
          <w:sz w:val="20"/>
          <w:szCs w:val="20"/>
        </w:rPr>
        <w:t xml:space="preserve"> V primeru ustavitve postopka ugotavljanja kršitve 101. ali 102. člena PDEU agencija obvesti Evropsko komisijo o tej odločitvi.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Uredba 1/2003 ureja tudi vprašanje vodenja več postopkov v isti zadevi, pred različnimi organi. Uredba 1/2003 določa, da so nacionalni organi, pristojni za varstvo konkurence, osvobojeni uporabe členov 101. ali 102. člena PDEU v določeni zadevi, v kolikor je v tej isti zadevi postopek že začela Evropska komisija. Zato je v drugem odstavku določeno, da v tem primeru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s sklepom ustavi postopek. Ker izhaja obveznost prenehanja postopka iz Uredbe 1/2003, zoper omenjeni </w:t>
      </w:r>
      <w:r w:rsidRPr="002F30DF">
        <w:rPr>
          <w:rFonts w:cs="Arial"/>
          <w:sz w:val="20"/>
          <w:szCs w:val="20"/>
        </w:rPr>
        <w:lastRenderedPageBreak/>
        <w:t xml:space="preserve">sklep ni pravnega sredstva. Odločbe Evropske komisije so v celoti zavezujoče za vse, na katere so naslovljene, in predstavljajo pravnomočno odločitev v določeni zadevi, zato mora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s sklepom ustaviti postopek tudi v primeru, ko je Evropska komisija v določeni zadevi že izdala odločbo. Če pa je postopek v določeni zadevi začel organ, pristojen za varstvo konkurenco druge države članice, oziroma je v določeni zadevi že izdal odločbo, </w:t>
      </w:r>
      <w:r w:rsidR="000F388D" w:rsidRPr="002F30DF">
        <w:rPr>
          <w:rFonts w:cs="Arial"/>
          <w:sz w:val="20"/>
          <w:szCs w:val="20"/>
        </w:rPr>
        <w:t>a</w:t>
      </w:r>
      <w:r w:rsidR="0045309B" w:rsidRPr="002F30DF">
        <w:rPr>
          <w:rFonts w:cs="Arial"/>
          <w:sz w:val="20"/>
          <w:szCs w:val="20"/>
        </w:rPr>
        <w:t>genc</w:t>
      </w:r>
      <w:r w:rsidRPr="002F30DF">
        <w:rPr>
          <w:rFonts w:cs="Arial"/>
          <w:sz w:val="20"/>
          <w:szCs w:val="20"/>
        </w:rPr>
        <w:t>ija na takšno odločitev ni vezana, temveč v konkretnem primeru presodi, ali bo postopek v tej isti zadevi s sklepom ustavila ali ne. Običajno se bo pred odločitvijo najprej posvetoval s tem organom</w:t>
      </w:r>
      <w:r w:rsidR="004B1D9C" w:rsidRPr="002F30DF">
        <w:rPr>
          <w:rFonts w:cs="Arial"/>
          <w:sz w:val="20"/>
          <w:szCs w:val="20"/>
        </w:rPr>
        <w:t>.</w:t>
      </w:r>
    </w:p>
    <w:p w:rsidR="007B36F5" w:rsidRPr="002F30DF" w:rsidRDefault="007B36F5"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E76CAF" w:rsidRPr="002F30DF">
        <w:rPr>
          <w:rFonts w:cs="Arial"/>
          <w:b/>
          <w:sz w:val="20"/>
          <w:szCs w:val="20"/>
        </w:rPr>
        <w:t>6</w:t>
      </w:r>
      <w:r w:rsidR="003C70CA" w:rsidRPr="002F30DF">
        <w:rPr>
          <w:rFonts w:cs="Arial"/>
          <w:b/>
          <w:sz w:val="20"/>
          <w:szCs w:val="20"/>
        </w:rPr>
        <w:t>6</w:t>
      </w:r>
      <w:r w:rsidRPr="002F30DF">
        <w:rPr>
          <w:rFonts w:cs="Arial"/>
          <w:b/>
          <w:sz w:val="20"/>
          <w:szCs w:val="20"/>
        </w:rPr>
        <w:t>. členu (poročilo)</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je učinkovito izvajanje pravil varstva konkurence, da podjetja spoštujejo zaveze ter obveznosti in ukrepe, ki so mu bili naloženi z odločbo, lahko </w:t>
      </w:r>
      <w:r w:rsidR="000F388D" w:rsidRPr="002F30DF">
        <w:rPr>
          <w:rFonts w:cs="Arial"/>
          <w:sz w:val="20"/>
          <w:szCs w:val="20"/>
        </w:rPr>
        <w:t>a</w:t>
      </w:r>
      <w:r w:rsidR="0045309B" w:rsidRPr="002F30DF">
        <w:rPr>
          <w:rFonts w:cs="Arial"/>
          <w:sz w:val="20"/>
          <w:szCs w:val="20"/>
        </w:rPr>
        <w:t>genc</w:t>
      </w:r>
      <w:r w:rsidRPr="002F30DF">
        <w:rPr>
          <w:rFonts w:cs="Arial"/>
          <w:sz w:val="20"/>
          <w:szCs w:val="20"/>
        </w:rPr>
        <w:t>ija zahteva posredovanje podatkov</w:t>
      </w:r>
      <w:r w:rsidR="00EF4CFA" w:rsidRPr="002F30DF">
        <w:rPr>
          <w:rFonts w:cs="Arial"/>
          <w:sz w:val="20"/>
          <w:szCs w:val="20"/>
        </w:rPr>
        <w:t xml:space="preserve"> oziroma poročil o realizaciji in spoštovanju zavez, obveznosti in ukrepov, ki so bili naloženi podjetju</w:t>
      </w:r>
      <w:r w:rsidRPr="002F30DF">
        <w:rPr>
          <w:rFonts w:cs="Arial"/>
          <w:sz w:val="20"/>
          <w:szCs w:val="20"/>
        </w:rPr>
        <w:t xml:space="preserve">. Na podlagi pridobljenega odgovora </w:t>
      </w:r>
      <w:r w:rsidR="000F388D" w:rsidRPr="002F30DF">
        <w:rPr>
          <w:rFonts w:cs="Arial"/>
          <w:sz w:val="20"/>
          <w:szCs w:val="20"/>
        </w:rPr>
        <w:t>a</w:t>
      </w:r>
      <w:r w:rsidR="0045309B" w:rsidRPr="002F30DF">
        <w:rPr>
          <w:rFonts w:cs="Arial"/>
          <w:sz w:val="20"/>
          <w:szCs w:val="20"/>
        </w:rPr>
        <w:t>genc</w:t>
      </w:r>
      <w:r w:rsidRPr="002F30DF">
        <w:rPr>
          <w:rFonts w:cs="Arial"/>
          <w:sz w:val="20"/>
          <w:szCs w:val="20"/>
        </w:rPr>
        <w:t xml:space="preserve">ija oceni, ali podjetje spoštuje zaveze in druge obveznosti in ukrepe. </w:t>
      </w:r>
      <w:r w:rsidR="00EF4CFA" w:rsidRPr="002F30DF">
        <w:rPr>
          <w:rFonts w:cs="Arial"/>
          <w:sz w:val="20"/>
          <w:szCs w:val="20"/>
        </w:rPr>
        <w:t>Če agencija ugotovi, da podjetje ne spoštuje zaveze, druge obveznosti in ukrepe, podjetje izreče administrativno sankcijo.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tem členom se zagotavlja prenos drugega odstavka 12. člena Direktiva 2019/1, ki določa, </w:t>
      </w:r>
      <w:r w:rsidRPr="002F30DF">
        <w:rPr>
          <w:rFonts w:cs="Arial"/>
          <w:i/>
          <w:sz w:val="20"/>
          <w:szCs w:val="20"/>
        </w:rPr>
        <w:t>da države članice zagotovijo, da imajo nacionalni organi, pristojni za varstvo konkurence, učinkovita pooblastila za spremljanje zavez iz</w:t>
      </w:r>
      <w:r w:rsidR="000F388D" w:rsidRPr="002F30DF">
        <w:rPr>
          <w:rFonts w:cs="Arial"/>
          <w:i/>
          <w:sz w:val="20"/>
          <w:szCs w:val="20"/>
        </w:rPr>
        <w:t xml:space="preserve"> prvega</w:t>
      </w:r>
      <w:r w:rsidRPr="002F30DF">
        <w:rPr>
          <w:rFonts w:cs="Arial"/>
          <w:i/>
          <w:sz w:val="20"/>
          <w:szCs w:val="20"/>
        </w:rPr>
        <w:t xml:space="preserve"> odstavka.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6</w:t>
      </w:r>
      <w:r w:rsidR="003C70CA" w:rsidRPr="002F30DF">
        <w:rPr>
          <w:rFonts w:cs="Arial"/>
          <w:b/>
          <w:sz w:val="20"/>
          <w:szCs w:val="20"/>
        </w:rPr>
        <w:t>7</w:t>
      </w:r>
      <w:r w:rsidRPr="002F30DF">
        <w:rPr>
          <w:rFonts w:cs="Arial"/>
          <w:b/>
          <w:sz w:val="20"/>
          <w:szCs w:val="20"/>
        </w:rPr>
        <w:t>. členu (obveznost priglasitve)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določa okoliščine, na katere se veže obveznost priglasitve koncentracije. Zakon ohranja dosedanja kriterija. Koncentracijo je treba </w:t>
      </w:r>
      <w:r w:rsidR="000F388D" w:rsidRPr="002F30DF">
        <w:rPr>
          <w:rFonts w:cs="Arial"/>
          <w:sz w:val="20"/>
          <w:szCs w:val="20"/>
        </w:rPr>
        <w:t>a</w:t>
      </w:r>
      <w:r w:rsidR="0045309B" w:rsidRPr="002F30DF">
        <w:rPr>
          <w:rFonts w:cs="Arial"/>
          <w:sz w:val="20"/>
          <w:szCs w:val="20"/>
        </w:rPr>
        <w:t>genc</w:t>
      </w:r>
      <w:r w:rsidRPr="002F30DF">
        <w:rPr>
          <w:rFonts w:cs="Arial"/>
          <w:sz w:val="20"/>
          <w:szCs w:val="20"/>
        </w:rPr>
        <w:t>iji priglasiti, če sta kumulativno izpolnjena dva pogoja. Prvi pogoj, ki mora biti vedno izpolnjen je</w:t>
      </w:r>
      <w:r w:rsidR="004D0C7A" w:rsidRPr="002F30DF">
        <w:rPr>
          <w:rFonts w:cs="Arial"/>
          <w:sz w:val="20"/>
          <w:szCs w:val="20"/>
        </w:rPr>
        <w:t>, da je</w:t>
      </w:r>
      <w:r w:rsidRPr="002F30DF">
        <w:rPr>
          <w:rFonts w:cs="Arial"/>
          <w:sz w:val="20"/>
          <w:szCs w:val="20"/>
        </w:rPr>
        <w:t xml:space="preserve"> skupni letni promet v koncentraciji udeleženih podjetij skupaj z drugimi podjetji v skupini v predhodnem poslovnem letu na trgu Republike Slovenije presegel 35 milijonov eurov. Drugi pogoj, ki mora biti izpolnjen pa je določen alternativno</w:t>
      </w:r>
      <w:r w:rsidR="004D0C7A" w:rsidRPr="002F30DF">
        <w:rPr>
          <w:rFonts w:cs="Arial"/>
          <w:sz w:val="20"/>
          <w:szCs w:val="20"/>
        </w:rPr>
        <w:t>,</w:t>
      </w:r>
      <w:r w:rsidRPr="002F30DF">
        <w:rPr>
          <w:rFonts w:cs="Arial"/>
          <w:sz w:val="20"/>
          <w:szCs w:val="20"/>
        </w:rPr>
        <w:t xml:space="preserve"> in sicer ali je letni p</w:t>
      </w:r>
      <w:r w:rsidR="004D0C7A" w:rsidRPr="002F30DF">
        <w:rPr>
          <w:rFonts w:cs="Arial"/>
          <w:sz w:val="20"/>
          <w:szCs w:val="20"/>
        </w:rPr>
        <w:t>r</w:t>
      </w:r>
      <w:r w:rsidRPr="002F30DF">
        <w:rPr>
          <w:rFonts w:cs="Arial"/>
          <w:sz w:val="20"/>
          <w:szCs w:val="20"/>
        </w:rPr>
        <w:t xml:space="preserve">omet prevzetega podjetja skupaj z drugimi podjetji v skupini v predhodnem poslovnem letu na trgu Republike Slovenije presegel 1 milijon eurov ali je letni promet v primeru iz tretje alineje prvega odstavka </w:t>
      </w:r>
      <w:r w:rsidR="004D0C7A" w:rsidRPr="002F30DF">
        <w:rPr>
          <w:rFonts w:cs="Arial"/>
          <w:sz w:val="20"/>
          <w:szCs w:val="20"/>
        </w:rPr>
        <w:t>9.</w:t>
      </w:r>
      <w:r w:rsidRPr="002F30DF">
        <w:rPr>
          <w:rFonts w:cs="Arial"/>
          <w:sz w:val="20"/>
          <w:szCs w:val="20"/>
        </w:rPr>
        <w:t xml:space="preserve"> člena tega zakona </w:t>
      </w:r>
      <w:r w:rsidRPr="002F30DF">
        <w:rPr>
          <w:rFonts w:cs="Arial"/>
          <w:sz w:val="20"/>
          <w:szCs w:val="20"/>
        </w:rPr>
        <w:lastRenderedPageBreak/>
        <w:t>vsaj dveh v koncentraciji udeleženih podjetij skupaj z drugimi podjetji v skupini v predhodnem poslovnem letu na trgu Republike Slovenije presegel 1 milijon eurov.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 podlagi </w:t>
      </w:r>
      <w:r w:rsidRPr="002F30DF">
        <w:rPr>
          <w:rFonts w:cs="Arial"/>
          <w:sz w:val="20"/>
          <w:szCs w:val="20"/>
          <w:u w:val="single"/>
        </w:rPr>
        <w:t>drugega odstavka</w:t>
      </w:r>
      <w:r w:rsidRPr="002F30DF">
        <w:rPr>
          <w:rFonts w:cs="Arial"/>
          <w:sz w:val="20"/>
          <w:szCs w:val="20"/>
        </w:rPr>
        <w:t xml:space="preserve"> </w:t>
      </w:r>
      <w:r w:rsidR="000F388D" w:rsidRPr="002F30DF">
        <w:rPr>
          <w:rFonts w:cs="Arial"/>
          <w:sz w:val="20"/>
          <w:szCs w:val="20"/>
        </w:rPr>
        <w:t>a</w:t>
      </w:r>
      <w:r w:rsidR="0045309B" w:rsidRPr="002F30DF">
        <w:rPr>
          <w:rFonts w:cs="Arial"/>
          <w:sz w:val="20"/>
          <w:szCs w:val="20"/>
        </w:rPr>
        <w:t>genc</w:t>
      </w:r>
      <w:r w:rsidRPr="002F30DF">
        <w:rPr>
          <w:rFonts w:cs="Arial"/>
          <w:sz w:val="20"/>
          <w:szCs w:val="20"/>
        </w:rPr>
        <w:t>iji ni treba priglasiti tistih koncentracij, ki jih skladno z Uredbo 139/2004 presoja Evropska komisija. To izrecno izhaja iz tretjega odstavka 21. člena Uredbe 139/2004, ki določa, da nobena država članica ne uporablja nacionalnega prava o konkurenci za katerokoli koncentracijo z razsežnostmi Skupnosti. Ali ima obravnavana koncentracija razsežnost Skupnosti je določeno v 1. členu ter v petem odstavku 4. člena Uredbe 139/2004.</w:t>
      </w:r>
    </w:p>
    <w:p w:rsidR="007522E3" w:rsidRPr="002F30DF" w:rsidRDefault="007522E3" w:rsidP="0025166A">
      <w:pPr>
        <w:spacing w:line="260" w:lineRule="atLeast"/>
        <w:rPr>
          <w:rFonts w:cs="Arial"/>
          <w:sz w:val="20"/>
          <w:szCs w:val="20"/>
        </w:rPr>
      </w:pPr>
    </w:p>
    <w:p w:rsidR="00053744" w:rsidRPr="002F30DF" w:rsidRDefault="007522E3" w:rsidP="0025166A">
      <w:pPr>
        <w:spacing w:line="260" w:lineRule="atLeast"/>
        <w:rPr>
          <w:rFonts w:cs="Arial"/>
          <w:sz w:val="20"/>
          <w:szCs w:val="20"/>
        </w:rPr>
      </w:pPr>
      <w:r w:rsidRPr="002F30DF">
        <w:rPr>
          <w:rFonts w:cs="Arial"/>
          <w:sz w:val="20"/>
          <w:szCs w:val="20"/>
        </w:rPr>
        <w:t xml:space="preserve">Kriterij tržnega deleža v </w:t>
      </w:r>
      <w:r w:rsidRPr="002F30DF">
        <w:rPr>
          <w:rFonts w:cs="Arial"/>
          <w:sz w:val="20"/>
          <w:szCs w:val="20"/>
          <w:u w:val="single"/>
        </w:rPr>
        <w:t>tretjem odstavku</w:t>
      </w:r>
      <w:r w:rsidRPr="002F30DF">
        <w:rPr>
          <w:rFonts w:cs="Arial"/>
          <w:sz w:val="20"/>
          <w:szCs w:val="20"/>
        </w:rPr>
        <w:t xml:space="preserve"> se uporablja kot korektiv kriterija letnega prometa v tistih primerih, kjer bi v koncentraciji udeležena podjetja, skupaj s podjetji v skupini, na upoštevnem trgu dosegala </w:t>
      </w:r>
      <w:r w:rsidR="00C90F38" w:rsidRPr="002F30DF">
        <w:rPr>
          <w:rFonts w:cs="Arial"/>
          <w:sz w:val="20"/>
          <w:szCs w:val="20"/>
        </w:rPr>
        <w:t>več kot 60-odstotni tržni delež.</w:t>
      </w:r>
    </w:p>
    <w:p w:rsidR="007522E3" w:rsidRPr="002F30DF" w:rsidRDefault="007522E3" w:rsidP="0025166A">
      <w:pPr>
        <w:tabs>
          <w:tab w:val="left" w:pos="1110"/>
        </w:tabs>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6</w:t>
      </w:r>
      <w:r w:rsidR="003C70CA" w:rsidRPr="002F30DF">
        <w:rPr>
          <w:rFonts w:cs="Arial"/>
          <w:b/>
          <w:sz w:val="20"/>
          <w:szCs w:val="20"/>
        </w:rPr>
        <w:t>8</w:t>
      </w:r>
      <w:r w:rsidRPr="002F30DF">
        <w:rPr>
          <w:rFonts w:cs="Arial"/>
          <w:b/>
          <w:sz w:val="20"/>
          <w:szCs w:val="20"/>
        </w:rPr>
        <w:t>. členu (priglasitev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določa rok za priglasitev koncentracije ter subjekte, ki so zavezani k priglasitvi. Koncentracija mora biti priglašena </w:t>
      </w:r>
      <w:r w:rsidR="00D8213D" w:rsidRPr="002F30DF">
        <w:rPr>
          <w:rFonts w:cs="Arial"/>
          <w:sz w:val="20"/>
          <w:szCs w:val="20"/>
        </w:rPr>
        <w:t>a</w:t>
      </w:r>
      <w:r w:rsidR="0045309B" w:rsidRPr="002F30DF">
        <w:rPr>
          <w:rFonts w:cs="Arial"/>
          <w:sz w:val="20"/>
          <w:szCs w:val="20"/>
        </w:rPr>
        <w:t>genc</w:t>
      </w:r>
      <w:r w:rsidRPr="002F30DF">
        <w:rPr>
          <w:rFonts w:cs="Arial"/>
          <w:sz w:val="20"/>
          <w:szCs w:val="20"/>
        </w:rPr>
        <w:t>iji pred pričetkom njenega izvrševanja, vendar najpozneje v 30 dneh od sklenitve pogodbe, objave javne ponudbe ali pridobitve kontrole. Rok začne teči s prvim od teh dogodkov.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 določitvi časa sklenitve pogodbe je pomembno, da se udeleženci zavežejo s pogodbo, ki stranke pravno zavezuje in na katero se lahko vsaka stranka zanese. Obligacijski zakonik (Uradni list RS, št. </w:t>
      </w:r>
      <w:hyperlink r:id="rId108" w:tgtFrame="_blank" w:tooltip="Obligacijski zakonik (uradno prečiščeno besedilo)" w:history="1">
        <w:r w:rsidRPr="002F30DF">
          <w:rPr>
            <w:rFonts w:cs="Arial"/>
            <w:sz w:val="20"/>
            <w:szCs w:val="20"/>
          </w:rPr>
          <w:t>97/07</w:t>
        </w:r>
      </w:hyperlink>
      <w:r w:rsidRPr="002F30DF">
        <w:rPr>
          <w:rFonts w:cs="Arial"/>
          <w:sz w:val="20"/>
          <w:szCs w:val="20"/>
        </w:rPr>
        <w:t xml:space="preserve"> – uradno prečiščeno besedilo, </w:t>
      </w:r>
      <w:hyperlink r:id="rId109" w:tgtFrame="_blank" w:tooltip="Odločba o razveljavitvi 184. člena Obligacijskega zakonika" w:history="1">
        <w:r w:rsidRPr="002F30DF">
          <w:rPr>
            <w:rFonts w:cs="Arial"/>
            <w:sz w:val="20"/>
            <w:szCs w:val="20"/>
          </w:rPr>
          <w:t>64/16</w:t>
        </w:r>
      </w:hyperlink>
      <w:r w:rsidRPr="002F30DF">
        <w:rPr>
          <w:rFonts w:cs="Arial"/>
          <w:sz w:val="20"/>
          <w:szCs w:val="20"/>
        </w:rPr>
        <w:t xml:space="preserve"> – odl. US in </w:t>
      </w:r>
      <w:hyperlink r:id="rId110" w:tgtFrame="_blank" w:tooltip="Avtentična razlaga 631. člena Obligacijskega zakonika" w:history="1">
        <w:r w:rsidRPr="002F30DF">
          <w:rPr>
            <w:rFonts w:cs="Arial"/>
            <w:sz w:val="20"/>
            <w:szCs w:val="20"/>
          </w:rPr>
          <w:t>20/18</w:t>
        </w:r>
      </w:hyperlink>
      <w:r w:rsidRPr="002F30DF">
        <w:rPr>
          <w:rFonts w:cs="Arial"/>
          <w:sz w:val="20"/>
          <w:szCs w:val="20"/>
        </w:rPr>
        <w:t xml:space="preserve"> – OROZ631; v nadaljnjem besedilu: OZ) določa, da je pogodba sklenjena, ko se pogodbeni stranki sporazumeta o njenih bistvenih sestavinah. Pri tem na čas sklenitve pogodbe ne vpliva dejstvo, da je potrebno soglasje nekoga tretjega (npr. skupščine), saj 19. člen OZ-ja izrecno določa, da se lahko poda soglasje pred sklenitvijo pogodbe kot dovoljenje ali po sklenitvi kot odobritev, če ni z zakonom določeno kaj drugega.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Pogodba je lahko sklenjena tudi pod pogojem, če sta njen nastanek ali prenehanje odvisna od negotovega dejstva. Pogoj vpliva na veljavnost pogodbe, ne pa na čas sklenitve pogodbe, zaradi česar prične teči rok za priglasitev koncentracije od dneva sklenitve pogodbe, ne glede na postavljen pogoj. Pogodbene stranke se lahko odločijo, da bodo pred sklenitvijo glavne pogodbe sklenile predpogodbo. V navedenem primeru prične rok za priglasitev koncentracije teči od dneva sklenitve </w:t>
      </w:r>
      <w:r w:rsidRPr="002F30DF">
        <w:rPr>
          <w:rFonts w:cs="Arial"/>
          <w:sz w:val="20"/>
          <w:szCs w:val="20"/>
        </w:rPr>
        <w:lastRenderedPageBreak/>
        <w:t>predpogodbe, saj OZ opredeljuje predpogodbo kot pogodbo, s katero se prevzema obveznost, da bo pozneje sklenjena druga, glavna pogodba. Pri predpogodbi gre torej za pogodbo, le da je ta posebne vrste.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Kadar se na podlagi zaprosila v skladu s 4. členom Uredbe 139/2004 Evropska komisija odloči, da koncentracije ne bo presojala, je potrebno koncentracijo priglasiti </w:t>
      </w:r>
      <w:r w:rsidR="00D8213D" w:rsidRPr="002F30DF">
        <w:rPr>
          <w:rFonts w:cs="Arial"/>
          <w:sz w:val="20"/>
          <w:szCs w:val="20"/>
        </w:rPr>
        <w:t>a</w:t>
      </w:r>
      <w:r w:rsidR="0045309B" w:rsidRPr="002F30DF">
        <w:rPr>
          <w:rFonts w:cs="Arial"/>
          <w:sz w:val="20"/>
          <w:szCs w:val="20"/>
        </w:rPr>
        <w:t>genc</w:t>
      </w:r>
      <w:r w:rsidRPr="002F30DF">
        <w:rPr>
          <w:rFonts w:cs="Arial"/>
          <w:sz w:val="20"/>
          <w:szCs w:val="20"/>
        </w:rPr>
        <w:t>iji najpozneje v roku 30 dni od dneva seznanitve z odločitvijo Evropske komisije.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primeru, da Evropska komisija v skladu z 9. členom Uredbe 139/2004 z odločbo seznani podjetja, da bo priglašeno koncentracijo presojala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je potrebno koncentracijo priglasiti </w:t>
      </w:r>
      <w:r w:rsidR="00D8213D" w:rsidRPr="002F30DF">
        <w:rPr>
          <w:rFonts w:cs="Arial"/>
          <w:sz w:val="20"/>
          <w:szCs w:val="20"/>
        </w:rPr>
        <w:t>a</w:t>
      </w:r>
      <w:r w:rsidR="0045309B" w:rsidRPr="002F30DF">
        <w:rPr>
          <w:rFonts w:cs="Arial"/>
          <w:sz w:val="20"/>
          <w:szCs w:val="20"/>
        </w:rPr>
        <w:t>genc</w:t>
      </w:r>
      <w:r w:rsidRPr="002F30DF">
        <w:rPr>
          <w:rFonts w:cs="Arial"/>
          <w:sz w:val="20"/>
          <w:szCs w:val="20"/>
        </w:rPr>
        <w:t>iji v roku 30 dni od dneva, ko je podjetje, ki je dolžno priglasiti koncentracijo v skladu s petim odstavkom tega člena, prejelo odločbo.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kolikor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pozove v koncentraciji udeležena podjetja, da priglasijo koncentracijo, ker so skupaj s podjetji v skupini dosegla več kot 60-odstotni tržni delež na upoštevnem trgu, čeprav niso dosegla pragov, določenih v prvem odstavku </w:t>
      </w:r>
      <w:r w:rsidR="005B5985" w:rsidRPr="002F30DF">
        <w:rPr>
          <w:rFonts w:cs="Arial"/>
          <w:sz w:val="20"/>
          <w:szCs w:val="20"/>
        </w:rPr>
        <w:t>68</w:t>
      </w:r>
      <w:r w:rsidRPr="002F30DF">
        <w:rPr>
          <w:rFonts w:cs="Arial"/>
          <w:sz w:val="20"/>
          <w:szCs w:val="20"/>
        </w:rPr>
        <w:t>. člena, je potrebno koncentracijo priglasiti v roku 30 dni od prejema tega poziva.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Peti odstavek določa, katero od v koncentraciji udeleženih podjetij mora priglasiti koncentracijo. Koncentracijo mora priglasiti oseba ali podjetje, ki pridobi kontrolo nad celoto pridobitvijo skupne kontrole, morajo koncentracijo skupno priglasiti podjetja, ki se združujejo oziroma podjetja, ki skupaj pridobijo kontrolo.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Podjetja priglasijo koncentracijo na posebnem obrazcu, katerega vsebino predpiše vlada z uredbo.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C70CA" w:rsidRPr="002F30DF">
        <w:rPr>
          <w:rFonts w:cs="Arial"/>
          <w:b/>
          <w:sz w:val="20"/>
          <w:szCs w:val="20"/>
        </w:rPr>
        <w:t>69</w:t>
      </w:r>
      <w:r w:rsidR="0042277F" w:rsidRPr="002F30DF">
        <w:rPr>
          <w:rFonts w:cs="Arial"/>
          <w:b/>
          <w:sz w:val="20"/>
          <w:szCs w:val="20"/>
        </w:rPr>
        <w:t>.</w:t>
      </w:r>
      <w:r w:rsidRPr="002F30DF">
        <w:rPr>
          <w:rFonts w:cs="Arial"/>
          <w:b/>
          <w:sz w:val="20"/>
          <w:szCs w:val="20"/>
        </w:rPr>
        <w:t xml:space="preserve"> členu (zadržanje izvrševanja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Podjetja ne smejo uresničevati pravic in obveznosti, ki izhajajo iz koncentracije, za katero obstaja obveznost priglasitve, do izdaje odločbe o skladnosti koncentracije s pravili konkurence. Izjema velja le v dveh primerih pridobitve kontrole, in sicer v primeru, ko obstaja možnost, da podjetje pridobi kontrolo na podlagi objave javne ponudbe ali na podlagi trgovanja z vrednostnimi papirji na borzi. V obeh primerih gre za formalizirane pravne posle, kjer sodelovanje druge pogodbene stranke, razen v smislu pristanka na ponujeno ceno, ni bistveno. Glede na naravo pravnega posla se pridobitelj vrednostnih papirjev ne more zavezati, da ne bo </w:t>
      </w:r>
      <w:r w:rsidRPr="002F30DF">
        <w:rPr>
          <w:rFonts w:cs="Arial"/>
          <w:sz w:val="20"/>
          <w:szCs w:val="20"/>
        </w:rPr>
        <w:lastRenderedPageBreak/>
        <w:t xml:space="preserve">izvrševal pravic iz ustvarjene koncentracije, niti ga k temu ne more zavezati prodajalec vrednostnih papirjev.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 koncentracije, kjer je sodelovanje pogodbenih strank bistven element pravnega posla, je tako bistveno, da ta vključuje prepoved izvrševanja kontrole s strani pridobitelja (t.i. standstill obligacija), ki velja do odločitve </w:t>
      </w:r>
      <w:r w:rsidR="00D8213D" w:rsidRPr="002F30DF">
        <w:rPr>
          <w:rFonts w:cs="Arial"/>
          <w:sz w:val="20"/>
          <w:szCs w:val="20"/>
        </w:rPr>
        <w:t>a</w:t>
      </w:r>
      <w:r w:rsidR="0045309B" w:rsidRPr="002F30DF">
        <w:rPr>
          <w:rFonts w:cs="Arial"/>
          <w:sz w:val="20"/>
          <w:szCs w:val="20"/>
        </w:rPr>
        <w:t>genc</w:t>
      </w:r>
      <w:r w:rsidRPr="002F30DF">
        <w:rPr>
          <w:rFonts w:cs="Arial"/>
          <w:sz w:val="20"/>
          <w:szCs w:val="20"/>
        </w:rPr>
        <w:t>ije o skladnosti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0</w:t>
      </w:r>
      <w:r w:rsidRPr="002F30DF">
        <w:rPr>
          <w:rFonts w:cs="Arial"/>
          <w:b/>
          <w:sz w:val="20"/>
          <w:szCs w:val="20"/>
        </w:rPr>
        <w:t>. členu (začetek postopka)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Postopek presoje koncentracije pred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ijo se začne s priglasitvijo ali po uradni dolžnosti. </w:t>
      </w:r>
      <w:r w:rsidR="0045309B" w:rsidRPr="002F30DF">
        <w:rPr>
          <w:rFonts w:cs="Arial"/>
          <w:sz w:val="20"/>
          <w:szCs w:val="20"/>
        </w:rPr>
        <w:t>Agenc</w:t>
      </w:r>
      <w:r w:rsidRPr="002F30DF">
        <w:rPr>
          <w:rFonts w:cs="Arial"/>
          <w:sz w:val="20"/>
          <w:szCs w:val="20"/>
        </w:rPr>
        <w:t>ija začne postopek po uradni dolžnosti, kadar je izkazana verjetnost, da je prišlo do koncentracije, ki je podrejena določbam tega zakona in je podjetja niso priglasila. Tudi postopek za odprav</w:t>
      </w:r>
      <w:r w:rsidR="00D8213D" w:rsidRPr="002F30DF">
        <w:rPr>
          <w:rFonts w:cs="Arial"/>
          <w:sz w:val="20"/>
          <w:szCs w:val="20"/>
        </w:rPr>
        <w:t>o</w:t>
      </w:r>
      <w:r w:rsidRPr="002F30DF">
        <w:rPr>
          <w:rFonts w:cs="Arial"/>
          <w:sz w:val="20"/>
          <w:szCs w:val="20"/>
        </w:rPr>
        <w:t xml:space="preserve"> učinkov koncentracije začne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po uradni dolžnosti. Enako stori v primeru, če podjetja niso izpolnila korektivnih ukrepov, določenih v odločbi o skladnosti koncentracije s pravili konkurence ali če je prišlo do izvedbe ali izvrševanja koncentracije, ki jo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prepove. Ko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začne postopek po uradni dolžnosti izda sklep. Glede sklepa se smiselno uporablja </w:t>
      </w:r>
      <w:r w:rsidR="005B5985" w:rsidRPr="002F30DF">
        <w:rPr>
          <w:rFonts w:cs="Arial"/>
          <w:sz w:val="20"/>
          <w:szCs w:val="20"/>
        </w:rPr>
        <w:t>5</w:t>
      </w:r>
      <w:r w:rsidR="003C70CA" w:rsidRPr="002F30DF">
        <w:rPr>
          <w:rFonts w:cs="Arial"/>
          <w:sz w:val="20"/>
          <w:szCs w:val="20"/>
        </w:rPr>
        <w:t>0</w:t>
      </w:r>
      <w:r w:rsidRPr="002F30DF">
        <w:rPr>
          <w:rFonts w:cs="Arial"/>
          <w:sz w:val="20"/>
          <w:szCs w:val="20"/>
        </w:rPr>
        <w:t>. člen tega zakona.</w:t>
      </w:r>
    </w:p>
    <w:p w:rsidR="00C90F38" w:rsidRPr="002F30DF" w:rsidRDefault="00C90F38"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1</w:t>
      </w:r>
      <w:r w:rsidR="00925BCB" w:rsidRPr="002F30DF">
        <w:rPr>
          <w:rFonts w:cs="Arial"/>
          <w:b/>
          <w:sz w:val="20"/>
          <w:szCs w:val="20"/>
        </w:rPr>
        <w:t>.</w:t>
      </w:r>
      <w:r w:rsidRPr="002F30DF">
        <w:rPr>
          <w:rFonts w:cs="Arial"/>
          <w:b/>
          <w:sz w:val="20"/>
          <w:szCs w:val="20"/>
        </w:rPr>
        <w:t xml:space="preserve"> členu (preizkus priglasitve)</w:t>
      </w:r>
    </w:p>
    <w:p w:rsidR="007522E3" w:rsidRPr="002F30DF" w:rsidRDefault="007522E3" w:rsidP="0025166A">
      <w:pPr>
        <w:spacing w:line="260" w:lineRule="atLeast"/>
        <w:rPr>
          <w:rFonts w:cs="Arial"/>
          <w:b/>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pregleda priglasitev takoj po prejemu prijave. Če prijava ne vsebuje vseh zahtevanih elementov obrazca, </w:t>
      </w:r>
      <w:r w:rsidR="00D8213D" w:rsidRPr="002F30DF">
        <w:rPr>
          <w:rFonts w:cs="Arial"/>
          <w:sz w:val="20"/>
          <w:szCs w:val="20"/>
        </w:rPr>
        <w:t>a</w:t>
      </w:r>
      <w:r w:rsidRPr="002F30DF">
        <w:rPr>
          <w:rFonts w:cs="Arial"/>
          <w:sz w:val="20"/>
          <w:szCs w:val="20"/>
        </w:rPr>
        <w:t>genc</w:t>
      </w:r>
      <w:r w:rsidR="007522E3" w:rsidRPr="002F30DF">
        <w:rPr>
          <w:rFonts w:cs="Arial"/>
          <w:sz w:val="20"/>
          <w:szCs w:val="20"/>
        </w:rPr>
        <w:t xml:space="preserve">ija pozove priglasitelja k dopolnitvi. Če je priglasitelj ne dopolni v roku, se šteje, da koncentracija ni bila priglašena. V tem primeru lahko </w:t>
      </w:r>
      <w:r w:rsidR="00D8213D" w:rsidRPr="002F30DF">
        <w:rPr>
          <w:rFonts w:cs="Arial"/>
          <w:sz w:val="20"/>
          <w:szCs w:val="20"/>
        </w:rPr>
        <w:t>a</w:t>
      </w:r>
      <w:r w:rsidRPr="002F30DF">
        <w:rPr>
          <w:rFonts w:cs="Arial"/>
          <w:sz w:val="20"/>
          <w:szCs w:val="20"/>
        </w:rPr>
        <w:t>genc</w:t>
      </w:r>
      <w:r w:rsidR="007522E3" w:rsidRPr="002F30DF">
        <w:rPr>
          <w:rFonts w:cs="Arial"/>
          <w:sz w:val="20"/>
          <w:szCs w:val="20"/>
        </w:rPr>
        <w:t>ija z odločbo naloži ukrepe za odpravo učinkov koncentracije v postopku, ki ga začne po uradni dolžnosti.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Ko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pregleda popolno priglasitev, mora v roku 25 delovnih dni bodisi izdati odločbo, da koncentracija ni podrejena določbam tega zakona, oziroma da je koncentracija skladna s pravili konkurence, bodisi s sklepom začeti postopek presoje njene skladnosti s pravili koncentracije. </w:t>
      </w:r>
      <w:r w:rsidR="0045309B" w:rsidRPr="002F30DF">
        <w:rPr>
          <w:rFonts w:cs="Arial"/>
          <w:sz w:val="20"/>
          <w:szCs w:val="20"/>
        </w:rPr>
        <w:t>Agenc</w:t>
      </w:r>
      <w:r w:rsidRPr="002F30DF">
        <w:rPr>
          <w:rFonts w:cs="Arial"/>
          <w:sz w:val="20"/>
          <w:szCs w:val="20"/>
        </w:rPr>
        <w:t>ija s sklepom začne postopek, kadar je izkazan resen sum, da koncentracija omejuje učinkovito konkurenco na upoštevnem trgu. Rok 25 delovnih dni se podaljša za 15 delovnih dni, če podjetje že v tej fazi postopka predlaga korektivne ukrepe. Rok je instrukcijski.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Koncentracija sestoji iz pogodbenih dogovorov in sporazumov, s katerimi se vzpostavlja kontrola. Vsi sporazumi, ki uresničujejo glavni cilj koncentracije, denimo tisti, ki zadevajo prodajo delnic ali sredstev podjetja, so sestavni del koncentracije. Poleg teh dogovorov in sporazumov lahko udeleženci koncentracije sklenejo tudi druge sporazume, ki niso sestavni del koncentracije, vendar lahko omejijo njihovo svobodo delovanja na trgu. Če takšni sporazumi vsebujejo omejitve, ki so neposredno povezane in potrebne za izvedbo ali izvrševanje koncentracije, se v skladu s sedmim odstavkom tega člena šteje, da so samodejno zajete v odločbi, ki razglasi koncentracijo za skladno s pravili konkurence. Da bi se omejitve štele za neposredno povezane z izvedbo ali izvrševanjem koncentracije, morajo biti s samo koncentracijo tesno povezane. Ne zadostuje, da je bil sporazum sklenjen na istem področju ali sočasno s koncentracijo. Gre za omejitve, ki so ekonomsko povezane z glavno transakcijo in so namenjene olajšanju prehoda na spremenjeno strukturo podjetja po koncentraciji. Sporazumi morajo biti potrebni za izvedbo ali izvrševanje koncentracije, kar pomeni, da se koncentracija v primeru odsotnosti teh sporazumov ne bi mogla izvajati ali pa bi se lahko izvajala le pod znatno bolj negotovimi pogoji, z bistveno višjimi stroški, v precej daljšem časovnem obdobju ali s precej večjo težavo.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2</w:t>
      </w:r>
      <w:r w:rsidRPr="002F30DF">
        <w:rPr>
          <w:rFonts w:cs="Arial"/>
          <w:b/>
          <w:sz w:val="20"/>
          <w:szCs w:val="20"/>
        </w:rPr>
        <w:t>. členu (zahteva za posredovanje podatkov)</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Za zahtev</w:t>
      </w:r>
      <w:r w:rsidR="0040178B" w:rsidRPr="002F30DF">
        <w:rPr>
          <w:rFonts w:cs="Arial"/>
          <w:sz w:val="20"/>
          <w:szCs w:val="20"/>
        </w:rPr>
        <w:t>o</w:t>
      </w:r>
      <w:r w:rsidRPr="002F30DF">
        <w:rPr>
          <w:rFonts w:cs="Arial"/>
          <w:sz w:val="20"/>
          <w:szCs w:val="20"/>
        </w:rPr>
        <w:t xml:space="preserve"> za posredovanje podatkov, ki j</w:t>
      </w:r>
      <w:r w:rsidR="0040178B" w:rsidRPr="002F30DF">
        <w:rPr>
          <w:rFonts w:cs="Arial"/>
          <w:sz w:val="20"/>
          <w:szCs w:val="20"/>
        </w:rPr>
        <w:t>o</w:t>
      </w:r>
      <w:r w:rsidRPr="002F30DF">
        <w:rPr>
          <w:rFonts w:cs="Arial"/>
          <w:sz w:val="20"/>
          <w:szCs w:val="20"/>
        </w:rPr>
        <w:t xml:space="preserve">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naslovi na v koncentraciji udeležena podjetja ali tretja podjetja, zakon napoti na smiselno uporabo </w:t>
      </w:r>
      <w:r w:rsidR="005B5985" w:rsidRPr="002F30DF">
        <w:rPr>
          <w:rFonts w:cs="Arial"/>
          <w:sz w:val="20"/>
          <w:szCs w:val="20"/>
        </w:rPr>
        <w:t>5</w:t>
      </w:r>
      <w:r w:rsidR="003C70CA" w:rsidRPr="002F30DF">
        <w:rPr>
          <w:rFonts w:cs="Arial"/>
          <w:sz w:val="20"/>
          <w:szCs w:val="20"/>
        </w:rPr>
        <w:t>3</w:t>
      </w:r>
      <w:r w:rsidRPr="002F30DF">
        <w:rPr>
          <w:rFonts w:cs="Arial"/>
          <w:sz w:val="20"/>
          <w:szCs w:val="20"/>
        </w:rPr>
        <w:t xml:space="preserve">. člena tega zakona. Tudi v postopku presoje koncentracije lahko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w:t>
      </w:r>
      <w:r w:rsidR="00D8213D" w:rsidRPr="002F30DF">
        <w:rPr>
          <w:rFonts w:cs="Arial"/>
          <w:sz w:val="20"/>
          <w:szCs w:val="20"/>
        </w:rPr>
        <w:t>izreče</w:t>
      </w:r>
      <w:r w:rsidRPr="002F30DF">
        <w:rPr>
          <w:rFonts w:cs="Arial"/>
          <w:sz w:val="20"/>
          <w:szCs w:val="20"/>
        </w:rPr>
        <w:t xml:space="preserve"> administrativno sankcijo, če podjetj</w:t>
      </w:r>
      <w:r w:rsidR="0040178B" w:rsidRPr="002F30DF">
        <w:rPr>
          <w:rFonts w:cs="Arial"/>
          <w:sz w:val="20"/>
          <w:szCs w:val="20"/>
        </w:rPr>
        <w:t>e</w:t>
      </w:r>
      <w:r w:rsidRPr="002F30DF">
        <w:rPr>
          <w:rFonts w:cs="Arial"/>
          <w:sz w:val="20"/>
          <w:szCs w:val="20"/>
        </w:rPr>
        <w:t xml:space="preserve"> ne posreduje podatkov oziroma če podatki niso pravilni. Poleg tega roka za izdajo odločbe ne teče tudi rok za izdajo sklepa o uvedbi postopka v obdobju, ko je stranka v zamudi z odgovorom na zahtevo za posedovanje podatkov.</w:t>
      </w:r>
    </w:p>
    <w:p w:rsidR="007522E3" w:rsidRPr="002F30DF" w:rsidRDefault="007522E3" w:rsidP="0025166A">
      <w:pPr>
        <w:spacing w:line="260" w:lineRule="atLeast"/>
        <w:rPr>
          <w:rFonts w:cs="Arial"/>
          <w:sz w:val="20"/>
          <w:szCs w:val="20"/>
        </w:rPr>
      </w:pPr>
    </w:p>
    <w:p w:rsidR="007522E3" w:rsidRPr="002F30DF" w:rsidRDefault="007B36F5" w:rsidP="0025166A">
      <w:pPr>
        <w:spacing w:line="260" w:lineRule="atLeast"/>
        <w:rPr>
          <w:rFonts w:cs="Arial"/>
          <w:b/>
          <w:sz w:val="20"/>
          <w:szCs w:val="20"/>
        </w:rPr>
      </w:pPr>
      <w:r w:rsidRPr="002F30DF">
        <w:rPr>
          <w:rFonts w:cs="Arial"/>
          <w:b/>
          <w:sz w:val="20"/>
          <w:szCs w:val="20"/>
        </w:rPr>
        <w:t xml:space="preserve">K </w:t>
      </w:r>
      <w:r w:rsidR="00C90F38" w:rsidRPr="002F30DF">
        <w:rPr>
          <w:rFonts w:cs="Arial"/>
          <w:b/>
          <w:sz w:val="20"/>
          <w:szCs w:val="20"/>
        </w:rPr>
        <w:t>7</w:t>
      </w:r>
      <w:r w:rsidR="003C70CA" w:rsidRPr="002F30DF">
        <w:rPr>
          <w:rFonts w:cs="Arial"/>
          <w:b/>
          <w:sz w:val="20"/>
          <w:szCs w:val="20"/>
        </w:rPr>
        <w:t>3</w:t>
      </w:r>
      <w:r w:rsidR="00C90F38" w:rsidRPr="002F30DF">
        <w:rPr>
          <w:rFonts w:cs="Arial"/>
          <w:b/>
          <w:sz w:val="20"/>
          <w:szCs w:val="20"/>
        </w:rPr>
        <w:t xml:space="preserve"> č</w:t>
      </w:r>
      <w:r w:rsidR="007522E3" w:rsidRPr="002F30DF">
        <w:rPr>
          <w:rFonts w:cs="Arial"/>
          <w:b/>
          <w:sz w:val="20"/>
          <w:szCs w:val="20"/>
        </w:rPr>
        <w:t>lenu (preiskave)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Tudi za opravo preiskav v postopku presoje koncentracij predlog zakona napotuje na smiselno uporabo določb o preiskavi v postopku omejevalnih ravnanj. Glede na dosedanjo prakso je mogoče predvideti, da preiskave v postopku presoje koncentracij ne bodo pogoste. Postopek namreč poteka na podlagi priglasitve, pri čemer lahko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odločbo o skladnosti koncentracije razveljavi in koncentracijo prepove, če ugotovi, da je odločba temeljila na nepravilnih, nepopolnih ali </w:t>
      </w:r>
      <w:r w:rsidRPr="002F30DF">
        <w:rPr>
          <w:rFonts w:cs="Arial"/>
          <w:sz w:val="20"/>
          <w:szCs w:val="20"/>
        </w:rPr>
        <w:lastRenderedPageBreak/>
        <w:t>zavajajočih podatkih. Preiskava pride v poštev zlasti takrat, kadar obstaja verjetnost, da je do koncentracije prišlo, a je podjetja niso priglasila.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Da bi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pridobila točne podatke, lahko opravi preiskovalna dejanja v podjetjih, udeleženih v koncentraciji oziroma v podjetjih, za katera obstaja verjetnost, da so udeležena v koncentraciji. </w:t>
      </w:r>
      <w:r w:rsidR="0067201A" w:rsidRPr="002F30DF">
        <w:rPr>
          <w:rFonts w:cs="Arial"/>
          <w:sz w:val="20"/>
          <w:szCs w:val="20"/>
        </w:rPr>
        <w:t xml:space="preserve">Določbe o preiskavi veljajo za vse, ne samo za kartele in zlorabo prevladujočega položaja. </w:t>
      </w:r>
    </w:p>
    <w:p w:rsidR="00D8213D" w:rsidRPr="002F30DF" w:rsidRDefault="00D8213D"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4</w:t>
      </w:r>
      <w:r w:rsidRPr="002F30DF">
        <w:rPr>
          <w:rFonts w:cs="Arial"/>
          <w:b/>
          <w:sz w:val="20"/>
          <w:szCs w:val="20"/>
        </w:rPr>
        <w:t>. členu (odločbe)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rok, v katerem mora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odločiti o priglašeni koncentraciji in izdati odločbo o skladnosti koncentracije s pravili konkurence, če ugotovi, da koncentracija ni v nasprotju s tem zakonom ali izdati odločbo o neskladnosti koncentracije s pravili konkurence in jo prepovedati, če ugotovi, da je koncentracija v nasprotju s tem zakonom. </w:t>
      </w:r>
      <w:r w:rsidR="0045309B" w:rsidRPr="002F30DF">
        <w:rPr>
          <w:rFonts w:cs="Arial"/>
          <w:sz w:val="20"/>
          <w:szCs w:val="20"/>
        </w:rPr>
        <w:t>Agenc</w:t>
      </w:r>
      <w:r w:rsidRPr="002F30DF">
        <w:rPr>
          <w:rFonts w:cs="Arial"/>
          <w:sz w:val="20"/>
          <w:szCs w:val="20"/>
        </w:rPr>
        <w:t>ija tako mora o koncentraciji odločiti v 60 delovnih dneh od dneva izdaje sklepa o uvedbi postopka.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Skladno z </w:t>
      </w:r>
      <w:r w:rsidRPr="002F30DF">
        <w:rPr>
          <w:rFonts w:cs="Arial"/>
          <w:sz w:val="20"/>
          <w:szCs w:val="20"/>
          <w:u w:val="single"/>
        </w:rPr>
        <w:t>drugim odstavkom</w:t>
      </w:r>
      <w:r w:rsidRPr="002F30DF">
        <w:rPr>
          <w:rFonts w:cs="Arial"/>
          <w:sz w:val="20"/>
          <w:szCs w:val="20"/>
        </w:rPr>
        <w:t xml:space="preserve"> so v odločbe o skladnosti ali odločbe o neskladnosti s pravili koncentracij vključene tudi omejitve, ki so neposredno povezane in potrebne za izvedbo ali izvrševanje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5</w:t>
      </w:r>
      <w:r w:rsidRPr="002F30DF">
        <w:rPr>
          <w:rFonts w:cs="Arial"/>
          <w:b/>
          <w:sz w:val="20"/>
          <w:szCs w:val="20"/>
        </w:rPr>
        <w:t>. členu (korektivni ukrepi)</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Priglasitelj lahko predlaga </w:t>
      </w:r>
      <w:r w:rsidR="00D8213D" w:rsidRPr="002F30DF">
        <w:rPr>
          <w:rFonts w:cs="Arial"/>
          <w:sz w:val="20"/>
          <w:szCs w:val="20"/>
        </w:rPr>
        <w:t>a</w:t>
      </w:r>
      <w:r w:rsidR="0045309B" w:rsidRPr="002F30DF">
        <w:rPr>
          <w:rFonts w:cs="Arial"/>
          <w:sz w:val="20"/>
          <w:szCs w:val="20"/>
        </w:rPr>
        <w:t>genc</w:t>
      </w:r>
      <w:r w:rsidRPr="002F30DF">
        <w:rPr>
          <w:rFonts w:cs="Arial"/>
          <w:sz w:val="20"/>
          <w:szCs w:val="20"/>
        </w:rPr>
        <w:t>iji korektivne ukrepe, s katerimi se odpravi resen sum glede skladnosti koncentracije s pravili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Predlagani ukrepi morajo biti sorazmerni s pomisleki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ije glede bistvenega omejevanja konkurence, ki bi ga povzročila priglašena koncentracija. Ukrepi morajo te pomisleke popolnoma odpraviti. Pri ocenjevanju, ali korektivni ukrep omogoča učinkovito konkurenco na upoštevnem trgu,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preuči vse dejavnike, ki se nanašajo na sam ukrep, zlasti naravo in obseg predlaganega ukrepa, skupaj z verjetnostjo njegove uspešne, celovite ter pravočasne izvedbe s strani strank. Dejavnike se presoja glede na strukturo in posebnosti upoštevnega trga, na katerem </w:t>
      </w:r>
      <w:r w:rsidR="00D8213D" w:rsidRPr="002F30DF">
        <w:rPr>
          <w:rFonts w:cs="Arial"/>
          <w:sz w:val="20"/>
          <w:szCs w:val="20"/>
        </w:rPr>
        <w:t>a</w:t>
      </w:r>
      <w:r w:rsidR="0045309B" w:rsidRPr="002F30DF">
        <w:rPr>
          <w:rFonts w:cs="Arial"/>
          <w:sz w:val="20"/>
          <w:szCs w:val="20"/>
        </w:rPr>
        <w:t>genc</w:t>
      </w:r>
      <w:r w:rsidRPr="002F30DF">
        <w:rPr>
          <w:rFonts w:cs="Arial"/>
          <w:sz w:val="20"/>
          <w:szCs w:val="20"/>
        </w:rPr>
        <w:t>ija zazna težave v zvezi z učinkovitostjo konkurence, vključno s položajem strank in drugih tržnih udeležencev. Osnovni cilj korektivnih ukrepov je zagotovitev konkurenčne tržne strukture.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Če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presodi, da bi bila ob izpolnitvi korektivnih ukrepov koncentracija skladna s pravili konkurence, jih sprejme v izrek odločbe. V izreku tako določi korektivne ukrepe, rok za njihovo izpolnitev ter določi obveznosti, s katerimi zagotovi izpolnjevanje korektivnih ukrepov in nadzor nad njimi. Z naložitvijo obveznosti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zagotovi, da podjetja pravočasno in uspešno izpolnjujejo korektivne ukrepe. Kot obveznost se lahko določi zlasti poročanje </w:t>
      </w:r>
      <w:r w:rsidR="00D8213D" w:rsidRPr="002F30DF">
        <w:rPr>
          <w:rFonts w:cs="Arial"/>
          <w:sz w:val="20"/>
          <w:szCs w:val="20"/>
        </w:rPr>
        <w:t>a</w:t>
      </w:r>
      <w:r w:rsidR="0045309B" w:rsidRPr="002F30DF">
        <w:rPr>
          <w:rFonts w:cs="Arial"/>
          <w:sz w:val="20"/>
          <w:szCs w:val="20"/>
        </w:rPr>
        <w:t>genc</w:t>
      </w:r>
      <w:r w:rsidRPr="002F30DF">
        <w:rPr>
          <w:rFonts w:cs="Arial"/>
          <w:sz w:val="20"/>
          <w:szCs w:val="20"/>
        </w:rPr>
        <w:t>iji, pridobitev soglasja glede primernosti kupca premoženja oziroma kapitalskega deleža, ki ga mora podjetje odsvojiti, postavitev ali pridobitev soglasja za postavitev osebe, ki nadzira ali opravlja naloženo dezinvesticijo premoženja.</w:t>
      </w:r>
    </w:p>
    <w:p w:rsidR="001D1E21" w:rsidRPr="002F30DF" w:rsidRDefault="001D1E21"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Kadar se v izreku odločbe določi, da mora podjetje pridobiti soglasje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ije, ali da mora </w:t>
      </w:r>
      <w:r w:rsidR="00D8213D" w:rsidRPr="002F30DF">
        <w:rPr>
          <w:rFonts w:cs="Arial"/>
          <w:sz w:val="20"/>
          <w:szCs w:val="20"/>
        </w:rPr>
        <w:t>a</w:t>
      </w:r>
      <w:r w:rsidR="0045309B" w:rsidRPr="002F30DF">
        <w:rPr>
          <w:rFonts w:cs="Arial"/>
          <w:sz w:val="20"/>
          <w:szCs w:val="20"/>
        </w:rPr>
        <w:t>genc</w:t>
      </w:r>
      <w:r w:rsidRPr="002F30DF">
        <w:rPr>
          <w:rFonts w:cs="Arial"/>
          <w:sz w:val="20"/>
          <w:szCs w:val="20"/>
        </w:rPr>
        <w:t xml:space="preserve">ija opraviti kakšno drugo dejanje (npr. postavitev osebe, ki bo nadzirala prodajo premoženja) ga </w:t>
      </w:r>
      <w:r w:rsidR="00D8213D" w:rsidRPr="002F30DF">
        <w:rPr>
          <w:rFonts w:cs="Arial"/>
          <w:sz w:val="20"/>
          <w:szCs w:val="20"/>
        </w:rPr>
        <w:t>a</w:t>
      </w:r>
      <w:r w:rsidR="0045309B" w:rsidRPr="002F30DF">
        <w:rPr>
          <w:rFonts w:cs="Arial"/>
          <w:sz w:val="20"/>
          <w:szCs w:val="20"/>
        </w:rPr>
        <w:t>genc</w:t>
      </w:r>
      <w:r w:rsidRPr="002F30DF">
        <w:rPr>
          <w:rFonts w:cs="Arial"/>
          <w:sz w:val="20"/>
          <w:szCs w:val="20"/>
        </w:rPr>
        <w:t>ija poda s pisnim sklepom, zoper katerega ni sodnega varstva.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podjetje predlaga </w:t>
      </w:r>
      <w:r w:rsidR="0040178B" w:rsidRPr="002F30DF">
        <w:rPr>
          <w:rFonts w:cs="Arial"/>
          <w:sz w:val="20"/>
          <w:szCs w:val="20"/>
        </w:rPr>
        <w:t xml:space="preserve">korektivne </w:t>
      </w:r>
      <w:r w:rsidRPr="002F30DF">
        <w:rPr>
          <w:rFonts w:cs="Arial"/>
          <w:sz w:val="20"/>
          <w:szCs w:val="20"/>
        </w:rPr>
        <w:t xml:space="preserve">ukrepe pred uvedbo postopka, se rok 25 delovnih dni za izdajo sklepa ali odločbe podaljša za 15 delovnih dni. </w:t>
      </w:r>
    </w:p>
    <w:p w:rsidR="007C054D" w:rsidRPr="002F30DF" w:rsidRDefault="007C054D" w:rsidP="0025166A">
      <w:pPr>
        <w:spacing w:line="260" w:lineRule="atLeast"/>
        <w:rPr>
          <w:rFonts w:cs="Arial"/>
          <w:sz w:val="20"/>
          <w:szCs w:val="20"/>
        </w:rPr>
      </w:pPr>
    </w:p>
    <w:p w:rsidR="007522E3" w:rsidRPr="002F30DF" w:rsidRDefault="0040178B" w:rsidP="0025166A">
      <w:pPr>
        <w:spacing w:line="260" w:lineRule="atLeast"/>
        <w:rPr>
          <w:rFonts w:cs="Arial"/>
          <w:sz w:val="20"/>
          <w:szCs w:val="20"/>
        </w:rPr>
      </w:pPr>
      <w:r w:rsidRPr="002F30DF">
        <w:rPr>
          <w:rFonts w:cs="Arial"/>
          <w:sz w:val="20"/>
          <w:szCs w:val="20"/>
        </w:rPr>
        <w:t>Z namenom, d</w:t>
      </w:r>
      <w:r w:rsidR="007522E3" w:rsidRPr="002F30DF">
        <w:rPr>
          <w:rFonts w:cs="Arial"/>
          <w:sz w:val="20"/>
          <w:szCs w:val="20"/>
        </w:rPr>
        <w:t xml:space="preserve">a se </w:t>
      </w:r>
      <w:r w:rsidR="00D8213D"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iji omogoči, da je seznanjena z izvrševanjem korektivnih ukrepov, </w:t>
      </w:r>
      <w:r w:rsidRPr="002F30DF">
        <w:rPr>
          <w:rFonts w:cs="Arial"/>
          <w:sz w:val="20"/>
          <w:szCs w:val="20"/>
        </w:rPr>
        <w:t xml:space="preserve">se agenciji omogoči, da </w:t>
      </w:r>
      <w:r w:rsidR="007522E3" w:rsidRPr="002F30DF">
        <w:rPr>
          <w:rFonts w:cs="Arial"/>
          <w:sz w:val="20"/>
          <w:szCs w:val="20"/>
        </w:rPr>
        <w:t>z zahtevo za posredovanje podatkov od priglasitelja zahteva poročilo o izpolnjevanju korektivnih ukrepov, ki so bili naloženi z odločbo.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6</w:t>
      </w:r>
      <w:r w:rsidRPr="002F30DF">
        <w:rPr>
          <w:rFonts w:cs="Arial"/>
          <w:b/>
          <w:sz w:val="20"/>
          <w:szCs w:val="20"/>
        </w:rPr>
        <w:t>. členu (posebni primeri razveljavitve odločbe)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Zakon v tem členu ureja izredno pravno sredstvo, ki pride v poštev tudi pri pravnomočnih odločbah (zlasti, če nobena stranka ne vloži tožbe v postopku sodnega varstva).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Četrti odstavek 225. člena ZUP določa, da je mogoče odpraviti, razveljaviti ali spremeniti pravnomočno odločbo samo na podlagi pravnih sredstev, določenih z zakonom. </w:t>
      </w:r>
      <w:r w:rsidR="0045309B" w:rsidRPr="002F30DF">
        <w:rPr>
          <w:rFonts w:cs="Arial"/>
          <w:sz w:val="20"/>
          <w:szCs w:val="20"/>
        </w:rPr>
        <w:t>Agenc</w:t>
      </w:r>
      <w:r w:rsidRPr="002F30DF">
        <w:rPr>
          <w:rFonts w:cs="Arial"/>
          <w:sz w:val="20"/>
          <w:szCs w:val="20"/>
        </w:rPr>
        <w:t xml:space="preserve">ija lahko razveljavil odločbo, kadar izve, da so podatki, na katerih temelji odločba, nepravilni, nepopolni ali zavajajoči, oziroma da podjetje ne izpolni obveznosti, določenih v odločbi. V teh primerih </w:t>
      </w:r>
      <w:r w:rsidR="00B412F2" w:rsidRPr="002F30DF">
        <w:rPr>
          <w:rFonts w:cs="Arial"/>
          <w:sz w:val="20"/>
          <w:szCs w:val="20"/>
        </w:rPr>
        <w:t>a</w:t>
      </w:r>
      <w:r w:rsidR="0045309B" w:rsidRPr="002F30DF">
        <w:rPr>
          <w:rFonts w:cs="Arial"/>
          <w:sz w:val="20"/>
          <w:szCs w:val="20"/>
        </w:rPr>
        <w:t>genc</w:t>
      </w:r>
      <w:r w:rsidRPr="002F30DF">
        <w:rPr>
          <w:rFonts w:cs="Arial"/>
          <w:sz w:val="20"/>
          <w:szCs w:val="20"/>
        </w:rPr>
        <w:t xml:space="preserve">ija z isto odločbo odloči, ali je koncentracija skladna s pravili konkurence ali ne. Rok za izdajo odločbe znaša v primeru nepravilnih, nepopolnih ali zavajajočih podatkov tri leta, šteto od dneva, </w:t>
      </w:r>
      <w:r w:rsidRPr="002F30DF">
        <w:rPr>
          <w:rFonts w:cs="Arial"/>
          <w:sz w:val="20"/>
          <w:szCs w:val="20"/>
        </w:rPr>
        <w:lastRenderedPageBreak/>
        <w:t xml:space="preserve">ko je bila odločba o skladnosti koncentracije s pravili konkurence izdana </w:t>
      </w:r>
      <w:r w:rsidR="00850919" w:rsidRPr="002F30DF">
        <w:rPr>
          <w:rFonts w:cs="Arial"/>
          <w:sz w:val="20"/>
          <w:szCs w:val="20"/>
        </w:rPr>
        <w:t xml:space="preserve">ali </w:t>
      </w:r>
      <w:r w:rsidRPr="002F30DF">
        <w:rPr>
          <w:rFonts w:cs="Arial"/>
          <w:sz w:val="20"/>
          <w:szCs w:val="20"/>
        </w:rPr>
        <w:t>vročena, v primeru neizpolnitve korektivnih ukrepov pa dve leti, in sicer po preteku roka za izpolnitev korektivnih ukrepov.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5B5985" w:rsidRPr="002F30DF">
        <w:rPr>
          <w:rFonts w:cs="Arial"/>
          <w:b/>
          <w:sz w:val="20"/>
          <w:szCs w:val="20"/>
        </w:rPr>
        <w:t>7</w:t>
      </w:r>
      <w:r w:rsidR="003C70CA" w:rsidRPr="002F30DF">
        <w:rPr>
          <w:rFonts w:cs="Arial"/>
          <w:b/>
          <w:sz w:val="20"/>
          <w:szCs w:val="20"/>
        </w:rPr>
        <w:t>7</w:t>
      </w:r>
      <w:r w:rsidRPr="002F30DF">
        <w:rPr>
          <w:rFonts w:cs="Arial"/>
          <w:b/>
          <w:sz w:val="20"/>
          <w:szCs w:val="20"/>
        </w:rPr>
        <w:t>. členu (ukrepi za odpravo učinkov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omogoča </w:t>
      </w:r>
      <w:r w:rsidR="00B412F2" w:rsidRPr="002F30DF">
        <w:rPr>
          <w:rFonts w:cs="Arial"/>
          <w:sz w:val="20"/>
          <w:szCs w:val="20"/>
        </w:rPr>
        <w:t>a</w:t>
      </w:r>
      <w:r w:rsidR="0045309B" w:rsidRPr="002F30DF">
        <w:rPr>
          <w:rFonts w:cs="Arial"/>
          <w:sz w:val="20"/>
          <w:szCs w:val="20"/>
        </w:rPr>
        <w:t>genc</w:t>
      </w:r>
      <w:r w:rsidRPr="002F30DF">
        <w:rPr>
          <w:rFonts w:cs="Arial"/>
          <w:sz w:val="20"/>
          <w:szCs w:val="20"/>
        </w:rPr>
        <w:t xml:space="preserve">iji, da z odločbo naloži podjetjem, da izvedejo ukrepe, s katerimi se ponovno vzpostavi stanje, ki je obstajalo pred izvedbo koncentracije. To pomeni zlasti odsvojitev pridobljenih deležev ali delitev podjetja. </w:t>
      </w:r>
      <w:r w:rsidR="0045309B" w:rsidRPr="002F30DF">
        <w:rPr>
          <w:rFonts w:cs="Arial"/>
          <w:sz w:val="20"/>
          <w:szCs w:val="20"/>
        </w:rPr>
        <w:t>Agenc</w:t>
      </w:r>
      <w:r w:rsidRPr="002F30DF">
        <w:rPr>
          <w:rFonts w:cs="Arial"/>
          <w:sz w:val="20"/>
          <w:szCs w:val="20"/>
        </w:rPr>
        <w:t>ija ukrepe določi glede na okoliščine posameznega primera.</w:t>
      </w:r>
    </w:p>
    <w:p w:rsidR="007522E3" w:rsidRPr="002F30DF" w:rsidRDefault="007522E3" w:rsidP="0025166A">
      <w:pPr>
        <w:spacing w:line="260" w:lineRule="atLeast"/>
        <w:rPr>
          <w:rFonts w:cs="Arial"/>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naloži ukrepe za odpravo učinkov koncentracij, če je prišlo do izvedbe ali izvrševanja koncentracije, ki jo </w:t>
      </w:r>
      <w:r w:rsidR="00B412F2" w:rsidRPr="002F30DF">
        <w:rPr>
          <w:rFonts w:cs="Arial"/>
          <w:sz w:val="20"/>
          <w:szCs w:val="20"/>
        </w:rPr>
        <w:t>a</w:t>
      </w:r>
      <w:r w:rsidRPr="002F30DF">
        <w:rPr>
          <w:rFonts w:cs="Arial"/>
          <w:sz w:val="20"/>
          <w:szCs w:val="20"/>
        </w:rPr>
        <w:t>genc</w:t>
      </w:r>
      <w:r w:rsidR="007522E3" w:rsidRPr="002F30DF">
        <w:rPr>
          <w:rFonts w:cs="Arial"/>
          <w:sz w:val="20"/>
          <w:szCs w:val="20"/>
        </w:rPr>
        <w:t xml:space="preserve">ija prepove, ali če podjetje ni izpolnilo korektivnih ukrepov, določenih  v odločbi o skladnosti koncentracije s pravili konkurence, ali če podjetje kljub pozivu </w:t>
      </w:r>
      <w:r w:rsidR="00B412F2" w:rsidRPr="002F30DF">
        <w:rPr>
          <w:rFonts w:cs="Arial"/>
          <w:sz w:val="20"/>
          <w:szCs w:val="20"/>
        </w:rPr>
        <w:t>a</w:t>
      </w:r>
      <w:r w:rsidRPr="002F30DF">
        <w:rPr>
          <w:rFonts w:cs="Arial"/>
          <w:sz w:val="20"/>
          <w:szCs w:val="20"/>
        </w:rPr>
        <w:t>genc</w:t>
      </w:r>
      <w:r w:rsidR="007522E3" w:rsidRPr="002F30DF">
        <w:rPr>
          <w:rFonts w:cs="Arial"/>
          <w:sz w:val="20"/>
          <w:szCs w:val="20"/>
        </w:rPr>
        <w:t xml:space="preserve">ije ni priglasilo koncentracije, ki je podrejena določbam tega zakona, ali ni dopolnilo priglasitve v skladu s prvim odstavkom </w:t>
      </w:r>
      <w:r w:rsidR="005B5985" w:rsidRPr="002F30DF">
        <w:rPr>
          <w:rFonts w:cs="Arial"/>
          <w:sz w:val="20"/>
          <w:szCs w:val="20"/>
        </w:rPr>
        <w:t>72</w:t>
      </w:r>
      <w:r w:rsidR="007522E3" w:rsidRPr="002F30DF">
        <w:rPr>
          <w:rFonts w:cs="Arial"/>
          <w:sz w:val="20"/>
          <w:szCs w:val="20"/>
        </w:rPr>
        <w:t>. člena tega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stanja pred izvedbo koncentracije ni mogoče vzpostaviti, </w:t>
      </w:r>
      <w:r w:rsidR="00D93BA5" w:rsidRPr="002F30DF">
        <w:rPr>
          <w:rFonts w:cs="Arial"/>
          <w:sz w:val="20"/>
          <w:szCs w:val="20"/>
        </w:rPr>
        <w:t>a</w:t>
      </w:r>
      <w:r w:rsidR="0045309B" w:rsidRPr="002F30DF">
        <w:rPr>
          <w:rFonts w:cs="Arial"/>
          <w:sz w:val="20"/>
          <w:szCs w:val="20"/>
        </w:rPr>
        <w:t>genc</w:t>
      </w:r>
      <w:r w:rsidRPr="002F30DF">
        <w:rPr>
          <w:rFonts w:cs="Arial"/>
          <w:sz w:val="20"/>
          <w:szCs w:val="20"/>
        </w:rPr>
        <w:t>ija naloži pridobiteljem kontrole izvedbo ukrepov, ki omogočajo vzpostavitev stanja, ki je čim bolj podobno stanju pred izvedbo koncentracije.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Ukrepi se naložijo s posebno odločbo ali v odločbi o neskladnosti koncentracije s pravili konkurence.</w:t>
      </w:r>
    </w:p>
    <w:p w:rsidR="006414E5" w:rsidRPr="002F30DF" w:rsidRDefault="006414E5"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w:t>
      </w:r>
      <w:r w:rsidR="00850919" w:rsidRPr="002F30DF">
        <w:rPr>
          <w:rFonts w:cs="Arial"/>
          <w:b/>
          <w:sz w:val="20"/>
          <w:szCs w:val="20"/>
        </w:rPr>
        <w:t xml:space="preserve"> </w:t>
      </w:r>
      <w:r w:rsidR="005B5985" w:rsidRPr="002F30DF">
        <w:rPr>
          <w:rFonts w:cs="Arial"/>
          <w:b/>
          <w:sz w:val="20"/>
          <w:szCs w:val="20"/>
        </w:rPr>
        <w:t>7</w:t>
      </w:r>
      <w:r w:rsidR="003C70CA" w:rsidRPr="002F30DF">
        <w:rPr>
          <w:rFonts w:cs="Arial"/>
          <w:b/>
          <w:sz w:val="20"/>
          <w:szCs w:val="20"/>
        </w:rPr>
        <w:t>8</w:t>
      </w:r>
      <w:r w:rsidRPr="002F30DF">
        <w:rPr>
          <w:rFonts w:cs="Arial"/>
          <w:b/>
          <w:sz w:val="20"/>
          <w:szCs w:val="20"/>
        </w:rPr>
        <w:t>. členu (administrativno sankcioniranje</w:t>
      </w:r>
      <w:r w:rsidR="00662C1D" w:rsidRPr="002F30DF">
        <w:rPr>
          <w:rFonts w:cs="Arial"/>
          <w:b/>
          <w:sz w:val="20"/>
          <w:szCs w:val="20"/>
        </w:rPr>
        <w:t xml:space="preserve"> podjetij</w:t>
      </w:r>
      <w:r w:rsidRPr="002F30DF">
        <w:rPr>
          <w:rFonts w:cs="Arial"/>
          <w:b/>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Glede na ZPOmK-1 se s predlogom tega zakona na novo uvaja in oblikuje administrativno sankcioniranje podjetij. Tudi ZPOmK-1 je v povezavi z ZUP že določal procesnopravna pravila, ki se uporabljajo v vseh postopkih pred </w:t>
      </w:r>
      <w:r w:rsidR="00B412F2" w:rsidRPr="002F30DF">
        <w:rPr>
          <w:rFonts w:cs="Arial"/>
          <w:sz w:val="20"/>
          <w:szCs w:val="20"/>
        </w:rPr>
        <w:t>a</w:t>
      </w:r>
      <w:r w:rsidR="0045309B" w:rsidRPr="002F30DF">
        <w:rPr>
          <w:rFonts w:cs="Arial"/>
          <w:sz w:val="20"/>
          <w:szCs w:val="20"/>
        </w:rPr>
        <w:t>genc</w:t>
      </w:r>
      <w:r w:rsidRPr="002F30DF">
        <w:rPr>
          <w:rFonts w:cs="Arial"/>
          <w:sz w:val="20"/>
          <w:szCs w:val="20"/>
        </w:rPr>
        <w:t xml:space="preserve">ijo, ker pa se za postopek administrativnega sankcioniranja podjetij ne bo uporabljal Zakon o prekrških (Uradni list RS, št. </w:t>
      </w:r>
      <w:hyperlink r:id="rId111" w:tgtFrame="_blank" w:tooltip="Zakon o prekrških (uradno prečiščeno besedilo)" w:history="1">
        <w:r w:rsidRPr="002F30DF">
          <w:rPr>
            <w:rFonts w:cs="Arial"/>
            <w:sz w:val="20"/>
            <w:szCs w:val="20"/>
          </w:rPr>
          <w:t>29/11</w:t>
        </w:r>
      </w:hyperlink>
      <w:r w:rsidRPr="002F30DF">
        <w:rPr>
          <w:rFonts w:cs="Arial"/>
          <w:sz w:val="20"/>
          <w:szCs w:val="20"/>
        </w:rPr>
        <w:t xml:space="preserve"> – uradno prečiščeno besedilo, </w:t>
      </w:r>
      <w:hyperlink r:id="rId112" w:tgtFrame="_blank" w:tooltip="Zakon o spremembah in dopolnitvah Zakona o prekrških" w:history="1">
        <w:r w:rsidRPr="002F30DF">
          <w:rPr>
            <w:rFonts w:cs="Arial"/>
            <w:sz w:val="20"/>
            <w:szCs w:val="20"/>
          </w:rPr>
          <w:t>21/13</w:t>
        </w:r>
      </w:hyperlink>
      <w:r w:rsidRPr="002F30DF">
        <w:rPr>
          <w:rFonts w:cs="Arial"/>
          <w:sz w:val="20"/>
          <w:szCs w:val="20"/>
        </w:rPr>
        <w:t xml:space="preserve">, </w:t>
      </w:r>
      <w:hyperlink r:id="rId113" w:tgtFrame="_blank" w:tooltip="Zakon o spremembah in dopolnitvah Zakona o prekrških" w:history="1">
        <w:r w:rsidRPr="002F30DF">
          <w:rPr>
            <w:rFonts w:cs="Arial"/>
            <w:sz w:val="20"/>
            <w:szCs w:val="20"/>
          </w:rPr>
          <w:t>111/13</w:t>
        </w:r>
      </w:hyperlink>
      <w:r w:rsidRPr="002F30DF">
        <w:rPr>
          <w:rFonts w:cs="Arial"/>
          <w:sz w:val="20"/>
          <w:szCs w:val="20"/>
        </w:rPr>
        <w:t xml:space="preserve">, </w:t>
      </w:r>
      <w:hyperlink r:id="rId114" w:tgtFrame="_blank" w:tooltip="Odločba o ugotovitvi, da je prvi stavek prvega odstavka 193. člena Zakona o prekrških v neskladju z Ustavo" w:history="1">
        <w:r w:rsidRPr="002F30DF">
          <w:rPr>
            <w:rFonts w:cs="Arial"/>
            <w:sz w:val="20"/>
            <w:szCs w:val="20"/>
          </w:rPr>
          <w:t>74/14</w:t>
        </w:r>
      </w:hyperlink>
      <w:r w:rsidRPr="002F30DF">
        <w:rPr>
          <w:rFonts w:cs="Arial"/>
          <w:sz w:val="20"/>
          <w:szCs w:val="20"/>
        </w:rPr>
        <w:t xml:space="preserve"> – odl. US, </w:t>
      </w:r>
      <w:hyperlink r:id="rId115" w:tgtFrame="_blank" w:tooltip="Odločba o razveljavitvi prvega, drugega, tretjega in četrtega odstavka 19. člena, sedmega odstavka 19. člena, kolikor se nanaša na izvršitev uklonilnega zapora, ter 202.b člena Zakona o prekrških" w:history="1">
        <w:r w:rsidRPr="002F30DF">
          <w:rPr>
            <w:rFonts w:cs="Arial"/>
            <w:sz w:val="20"/>
            <w:szCs w:val="20"/>
          </w:rPr>
          <w:t>92/14</w:t>
        </w:r>
      </w:hyperlink>
      <w:r w:rsidRPr="002F30DF">
        <w:rPr>
          <w:rFonts w:cs="Arial"/>
          <w:sz w:val="20"/>
          <w:szCs w:val="20"/>
        </w:rPr>
        <w:t xml:space="preserve"> – odl. US, </w:t>
      </w:r>
      <w:hyperlink r:id="rId116" w:tgtFrame="_blank" w:tooltip="Zakon o spremembah in dopolnitvah Zakona o prekrških" w:history="1">
        <w:r w:rsidRPr="002F30DF">
          <w:rPr>
            <w:rFonts w:cs="Arial"/>
            <w:sz w:val="20"/>
            <w:szCs w:val="20"/>
          </w:rPr>
          <w:t>32/16</w:t>
        </w:r>
      </w:hyperlink>
      <w:r w:rsidRPr="002F30DF">
        <w:rPr>
          <w:rFonts w:cs="Arial"/>
          <w:sz w:val="20"/>
          <w:szCs w:val="20"/>
        </w:rPr>
        <w:t xml:space="preserve"> in </w:t>
      </w:r>
      <w:hyperlink r:id="rId117" w:tgtFrame="_blank" w:tooltip="Odločba o razveljavitvi tretjega odstavka 61. člena Zakona o prekrških" w:history="1">
        <w:r w:rsidRPr="002F30DF">
          <w:rPr>
            <w:rFonts w:cs="Arial"/>
            <w:sz w:val="20"/>
            <w:szCs w:val="20"/>
          </w:rPr>
          <w:t>15/17</w:t>
        </w:r>
      </w:hyperlink>
      <w:r w:rsidRPr="002F30DF">
        <w:rPr>
          <w:rFonts w:cs="Arial"/>
          <w:sz w:val="20"/>
          <w:szCs w:val="20"/>
        </w:rPr>
        <w:t xml:space="preserve"> – odl. US</w:t>
      </w:r>
      <w:r w:rsidR="005B5985" w:rsidRPr="002F30DF">
        <w:rPr>
          <w:rFonts w:cs="Arial"/>
          <w:sz w:val="20"/>
          <w:szCs w:val="20"/>
        </w:rPr>
        <w:t xml:space="preserve">, </w:t>
      </w:r>
      <w:hyperlink r:id="rId118" w:tgtFrame="_blank" w:tooltip="Odločba o ugotovitvi protiustavnosti Zakona o prekrških" w:history="1">
        <w:r w:rsidR="005B5985" w:rsidRPr="002F30DF">
          <w:rPr>
            <w:rStyle w:val="Hiperpovezava"/>
            <w:rFonts w:cs="Arial"/>
            <w:b w:val="0"/>
            <w:bCs/>
            <w:color w:val="626060"/>
            <w:sz w:val="20"/>
            <w:szCs w:val="20"/>
            <w:shd w:val="clear" w:color="auto" w:fill="FFFFFF"/>
          </w:rPr>
          <w:t>73/19</w:t>
        </w:r>
      </w:hyperlink>
      <w:r w:rsidR="005B5985" w:rsidRPr="002F30DF">
        <w:rPr>
          <w:rFonts w:cs="Arial"/>
          <w:bCs/>
          <w:color w:val="626060"/>
          <w:sz w:val="20"/>
          <w:szCs w:val="20"/>
          <w:shd w:val="clear" w:color="auto" w:fill="FFFFFF"/>
        </w:rPr>
        <w:t> – odl. US, </w:t>
      </w:r>
      <w:hyperlink r:id="rId119" w:tgtFrame="_blank" w:tooltip="Zakon o interventnih ukrepih za omilitev posledic drugega vala epidemije COVID-19" w:history="1">
        <w:r w:rsidR="005B5985" w:rsidRPr="002F30DF">
          <w:rPr>
            <w:rStyle w:val="Hiperpovezava"/>
            <w:rFonts w:cs="Arial"/>
            <w:b w:val="0"/>
            <w:bCs/>
            <w:color w:val="626060"/>
            <w:sz w:val="20"/>
            <w:szCs w:val="20"/>
            <w:shd w:val="clear" w:color="auto" w:fill="FFFFFF"/>
          </w:rPr>
          <w:t>175/20</w:t>
        </w:r>
      </w:hyperlink>
      <w:r w:rsidR="005B5985" w:rsidRPr="002F30DF">
        <w:rPr>
          <w:rFonts w:cs="Arial"/>
          <w:bCs/>
          <w:color w:val="626060"/>
          <w:sz w:val="20"/>
          <w:szCs w:val="20"/>
          <w:shd w:val="clear" w:color="auto" w:fill="FFFFFF"/>
        </w:rPr>
        <w:t> – ZIUOPDVE in </w:t>
      </w:r>
      <w:hyperlink r:id="rId120" w:tgtFrame="_blank" w:tooltip="Odločba o ugotovitvi, da je drugi odstavek 66. člena Zakona o prekrških v neskladju z ustavo in sklep o zavrženju ustavne pritožbe" w:history="1">
        <w:r w:rsidR="005B5985" w:rsidRPr="002F30DF">
          <w:rPr>
            <w:rStyle w:val="Hiperpovezava"/>
            <w:rFonts w:cs="Arial"/>
            <w:b w:val="0"/>
            <w:bCs/>
            <w:color w:val="626060"/>
            <w:sz w:val="20"/>
            <w:szCs w:val="20"/>
            <w:shd w:val="clear" w:color="auto" w:fill="FFFFFF"/>
          </w:rPr>
          <w:t>5/21</w:t>
        </w:r>
      </w:hyperlink>
      <w:r w:rsidR="005B5985" w:rsidRPr="002F30DF">
        <w:rPr>
          <w:rFonts w:cs="Arial"/>
          <w:bCs/>
          <w:color w:val="626060"/>
          <w:sz w:val="20"/>
          <w:szCs w:val="20"/>
          <w:shd w:val="clear" w:color="auto" w:fill="FFFFFF"/>
        </w:rPr>
        <w:t> – odl. US</w:t>
      </w:r>
      <w:r w:rsidRPr="002F30DF">
        <w:rPr>
          <w:rFonts w:cs="Arial"/>
          <w:sz w:val="20"/>
          <w:szCs w:val="20"/>
        </w:rPr>
        <w:t xml:space="preserve">; v nadaljnjem besedilu: ZP-1), </w:t>
      </w:r>
      <w:r w:rsidR="00760C3E" w:rsidRPr="002F30DF">
        <w:rPr>
          <w:rFonts w:cs="Arial"/>
          <w:sz w:val="20"/>
          <w:szCs w:val="20"/>
        </w:rPr>
        <w:t xml:space="preserve">se v tem poglavju uredijo </w:t>
      </w:r>
      <w:r w:rsidRPr="002F30DF">
        <w:rPr>
          <w:rFonts w:cs="Arial"/>
          <w:sz w:val="20"/>
          <w:szCs w:val="20"/>
        </w:rPr>
        <w:t>administrativne sankcije za kršitve v zvezi z omejevalnimi ravnanji in koncentracijami in druga materialnopravna vprašanja administrativn</w:t>
      </w:r>
      <w:r w:rsidR="00760C3E" w:rsidRPr="002F30DF">
        <w:rPr>
          <w:rFonts w:cs="Arial"/>
          <w:sz w:val="20"/>
          <w:szCs w:val="20"/>
        </w:rPr>
        <w:t xml:space="preserve">ega </w:t>
      </w:r>
      <w:r w:rsidR="00760C3E" w:rsidRPr="002F30DF">
        <w:rPr>
          <w:rFonts w:cs="Arial"/>
          <w:sz w:val="20"/>
          <w:szCs w:val="20"/>
        </w:rPr>
        <w:lastRenderedPageBreak/>
        <w:t>sankcioniranja</w:t>
      </w:r>
      <w:r w:rsidRPr="002F30DF">
        <w:rPr>
          <w:rFonts w:cs="Arial"/>
          <w:sz w:val="20"/>
          <w:szCs w:val="20"/>
        </w:rPr>
        <w:t xml:space="preserve">, kot so opredelitev administrativnega prestopka, pogoji za odgovornost za administrativni prestopek, določbe za izrekanje in izvrševanje </w:t>
      </w:r>
      <w:r w:rsidR="00020CDF" w:rsidRPr="002F30DF">
        <w:rPr>
          <w:rFonts w:cs="Arial"/>
          <w:sz w:val="20"/>
          <w:szCs w:val="20"/>
        </w:rPr>
        <w:t xml:space="preserve">administrativne </w:t>
      </w:r>
      <w:r w:rsidRPr="002F30DF">
        <w:rPr>
          <w:rFonts w:cs="Arial"/>
          <w:sz w:val="20"/>
          <w:szCs w:val="20"/>
        </w:rPr>
        <w:t xml:space="preserve">sankcije za kršitve in druge potrebne procesnopravne določbe. </w:t>
      </w:r>
      <w:r w:rsidR="0045309B" w:rsidRPr="002F30DF">
        <w:rPr>
          <w:rFonts w:cs="Arial"/>
          <w:sz w:val="20"/>
          <w:szCs w:val="20"/>
        </w:rPr>
        <w:t>Agenc</w:t>
      </w:r>
      <w:r w:rsidRPr="002F30DF">
        <w:rPr>
          <w:rFonts w:cs="Arial"/>
          <w:sz w:val="20"/>
          <w:szCs w:val="20"/>
        </w:rPr>
        <w:t xml:space="preserve">ija izreče administrativno sankcijo kot regulatorni organ. </w:t>
      </w:r>
    </w:p>
    <w:p w:rsidR="007522E3" w:rsidRPr="002F30DF" w:rsidRDefault="007522E3" w:rsidP="0025166A">
      <w:pPr>
        <w:spacing w:line="260" w:lineRule="atLeast"/>
        <w:rPr>
          <w:rFonts w:cs="Arial"/>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lahko </w:t>
      </w:r>
      <w:r w:rsidR="00523816" w:rsidRPr="002F30DF">
        <w:rPr>
          <w:rFonts w:cs="Arial"/>
          <w:sz w:val="20"/>
          <w:szCs w:val="20"/>
        </w:rPr>
        <w:t xml:space="preserve">izreče </w:t>
      </w:r>
      <w:r w:rsidR="007522E3" w:rsidRPr="002F30DF">
        <w:rPr>
          <w:rFonts w:cs="Arial"/>
          <w:sz w:val="20"/>
          <w:szCs w:val="20"/>
        </w:rPr>
        <w:t xml:space="preserve">plačilo administrativne sankcije podjetju, torej subjektu, ki opravlja gospodarsko dejavnost, ne glede na njegovo pravnoorganizacijsko obliko in lastninsko pripadnost. </w:t>
      </w:r>
      <w:r w:rsidR="007A389B" w:rsidRPr="002F30DF">
        <w:rPr>
          <w:rFonts w:cs="Arial"/>
          <w:sz w:val="20"/>
          <w:szCs w:val="20"/>
        </w:rPr>
        <w:t xml:space="preserve">Definicija podjetja, ki je določena z direktivo 2019/1 ne razlikuje med podjetji v obliki pravnih oseba ali fizičnih oseb. Tako </w:t>
      </w:r>
      <w:r w:rsidR="007522E3" w:rsidRPr="002F30DF">
        <w:rPr>
          <w:rFonts w:cs="Arial"/>
          <w:sz w:val="20"/>
          <w:szCs w:val="20"/>
        </w:rPr>
        <w:t>je samostojni podjetnik posameznik in drug posameznik, ki samostojno opravlja poklicno dejavnost, lahko podjetje v smislu konkurenčnega prava. Kršitev konkurenčnega prava, ki jo izvrši podjetje v smislu tržne gospodarske enote, se v postopku zaradi sankcioniranja te kršitve, pripiše subjektu, ki je nosilec podjetja, in sicer ne glede na to, ali je ta subjekt fizična ali pravna oseba, in ne glede na to, ali so sporno tržno ravnanje neposredno izvršili drugi zaposleni v tem podjetju, če so pri tem ravnali za račun podjetja.</w:t>
      </w:r>
      <w:r w:rsidR="007522E3" w:rsidRPr="002F30DF">
        <w:rPr>
          <w:rStyle w:val="Sprotnaopomba-sklic"/>
          <w:rFonts w:cs="Arial"/>
          <w:sz w:val="20"/>
          <w:szCs w:val="20"/>
        </w:rPr>
        <w:footnoteReference w:id="8"/>
      </w:r>
      <w:r w:rsidR="00AC09A8" w:rsidRPr="002F30DF">
        <w:rPr>
          <w:rFonts w:cs="Arial"/>
          <w:sz w:val="20"/>
          <w:szCs w:val="20"/>
        </w:rPr>
        <w:t xml:space="preserve"> Ureditev postopka pravic in dolžnosti ločeno za pravne in fizične osebe, ki nastopajo v obliki podjetja, nima pravne podlage v Direktivi 2019/1 ali konkurenčnem pravu EU.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Glede na to, da Sodišče EU enotno razlaga pojem podjetje na različnih področjih konkurenčnega prava, je »treba v okviru sankcioniranja kršitev konkurenčnega prava tudi v nacionalnem pravu, zlasti kadar nacionalni organi ugotavljajo kršitve 101. in 102. člena PDEU, na enoten način obravnavati vse oblike podjetij, ne glede na statusno obliko njihovega nosilca«.</w:t>
      </w:r>
      <w:r w:rsidRPr="002F30DF">
        <w:rPr>
          <w:rStyle w:val="Sprotnaopomba-sklic"/>
          <w:rFonts w:cs="Arial"/>
          <w:sz w:val="20"/>
          <w:szCs w:val="20"/>
        </w:rPr>
        <w:footnoteReference w:id="9"/>
      </w:r>
      <w:r w:rsidRPr="002F30DF">
        <w:rPr>
          <w:rFonts w:cs="Arial"/>
          <w:sz w:val="20"/>
          <w:szCs w:val="20"/>
        </w:rPr>
        <w:tab/>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i/>
          <w:iCs/>
          <w:sz w:val="20"/>
          <w:szCs w:val="20"/>
        </w:rPr>
      </w:pPr>
      <w:r w:rsidRPr="002F30DF">
        <w:rPr>
          <w:rFonts w:cs="Arial"/>
          <w:sz w:val="20"/>
          <w:szCs w:val="20"/>
        </w:rPr>
        <w:t>Tudi Direktiva 2019/1 v 12. uvodni</w:t>
      </w:r>
      <w:r w:rsidR="00721AA6" w:rsidRPr="002F30DF">
        <w:rPr>
          <w:rFonts w:cs="Arial"/>
          <w:sz w:val="20"/>
          <w:szCs w:val="20"/>
        </w:rPr>
        <w:t xml:space="preserve"> izjavi</w:t>
      </w:r>
      <w:r w:rsidRPr="002F30DF">
        <w:rPr>
          <w:rFonts w:cs="Arial"/>
          <w:sz w:val="20"/>
          <w:szCs w:val="20"/>
        </w:rPr>
        <w:t xml:space="preserve"> navaja, da se </w:t>
      </w:r>
      <w:r w:rsidRPr="002F30DF">
        <w:rPr>
          <w:rFonts w:cs="Arial"/>
          <w:i/>
          <w:iCs/>
          <w:sz w:val="20"/>
          <w:szCs w:val="20"/>
        </w:rPr>
        <w:t>ta direktiva ne bi smela uporabljati za nacionalno pravo, če slednje določa izrek kazenskih sankcij fizičnim osebam, z izjemo pravil, ki urejajo povezanost programov prizanesljivosti z izrekom sankcij fizičnim osebam. Prav tako se ne bi smela uporabljati za nacionalno pravo, ki določa izrek upravnih sankcij fizičnim osebam, ki ne delujejo kot neodvisen gospodarski akter na trgu.</w:t>
      </w:r>
    </w:p>
    <w:p w:rsidR="007522E3" w:rsidRPr="002F30DF" w:rsidRDefault="007522E3" w:rsidP="0025166A">
      <w:pPr>
        <w:spacing w:line="260" w:lineRule="atLeast"/>
        <w:rPr>
          <w:rFonts w:cs="Arial"/>
          <w:i/>
          <w:iCs/>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Iz zadnjega stavka namreč sledi, da se </w:t>
      </w:r>
      <w:r w:rsidR="00760C3E" w:rsidRPr="002F30DF">
        <w:rPr>
          <w:rFonts w:cs="Arial"/>
          <w:sz w:val="20"/>
          <w:szCs w:val="20"/>
        </w:rPr>
        <w:t>D</w:t>
      </w:r>
      <w:r w:rsidRPr="002F30DF">
        <w:rPr>
          <w:rFonts w:cs="Arial"/>
          <w:sz w:val="20"/>
          <w:szCs w:val="20"/>
        </w:rPr>
        <w:t>irektiva</w:t>
      </w:r>
      <w:r w:rsidR="00760C3E" w:rsidRPr="002F30DF">
        <w:rPr>
          <w:rFonts w:cs="Arial"/>
          <w:sz w:val="20"/>
          <w:szCs w:val="20"/>
        </w:rPr>
        <w:t xml:space="preserve"> 2019/1</w:t>
      </w:r>
      <w:r w:rsidRPr="002F30DF">
        <w:rPr>
          <w:rFonts w:cs="Arial"/>
          <w:sz w:val="20"/>
          <w:szCs w:val="20"/>
        </w:rPr>
        <w:t xml:space="preserve"> ne uporablja za sankcioniranje fizičnih oseb, ki se ne ukvarjajo z gospodarsko dejavnostjo na trgu. Po razlogovanju </w:t>
      </w:r>
      <w:r w:rsidRPr="002F30DF">
        <w:rPr>
          <w:rFonts w:cs="Arial"/>
          <w:i/>
          <w:iCs/>
          <w:sz w:val="20"/>
          <w:szCs w:val="20"/>
        </w:rPr>
        <w:t xml:space="preserve">a contrario </w:t>
      </w:r>
      <w:r w:rsidRPr="002F30DF">
        <w:rPr>
          <w:rFonts w:cs="Arial"/>
          <w:sz w:val="20"/>
          <w:szCs w:val="20"/>
        </w:rPr>
        <w:t>torej lahko sklenemo, da se Direktiva 2019/1 uporablja za tiste fizične osebe, ki delujejo kot neodvisen gospodarski subjekt na trgu. To pa so nedvomno samostojni podjetniki posamezniki in posamezniki, ki samostojno opravljajo poklicno dejavnost.</w:t>
      </w:r>
      <w:r w:rsidRPr="002F30DF">
        <w:rPr>
          <w:rStyle w:val="Sprotnaopomba-sklic"/>
          <w:rFonts w:cs="Arial"/>
          <w:sz w:val="20"/>
          <w:szCs w:val="20"/>
        </w:rPr>
        <w:footnoteReference w:id="10"/>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sz w:val="20"/>
          <w:szCs w:val="20"/>
        </w:rPr>
        <w:t xml:space="preserve">Če bi za samostojne podjetnike posameznike in posameznike, ki samostojno opravljajo poklicno dejavnost, obdržali sankcioniranje kršitev v prekrškovnem postopku, medtem ko bi za gospodarske družbe in druge oblike pravnih oseb uvedli administrativno sankcioniranje, bi bila takšna rešitev z vidika </w:t>
      </w:r>
      <w:r w:rsidR="00B412F2" w:rsidRPr="002F30DF">
        <w:rPr>
          <w:rFonts w:cs="Arial"/>
          <w:sz w:val="20"/>
          <w:szCs w:val="20"/>
        </w:rPr>
        <w:t>a</w:t>
      </w:r>
      <w:r w:rsidR="0045309B" w:rsidRPr="002F30DF">
        <w:rPr>
          <w:rFonts w:cs="Arial"/>
          <w:sz w:val="20"/>
          <w:szCs w:val="20"/>
        </w:rPr>
        <w:t>genc</w:t>
      </w:r>
      <w:r w:rsidRPr="002F30DF">
        <w:rPr>
          <w:rFonts w:cs="Arial"/>
          <w:sz w:val="20"/>
          <w:szCs w:val="20"/>
        </w:rPr>
        <w:t xml:space="preserve">ije zelo nepraktična. V primeru preiskovanja kartelnega dogovora, v katerem bi bile udeležene gospodarske družbe in samostojni podjetniki, bi </w:t>
      </w:r>
      <w:r w:rsidR="00B412F2" w:rsidRPr="002F30DF">
        <w:rPr>
          <w:rFonts w:cs="Arial"/>
          <w:sz w:val="20"/>
          <w:szCs w:val="20"/>
        </w:rPr>
        <w:t>a</w:t>
      </w:r>
      <w:r w:rsidR="0045309B" w:rsidRPr="002F30DF">
        <w:rPr>
          <w:rFonts w:cs="Arial"/>
          <w:sz w:val="20"/>
          <w:szCs w:val="20"/>
        </w:rPr>
        <w:t>genc</w:t>
      </w:r>
      <w:r w:rsidRPr="002F30DF">
        <w:rPr>
          <w:rFonts w:cs="Arial"/>
          <w:sz w:val="20"/>
          <w:szCs w:val="20"/>
        </w:rPr>
        <w:t xml:space="preserve">ija morala vzporedno </w:t>
      </w:r>
      <w:r w:rsidR="00523816" w:rsidRPr="002F30DF">
        <w:rPr>
          <w:rFonts w:cs="Arial"/>
          <w:sz w:val="20"/>
          <w:szCs w:val="20"/>
        </w:rPr>
        <w:t>z</w:t>
      </w:r>
      <w:r w:rsidRPr="002F30DF">
        <w:rPr>
          <w:rFonts w:cs="Arial"/>
          <w:sz w:val="20"/>
          <w:szCs w:val="20"/>
        </w:rPr>
        <w:t xml:space="preserve"> </w:t>
      </w:r>
      <w:r w:rsidR="00523816" w:rsidRPr="002F30DF">
        <w:rPr>
          <w:rFonts w:cs="Arial"/>
          <w:sz w:val="20"/>
          <w:szCs w:val="20"/>
        </w:rPr>
        <w:t xml:space="preserve">upravnim postopkom v katerem bi pravni osebi izrekla </w:t>
      </w:r>
      <w:r w:rsidRPr="002F30DF">
        <w:rPr>
          <w:rFonts w:cs="Arial"/>
          <w:sz w:val="20"/>
          <w:szCs w:val="20"/>
        </w:rPr>
        <w:t>administrativn</w:t>
      </w:r>
      <w:r w:rsidR="00523816" w:rsidRPr="002F30DF">
        <w:rPr>
          <w:rFonts w:cs="Arial"/>
          <w:sz w:val="20"/>
          <w:szCs w:val="20"/>
        </w:rPr>
        <w:t>o</w:t>
      </w:r>
      <w:r w:rsidRPr="002F30DF">
        <w:rPr>
          <w:rFonts w:cs="Arial"/>
          <w:sz w:val="20"/>
          <w:szCs w:val="20"/>
        </w:rPr>
        <w:t xml:space="preserve"> sankci</w:t>
      </w:r>
      <w:r w:rsidR="00523816" w:rsidRPr="002F30DF">
        <w:rPr>
          <w:rFonts w:cs="Arial"/>
          <w:sz w:val="20"/>
          <w:szCs w:val="20"/>
        </w:rPr>
        <w:t>jo voditi še</w:t>
      </w:r>
      <w:r w:rsidRPr="002F30DF">
        <w:rPr>
          <w:rFonts w:cs="Arial"/>
          <w:sz w:val="20"/>
          <w:szCs w:val="20"/>
        </w:rPr>
        <w:t xml:space="preserve"> postopek inšpekcijskega nadzora in prekrškovni postopek zoper samostojne podjetnike. S tem bi poleg drugačnega postopka prišlo tudi do vsebinskega razlikovanja med tema kategorijama podjetij. Za prekrške namreč veljajo drugačne predpostavke odgovornosti in sankcioniranja, zaradi daljšega trajanja postopka (ločen nadzorstveni in prekrškovni postopek) pa je tudi večja verjetnost zastaranja prekrškovnega pregona. Enako obravnavanje narekuje tudi načelo enakosti pred zakono</w:t>
      </w:r>
      <w:r w:rsidR="00B412F2" w:rsidRPr="002F30DF">
        <w:rPr>
          <w:rFonts w:cs="Arial"/>
          <w:sz w:val="20"/>
          <w:szCs w:val="20"/>
        </w:rPr>
        <w:t>m, ki je določeno v 14. členu us</w:t>
      </w:r>
      <w:r w:rsidRPr="002F30DF">
        <w:rPr>
          <w:rFonts w:cs="Arial"/>
          <w:sz w:val="20"/>
          <w:szCs w:val="20"/>
        </w:rPr>
        <w:t>tave in v 20. členu Listine EU o temeljnih pravicah.</w:t>
      </w:r>
      <w:r w:rsidRPr="002F30DF">
        <w:rPr>
          <w:rStyle w:val="Sprotnaopomba-sklic"/>
          <w:rFonts w:cs="Arial"/>
          <w:sz w:val="20"/>
          <w:szCs w:val="20"/>
        </w:rPr>
        <w:footnoteReference w:id="11"/>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EC465C" w:rsidP="0025166A">
      <w:pPr>
        <w:spacing w:line="260" w:lineRule="atLeast"/>
        <w:rPr>
          <w:rFonts w:cs="Arial"/>
          <w:sz w:val="20"/>
          <w:szCs w:val="20"/>
        </w:rPr>
      </w:pPr>
      <w:r w:rsidRPr="002F30DF">
        <w:rPr>
          <w:rFonts w:cs="Arial"/>
          <w:sz w:val="20"/>
          <w:szCs w:val="20"/>
        </w:rPr>
        <w:t>Primernost</w:t>
      </w:r>
      <w:r w:rsidR="007522E3" w:rsidRPr="002F30DF">
        <w:rPr>
          <w:rFonts w:cs="Arial"/>
          <w:sz w:val="20"/>
          <w:szCs w:val="20"/>
        </w:rPr>
        <w:t xml:space="preserve"> enovitega sankcioniranja za vsa podjetja posredno izhaja tudi iz Direktive 2019/1, ki v 42. uvodni </w:t>
      </w:r>
      <w:r w:rsidR="00721AA6" w:rsidRPr="002F30DF">
        <w:rPr>
          <w:rFonts w:cs="Arial"/>
          <w:sz w:val="20"/>
          <w:szCs w:val="20"/>
        </w:rPr>
        <w:t>izjavi</w:t>
      </w:r>
      <w:r w:rsidR="007522E3" w:rsidRPr="002F30DF">
        <w:rPr>
          <w:rFonts w:cs="Arial"/>
          <w:sz w:val="20"/>
          <w:szCs w:val="20"/>
        </w:rPr>
        <w:t xml:space="preserve"> navaja, da je treba </w:t>
      </w:r>
      <w:r w:rsidR="007522E3" w:rsidRPr="002F30DF">
        <w:rPr>
          <w:rFonts w:cs="Arial"/>
          <w:i/>
          <w:sz w:val="20"/>
          <w:szCs w:val="20"/>
        </w:rPr>
        <w:t xml:space="preserve">pojma naklep in malomarnost </w:t>
      </w:r>
      <w:r w:rsidR="001D06F4" w:rsidRPr="002F30DF">
        <w:rPr>
          <w:rFonts w:cs="Arial"/>
          <w:i/>
          <w:sz w:val="20"/>
          <w:szCs w:val="20"/>
        </w:rPr>
        <w:t xml:space="preserve">razlagati </w:t>
      </w:r>
      <w:r w:rsidR="007522E3" w:rsidRPr="002F30DF">
        <w:rPr>
          <w:rFonts w:cs="Arial"/>
          <w:i/>
          <w:sz w:val="20"/>
          <w:szCs w:val="20"/>
        </w:rPr>
        <w:t>v skladu s sodno prakso Sodišča glede uporabe 101. in 102. člena PDEU in ne kot pojma naklep in malomarnost v postopkih, ki jih v okviru kazenskih zadev vodijo organi kazenskega pravosodja.</w:t>
      </w:r>
    </w:p>
    <w:p w:rsidR="007522E3" w:rsidRPr="002F30DF" w:rsidRDefault="007522E3" w:rsidP="0025166A">
      <w:pPr>
        <w:spacing w:line="260" w:lineRule="atLeast"/>
        <w:rPr>
          <w:rFonts w:cs="Arial"/>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ija lahko izreče administrativno sankcijo le podjetju, medtem ko se za fizične osebe (odgovorne osebe pravnih oseb) ohranja sankcioniranje v skladu z ZP-1.</w:t>
      </w:r>
    </w:p>
    <w:p w:rsidR="00F01CB3" w:rsidRPr="002F30DF" w:rsidRDefault="00F01CB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K</w:t>
      </w:r>
      <w:r w:rsidR="00850919" w:rsidRPr="002F30DF">
        <w:rPr>
          <w:rFonts w:cs="Arial"/>
          <w:b/>
          <w:sz w:val="20"/>
          <w:szCs w:val="20"/>
        </w:rPr>
        <w:t xml:space="preserve"> </w:t>
      </w:r>
      <w:r w:rsidR="003C70CA" w:rsidRPr="002F30DF">
        <w:rPr>
          <w:rFonts w:cs="Arial"/>
          <w:b/>
          <w:sz w:val="20"/>
          <w:szCs w:val="20"/>
        </w:rPr>
        <w:t>79</w:t>
      </w:r>
      <w:r w:rsidRPr="002F30DF">
        <w:rPr>
          <w:rFonts w:cs="Arial"/>
          <w:b/>
          <w:sz w:val="20"/>
          <w:szCs w:val="20"/>
        </w:rPr>
        <w:t>. členu (meje sankcioniranja administrativnih prestopkov)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tem členu je določeno načelo zakonitosti. Bistvo načela zakonitosti je zagotavljanje pravne varnosti predvsem z zahtevo, da je mogoče kršitelja nekega ravnanja obravnavati zaradi administrativnega prestopka samo, če je bilo v času storitve to ravnanje s tem zakonom opredeljeno kot administrativni prestopek in je bila zanj določena administrativna sankcija.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0</w:t>
      </w:r>
      <w:r w:rsidRPr="002F30DF">
        <w:rPr>
          <w:rFonts w:cs="Arial"/>
          <w:b/>
          <w:sz w:val="20"/>
          <w:szCs w:val="20"/>
        </w:rPr>
        <w:t>. členu (administrativni prestopek in kaznivo dejanje)</w:t>
      </w:r>
    </w:p>
    <w:p w:rsidR="007522E3" w:rsidRPr="002F30DF" w:rsidRDefault="007522E3" w:rsidP="0025166A">
      <w:pPr>
        <w:spacing w:line="260" w:lineRule="atLeast"/>
        <w:rPr>
          <w:rFonts w:cs="Arial"/>
          <w:b/>
          <w:sz w:val="20"/>
          <w:szCs w:val="20"/>
        </w:rPr>
      </w:pPr>
    </w:p>
    <w:p w:rsidR="007522E3" w:rsidRPr="002F30DF" w:rsidRDefault="007522E3" w:rsidP="0025166A">
      <w:pPr>
        <w:tabs>
          <w:tab w:val="left" w:pos="1590"/>
        </w:tabs>
        <w:spacing w:line="260" w:lineRule="atLeast"/>
        <w:rPr>
          <w:rFonts w:cs="Arial"/>
          <w:sz w:val="20"/>
          <w:szCs w:val="20"/>
        </w:rPr>
      </w:pPr>
      <w:r w:rsidRPr="002F30DF">
        <w:rPr>
          <w:rFonts w:cs="Arial"/>
          <w:sz w:val="20"/>
          <w:szCs w:val="20"/>
        </w:rPr>
        <w:t>Kršitev predpisov s področja varstva konkurence lahko v določenih primerih predstavlja tudi kaznivo dejanje po 225. členu Kazenskega zakonika (Uradni list RS, št. 50/12 – uradno prečiščeno besedilo, 6/16 – popr., 54/15, 38/16 in 27/17), za katerega je v skladu z 9. točko 25. člena Zakona o odgovornosti pravnih oseb za kazniva dejanja (Uradni list RS, št. 98/04 – uradno prečiščeno besedilo, 65/08 in 57/12) odgovorna tudi pravna oseba v imenu katere, na račun katere ali v korist katere je storilec izvršil kaznivo dejanje. Zato je treba urediti razmerje med kazenskim postopkom, ki se vodi zoper podjetje, in administrativnim sankcioniranjem podjetij</w:t>
      </w:r>
      <w:r w:rsidR="000F112E" w:rsidRPr="002F30DF">
        <w:rPr>
          <w:rFonts w:cs="Arial"/>
          <w:sz w:val="20"/>
          <w:szCs w:val="20"/>
        </w:rPr>
        <w:t xml:space="preserve"> na način</w:t>
      </w:r>
      <w:r w:rsidR="00E64D6F" w:rsidRPr="002F30DF">
        <w:rPr>
          <w:rFonts w:cs="Arial"/>
          <w:sz w:val="20"/>
          <w:szCs w:val="20"/>
        </w:rPr>
        <w:t xml:space="preserve"> razmejitve kazenskega postopka od postopka administrativnega sankcioniranja in obratno.</w:t>
      </w:r>
    </w:p>
    <w:p w:rsidR="00C0582D" w:rsidRPr="002F30DF" w:rsidRDefault="00C0582D" w:rsidP="0025166A">
      <w:pPr>
        <w:tabs>
          <w:tab w:val="left" w:pos="1590"/>
        </w:tabs>
        <w:spacing w:line="260" w:lineRule="atLeast"/>
        <w:rPr>
          <w:rFonts w:cs="Arial"/>
          <w:sz w:val="20"/>
          <w:szCs w:val="20"/>
        </w:rPr>
      </w:pPr>
    </w:p>
    <w:p w:rsidR="00C0582D" w:rsidRPr="002F30DF" w:rsidRDefault="00C0582D" w:rsidP="0025166A">
      <w:pPr>
        <w:tabs>
          <w:tab w:val="left" w:pos="1590"/>
        </w:tabs>
        <w:spacing w:line="260" w:lineRule="atLeast"/>
        <w:rPr>
          <w:rFonts w:cs="Arial"/>
          <w:sz w:val="20"/>
          <w:szCs w:val="20"/>
        </w:rPr>
      </w:pPr>
      <w:r w:rsidRPr="002F30DF">
        <w:rPr>
          <w:rFonts w:cs="Arial"/>
          <w:sz w:val="20"/>
          <w:szCs w:val="20"/>
        </w:rPr>
        <w:t xml:space="preserve">Pri ureditvi razmerja med administrativnim prestopkom in kaznivim dejanjem je treba upoštevati tudi Direktivo 2019/1, ki v četrtem odstavku 13. člena določa, </w:t>
      </w:r>
      <w:r w:rsidRPr="002F30DF">
        <w:rPr>
          <w:rFonts w:cs="Arial"/>
          <w:i/>
          <w:sz w:val="20"/>
          <w:szCs w:val="20"/>
        </w:rPr>
        <w:t>da ta člen ne posega v nacionalno zakonodajo, ki omogoča izrek sankcij v kazenskem sodnem postopku, pod pogojem, da uporaba te zakonodaje ne vpliva na učinkovito in enotno uveljavljanje 101. in 102. člena PDEU.</w:t>
      </w:r>
    </w:p>
    <w:p w:rsidR="007522E3" w:rsidRPr="002F30DF" w:rsidRDefault="007522E3" w:rsidP="0025166A">
      <w:pPr>
        <w:tabs>
          <w:tab w:val="left" w:pos="1590"/>
        </w:tabs>
        <w:spacing w:line="260" w:lineRule="atLeast"/>
        <w:rPr>
          <w:rFonts w:cs="Arial"/>
          <w:sz w:val="20"/>
          <w:szCs w:val="20"/>
        </w:rPr>
      </w:pPr>
    </w:p>
    <w:p w:rsidR="000F112E" w:rsidRPr="002F30DF" w:rsidRDefault="007522E3" w:rsidP="000F112E">
      <w:pPr>
        <w:overflowPunct/>
        <w:autoSpaceDE/>
        <w:autoSpaceDN/>
        <w:adjustRightInd/>
        <w:spacing w:line="260" w:lineRule="atLeast"/>
        <w:textAlignment w:val="auto"/>
        <w:rPr>
          <w:rFonts w:eastAsia="Calibri" w:cs="Arial"/>
          <w:sz w:val="20"/>
          <w:szCs w:val="20"/>
          <w:lang w:eastAsia="en-US"/>
        </w:rPr>
      </w:pPr>
      <w:r w:rsidRPr="002F30DF">
        <w:rPr>
          <w:rFonts w:cs="Arial"/>
          <w:sz w:val="20"/>
          <w:szCs w:val="20"/>
        </w:rPr>
        <w:t>S</w:t>
      </w:r>
      <w:r w:rsidR="00E319D9" w:rsidRPr="002F30DF">
        <w:rPr>
          <w:rFonts w:cs="Arial"/>
          <w:sz w:val="20"/>
          <w:szCs w:val="20"/>
        </w:rPr>
        <w:t>kladno s tem se s</w:t>
      </w:r>
      <w:r w:rsidRPr="002F30DF">
        <w:rPr>
          <w:rFonts w:cs="Arial"/>
          <w:sz w:val="20"/>
          <w:szCs w:val="20"/>
        </w:rPr>
        <w:t xml:space="preserve"> </w:t>
      </w:r>
      <w:r w:rsidRPr="002F30DF">
        <w:rPr>
          <w:rFonts w:cs="Arial"/>
          <w:sz w:val="20"/>
          <w:szCs w:val="20"/>
          <w:u w:val="single"/>
        </w:rPr>
        <w:t>prvim odstavkom</w:t>
      </w:r>
      <w:r w:rsidRPr="002F30DF">
        <w:rPr>
          <w:rFonts w:cs="Arial"/>
          <w:sz w:val="20"/>
          <w:szCs w:val="20"/>
        </w:rPr>
        <w:t xml:space="preserve"> določi, </w:t>
      </w:r>
      <w:r w:rsidR="000F112E" w:rsidRPr="002F30DF">
        <w:rPr>
          <w:rFonts w:eastAsia="Calibri" w:cs="Arial"/>
          <w:sz w:val="20"/>
          <w:szCs w:val="20"/>
          <w:lang w:eastAsia="en-US"/>
        </w:rPr>
        <w:t xml:space="preserve">da ko kaznivo dejanje temelji na istem dejanskem stanju, na podlagi katerega je že bilo odločeno v postopku administrativnega sankcioniranja, državni tožilec ni dolžan začeti kazenskega pregona oziroma sme odstopiti od pregona, glede na že izrečeno administrativno sankcijo in  namen kaznovanja v kazenskem pravu.  </w:t>
      </w:r>
    </w:p>
    <w:p w:rsidR="007522E3" w:rsidRPr="002F30DF" w:rsidRDefault="007522E3" w:rsidP="0025166A">
      <w:pPr>
        <w:tabs>
          <w:tab w:val="left" w:pos="1590"/>
        </w:tabs>
        <w:spacing w:line="260" w:lineRule="atLeast"/>
        <w:rPr>
          <w:rFonts w:cs="Arial"/>
          <w:sz w:val="20"/>
          <w:szCs w:val="20"/>
        </w:rPr>
      </w:pPr>
    </w:p>
    <w:p w:rsidR="000F112E" w:rsidRPr="002F30DF" w:rsidRDefault="007522E3" w:rsidP="0025166A">
      <w:pPr>
        <w:tabs>
          <w:tab w:val="left" w:pos="1590"/>
        </w:tabs>
        <w:spacing w:line="260" w:lineRule="atLeast"/>
        <w:rPr>
          <w:rFonts w:cs="Arial"/>
          <w:sz w:val="20"/>
          <w:szCs w:val="20"/>
        </w:rPr>
      </w:pPr>
      <w:r w:rsidRPr="002F30DF">
        <w:rPr>
          <w:rFonts w:cs="Arial"/>
          <w:sz w:val="20"/>
          <w:szCs w:val="20"/>
        </w:rPr>
        <w:t xml:space="preserve">V </w:t>
      </w:r>
      <w:r w:rsidR="00554B8E" w:rsidRPr="002F30DF">
        <w:rPr>
          <w:rFonts w:cs="Arial"/>
          <w:sz w:val="20"/>
          <w:szCs w:val="20"/>
          <w:u w:val="single"/>
        </w:rPr>
        <w:t>drugem</w:t>
      </w:r>
      <w:r w:rsidRPr="002F30DF">
        <w:rPr>
          <w:rFonts w:cs="Arial"/>
          <w:sz w:val="20"/>
          <w:szCs w:val="20"/>
          <w:u w:val="single"/>
        </w:rPr>
        <w:t xml:space="preserve"> odstavku</w:t>
      </w:r>
      <w:r w:rsidRPr="002F30DF">
        <w:rPr>
          <w:rFonts w:cs="Arial"/>
          <w:sz w:val="20"/>
          <w:szCs w:val="20"/>
        </w:rPr>
        <w:t xml:space="preserve"> se </w:t>
      </w:r>
      <w:r w:rsidR="000F112E" w:rsidRPr="002F30DF">
        <w:rPr>
          <w:rFonts w:cs="Arial"/>
          <w:sz w:val="20"/>
          <w:szCs w:val="20"/>
        </w:rPr>
        <w:t xml:space="preserve">določi, da </w:t>
      </w:r>
      <w:r w:rsidR="000F112E" w:rsidRPr="002F30DF">
        <w:rPr>
          <w:rFonts w:eastAsia="Calibri" w:cs="Arial"/>
          <w:sz w:val="20"/>
          <w:szCs w:val="20"/>
          <w:lang w:eastAsia="en-US"/>
        </w:rPr>
        <w:t>kadar teče kazenski postopek za kaznivo dejanje, ki temelji na istem dejanskem stanju kot administrativni prestopek, sodišče presodi o izreku kazenske sankcije glede na okoliščine primera,  izrečeno administrativno sankcijo v postopku  pred agencijo in namen kaznovanja v kazenskem pravu.</w:t>
      </w:r>
      <w:r w:rsidRPr="002F30DF">
        <w:rPr>
          <w:rFonts w:cs="Arial"/>
          <w:sz w:val="20"/>
          <w:szCs w:val="20"/>
        </w:rPr>
        <w:t xml:space="preserve"> V primeru, da teče kazenski postopek za kaznivo dejanje, ki temelji na </w:t>
      </w:r>
      <w:r w:rsidRPr="002F30DF">
        <w:rPr>
          <w:rFonts w:cs="Arial"/>
          <w:sz w:val="20"/>
          <w:szCs w:val="20"/>
        </w:rPr>
        <w:lastRenderedPageBreak/>
        <w:t>istem dejanskem stanju kot administrativni prestopek,</w:t>
      </w:r>
      <w:r w:rsidR="00C0582D" w:rsidRPr="002F30DF">
        <w:rPr>
          <w:rFonts w:cs="Arial"/>
          <w:sz w:val="20"/>
          <w:szCs w:val="20"/>
        </w:rPr>
        <w:t xml:space="preserve"> sodišče </w:t>
      </w:r>
      <w:r w:rsidR="000F112E" w:rsidRPr="002F30DF">
        <w:rPr>
          <w:rFonts w:cs="Arial"/>
          <w:sz w:val="20"/>
          <w:szCs w:val="20"/>
        </w:rPr>
        <w:t>presodi o smotrnosti izreka kazenske sankcije glede na konkretni primer in njegove okoliščine, že izrečeno administrativno sankcijo in sam namen kaznovanja v kazenskem pravu.</w:t>
      </w:r>
    </w:p>
    <w:p w:rsidR="007522E3" w:rsidRPr="002F30DF" w:rsidRDefault="007522E3" w:rsidP="0025166A">
      <w:pPr>
        <w:tabs>
          <w:tab w:val="left" w:pos="1590"/>
        </w:tabs>
        <w:spacing w:line="260" w:lineRule="atLeast"/>
        <w:rPr>
          <w:rFonts w:cs="Arial"/>
          <w:sz w:val="20"/>
          <w:szCs w:val="20"/>
        </w:rPr>
      </w:pPr>
    </w:p>
    <w:p w:rsidR="007522E3" w:rsidRPr="002F30DF" w:rsidRDefault="000F112E" w:rsidP="0025166A">
      <w:pPr>
        <w:tabs>
          <w:tab w:val="left" w:pos="1590"/>
        </w:tabs>
        <w:spacing w:line="260" w:lineRule="atLeast"/>
        <w:rPr>
          <w:rFonts w:cs="Arial"/>
          <w:sz w:val="20"/>
          <w:szCs w:val="20"/>
        </w:rPr>
      </w:pPr>
      <w:r w:rsidRPr="002F30DF">
        <w:rPr>
          <w:rFonts w:cs="Arial"/>
          <w:sz w:val="20"/>
          <w:szCs w:val="20"/>
        </w:rPr>
        <w:t>S</w:t>
      </w:r>
      <w:r w:rsidR="007522E3" w:rsidRPr="002F30DF">
        <w:rPr>
          <w:rFonts w:cs="Arial"/>
          <w:sz w:val="20"/>
          <w:szCs w:val="20"/>
        </w:rPr>
        <w:t xml:space="preserve"> </w:t>
      </w:r>
      <w:r w:rsidR="000F6A61" w:rsidRPr="002F30DF">
        <w:rPr>
          <w:rFonts w:cs="Arial"/>
          <w:sz w:val="20"/>
          <w:szCs w:val="20"/>
          <w:u w:val="single"/>
        </w:rPr>
        <w:t>tretjim</w:t>
      </w:r>
      <w:r w:rsidR="007522E3" w:rsidRPr="002F30DF">
        <w:rPr>
          <w:rFonts w:cs="Arial"/>
          <w:sz w:val="20"/>
          <w:szCs w:val="20"/>
          <w:u w:val="single"/>
        </w:rPr>
        <w:t xml:space="preserve"> odstavkom</w:t>
      </w:r>
      <w:r w:rsidR="007522E3" w:rsidRPr="002F30DF">
        <w:rPr>
          <w:rFonts w:cs="Arial"/>
          <w:sz w:val="20"/>
          <w:szCs w:val="20"/>
        </w:rPr>
        <w:t xml:space="preserve"> </w:t>
      </w:r>
      <w:r w:rsidRPr="002F30DF">
        <w:rPr>
          <w:rFonts w:cs="Arial"/>
          <w:sz w:val="20"/>
          <w:szCs w:val="20"/>
        </w:rPr>
        <w:t xml:space="preserve">se </w:t>
      </w:r>
      <w:r w:rsidR="007522E3" w:rsidRPr="002F30DF">
        <w:rPr>
          <w:rFonts w:cs="Arial"/>
          <w:sz w:val="20"/>
          <w:szCs w:val="20"/>
        </w:rPr>
        <w:t xml:space="preserve">državnemu tožilcu naloži, da mora brez odlašanja obvestiti </w:t>
      </w:r>
      <w:r w:rsidR="00D93BA5"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ijo o uvedbi kazenskega </w:t>
      </w:r>
      <w:r w:rsidRPr="002F30DF">
        <w:rPr>
          <w:rFonts w:cs="Arial"/>
          <w:sz w:val="20"/>
          <w:szCs w:val="20"/>
        </w:rPr>
        <w:t xml:space="preserve">pregona </w:t>
      </w:r>
      <w:r w:rsidR="007522E3" w:rsidRPr="002F30DF">
        <w:rPr>
          <w:rFonts w:cs="Arial"/>
          <w:sz w:val="20"/>
          <w:szCs w:val="20"/>
        </w:rPr>
        <w:t>in o pravnomočni odločitvi sodišča.</w:t>
      </w:r>
    </w:p>
    <w:p w:rsidR="007522E3" w:rsidRPr="002F30DF" w:rsidRDefault="007522E3" w:rsidP="0025166A">
      <w:pPr>
        <w:tabs>
          <w:tab w:val="left" w:pos="1590"/>
        </w:tabs>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1</w:t>
      </w:r>
      <w:r w:rsidRPr="002F30DF">
        <w:rPr>
          <w:rFonts w:cs="Arial"/>
          <w:b/>
          <w:sz w:val="20"/>
          <w:szCs w:val="20"/>
        </w:rPr>
        <w:t>. členu (prepoved ponovnega odločanja)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določa, da načelo </w:t>
      </w:r>
      <w:r w:rsidRPr="002F30DF">
        <w:rPr>
          <w:rFonts w:cs="Arial"/>
          <w:i/>
          <w:sz w:val="20"/>
          <w:szCs w:val="20"/>
        </w:rPr>
        <w:t>ne bis in idem</w:t>
      </w:r>
      <w:r w:rsidRPr="002F30DF">
        <w:rPr>
          <w:rFonts w:cs="Arial"/>
          <w:sz w:val="20"/>
          <w:szCs w:val="20"/>
        </w:rPr>
        <w:t xml:space="preserve"> velja za naložitev administrativne sankcije. Ker ima po mnenju predlagatelja naložitev administrativne sankcije znake kaznovalnega postopka, je smiselno tudi za primer izreka administrativne sankcije v postopku po tem zakonu urediti spoštovanje 31. člena </w:t>
      </w:r>
      <w:r w:rsidR="000F6A61" w:rsidRPr="002F30DF">
        <w:rPr>
          <w:rFonts w:cs="Arial"/>
          <w:sz w:val="20"/>
          <w:szCs w:val="20"/>
        </w:rPr>
        <w:t>u</w:t>
      </w:r>
      <w:r w:rsidRPr="002F30DF">
        <w:rPr>
          <w:rFonts w:cs="Arial"/>
          <w:sz w:val="20"/>
          <w:szCs w:val="20"/>
        </w:rPr>
        <w:t xml:space="preserve">stave, ki določa, da nihče ne sme biti ponovno obsojen ali kaznovan zaradi kaznivega dejanja, za katero je bil kazenski postopek zoper njega pravnomočno ustavljen ali je bila obtožba zoper njega pravnomočno zavrnjena, ali je bil s pravnomočno sodbo oproščen ali obsojen.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2</w:t>
      </w:r>
      <w:r w:rsidRPr="002F30DF">
        <w:rPr>
          <w:rFonts w:cs="Arial"/>
          <w:b/>
          <w:sz w:val="20"/>
          <w:szCs w:val="20"/>
        </w:rPr>
        <w:t>. členu (naklep in malomarnost)</w:t>
      </w:r>
    </w:p>
    <w:p w:rsidR="007522E3" w:rsidRPr="002F30DF" w:rsidRDefault="007522E3" w:rsidP="0025166A">
      <w:pPr>
        <w:tabs>
          <w:tab w:val="left" w:pos="1530"/>
        </w:tabs>
        <w:spacing w:line="260" w:lineRule="atLeast"/>
        <w:rPr>
          <w:rFonts w:cs="Arial"/>
          <w:sz w:val="20"/>
          <w:szCs w:val="20"/>
        </w:rPr>
      </w:pPr>
    </w:p>
    <w:p w:rsidR="002D6008" w:rsidRPr="002F30DF" w:rsidRDefault="007522E3" w:rsidP="0025166A">
      <w:pPr>
        <w:tabs>
          <w:tab w:val="left" w:pos="1530"/>
        </w:tabs>
        <w:spacing w:line="260" w:lineRule="atLeast"/>
        <w:rPr>
          <w:rFonts w:cs="Arial"/>
          <w:sz w:val="20"/>
          <w:szCs w:val="20"/>
        </w:rPr>
      </w:pPr>
      <w:r w:rsidRPr="002F30DF">
        <w:rPr>
          <w:rFonts w:cs="Arial"/>
          <w:sz w:val="20"/>
          <w:szCs w:val="20"/>
        </w:rPr>
        <w:t>Po dosedanji ureditvi je odgovornost za kršitev slovenskega konkurenčnega prava krivdne narave</w:t>
      </w:r>
      <w:r w:rsidR="00EC465C" w:rsidRPr="002F30DF">
        <w:rPr>
          <w:rFonts w:cs="Arial"/>
          <w:sz w:val="20"/>
          <w:szCs w:val="20"/>
        </w:rPr>
        <w:t>,</w:t>
      </w:r>
      <w:r w:rsidR="002D6008" w:rsidRPr="002F30DF">
        <w:rPr>
          <w:rFonts w:cs="Arial"/>
          <w:sz w:val="20"/>
          <w:szCs w:val="20"/>
        </w:rPr>
        <w:t xml:space="preserve"> ki temelji na odgovornosti neposrednega storilca (odgovorne osebe), pravna oseba pa odgovarja akcesorno. V praksi to pomeni, da je treba za sankcioniranje pravne osebe ugotoviti tudi neposrednega storilca in dokazati njegovo </w:t>
      </w:r>
      <w:r w:rsidR="003B1DB4" w:rsidRPr="002F30DF">
        <w:rPr>
          <w:rFonts w:cs="Arial"/>
          <w:sz w:val="20"/>
          <w:szCs w:val="20"/>
        </w:rPr>
        <w:t>odgovornost</w:t>
      </w:r>
      <w:r w:rsidR="002D6008" w:rsidRPr="002F30DF">
        <w:rPr>
          <w:rFonts w:cs="Arial"/>
          <w:sz w:val="20"/>
          <w:szCs w:val="20"/>
        </w:rPr>
        <w:t>.</w:t>
      </w:r>
      <w:r w:rsidRPr="002F30DF">
        <w:rPr>
          <w:rFonts w:cs="Arial"/>
          <w:sz w:val="20"/>
          <w:szCs w:val="20"/>
        </w:rPr>
        <w:t xml:space="preserve"> To je razvidno zlasti iz 73. in 74. člena ZPOmK-1, ki navaja</w:t>
      </w:r>
      <w:r w:rsidR="00EC465C" w:rsidRPr="002F30DF">
        <w:rPr>
          <w:rFonts w:cs="Arial"/>
          <w:sz w:val="20"/>
          <w:szCs w:val="20"/>
        </w:rPr>
        <w:t>t</w:t>
      </w:r>
      <w:r w:rsidRPr="002F30DF">
        <w:rPr>
          <w:rFonts w:cs="Arial"/>
          <w:sz w:val="20"/>
          <w:szCs w:val="20"/>
        </w:rPr>
        <w:t xml:space="preserve">a naklep in koristoljubni namen kot kvalifikatorni okoliščini, ter iz splošnega pravila 9. člena ZP-1, da je za prekršek odgovoren storilec, ki je storil prekršek iz malomarnosti ali naklepoma. </w:t>
      </w:r>
      <w:r w:rsidR="002D6008" w:rsidRPr="002F30DF">
        <w:rPr>
          <w:rFonts w:cs="Arial"/>
          <w:sz w:val="20"/>
          <w:szCs w:val="20"/>
        </w:rPr>
        <w:t>T</w:t>
      </w:r>
      <w:r w:rsidRPr="002F30DF">
        <w:rPr>
          <w:rFonts w:cs="Arial"/>
          <w:sz w:val="20"/>
          <w:szCs w:val="20"/>
        </w:rPr>
        <w:t>akšna ureditev administrativnega sankcioniranja po mnenju predlagatelja ni ustrezna</w:t>
      </w:r>
      <w:r w:rsidR="00EC465C" w:rsidRPr="002F30DF">
        <w:rPr>
          <w:rFonts w:cs="Arial"/>
          <w:sz w:val="20"/>
          <w:szCs w:val="20"/>
        </w:rPr>
        <w:t>,</w:t>
      </w:r>
      <w:r w:rsidR="002D6008" w:rsidRPr="002F30DF">
        <w:rPr>
          <w:rFonts w:cs="Arial"/>
          <w:sz w:val="20"/>
          <w:szCs w:val="20"/>
        </w:rPr>
        <w:t xml:space="preserve"> saj se </w:t>
      </w:r>
      <w:r w:rsidR="00EC465C" w:rsidRPr="002F30DF">
        <w:rPr>
          <w:rFonts w:cs="Arial"/>
          <w:sz w:val="20"/>
          <w:szCs w:val="20"/>
        </w:rPr>
        <w:t xml:space="preserve">administrativno sankcioniranje </w:t>
      </w:r>
      <w:r w:rsidR="002D6008" w:rsidRPr="002F30DF">
        <w:rPr>
          <w:rFonts w:cs="Arial"/>
          <w:sz w:val="20"/>
          <w:szCs w:val="20"/>
        </w:rPr>
        <w:t>nanaša zgolj na sankcioniranje podjetij, odgovornost neposrednih storilcev pa je predmet ločenega prekrškovnega postopka. Takšna ureditev tudi ni v skladu z veljavno ureditvijo odgovornosti podjetij po določbah 101</w:t>
      </w:r>
      <w:r w:rsidR="003B1DB4" w:rsidRPr="002F30DF">
        <w:rPr>
          <w:rFonts w:cs="Arial"/>
          <w:sz w:val="20"/>
          <w:szCs w:val="20"/>
        </w:rPr>
        <w:t>. in 102. člena PDEU in D</w:t>
      </w:r>
      <w:r w:rsidR="002D6008" w:rsidRPr="002F30DF">
        <w:rPr>
          <w:rFonts w:cs="Arial"/>
          <w:sz w:val="20"/>
          <w:szCs w:val="20"/>
        </w:rPr>
        <w:t>irektivo 1/2019, ki se s tem predlogom zakona prenaša v slovenski pravni red</w:t>
      </w:r>
      <w:r w:rsidRPr="002F30DF">
        <w:rPr>
          <w:rFonts w:cs="Arial"/>
          <w:sz w:val="20"/>
          <w:szCs w:val="20"/>
        </w:rPr>
        <w:t xml:space="preserve">. </w:t>
      </w:r>
    </w:p>
    <w:p w:rsidR="002D6008" w:rsidRPr="002F30DF" w:rsidRDefault="002D6008" w:rsidP="0025166A">
      <w:pPr>
        <w:tabs>
          <w:tab w:val="left" w:pos="1530"/>
        </w:tabs>
        <w:spacing w:line="260" w:lineRule="atLeast"/>
        <w:rPr>
          <w:rFonts w:cs="Arial"/>
          <w:sz w:val="20"/>
          <w:szCs w:val="20"/>
        </w:rPr>
      </w:pPr>
    </w:p>
    <w:p w:rsidR="003B1DB4" w:rsidRPr="002F30DF" w:rsidRDefault="007522E3" w:rsidP="0025166A">
      <w:pPr>
        <w:tabs>
          <w:tab w:val="left" w:pos="1530"/>
        </w:tabs>
        <w:spacing w:line="260" w:lineRule="atLeast"/>
        <w:rPr>
          <w:rFonts w:cs="Arial"/>
          <w:sz w:val="20"/>
          <w:szCs w:val="20"/>
        </w:rPr>
      </w:pPr>
      <w:r w:rsidRPr="002F30DF">
        <w:rPr>
          <w:rFonts w:cs="Arial"/>
          <w:sz w:val="20"/>
          <w:szCs w:val="20"/>
        </w:rPr>
        <w:t>Določbe za naložitev sankcije za administrativni prestopek je treba oblikovati tako, da se administrativno sankcijo podjetju izreče neodvisno od tega, ali je bila ugo</w:t>
      </w:r>
      <w:r w:rsidRPr="002F30DF">
        <w:rPr>
          <w:rFonts w:cs="Arial"/>
          <w:sz w:val="20"/>
          <w:szCs w:val="20"/>
        </w:rPr>
        <w:lastRenderedPageBreak/>
        <w:t>tovljena odgovornost fizične osebe za isto kršitev.</w:t>
      </w:r>
      <w:r w:rsidRPr="002F30DF">
        <w:rPr>
          <w:rStyle w:val="Sprotnaopomba-sklic"/>
          <w:rFonts w:cs="Arial"/>
          <w:sz w:val="20"/>
          <w:szCs w:val="20"/>
        </w:rPr>
        <w:footnoteReference w:id="12"/>
      </w:r>
      <w:r w:rsidRPr="002F30DF">
        <w:rPr>
          <w:rFonts w:cs="Arial"/>
          <w:sz w:val="20"/>
          <w:szCs w:val="20"/>
        </w:rPr>
        <w:t xml:space="preserve"> Kljub temu pa administrativnega prestopka na področju konkurenčnega prava ni mogoče zasnovati v smislu čiste objektivne odgovornosti za določena tržna stanja, ampak gre lahko le za subjektivno odgovornost za protipravno ravnanje podjetja na trgu</w:t>
      </w:r>
      <w:r w:rsidR="002D6008" w:rsidRPr="002F30DF">
        <w:rPr>
          <w:rFonts w:cs="Arial"/>
          <w:sz w:val="20"/>
          <w:szCs w:val="20"/>
        </w:rPr>
        <w:t>, kot to odgovornost avtonomno razlaga pravo EU</w:t>
      </w:r>
      <w:r w:rsidRPr="002F30DF">
        <w:rPr>
          <w:rFonts w:cs="Arial"/>
          <w:sz w:val="20"/>
          <w:szCs w:val="20"/>
        </w:rPr>
        <w:t xml:space="preserve">. </w:t>
      </w:r>
    </w:p>
    <w:p w:rsidR="003B1DB4" w:rsidRPr="002F30DF" w:rsidRDefault="003B1DB4"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Zgolj dejstvo, da je konkurenca z določenim ravnanjem podjetja ali podjetniškega združenja omejena ali da je vzpostavljen prevladujoč položaj, namreč samo po sebi še ne pomeni, da gre za kršitev pravil konkurenčnega prava, zato je včasih kvalifikacija določenega ravnanja kot protikonkurenčnega odvisna zlasti od subjektivnih dejavnikov.</w:t>
      </w:r>
      <w:r w:rsidRPr="002F30DF">
        <w:rPr>
          <w:rStyle w:val="Sprotnaopomba-sklic"/>
          <w:rFonts w:cs="Arial"/>
          <w:sz w:val="20"/>
          <w:szCs w:val="20"/>
        </w:rPr>
        <w:footnoteReference w:id="13"/>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t>Slovensko konkurenčno pravo je del evropskega konkurenčnega prava, kot ga v temeljih določata 101. in 102. člen PDEU. Navedeni določbi ne določata oblike odgovornosti za primer njune kršitve, pač pa drugi odstavek 23. člena Uredbe 1/2003 izrecno določa, da se podjetjem in podjetniškim združenjem z odločbo naloži plačilo globe, kadar naklepno ali iz malomarnosti kršijo določbe navedenih členov PDEU.</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i/>
          <w:sz w:val="20"/>
          <w:szCs w:val="20"/>
        </w:rPr>
      </w:pPr>
      <w:r w:rsidRPr="002F30DF">
        <w:rPr>
          <w:rFonts w:cs="Arial"/>
          <w:sz w:val="20"/>
          <w:szCs w:val="20"/>
        </w:rPr>
        <w:t xml:space="preserve">Ker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sankcionira podjetja na podlagi tega zakona ter 101. ali 102. člena PDEU, je treba pojma naklep ali malomarnost razlagati skladno s sodno prakso EU in ne kot pojma v postopkih, ki jih v okviru kazenskih zadev vodijo organi kazenskega pregona, saj se le tako lahko zagotovi skladna uporaba določb PDEU. Na to tudi izrecno opozarja 42. uvodna </w:t>
      </w:r>
      <w:r w:rsidR="00721AA6" w:rsidRPr="002F30DF">
        <w:rPr>
          <w:rFonts w:cs="Arial"/>
          <w:sz w:val="20"/>
          <w:szCs w:val="20"/>
        </w:rPr>
        <w:t>izjava</w:t>
      </w:r>
      <w:r w:rsidRPr="002F30DF">
        <w:rPr>
          <w:rFonts w:cs="Arial"/>
          <w:sz w:val="20"/>
          <w:szCs w:val="20"/>
        </w:rPr>
        <w:t xml:space="preserve"> Direktive 2019/1, </w:t>
      </w:r>
      <w:r w:rsidR="003B1DB4" w:rsidRPr="002F30DF">
        <w:rPr>
          <w:rFonts w:cs="Arial"/>
          <w:sz w:val="20"/>
          <w:szCs w:val="20"/>
        </w:rPr>
        <w:t xml:space="preserve">ki </w:t>
      </w:r>
      <w:r w:rsidRPr="002F30DF">
        <w:rPr>
          <w:rFonts w:cs="Arial"/>
          <w:sz w:val="20"/>
          <w:szCs w:val="20"/>
        </w:rPr>
        <w:t xml:space="preserve">navaja, da je treba </w:t>
      </w:r>
      <w:r w:rsidRPr="002F30DF">
        <w:rPr>
          <w:rFonts w:cs="Arial"/>
          <w:i/>
          <w:sz w:val="20"/>
          <w:szCs w:val="20"/>
        </w:rPr>
        <w:t xml:space="preserve">pojma naklep in malomarnost razlagati v skladu s sodno prakso Sodišča glede uporabe 101. in 102. člena PDEU in ne kot pojma naklep in malomarnost v postopkih, ki jih v okviru kazenskih zadev vodijo organi kazenskega pravosodja. To ne posega v nacionalno zakonodajo, po kateri ugotovitev kršitve temelji na merilu objektivne odgovornosti, pod pogojem, da je skladno s sodno prakso Sodišča. </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rPr>
        <w:lastRenderedPageBreak/>
        <w:t>Z namenom zagotovitve pravilne interpretacije pojmov naklep in malomarnost, je v predlog tega zakona vključena opredelitev teh dveh pojmo</w:t>
      </w:r>
      <w:r w:rsidR="0032217F" w:rsidRPr="002F30DF">
        <w:rPr>
          <w:rFonts w:cs="Arial"/>
          <w:sz w:val="20"/>
          <w:szCs w:val="20"/>
        </w:rPr>
        <w:t>v</w:t>
      </w:r>
      <w:r w:rsidRPr="002F30DF">
        <w:rPr>
          <w:rFonts w:cs="Arial"/>
          <w:sz w:val="20"/>
          <w:szCs w:val="20"/>
        </w:rPr>
        <w:t>,</w:t>
      </w:r>
      <w:r w:rsidR="002D6008" w:rsidRPr="002F30DF">
        <w:rPr>
          <w:rFonts w:cs="Arial"/>
          <w:sz w:val="20"/>
          <w:szCs w:val="20"/>
        </w:rPr>
        <w:t xml:space="preserve"> k</w:t>
      </w:r>
      <w:r w:rsidR="003B1DB4" w:rsidRPr="002F30DF">
        <w:rPr>
          <w:rFonts w:cs="Arial"/>
          <w:sz w:val="20"/>
          <w:szCs w:val="20"/>
        </w:rPr>
        <w:t>ot ju avtonomno določ</w:t>
      </w:r>
      <w:r w:rsidR="002D6008" w:rsidRPr="002F30DF">
        <w:rPr>
          <w:rFonts w:cs="Arial"/>
          <w:sz w:val="20"/>
          <w:szCs w:val="20"/>
        </w:rPr>
        <w:t>a pravo EU.</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spacing w:line="260" w:lineRule="atLeast"/>
        <w:contextualSpacing/>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je določeno kdaj podjetje ravna naklepno</w:t>
      </w:r>
      <w:r w:rsidR="0032217F" w:rsidRPr="002F30DF">
        <w:rPr>
          <w:rFonts w:cs="Arial"/>
          <w:sz w:val="20"/>
          <w:szCs w:val="20"/>
        </w:rPr>
        <w:t>,</w:t>
      </w:r>
      <w:r w:rsidRPr="002F30DF">
        <w:rPr>
          <w:rFonts w:cs="Arial"/>
          <w:sz w:val="20"/>
          <w:szCs w:val="20"/>
        </w:rPr>
        <w:t xml:space="preserve"> in sicer podjetje tako ravna, </w:t>
      </w:r>
      <w:r w:rsidR="003B1DB4" w:rsidRPr="002F30DF">
        <w:rPr>
          <w:rFonts w:cs="Arial"/>
          <w:sz w:val="20"/>
          <w:szCs w:val="20"/>
        </w:rPr>
        <w:t xml:space="preserve">če ne more prezreti, da je njegovo ravnanje protikonkurenčno in je namenoma ravnalo tako, </w:t>
      </w:r>
      <w:r w:rsidRPr="002F30DF">
        <w:rPr>
          <w:rFonts w:cs="Arial"/>
          <w:sz w:val="20"/>
          <w:szCs w:val="20"/>
        </w:rPr>
        <w:t>ne glede na to, ali se podjetje zaveda kršitve določb tega zakona ali 101. ali 102. člena P</w:t>
      </w:r>
      <w:r w:rsidR="0032217F" w:rsidRPr="002F30DF">
        <w:rPr>
          <w:rFonts w:cs="Arial"/>
          <w:sz w:val="20"/>
          <w:szCs w:val="20"/>
        </w:rPr>
        <w:t>DEU</w:t>
      </w:r>
      <w:r w:rsidRPr="002F30DF">
        <w:rPr>
          <w:rFonts w:cs="Arial"/>
          <w:sz w:val="20"/>
          <w:szCs w:val="20"/>
        </w:rPr>
        <w:t>. Do tega pojma se Sodišče EU še ni opredelilo, ampak ga vedno uporablja skupaj s pojmom malomarnosti.</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spacing w:line="260" w:lineRule="atLeast"/>
        <w:contextualSpacing/>
        <w:rPr>
          <w:rFonts w:cs="Arial"/>
          <w:sz w:val="20"/>
          <w:szCs w:val="20"/>
        </w:rPr>
      </w:pPr>
      <w:r w:rsidRPr="002F30DF">
        <w:rPr>
          <w:rFonts w:cs="Arial"/>
          <w:sz w:val="20"/>
          <w:szCs w:val="20"/>
        </w:rPr>
        <w:t xml:space="preserve">V </w:t>
      </w:r>
      <w:r w:rsidRPr="002F30DF">
        <w:rPr>
          <w:rFonts w:cs="Arial"/>
          <w:sz w:val="20"/>
          <w:szCs w:val="20"/>
          <w:u w:val="single"/>
        </w:rPr>
        <w:t>drugem odstavku</w:t>
      </w:r>
      <w:r w:rsidRPr="002F30DF">
        <w:rPr>
          <w:rFonts w:cs="Arial"/>
          <w:sz w:val="20"/>
          <w:szCs w:val="20"/>
        </w:rPr>
        <w:t xml:space="preserve"> pa je določeno, da podjetje ravna malomarno, če </w:t>
      </w:r>
      <w:r w:rsidR="003B1DB4" w:rsidRPr="002F30DF">
        <w:rPr>
          <w:rFonts w:cs="Arial"/>
          <w:sz w:val="20"/>
          <w:szCs w:val="20"/>
        </w:rPr>
        <w:t>ne more prezreti, da je njegovo ravnanje protikonkurenčno</w:t>
      </w:r>
      <w:r w:rsidRPr="002F30DF">
        <w:rPr>
          <w:rFonts w:cs="Arial"/>
          <w:sz w:val="20"/>
          <w:szCs w:val="20"/>
        </w:rPr>
        <w:t xml:space="preserve"> ne glede na to, ali se podjetje zaveda kršitve določb tega zakona ali 101. ali 102. člena P</w:t>
      </w:r>
      <w:r w:rsidR="00EC465C" w:rsidRPr="002F30DF">
        <w:rPr>
          <w:rFonts w:cs="Arial"/>
          <w:sz w:val="20"/>
          <w:szCs w:val="20"/>
        </w:rPr>
        <w:t>DEU</w:t>
      </w:r>
      <w:r w:rsidRPr="002F30DF">
        <w:rPr>
          <w:rFonts w:cs="Arial"/>
          <w:sz w:val="20"/>
          <w:szCs w:val="20"/>
        </w:rPr>
        <w:t xml:space="preserve">. </w:t>
      </w:r>
    </w:p>
    <w:p w:rsidR="007522E3" w:rsidRPr="002F30DF" w:rsidRDefault="007522E3" w:rsidP="0025166A">
      <w:pPr>
        <w:spacing w:line="260" w:lineRule="atLeast"/>
        <w:contextualSpacing/>
        <w:rPr>
          <w:rFonts w:cs="Arial"/>
          <w:sz w:val="20"/>
          <w:szCs w:val="20"/>
        </w:rPr>
      </w:pPr>
    </w:p>
    <w:p w:rsidR="002D6008" w:rsidRPr="002F30DF" w:rsidRDefault="007522E3" w:rsidP="002D6008">
      <w:pPr>
        <w:tabs>
          <w:tab w:val="left" w:pos="1530"/>
        </w:tabs>
        <w:spacing w:line="260" w:lineRule="atLeast"/>
        <w:rPr>
          <w:rFonts w:cs="Arial"/>
          <w:sz w:val="20"/>
          <w:szCs w:val="20"/>
        </w:rPr>
      </w:pPr>
      <w:r w:rsidRPr="002F30DF">
        <w:rPr>
          <w:rFonts w:cs="Arial"/>
          <w:sz w:val="20"/>
          <w:szCs w:val="20"/>
        </w:rPr>
        <w:t xml:space="preserve">Opredelitev pojma malomarnost je skladna s sodno prakso Sodišča EU, ki se je že večkrat opredelila do pomena tega pojma. </w:t>
      </w:r>
      <w:r w:rsidR="002D6008" w:rsidRPr="002F30DF">
        <w:rPr>
          <w:rFonts w:cs="Arial"/>
          <w:sz w:val="20"/>
          <w:szCs w:val="20"/>
        </w:rPr>
        <w:t>Tako iz prava EU izhaja, da denarno kaznovanje podjetij ni odvisno od identifikacije ali odgovornosti neposrednega storilca (fizične osebe) za izvršeno dejanje. Sodišče EU je v sodbi C-338/00 P z dne 18. septembra 2003 Volkswagen AG proti Komisiji Evropskih skupnosti, EU:C:2003:473, poudarilo, da je naklepno ravnanje podjetja pri kršitvi konkurenčnega prava mogoče ugotoviti tudi brez identificiranja konkretnih oseb znotraj podjetja, ki so ravnale protipravno ali ki so odgovorne za neustrezno organizacijo podjetja.</w:t>
      </w:r>
      <w:r w:rsidR="002D6008" w:rsidRPr="002F30DF">
        <w:rPr>
          <w:rFonts w:cs="Arial"/>
          <w:sz w:val="20"/>
          <w:szCs w:val="20"/>
          <w:vertAlign w:val="superscript"/>
        </w:rPr>
        <w:footnoteReference w:id="14"/>
      </w:r>
      <w:r w:rsidR="002D6008" w:rsidRPr="002F30DF">
        <w:rPr>
          <w:rFonts w:cs="Arial"/>
          <w:sz w:val="20"/>
          <w:szCs w:val="20"/>
        </w:rPr>
        <w:t xml:space="preserve"> </w:t>
      </w:r>
    </w:p>
    <w:p w:rsidR="002D6008" w:rsidRPr="002F30DF" w:rsidRDefault="002D6008" w:rsidP="003B1DB4">
      <w:pPr>
        <w:tabs>
          <w:tab w:val="left" w:pos="1530"/>
        </w:tabs>
        <w:spacing w:line="260" w:lineRule="atLeast"/>
        <w:rPr>
          <w:rFonts w:cs="Arial"/>
          <w:sz w:val="20"/>
          <w:szCs w:val="20"/>
        </w:rPr>
      </w:pPr>
    </w:p>
    <w:p w:rsidR="002D6008" w:rsidRPr="002F30DF" w:rsidRDefault="002D6008" w:rsidP="003B1DB4">
      <w:pPr>
        <w:tabs>
          <w:tab w:val="left" w:pos="1530"/>
        </w:tabs>
        <w:spacing w:line="260" w:lineRule="atLeast"/>
        <w:rPr>
          <w:rFonts w:cs="Arial"/>
          <w:sz w:val="20"/>
          <w:szCs w:val="20"/>
        </w:rPr>
      </w:pPr>
      <w:r w:rsidRPr="002F30DF">
        <w:rPr>
          <w:rFonts w:cs="Arial"/>
          <w:sz w:val="20"/>
          <w:szCs w:val="20"/>
        </w:rPr>
        <w:t>Glede prepleta odgovornosti storilcev fizičnih oseb in podjetij je Sodišče EU presojalo tudi pri vprašanju Vrhovnega sodišča Litve (15. točka),</w:t>
      </w:r>
      <w:r w:rsidRPr="002F30DF">
        <w:rPr>
          <w:rFonts w:cs="Arial"/>
          <w:sz w:val="20"/>
          <w:szCs w:val="20"/>
          <w:vertAlign w:val="superscript"/>
        </w:rPr>
        <w:footnoteReference w:id="15"/>
      </w:r>
      <w:r w:rsidRPr="002F30DF">
        <w:rPr>
          <w:rFonts w:cs="Arial"/>
          <w:sz w:val="20"/>
          <w:szCs w:val="20"/>
        </w:rPr>
        <w:t xml:space="preserve"> ki je spraševalo: Ali je treba člen 101(1) PDEU razlagati tako, da je treba za ugotovitev, da je podjetje sodelovalo v sporazumu, ki omejuje konkurenco, dokazati osebno ravnanje člana poslovodstva podjetja ali njegovo seznanitev oziroma soglašanje z ravnanjem osebe, ki je za podjetje izvajala zunanje storitve ter hkrati delovala na račun drugih udeležencev morebitnega omejevalnega sporazuma? Na to vprašanje je Sodišče EU odgovorilo tako, da je najprej re-interpretiralo to vprašanje tako, da je izpostavilo, da (20. točka): »Predložitveno sodišče želi z vprašanjem v bistvu </w:t>
      </w:r>
      <w:r w:rsidRPr="002F30DF">
        <w:rPr>
          <w:rFonts w:cs="Arial"/>
          <w:sz w:val="20"/>
          <w:szCs w:val="20"/>
        </w:rPr>
        <w:lastRenderedPageBreak/>
        <w:t>izvedeti, ali je treba člen 101(1) PDEU razlagati tako, da je mogoče šteti, da je podjetje odgovorno za usklajeno ravnanje zaradi ravnanj neodvisnega izvajalca, ki je zanj opravljal storitve.«</w:t>
      </w:r>
    </w:p>
    <w:p w:rsidR="00EA4234" w:rsidRPr="002F30DF" w:rsidRDefault="00EA4234" w:rsidP="003B1DB4">
      <w:pPr>
        <w:tabs>
          <w:tab w:val="left" w:pos="1530"/>
        </w:tabs>
        <w:spacing w:line="260" w:lineRule="atLeast"/>
        <w:rPr>
          <w:rFonts w:cs="Arial"/>
          <w:sz w:val="20"/>
          <w:szCs w:val="20"/>
        </w:rPr>
      </w:pPr>
    </w:p>
    <w:p w:rsidR="002D6008" w:rsidRPr="002F30DF" w:rsidRDefault="002D6008" w:rsidP="003B1DB4">
      <w:pPr>
        <w:tabs>
          <w:tab w:val="left" w:pos="1530"/>
        </w:tabs>
        <w:spacing w:line="260" w:lineRule="atLeast"/>
        <w:rPr>
          <w:rFonts w:cs="Arial"/>
          <w:sz w:val="20"/>
          <w:szCs w:val="20"/>
        </w:rPr>
      </w:pPr>
      <w:r w:rsidRPr="002F30DF">
        <w:rPr>
          <w:rFonts w:cs="Arial"/>
          <w:sz w:val="20"/>
          <w:szCs w:val="20"/>
        </w:rPr>
        <w:t xml:space="preserve">Da je lahko podalo odgovor na to vprašanje, je najprej pritrdilo ustaljeni sodni praksi (točka 23 do 24), kot izhaja iz sodbe z dne 7. junija 1983, Musique Diffusion française in drugi/Komisija (od 100/80 do 103/80), EU:C:1983:158, in z dne 7. februarja 2013, Slovenská sporiteľňa (C 68/12, EU:C:2013:71). Iz te </w:t>
      </w:r>
      <w:r w:rsidR="0032217F" w:rsidRPr="002F30DF">
        <w:rPr>
          <w:rFonts w:cs="Arial"/>
          <w:sz w:val="20"/>
          <w:szCs w:val="20"/>
        </w:rPr>
        <w:t xml:space="preserve">sodbe </w:t>
      </w:r>
      <w:r w:rsidRPr="002F30DF">
        <w:rPr>
          <w:rFonts w:cs="Arial"/>
          <w:sz w:val="20"/>
          <w:szCs w:val="20"/>
        </w:rPr>
        <w:t>izhaja, da za izrek denarne kazni podjetju in s tem ugotovitev kršitve, ki jo izvrši podjetje zadostuje, če je protikonkurenčno ravnanje zaposlenega mogoče pripisati podjetju, ker se načeloma podjetje šteje za odgovorno. Ne pomeni pa navedeno, da je treba dokazati kazensko odgovornost zaposlenega ali ga identificirati.</w:t>
      </w:r>
    </w:p>
    <w:p w:rsidR="002D6008" w:rsidRPr="002F30DF" w:rsidRDefault="002D6008" w:rsidP="003B1DB4">
      <w:pPr>
        <w:tabs>
          <w:tab w:val="left" w:pos="1530"/>
        </w:tabs>
        <w:spacing w:line="260" w:lineRule="atLeast"/>
        <w:rPr>
          <w:rFonts w:cs="Arial"/>
          <w:sz w:val="20"/>
          <w:szCs w:val="20"/>
        </w:rPr>
      </w:pPr>
    </w:p>
    <w:p w:rsidR="002D6008" w:rsidRPr="002F30DF" w:rsidRDefault="002D6008" w:rsidP="003B1DB4">
      <w:pPr>
        <w:tabs>
          <w:tab w:val="left" w:pos="1530"/>
        </w:tabs>
        <w:spacing w:line="260" w:lineRule="atLeast"/>
        <w:rPr>
          <w:rFonts w:cs="Arial"/>
          <w:sz w:val="20"/>
          <w:szCs w:val="20"/>
        </w:rPr>
      </w:pPr>
      <w:r w:rsidRPr="002F30DF">
        <w:rPr>
          <w:rFonts w:cs="Arial"/>
          <w:sz w:val="20"/>
          <w:szCs w:val="20"/>
        </w:rPr>
        <w:t xml:space="preserve">V zvezi z naravo odgovornosti podjetij pa je v sodbi z dne 18. 6. 2013, C-681/11, Schenker &amp; Co. in drugi, ECLI:EU:C:2013:404, Sodišče EU na predložitveno vprašanje, »ali je treba 101. člen PDEU razlagati tako, da se lahko podjetje, ki je to določbo kršilo, izogne naložitvi globe, če je do kršitve prišlo, ker je bilo v zmoti glede zakonitosti svojega ravnanja zaradi pravnega nasveta odvetnika ali odločitve nacionalnega organa, pristojnega za konkurenco« (33. točka)«, pojasnilo, da Evropska komisija naloži denarno kazen, kadar podjetja ali podjetniška združenja »naklepno ali iz malomarnosti« kršijo določbe 101. člena PDEU ali 102. PDEU (točka 34). V primeru, ko takšne kršitve ugotovijo nacionalni organi, pa pravo EU določa, da mora organ izreči denarno kazen, pri tem pa ne določa pogoja, kot to velja za komisijo, da mora izrek te kazni temeljiti na subjektivnem elementu (35. točka). Ob tem pa Sodišče EU dodaja, da države članice lahko vzpostavijo subjektivno odgovornost podjetij [ta je drugačna od subjektivne odgovornosti fizične osebe, kar je pojasnjeno v nadaljevanju] zaradi enotne uporabe 101. in 102. člena PDEU. Vendar mora biti ta odgovornost oblikovana najmanj tako strogo, kot to velja v pravu EU (36. točka). </w:t>
      </w:r>
    </w:p>
    <w:p w:rsidR="002D6008" w:rsidRPr="002F30DF" w:rsidRDefault="002D6008" w:rsidP="003B1DB4">
      <w:pPr>
        <w:tabs>
          <w:tab w:val="left" w:pos="1530"/>
        </w:tabs>
        <w:spacing w:line="260" w:lineRule="atLeast"/>
        <w:rPr>
          <w:rFonts w:cs="Arial"/>
          <w:sz w:val="20"/>
          <w:szCs w:val="20"/>
        </w:rPr>
      </w:pPr>
    </w:p>
    <w:p w:rsidR="002D6008" w:rsidRPr="002F30DF" w:rsidRDefault="002D6008" w:rsidP="003B1DB4">
      <w:pPr>
        <w:tabs>
          <w:tab w:val="left" w:pos="1530"/>
        </w:tabs>
        <w:spacing w:line="260" w:lineRule="atLeast"/>
        <w:rPr>
          <w:rFonts w:cs="Arial"/>
          <w:sz w:val="20"/>
          <w:szCs w:val="20"/>
        </w:rPr>
      </w:pPr>
      <w:r w:rsidRPr="002F30DF">
        <w:rPr>
          <w:rFonts w:cs="Arial"/>
          <w:sz w:val="20"/>
          <w:szCs w:val="20"/>
        </w:rPr>
        <w:t xml:space="preserve">Sodišče je tako na predložitveno vprašanje odgovorilo, da je naklep ali malomarnost podjetja (točka 37), »če zadevno podjetje ne more prezreti, da je njegovo ravnanje protikonkurenčno, ne glede na to, ali se zaveda, da je kršilo pravila o konkurenci iz Pogodbe«. V konkretnem primeru pa »so se člani … dogovorili o tarifah za domači prevoz zbirnih pošiljk na celotnem ozemlju države članice. Podjetja, ki se neposredno dogovarjajo o prodajnih cenah, pa seveda ne morejo prezreti protikonkurenčnosti svojega ravnanja. To pomeni, da je v primeru, kot je tisti </w:t>
      </w:r>
      <w:r w:rsidRPr="002F30DF">
        <w:rPr>
          <w:rFonts w:cs="Arial"/>
          <w:sz w:val="20"/>
          <w:szCs w:val="20"/>
        </w:rPr>
        <w:lastRenderedPageBreak/>
        <w:t>v postopku v glavni stvari, pogoj iz člena 23(2), prvi pododstavek, Uredbe št. 1/2003/ES izpolnjen.« (točka 39).</w:t>
      </w:r>
    </w:p>
    <w:p w:rsidR="002D6008" w:rsidRPr="002F30DF" w:rsidRDefault="002D6008" w:rsidP="003B1DB4">
      <w:pPr>
        <w:tabs>
          <w:tab w:val="left" w:pos="1530"/>
        </w:tabs>
        <w:spacing w:line="260" w:lineRule="atLeast"/>
        <w:rPr>
          <w:rFonts w:cs="Arial"/>
          <w:sz w:val="20"/>
          <w:szCs w:val="20"/>
        </w:rPr>
      </w:pPr>
    </w:p>
    <w:p w:rsidR="002D6008" w:rsidRPr="002F30DF" w:rsidRDefault="002D6008" w:rsidP="003B1DB4">
      <w:pPr>
        <w:tabs>
          <w:tab w:val="left" w:pos="1530"/>
        </w:tabs>
        <w:spacing w:line="260" w:lineRule="atLeast"/>
        <w:rPr>
          <w:rFonts w:cs="Arial"/>
          <w:sz w:val="20"/>
          <w:szCs w:val="20"/>
        </w:rPr>
      </w:pPr>
      <w:r w:rsidRPr="002F30DF">
        <w:rPr>
          <w:rFonts w:cs="Arial"/>
          <w:sz w:val="20"/>
          <w:szCs w:val="20"/>
        </w:rPr>
        <w:t>Iz navedenega izhaja, da odkritje, odgovornost storilcev fizičnih oseb ali seznanitev vodstvenega, nadzornega kadra s kršitvijo (opustitev dolžnega nadzorstva) ni pogoj, da se kršitev pripiše podjetju. Iz vseh navedenih primerov izhaja, da morajo države članice, ko aplicirajo pravo EU, upoštevati najmanj enako strogo zakonodajo kot velja po pravu EU. To izhaja</w:t>
      </w:r>
      <w:r w:rsidR="00EC465C" w:rsidRPr="002F30DF">
        <w:rPr>
          <w:rFonts w:cs="Arial"/>
          <w:sz w:val="20"/>
          <w:szCs w:val="20"/>
        </w:rPr>
        <w:t xml:space="preserve"> tudi</w:t>
      </w:r>
      <w:r w:rsidRPr="002F30DF">
        <w:rPr>
          <w:rFonts w:cs="Arial"/>
          <w:sz w:val="20"/>
          <w:szCs w:val="20"/>
        </w:rPr>
        <w:t xml:space="preserve"> iz zadeve VM Remonts, ki se nanaša izključno na aplikacijo nacionalnih določb konkurenčnega prava,</w:t>
      </w:r>
      <w:r w:rsidR="00EC465C" w:rsidRPr="002F30DF">
        <w:rPr>
          <w:rFonts w:cs="Arial"/>
          <w:sz w:val="20"/>
          <w:szCs w:val="20"/>
        </w:rPr>
        <w:t xml:space="preserve"> in</w:t>
      </w:r>
      <w:r w:rsidRPr="002F30DF">
        <w:rPr>
          <w:rFonts w:cs="Arial"/>
          <w:sz w:val="20"/>
          <w:szCs w:val="20"/>
        </w:rPr>
        <w:t xml:space="preserve"> </w:t>
      </w:r>
      <w:r w:rsidR="00EC465C" w:rsidRPr="002F30DF">
        <w:rPr>
          <w:rFonts w:cs="Arial"/>
          <w:sz w:val="20"/>
          <w:szCs w:val="20"/>
        </w:rPr>
        <w:t>katero</w:t>
      </w:r>
      <w:r w:rsidRPr="002F30DF">
        <w:rPr>
          <w:rFonts w:cs="Arial"/>
          <w:sz w:val="20"/>
          <w:szCs w:val="20"/>
        </w:rPr>
        <w:t xml:space="preserve"> je Sodišče EU sprejelo zadevo v obravnavo, ker: »18. V obravnavani zadevi je iz predložitvene odločbe razvidno, na eni strani, da je latvijski zakonodajalec izrecno nameraval uskladiti nacionalno konkurenčno pravo s konkurenčnim pravom Unije, pri čemer se je ta zakonodajalec tako odločil, da notranje položaje in položaje, ki jih ureja pravo Unije, obravnava enako. Na drugi strani Augstākā tiesa (vrhovno sodišče) navaja, da člen 11(1) zakona o konkurenci določa pravni okvir, ki je v bistvu enak kot tisti iz člena 101(1) PDEU in da se navedeni člen 11(1) razlaga enako kot člen 101(1) PDEU</w:t>
      </w:r>
      <w:r w:rsidR="00EC465C" w:rsidRPr="002F30DF">
        <w:rPr>
          <w:rFonts w:cs="Arial"/>
          <w:sz w:val="20"/>
          <w:szCs w:val="20"/>
        </w:rPr>
        <w:t>«</w:t>
      </w:r>
      <w:r w:rsidRPr="002F30DF">
        <w:rPr>
          <w:rFonts w:cs="Arial"/>
          <w:sz w:val="20"/>
          <w:szCs w:val="20"/>
        </w:rPr>
        <w:t>, kar velja tudi za Republiko Slovenijo.</w:t>
      </w:r>
    </w:p>
    <w:p w:rsidR="002D6008" w:rsidRPr="002F30DF" w:rsidRDefault="002D6008" w:rsidP="003B1DB4">
      <w:pPr>
        <w:tabs>
          <w:tab w:val="left" w:pos="1530"/>
        </w:tabs>
        <w:spacing w:line="260" w:lineRule="atLeast"/>
        <w:rPr>
          <w:rFonts w:cs="Arial"/>
          <w:sz w:val="20"/>
          <w:szCs w:val="20"/>
        </w:rPr>
      </w:pPr>
    </w:p>
    <w:p w:rsidR="002D6008" w:rsidRPr="002F30DF" w:rsidRDefault="00AC09A8" w:rsidP="00CD6289">
      <w:pPr>
        <w:tabs>
          <w:tab w:val="left" w:pos="1530"/>
        </w:tabs>
        <w:spacing w:line="260" w:lineRule="atLeast"/>
        <w:rPr>
          <w:rFonts w:cs="Arial"/>
          <w:i/>
          <w:sz w:val="20"/>
          <w:szCs w:val="20"/>
        </w:rPr>
      </w:pPr>
      <w:r w:rsidRPr="002F30DF">
        <w:rPr>
          <w:rFonts w:eastAsia="Calibri" w:cs="Arial"/>
          <w:sz w:val="20"/>
          <w:szCs w:val="20"/>
          <w:lang w:eastAsia="en-US"/>
        </w:rPr>
        <w:t xml:space="preserve">V tretjem odstavku je določeno, da se </w:t>
      </w:r>
      <w:r w:rsidR="007A389B" w:rsidRPr="002F30DF">
        <w:rPr>
          <w:rFonts w:eastAsia="Calibri" w:cs="Arial"/>
          <w:sz w:val="20"/>
          <w:szCs w:val="20"/>
          <w:lang w:eastAsia="en-US"/>
        </w:rPr>
        <w:t>Pojma n</w:t>
      </w:r>
      <w:r w:rsidR="00E50971" w:rsidRPr="002F30DF">
        <w:rPr>
          <w:rFonts w:eastAsia="Calibri" w:cs="Arial"/>
          <w:sz w:val="20"/>
          <w:szCs w:val="20"/>
          <w:lang w:eastAsia="en-US"/>
        </w:rPr>
        <w:t xml:space="preserve">aklep in malomarnost razlagata skladno s sodno prakso Sodišča Evropske unije (tretji odstavek). </w:t>
      </w:r>
      <w:r w:rsidR="002D6008" w:rsidRPr="002F30DF">
        <w:rPr>
          <w:rFonts w:cs="Arial"/>
          <w:sz w:val="20"/>
          <w:szCs w:val="20"/>
        </w:rPr>
        <w:t xml:space="preserve">Iz navedenega tako izhaja, da je v pravu EU glede naklepa in malomarnosti podjetij določen avtonomen pojem naklepa in malomarnosti, ki priznava zelo omejene ekskulpacijske razloge. Zahteva po takšni razlagi pa izhaja tudi iz </w:t>
      </w:r>
      <w:r w:rsidR="00EC465C" w:rsidRPr="002F30DF">
        <w:rPr>
          <w:rFonts w:cs="Arial"/>
          <w:sz w:val="20"/>
          <w:szCs w:val="20"/>
        </w:rPr>
        <w:t>D</w:t>
      </w:r>
      <w:r w:rsidR="002D6008" w:rsidRPr="002F30DF">
        <w:rPr>
          <w:rFonts w:cs="Arial"/>
          <w:sz w:val="20"/>
          <w:szCs w:val="20"/>
        </w:rPr>
        <w:t>irektive 2019</w:t>
      </w:r>
      <w:r w:rsidR="006C0632" w:rsidRPr="002F30DF">
        <w:rPr>
          <w:rFonts w:cs="Arial"/>
          <w:sz w:val="20"/>
          <w:szCs w:val="20"/>
        </w:rPr>
        <w:t>/1</w:t>
      </w:r>
      <w:r w:rsidR="002D6008" w:rsidRPr="002F30DF">
        <w:rPr>
          <w:rFonts w:cs="Arial"/>
          <w:sz w:val="20"/>
          <w:szCs w:val="20"/>
        </w:rPr>
        <w:t xml:space="preserve">, ki v 42. uvodni </w:t>
      </w:r>
      <w:r w:rsidR="00721AA6" w:rsidRPr="002F30DF">
        <w:rPr>
          <w:rFonts w:cs="Arial"/>
          <w:sz w:val="20"/>
          <w:szCs w:val="20"/>
        </w:rPr>
        <w:t>izjavi</w:t>
      </w:r>
      <w:r w:rsidR="00EC465C" w:rsidRPr="002F30DF">
        <w:rPr>
          <w:rFonts w:cs="Arial"/>
          <w:sz w:val="20"/>
          <w:szCs w:val="20"/>
        </w:rPr>
        <w:t xml:space="preserve"> </w:t>
      </w:r>
      <w:r w:rsidR="002D6008" w:rsidRPr="002F30DF">
        <w:rPr>
          <w:rFonts w:cs="Arial"/>
          <w:sz w:val="20"/>
          <w:szCs w:val="20"/>
        </w:rPr>
        <w:t>navaja</w:t>
      </w:r>
      <w:r w:rsidR="00D26BD4" w:rsidRPr="002F30DF">
        <w:rPr>
          <w:rFonts w:cs="Arial"/>
          <w:sz w:val="20"/>
          <w:szCs w:val="20"/>
        </w:rPr>
        <w:t xml:space="preserve">, da v </w:t>
      </w:r>
      <w:r w:rsidR="00D26BD4" w:rsidRPr="002F30DF">
        <w:rPr>
          <w:rFonts w:cs="Arial"/>
          <w:i/>
          <w:sz w:val="20"/>
          <w:szCs w:val="20"/>
        </w:rPr>
        <w:t>v</w:t>
      </w:r>
      <w:r w:rsidR="002D6008" w:rsidRPr="002F30DF">
        <w:rPr>
          <w:rFonts w:cs="Arial"/>
          <w:i/>
          <w:sz w:val="20"/>
          <w:szCs w:val="20"/>
        </w:rPr>
        <w:t xml:space="preserve"> skladu z Listino bi bilo treba v postopkih pred nacionalnimi upravnimi organi, pristojnimi za konkurenco, ali, odvisno od primera, v nekazenskih sodnih postopkih globe izreči, kadar je kršitev storjena naklepno ali iz malomarnosti. Pojma naklep in malomarnost bi bilo treba razlagati v skladu s sodno prakso Sodišča glede uporabe členov 101 in 102 PDEU in ne kot pojma naklep in malomarnost v postopkih, ki jih v okviru kazenskih zadev vodijo organi kazenskega pravosodja. To ne posega v nacionalno zakonodajo, po kateri ugotovitev kršitve temelji na merilu objektivne odgovornosti, pod pogojem, da je skladno s sodno prakso Sodišča. Ta direktiva ne vpliva na nacionalna pravila o dokaznem standardu ali na obveznosti NOK, da preverjajo dejstva zadevnega primera, pod pogojem, da so takšna pravila in obveznosti skladni s splošnimi načeli prava Unije.</w:t>
      </w:r>
    </w:p>
    <w:p w:rsidR="00477DCA" w:rsidRPr="002F30DF" w:rsidRDefault="00477DCA" w:rsidP="00477DCA">
      <w:pPr>
        <w:rPr>
          <w:rFonts w:cs="Arial"/>
          <w:sz w:val="20"/>
          <w:szCs w:val="20"/>
        </w:rPr>
      </w:pPr>
    </w:p>
    <w:p w:rsidR="00477DCA" w:rsidRPr="002F30DF" w:rsidRDefault="00477DCA" w:rsidP="00477DCA">
      <w:pPr>
        <w:rPr>
          <w:rFonts w:cs="Arial"/>
          <w:sz w:val="20"/>
          <w:szCs w:val="20"/>
        </w:rPr>
      </w:pPr>
      <w:r w:rsidRPr="002F30DF">
        <w:rPr>
          <w:rFonts w:cs="Arial"/>
          <w:sz w:val="20"/>
          <w:szCs w:val="20"/>
        </w:rPr>
        <w:lastRenderedPageBreak/>
        <w:t>K takšni ureditvi subjektivne odgovornosti podjetij napotuje tudi 1. člen ZP-1, ki določa, da se »</w:t>
      </w:r>
      <w:r w:rsidR="00BB66B2" w:rsidRPr="002F30DF">
        <w:rPr>
          <w:rFonts w:cs="Arial"/>
          <w:sz w:val="20"/>
          <w:szCs w:val="20"/>
        </w:rPr>
        <w:t>d</w:t>
      </w:r>
      <w:r w:rsidRPr="002F30DF">
        <w:rPr>
          <w:rFonts w:cs="Arial"/>
          <w:sz w:val="20"/>
          <w:szCs w:val="20"/>
        </w:rPr>
        <w:t>oločbe tega zakona … ne uporabljajo za administrativno sankcioniranje pravnih oseb v skladu s predpisi, ki urejajo varstvo konkurence</w:t>
      </w:r>
      <w:r w:rsidR="00EC465C" w:rsidRPr="002F30DF">
        <w:rPr>
          <w:rFonts w:cs="Arial"/>
          <w:sz w:val="20"/>
          <w:szCs w:val="20"/>
        </w:rPr>
        <w:t>«</w:t>
      </w:r>
      <w:r w:rsidRPr="002F30DF">
        <w:rPr>
          <w:rFonts w:cs="Arial"/>
          <w:sz w:val="20"/>
          <w:szCs w:val="20"/>
        </w:rPr>
        <w:t>.</w:t>
      </w:r>
    </w:p>
    <w:p w:rsidR="007522E3" w:rsidRPr="002F30DF" w:rsidRDefault="007522E3" w:rsidP="0025166A">
      <w:pPr>
        <w:spacing w:line="260" w:lineRule="atLeast"/>
        <w:rPr>
          <w:rFonts w:cs="Arial"/>
          <w:b/>
          <w:sz w:val="20"/>
          <w:szCs w:val="20"/>
        </w:rPr>
      </w:pPr>
    </w:p>
    <w:p w:rsidR="000210BD" w:rsidRPr="002F30DF" w:rsidRDefault="000210BD" w:rsidP="000210BD">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3</w:t>
      </w:r>
      <w:r w:rsidRPr="002F30DF">
        <w:rPr>
          <w:rFonts w:cs="Arial"/>
          <w:b/>
          <w:sz w:val="20"/>
          <w:szCs w:val="20"/>
        </w:rPr>
        <w:t>. členu (izrek administrativne sankcije)</w:t>
      </w:r>
    </w:p>
    <w:p w:rsidR="000210BD" w:rsidRPr="002F30DF" w:rsidRDefault="000210BD" w:rsidP="000210BD">
      <w:pPr>
        <w:spacing w:line="260" w:lineRule="atLeast"/>
        <w:rPr>
          <w:rFonts w:cs="Arial"/>
          <w:sz w:val="20"/>
          <w:szCs w:val="20"/>
        </w:rPr>
      </w:pPr>
    </w:p>
    <w:p w:rsidR="000210BD" w:rsidRPr="002F30DF" w:rsidRDefault="000210BD" w:rsidP="000210BD">
      <w:pPr>
        <w:spacing w:line="260" w:lineRule="atLeast"/>
        <w:rPr>
          <w:rFonts w:cs="Arial"/>
          <w:sz w:val="20"/>
          <w:szCs w:val="20"/>
        </w:rPr>
      </w:pPr>
      <w:r w:rsidRPr="002F30DF">
        <w:rPr>
          <w:rFonts w:cs="Arial"/>
          <w:sz w:val="20"/>
          <w:szCs w:val="20"/>
        </w:rPr>
        <w:t xml:space="preserve">Agencija </w:t>
      </w:r>
      <w:r w:rsidR="00D45094" w:rsidRPr="002F30DF">
        <w:rPr>
          <w:rFonts w:cs="Arial"/>
          <w:sz w:val="20"/>
          <w:szCs w:val="20"/>
        </w:rPr>
        <w:t xml:space="preserve">v upravnem postopku, v katerem ugotavlja obstoj kršitve z odločbo </w:t>
      </w:r>
      <w:r w:rsidRPr="002F30DF">
        <w:rPr>
          <w:rFonts w:cs="Arial"/>
          <w:sz w:val="20"/>
          <w:szCs w:val="20"/>
        </w:rPr>
        <w:t>izreče podjetju administrativno sankcijo za administrativni prestopek</w:t>
      </w:r>
      <w:r w:rsidR="00D45094" w:rsidRPr="002F30DF">
        <w:rPr>
          <w:rFonts w:cs="Arial"/>
          <w:sz w:val="20"/>
          <w:szCs w:val="20"/>
        </w:rPr>
        <w:t>.</w:t>
      </w:r>
      <w:r w:rsidR="003C70CA" w:rsidRPr="002F30DF">
        <w:rPr>
          <w:rFonts w:cs="Arial"/>
          <w:sz w:val="20"/>
          <w:szCs w:val="20"/>
        </w:rPr>
        <w:t xml:space="preserve"> </w:t>
      </w:r>
      <w:r w:rsidRPr="002F30DF">
        <w:rPr>
          <w:rFonts w:cs="Arial"/>
          <w:sz w:val="20"/>
          <w:szCs w:val="20"/>
        </w:rPr>
        <w:t xml:space="preserve">V primeru ugotovitve obstoja kršitve 5. ali 8. člena tega zakona ali 101. ali 102. člena PDEU agencija lahko izda odločbo, s katero ugotovi obstoj kršitve skladno s </w:t>
      </w:r>
      <w:r w:rsidR="00BB66B2" w:rsidRPr="002F30DF">
        <w:rPr>
          <w:rFonts w:cs="Arial"/>
          <w:sz w:val="20"/>
          <w:szCs w:val="20"/>
        </w:rPr>
        <w:t>63</w:t>
      </w:r>
      <w:r w:rsidRPr="002F30DF">
        <w:rPr>
          <w:rFonts w:cs="Arial"/>
          <w:sz w:val="20"/>
          <w:szCs w:val="20"/>
        </w:rPr>
        <w:t xml:space="preserve">. členom tega zakona ter mu s to odločbo tudi izreče administrativno sankcijo za ugotovljene kršitve iz prvega odstavka </w:t>
      </w:r>
      <w:r w:rsidR="00BB66B2" w:rsidRPr="002F30DF">
        <w:rPr>
          <w:rFonts w:cs="Arial"/>
          <w:sz w:val="20"/>
          <w:szCs w:val="20"/>
        </w:rPr>
        <w:t>8</w:t>
      </w:r>
      <w:r w:rsidR="003C70CA" w:rsidRPr="002F30DF">
        <w:rPr>
          <w:rFonts w:cs="Arial"/>
          <w:sz w:val="20"/>
          <w:szCs w:val="20"/>
        </w:rPr>
        <w:t>4</w:t>
      </w:r>
      <w:r w:rsidRPr="002F30DF">
        <w:rPr>
          <w:rFonts w:cs="Arial"/>
          <w:sz w:val="20"/>
          <w:szCs w:val="20"/>
        </w:rPr>
        <w:t>. člena. V primeru kršitev določb</w:t>
      </w:r>
      <w:r w:rsidR="003C70CA" w:rsidRPr="002F30DF">
        <w:rPr>
          <w:rFonts w:cs="Arial"/>
          <w:sz w:val="20"/>
          <w:szCs w:val="20"/>
        </w:rPr>
        <w:t xml:space="preserve"> </w:t>
      </w:r>
      <w:r w:rsidR="00D45094" w:rsidRPr="002F30DF">
        <w:rPr>
          <w:rFonts w:cs="Arial"/>
          <w:sz w:val="20"/>
          <w:szCs w:val="20"/>
        </w:rPr>
        <w:t xml:space="preserve">iz prve aline </w:t>
      </w:r>
      <w:r w:rsidRPr="002F30DF">
        <w:rPr>
          <w:rFonts w:cs="Arial"/>
          <w:sz w:val="20"/>
          <w:szCs w:val="20"/>
        </w:rPr>
        <w:t>drug</w:t>
      </w:r>
      <w:r w:rsidR="00D45094" w:rsidRPr="002F30DF">
        <w:rPr>
          <w:rFonts w:cs="Arial"/>
          <w:sz w:val="20"/>
          <w:szCs w:val="20"/>
        </w:rPr>
        <w:t>ega</w:t>
      </w:r>
      <w:r w:rsidRPr="002F30DF">
        <w:rPr>
          <w:rFonts w:cs="Arial"/>
          <w:sz w:val="20"/>
          <w:szCs w:val="20"/>
        </w:rPr>
        <w:t>, tretj</w:t>
      </w:r>
      <w:r w:rsidR="00D45094" w:rsidRPr="002F30DF">
        <w:rPr>
          <w:rFonts w:cs="Arial"/>
          <w:sz w:val="20"/>
          <w:szCs w:val="20"/>
        </w:rPr>
        <w:t>ega</w:t>
      </w:r>
      <w:r w:rsidRPr="002F30DF">
        <w:rPr>
          <w:rFonts w:cs="Arial"/>
          <w:sz w:val="20"/>
          <w:szCs w:val="20"/>
        </w:rPr>
        <w:t xml:space="preserve"> in četr</w:t>
      </w:r>
      <w:r w:rsidR="00D45094" w:rsidRPr="002F30DF">
        <w:rPr>
          <w:rFonts w:cs="Arial"/>
          <w:sz w:val="20"/>
          <w:szCs w:val="20"/>
        </w:rPr>
        <w:t>tega</w:t>
      </w:r>
      <w:r w:rsidRPr="002F30DF">
        <w:rPr>
          <w:rFonts w:cs="Arial"/>
          <w:sz w:val="20"/>
          <w:szCs w:val="20"/>
        </w:rPr>
        <w:t xml:space="preserve"> </w:t>
      </w:r>
      <w:r w:rsidR="00D45094" w:rsidRPr="002F30DF">
        <w:rPr>
          <w:rFonts w:cs="Arial"/>
          <w:sz w:val="20"/>
          <w:szCs w:val="20"/>
        </w:rPr>
        <w:t xml:space="preserve">odstavka </w:t>
      </w:r>
      <w:r w:rsidR="00282151" w:rsidRPr="002F30DF">
        <w:rPr>
          <w:rFonts w:cs="Arial"/>
          <w:sz w:val="20"/>
          <w:szCs w:val="20"/>
        </w:rPr>
        <w:t>8</w:t>
      </w:r>
      <w:r w:rsidR="003C70CA" w:rsidRPr="002F30DF">
        <w:rPr>
          <w:rFonts w:cs="Arial"/>
          <w:sz w:val="20"/>
          <w:szCs w:val="20"/>
        </w:rPr>
        <w:t>4</w:t>
      </w:r>
      <w:r w:rsidR="007C054D" w:rsidRPr="002F30DF">
        <w:rPr>
          <w:rFonts w:cs="Arial"/>
          <w:sz w:val="20"/>
          <w:szCs w:val="20"/>
        </w:rPr>
        <w:t>.</w:t>
      </w:r>
      <w:r w:rsidRPr="002F30DF">
        <w:rPr>
          <w:rFonts w:cs="Arial"/>
          <w:sz w:val="20"/>
          <w:szCs w:val="20"/>
        </w:rPr>
        <w:t xml:space="preserve"> člena tega zakona</w:t>
      </w:r>
      <w:r w:rsidR="00D45094" w:rsidRPr="002F30DF">
        <w:rPr>
          <w:rFonts w:cs="Arial"/>
          <w:sz w:val="20"/>
          <w:szCs w:val="20"/>
        </w:rPr>
        <w:t>,</w:t>
      </w:r>
      <w:r w:rsidRPr="002F30DF">
        <w:rPr>
          <w:rFonts w:cs="Arial"/>
          <w:sz w:val="20"/>
          <w:szCs w:val="20"/>
        </w:rPr>
        <w:t xml:space="preserve"> agencija v upravnem postopku ugotavlja obstoj kršitve ter v primeru ugotovitve obstoja kršitve tudi izreče administrativno sankcijo.</w:t>
      </w:r>
    </w:p>
    <w:p w:rsidR="000210BD" w:rsidRPr="002F30DF" w:rsidRDefault="000210BD" w:rsidP="000210BD">
      <w:pPr>
        <w:spacing w:line="260" w:lineRule="atLeast"/>
        <w:rPr>
          <w:rFonts w:cs="Arial"/>
          <w:sz w:val="20"/>
          <w:szCs w:val="20"/>
        </w:rPr>
      </w:pPr>
    </w:p>
    <w:p w:rsidR="000210BD" w:rsidRPr="002F30DF" w:rsidRDefault="000210BD" w:rsidP="000210BD">
      <w:pPr>
        <w:spacing w:line="260" w:lineRule="atLeast"/>
        <w:rPr>
          <w:rFonts w:cs="Arial"/>
          <w:sz w:val="20"/>
          <w:szCs w:val="20"/>
        </w:rPr>
      </w:pPr>
      <w:r w:rsidRPr="002F30DF">
        <w:rPr>
          <w:rFonts w:cs="Arial"/>
          <w:sz w:val="20"/>
          <w:szCs w:val="20"/>
        </w:rPr>
        <w:t>V izreku odločbe agencija poleg zahtev iz ZUP navede tudi podjetje, ki je storilo administrativni prestopek, kratek opis administrativnega prestopka, njegovo zakonsko označbo, višino administrativne sankcije za to kršitev in rok za plačilo administrativne sankcije.</w:t>
      </w:r>
    </w:p>
    <w:p w:rsidR="000210BD" w:rsidRPr="002F30DF" w:rsidRDefault="000210BD"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4</w:t>
      </w:r>
      <w:r w:rsidRPr="002F30DF">
        <w:rPr>
          <w:rFonts w:cs="Arial"/>
          <w:b/>
          <w:sz w:val="20"/>
          <w:szCs w:val="20"/>
        </w:rPr>
        <w:t>. členu (administrativna sankcija)</w:t>
      </w:r>
    </w:p>
    <w:p w:rsidR="006B7680" w:rsidRPr="002F30DF" w:rsidRDefault="006B7680" w:rsidP="006B7680">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Direktiva 2019/1 v 13. členu določa globe za podjetja in podjetniška združenja. Prvi odstavek tako nalaga državam članicam, da </w:t>
      </w:r>
      <w:r w:rsidRPr="002F30DF">
        <w:rPr>
          <w:rFonts w:cs="Arial"/>
          <w:i/>
          <w:sz w:val="20"/>
          <w:szCs w:val="20"/>
        </w:rPr>
        <w:t>zagotovijo, da lahko nacionalni upravni organi, pristojni za varstvo konkurence, bodisi z odločbo v okviru svojega postopka za uveljavljanje pravil konkurence izrečejo učinkovite, sorazmerne in odvračilne globe bodisi v nekazenskem sodnem postopku zahtevajo izrek takih glob podjetjem in podjetniškim združenjem, kadar ta naklepno ali iz malomarnosti kršijo 101</w:t>
      </w:r>
      <w:r w:rsidR="007D6C3D" w:rsidRPr="002F30DF">
        <w:rPr>
          <w:rFonts w:cs="Arial"/>
          <w:i/>
          <w:sz w:val="20"/>
          <w:szCs w:val="20"/>
        </w:rPr>
        <w:t>.</w:t>
      </w:r>
      <w:r w:rsidRPr="002F30DF">
        <w:rPr>
          <w:rFonts w:cs="Arial"/>
          <w:i/>
          <w:sz w:val="20"/>
          <w:szCs w:val="20"/>
        </w:rPr>
        <w:t xml:space="preserve"> ali 102</w:t>
      </w:r>
      <w:r w:rsidR="007D6C3D" w:rsidRPr="002F30DF">
        <w:rPr>
          <w:rFonts w:cs="Arial"/>
          <w:i/>
          <w:sz w:val="20"/>
          <w:szCs w:val="20"/>
        </w:rPr>
        <w:t>. člen</w:t>
      </w:r>
      <w:r w:rsidRPr="002F30DF">
        <w:rPr>
          <w:rFonts w:cs="Arial"/>
          <w:i/>
          <w:sz w:val="20"/>
          <w:szCs w:val="20"/>
        </w:rPr>
        <w:t xml:space="preserve"> PDEU. </w:t>
      </w:r>
    </w:p>
    <w:p w:rsidR="007522E3" w:rsidRPr="002F30DF" w:rsidRDefault="007522E3" w:rsidP="0025166A">
      <w:pPr>
        <w:spacing w:line="260" w:lineRule="atLeast"/>
        <w:rPr>
          <w:rFonts w:cs="Arial"/>
          <w:i/>
          <w:sz w:val="20"/>
          <w:szCs w:val="20"/>
        </w:rPr>
      </w:pPr>
    </w:p>
    <w:p w:rsidR="007522E3" w:rsidRPr="002F30DF" w:rsidRDefault="007522E3" w:rsidP="0025166A">
      <w:pPr>
        <w:spacing w:line="260" w:lineRule="atLeast"/>
        <w:rPr>
          <w:rFonts w:cs="Arial"/>
          <w:i/>
          <w:sz w:val="20"/>
          <w:szCs w:val="20"/>
        </w:rPr>
      </w:pPr>
      <w:r w:rsidRPr="002F30DF">
        <w:rPr>
          <w:rFonts w:cs="Arial"/>
          <w:i/>
          <w:sz w:val="20"/>
          <w:szCs w:val="20"/>
        </w:rPr>
        <w:t xml:space="preserve">Nadalje </w:t>
      </w:r>
      <w:r w:rsidRPr="002F30DF">
        <w:rPr>
          <w:rFonts w:cs="Arial"/>
          <w:sz w:val="20"/>
          <w:szCs w:val="20"/>
        </w:rPr>
        <w:t xml:space="preserve">Direktiva 2019/1 v drugem odstavku </w:t>
      </w:r>
      <w:r w:rsidR="00EC465C" w:rsidRPr="002F30DF">
        <w:rPr>
          <w:rFonts w:cs="Arial"/>
          <w:sz w:val="20"/>
          <w:szCs w:val="20"/>
        </w:rPr>
        <w:t xml:space="preserve">13. člena </w:t>
      </w:r>
      <w:r w:rsidRPr="002F30DF">
        <w:rPr>
          <w:rFonts w:cs="Arial"/>
          <w:sz w:val="20"/>
          <w:szCs w:val="20"/>
        </w:rPr>
        <w:t>določa, da</w:t>
      </w:r>
      <w:r w:rsidRPr="002F30DF">
        <w:rPr>
          <w:rFonts w:cs="Arial"/>
          <w:i/>
          <w:sz w:val="20"/>
          <w:szCs w:val="20"/>
        </w:rPr>
        <w:t xml:space="preserve"> države članice zagotovijo najmanj, da lahko nacionalni upravni organi, pristojni za varstvo konkurence, bodisi z odločbo v okviru svojega postopka za uveljavljanje pravil konkurence izrečejo učinkovite, sorazmerne in odvračilne globe bodisi v nekazenskem </w:t>
      </w:r>
      <w:r w:rsidRPr="002F30DF">
        <w:rPr>
          <w:rFonts w:cs="Arial"/>
          <w:i/>
          <w:sz w:val="20"/>
          <w:szCs w:val="20"/>
        </w:rPr>
        <w:lastRenderedPageBreak/>
        <w:t>sodnem postopku zahtevajo izrek takih glob podjetjem in podjetniškim združenjem. Te globe se določijo sorazmerno glede na skupni svetovni promet teh podjetij ali podjetniških združenj, kadar naklepno ali iz malomarnosti storijo naslednje:</w:t>
      </w:r>
    </w:p>
    <w:p w:rsidR="007522E3" w:rsidRPr="002F30DF" w:rsidRDefault="007522E3" w:rsidP="0025166A">
      <w:pPr>
        <w:spacing w:line="260" w:lineRule="atLeast"/>
        <w:rPr>
          <w:rFonts w:cs="Arial"/>
          <w:i/>
          <w:sz w:val="20"/>
          <w:szCs w:val="20"/>
        </w:rPr>
      </w:pPr>
      <w:r w:rsidRPr="002F30DF">
        <w:rPr>
          <w:rFonts w:cs="Arial"/>
          <w:i/>
          <w:sz w:val="20"/>
          <w:szCs w:val="20"/>
        </w:rPr>
        <w:t xml:space="preserve">(a) se ne podvržejo pregledu, kot je določeno </w:t>
      </w:r>
      <w:r w:rsidR="00D26BD4" w:rsidRPr="002F30DF">
        <w:rPr>
          <w:rFonts w:cs="Arial"/>
          <w:i/>
          <w:sz w:val="20"/>
          <w:szCs w:val="20"/>
        </w:rPr>
        <w:t xml:space="preserve">v drugem odstavku 6. </w:t>
      </w:r>
      <w:r w:rsidRPr="002F30DF">
        <w:rPr>
          <w:rFonts w:cs="Arial"/>
          <w:i/>
          <w:sz w:val="20"/>
          <w:szCs w:val="20"/>
        </w:rPr>
        <w:t>člen</w:t>
      </w:r>
      <w:r w:rsidR="00D26BD4" w:rsidRPr="002F30DF">
        <w:rPr>
          <w:rFonts w:cs="Arial"/>
          <w:i/>
          <w:sz w:val="20"/>
          <w:szCs w:val="20"/>
        </w:rPr>
        <w:t>a</w:t>
      </w:r>
      <w:r w:rsidRPr="002F30DF">
        <w:rPr>
          <w:rFonts w:cs="Arial"/>
          <w:i/>
          <w:sz w:val="20"/>
          <w:szCs w:val="20"/>
        </w:rPr>
        <w:t>;</w:t>
      </w:r>
    </w:p>
    <w:p w:rsidR="007522E3" w:rsidRPr="002F30DF" w:rsidRDefault="007522E3" w:rsidP="0025166A">
      <w:pPr>
        <w:spacing w:line="260" w:lineRule="atLeast"/>
        <w:rPr>
          <w:rFonts w:cs="Arial"/>
          <w:i/>
          <w:sz w:val="20"/>
          <w:szCs w:val="20"/>
        </w:rPr>
      </w:pPr>
      <w:r w:rsidRPr="002F30DF">
        <w:rPr>
          <w:rFonts w:cs="Arial"/>
          <w:i/>
          <w:sz w:val="20"/>
          <w:szCs w:val="20"/>
        </w:rPr>
        <w:t>(b) prelomijo pečate, ki jih namestijo uradniki ali druge spremljevalne osebe, ki so jih pooblastili ali imenovali nacionalni organi, pristojni za konkurenco, kot je določeno v točki (d)</w:t>
      </w:r>
      <w:r w:rsidR="00D26BD4" w:rsidRPr="002F30DF">
        <w:rPr>
          <w:rFonts w:cs="Arial"/>
          <w:i/>
          <w:sz w:val="20"/>
          <w:szCs w:val="20"/>
        </w:rPr>
        <w:t xml:space="preserve"> prvega odstavka 6.</w:t>
      </w:r>
      <w:r w:rsidRPr="002F30DF">
        <w:rPr>
          <w:rFonts w:cs="Arial"/>
          <w:i/>
          <w:sz w:val="20"/>
          <w:szCs w:val="20"/>
        </w:rPr>
        <w:t xml:space="preserve"> člena;</w:t>
      </w:r>
    </w:p>
    <w:p w:rsidR="007522E3" w:rsidRPr="002F30DF" w:rsidRDefault="007522E3" w:rsidP="0025166A">
      <w:pPr>
        <w:spacing w:line="260" w:lineRule="atLeast"/>
        <w:rPr>
          <w:rFonts w:cs="Arial"/>
          <w:i/>
          <w:sz w:val="20"/>
          <w:szCs w:val="20"/>
        </w:rPr>
      </w:pPr>
      <w:r w:rsidRPr="002F30DF">
        <w:rPr>
          <w:rFonts w:cs="Arial"/>
          <w:i/>
          <w:sz w:val="20"/>
          <w:szCs w:val="20"/>
        </w:rPr>
        <w:t>(c) v odgovor na vprašanje iz točke (e)</w:t>
      </w:r>
      <w:r w:rsidR="00D26BD4" w:rsidRPr="002F30DF">
        <w:rPr>
          <w:rFonts w:cs="Arial"/>
          <w:i/>
          <w:sz w:val="20"/>
          <w:szCs w:val="20"/>
        </w:rPr>
        <w:t xml:space="preserve"> prvega odstavka 6.</w:t>
      </w:r>
      <w:r w:rsidRPr="002F30DF">
        <w:rPr>
          <w:rFonts w:cs="Arial"/>
          <w:i/>
          <w:sz w:val="20"/>
          <w:szCs w:val="20"/>
        </w:rPr>
        <w:t xml:space="preserve"> člena dajo nepravilen, zavajajoč odgovor, ali ne dajo ali nočejo dati popolnega odgovora;</w:t>
      </w:r>
    </w:p>
    <w:p w:rsidR="007522E3" w:rsidRPr="002F30DF" w:rsidRDefault="007522E3" w:rsidP="0025166A">
      <w:pPr>
        <w:spacing w:line="260" w:lineRule="atLeast"/>
        <w:rPr>
          <w:rFonts w:cs="Arial"/>
          <w:i/>
          <w:sz w:val="20"/>
          <w:szCs w:val="20"/>
        </w:rPr>
      </w:pPr>
      <w:r w:rsidRPr="002F30DF">
        <w:rPr>
          <w:rFonts w:cs="Arial"/>
          <w:i/>
          <w:sz w:val="20"/>
          <w:szCs w:val="20"/>
        </w:rPr>
        <w:t>(d) predložijo nepravilne, nepopolne ali zavajajoče informacije v odgovor na zahtevo iz člena 8 ali ne predložijo informacij v določenem roku;</w:t>
      </w:r>
    </w:p>
    <w:p w:rsidR="007522E3" w:rsidRPr="002F30DF" w:rsidRDefault="007522E3" w:rsidP="0025166A">
      <w:pPr>
        <w:spacing w:line="260" w:lineRule="atLeast"/>
        <w:rPr>
          <w:rFonts w:cs="Arial"/>
          <w:i/>
          <w:sz w:val="20"/>
          <w:szCs w:val="20"/>
        </w:rPr>
      </w:pPr>
      <w:r w:rsidRPr="002F30DF">
        <w:rPr>
          <w:rFonts w:cs="Arial"/>
          <w:i/>
          <w:sz w:val="20"/>
          <w:szCs w:val="20"/>
        </w:rPr>
        <w:t>(e) se ne udeležijo razgovora iz 9</w:t>
      </w:r>
      <w:r w:rsidR="00D26BD4" w:rsidRPr="002F30DF">
        <w:rPr>
          <w:rFonts w:cs="Arial"/>
          <w:i/>
          <w:sz w:val="20"/>
          <w:szCs w:val="20"/>
        </w:rPr>
        <w:t xml:space="preserve">. člena </w:t>
      </w:r>
      <w:r w:rsidRPr="002F30DF">
        <w:rPr>
          <w:rFonts w:cs="Arial"/>
          <w:i/>
          <w:sz w:val="20"/>
          <w:szCs w:val="20"/>
        </w:rPr>
        <w:t>;</w:t>
      </w:r>
    </w:p>
    <w:p w:rsidR="007522E3" w:rsidRPr="002F30DF" w:rsidRDefault="007522E3" w:rsidP="0025166A">
      <w:pPr>
        <w:spacing w:line="260" w:lineRule="atLeast"/>
        <w:rPr>
          <w:rFonts w:cs="Arial"/>
          <w:i/>
          <w:sz w:val="20"/>
          <w:szCs w:val="20"/>
        </w:rPr>
      </w:pPr>
      <w:r w:rsidRPr="002F30DF">
        <w:rPr>
          <w:rFonts w:cs="Arial"/>
          <w:i/>
          <w:sz w:val="20"/>
          <w:szCs w:val="20"/>
        </w:rPr>
        <w:t>(f) ne upoštevajo odločbe iz 10</w:t>
      </w:r>
      <w:r w:rsidR="00D26BD4" w:rsidRPr="002F30DF">
        <w:rPr>
          <w:rFonts w:cs="Arial"/>
          <w:i/>
          <w:sz w:val="20"/>
          <w:szCs w:val="20"/>
        </w:rPr>
        <w:t>.</w:t>
      </w:r>
      <w:r w:rsidRPr="002F30DF">
        <w:rPr>
          <w:rFonts w:cs="Arial"/>
          <w:i/>
          <w:sz w:val="20"/>
          <w:szCs w:val="20"/>
        </w:rPr>
        <w:t>, 11</w:t>
      </w:r>
      <w:r w:rsidR="00D26BD4" w:rsidRPr="002F30DF">
        <w:rPr>
          <w:rFonts w:cs="Arial"/>
          <w:i/>
          <w:sz w:val="20"/>
          <w:szCs w:val="20"/>
        </w:rPr>
        <w:t>.</w:t>
      </w:r>
      <w:r w:rsidRPr="002F30DF">
        <w:rPr>
          <w:rFonts w:cs="Arial"/>
          <w:i/>
          <w:sz w:val="20"/>
          <w:szCs w:val="20"/>
        </w:rPr>
        <w:t xml:space="preserve"> in 12.</w:t>
      </w:r>
      <w:r w:rsidR="00D26BD4" w:rsidRPr="002F30DF">
        <w:rPr>
          <w:rFonts w:cs="Arial"/>
          <w:i/>
          <w:sz w:val="20"/>
          <w:szCs w:val="20"/>
        </w:rPr>
        <w:t xml:space="preserve"> člena.</w:t>
      </w:r>
    </w:p>
    <w:p w:rsidR="007522E3" w:rsidRPr="002F30DF" w:rsidRDefault="007522E3" w:rsidP="0025166A">
      <w:pPr>
        <w:spacing w:line="260" w:lineRule="atLeast"/>
        <w:rPr>
          <w:rFonts w:cs="Arial"/>
          <w:i/>
          <w:sz w:val="20"/>
          <w:szCs w:val="20"/>
        </w:rPr>
      </w:pPr>
    </w:p>
    <w:p w:rsidR="008B0FF9" w:rsidRPr="002F30DF" w:rsidRDefault="007522E3" w:rsidP="008B0FF9">
      <w:pPr>
        <w:tabs>
          <w:tab w:val="left" w:pos="1530"/>
        </w:tabs>
        <w:spacing w:line="260" w:lineRule="atLeast"/>
        <w:rPr>
          <w:rFonts w:cs="Arial"/>
          <w:strike/>
          <w:sz w:val="20"/>
          <w:szCs w:val="20"/>
        </w:rPr>
      </w:pPr>
      <w:r w:rsidRPr="002F30DF">
        <w:rPr>
          <w:rFonts w:cs="Arial"/>
          <w:sz w:val="20"/>
          <w:szCs w:val="20"/>
        </w:rPr>
        <w:t>Navedena odstavka s</w:t>
      </w:r>
      <w:r w:rsidR="00EC465C" w:rsidRPr="002F30DF">
        <w:rPr>
          <w:rFonts w:cs="Arial"/>
          <w:sz w:val="20"/>
          <w:szCs w:val="20"/>
        </w:rPr>
        <w:t>ta</w:t>
      </w:r>
      <w:r w:rsidRPr="002F30DF">
        <w:rPr>
          <w:rFonts w:cs="Arial"/>
          <w:sz w:val="20"/>
          <w:szCs w:val="20"/>
        </w:rPr>
        <w:t xml:space="preserve"> pren</w:t>
      </w:r>
      <w:r w:rsidR="00EC465C" w:rsidRPr="002F30DF">
        <w:rPr>
          <w:rFonts w:cs="Arial"/>
          <w:sz w:val="20"/>
          <w:szCs w:val="20"/>
        </w:rPr>
        <w:t>esena</w:t>
      </w:r>
      <w:r w:rsidRPr="002F30DF">
        <w:rPr>
          <w:rFonts w:cs="Arial"/>
          <w:sz w:val="20"/>
          <w:szCs w:val="20"/>
        </w:rPr>
        <w:t xml:space="preserve"> v </w:t>
      </w:r>
      <w:r w:rsidRPr="002F30DF">
        <w:rPr>
          <w:rFonts w:cs="Arial"/>
          <w:sz w:val="20"/>
          <w:szCs w:val="20"/>
          <w:u w:val="single"/>
        </w:rPr>
        <w:t>prvi in tretji odstavek</w:t>
      </w:r>
      <w:r w:rsidR="007B0D35" w:rsidRPr="002F30DF">
        <w:rPr>
          <w:rFonts w:cs="Arial"/>
          <w:sz w:val="20"/>
          <w:szCs w:val="20"/>
          <w:u w:val="single"/>
        </w:rPr>
        <w:t xml:space="preserve"> </w:t>
      </w:r>
      <w:r w:rsidR="007B0D35" w:rsidRPr="002F30DF">
        <w:rPr>
          <w:rFonts w:cs="Arial"/>
          <w:sz w:val="20"/>
          <w:szCs w:val="20"/>
        </w:rPr>
        <w:t>tega člena</w:t>
      </w:r>
      <w:r w:rsidRPr="002F30DF">
        <w:rPr>
          <w:rFonts w:cs="Arial"/>
          <w:sz w:val="20"/>
          <w:szCs w:val="20"/>
        </w:rPr>
        <w:t xml:space="preserve">, s katerima se ureja pravna podlaga za izrek administrativne sankcije podjetju za najhujše kršitve tega zakona </w:t>
      </w:r>
      <w:r w:rsidR="00D26BD4" w:rsidRPr="002F30DF">
        <w:rPr>
          <w:rFonts w:cs="Arial"/>
          <w:sz w:val="20"/>
          <w:szCs w:val="20"/>
        </w:rPr>
        <w:t xml:space="preserve">ali </w:t>
      </w:r>
      <w:r w:rsidRPr="002F30DF">
        <w:rPr>
          <w:rFonts w:cs="Arial"/>
          <w:sz w:val="20"/>
          <w:szCs w:val="20"/>
        </w:rPr>
        <w:t>101. ali 102. člena PDEU.</w:t>
      </w:r>
      <w:r w:rsidR="008B0FF9" w:rsidRPr="002F30DF">
        <w:rPr>
          <w:rFonts w:cs="Arial"/>
          <w:sz w:val="20"/>
          <w:szCs w:val="20"/>
        </w:rPr>
        <w:t xml:space="preserve"> </w:t>
      </w:r>
    </w:p>
    <w:p w:rsidR="007522E3" w:rsidRPr="002F30DF" w:rsidRDefault="007522E3" w:rsidP="0025166A">
      <w:pPr>
        <w:tabs>
          <w:tab w:val="left" w:pos="1530"/>
        </w:tabs>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administrativno sankcijo za kršitev določb v zvezi z omejevalnimi ravnanji. </w:t>
      </w:r>
      <w:r w:rsidR="0045309B" w:rsidRPr="002F30DF">
        <w:rPr>
          <w:rFonts w:cs="Arial"/>
          <w:sz w:val="20"/>
          <w:szCs w:val="20"/>
        </w:rPr>
        <w:t>Agenc</w:t>
      </w:r>
      <w:r w:rsidRPr="002F30DF">
        <w:rPr>
          <w:rFonts w:cs="Arial"/>
          <w:sz w:val="20"/>
          <w:szCs w:val="20"/>
        </w:rPr>
        <w:t xml:space="preserve">ija izreče administrativno sankcijo podjetju, če le to naklepoma ali iz malomarnosti krši 5. ali 8. člen tega zakona ali temu ekvivalentni določbi 101. ali 102. člena PDEU, ali če podjetje ne spoštuje pravnomočne odločbe, v kateri mu bo naloženo naj preneha s kršitvijo, ali če podjetje ne spoštuje začasnih ukrepov ali če podjetje ne spoštuje z odločbo sprejeti zavez. </w:t>
      </w:r>
    </w:p>
    <w:p w:rsidR="007522E3" w:rsidRPr="002F30DF" w:rsidRDefault="007522E3" w:rsidP="0025166A">
      <w:pPr>
        <w:spacing w:line="260" w:lineRule="atLeast"/>
        <w:rPr>
          <w:rFonts w:cs="Arial"/>
          <w:i/>
          <w:sz w:val="20"/>
          <w:szCs w:val="20"/>
        </w:rPr>
      </w:pPr>
      <w:r w:rsidRPr="002F30DF">
        <w:rPr>
          <w:rFonts w:cs="Arial"/>
          <w:sz w:val="20"/>
          <w:szCs w:val="20"/>
        </w:rPr>
        <w:t xml:space="preserve">Za te kršitve se določa najvišja zgornja meja dopustne administrativne sankcije, ki ne odstopa od veljavne ureditve. Administrativna sankcija, ki jo </w:t>
      </w:r>
      <w:r w:rsidR="00DB1A69" w:rsidRPr="002F30DF">
        <w:rPr>
          <w:rFonts w:cs="Arial"/>
          <w:sz w:val="20"/>
          <w:szCs w:val="20"/>
        </w:rPr>
        <w:t>a</w:t>
      </w:r>
      <w:r w:rsidR="0045309B" w:rsidRPr="002F30DF">
        <w:rPr>
          <w:rFonts w:cs="Arial"/>
          <w:sz w:val="20"/>
          <w:szCs w:val="20"/>
        </w:rPr>
        <w:t>genc</w:t>
      </w:r>
      <w:r w:rsidRPr="002F30DF">
        <w:rPr>
          <w:rFonts w:cs="Arial"/>
          <w:sz w:val="20"/>
          <w:szCs w:val="20"/>
        </w:rPr>
        <w:t xml:space="preserve">ija </w:t>
      </w:r>
      <w:r w:rsidR="00D55343" w:rsidRPr="002F30DF">
        <w:rPr>
          <w:rFonts w:cs="Arial"/>
          <w:sz w:val="20"/>
          <w:szCs w:val="20"/>
        </w:rPr>
        <w:t>izreče</w:t>
      </w:r>
      <w:r w:rsidRPr="002F30DF">
        <w:rPr>
          <w:rFonts w:cs="Arial"/>
          <w:sz w:val="20"/>
          <w:szCs w:val="20"/>
        </w:rPr>
        <w:t xml:space="preserve"> za posamezno ugotovljeno kršitev, ne sme presegati deset odstotkov letnega prometa podjetja v preteklem poslovnem letu, pri čemer se preteklo poslovno leto nanaša na poslovno leto pred izdajo odločbe. </w:t>
      </w:r>
      <w:r w:rsidR="008A73DD" w:rsidRPr="002F30DF">
        <w:rPr>
          <w:rFonts w:cs="Arial"/>
          <w:sz w:val="20"/>
          <w:szCs w:val="20"/>
        </w:rPr>
        <w:t xml:space="preserve">Izrečena administrativna sankcija mora biti učinkovita, sorazmerna s storjeno kršitvijo in biti mora odvračilna. </w:t>
      </w:r>
      <w:r w:rsidRPr="002F30DF">
        <w:rPr>
          <w:rFonts w:cs="Arial"/>
          <w:sz w:val="20"/>
          <w:szCs w:val="20"/>
        </w:rPr>
        <w:t xml:space="preserve">S tem odstavkom se </w:t>
      </w:r>
      <w:r w:rsidR="00F01CB3" w:rsidRPr="002F30DF">
        <w:rPr>
          <w:rFonts w:cs="Arial"/>
          <w:sz w:val="20"/>
          <w:szCs w:val="20"/>
        </w:rPr>
        <w:t xml:space="preserve">tudi </w:t>
      </w:r>
      <w:r w:rsidRPr="002F30DF">
        <w:rPr>
          <w:rFonts w:cs="Arial"/>
          <w:sz w:val="20"/>
          <w:szCs w:val="20"/>
        </w:rPr>
        <w:t xml:space="preserve">prenaša prvi odstavek 15. člena Direktive 2019/1, ki določa, da </w:t>
      </w:r>
      <w:r w:rsidRPr="002F30DF">
        <w:rPr>
          <w:rFonts w:cs="Arial"/>
          <w:i/>
          <w:sz w:val="20"/>
          <w:szCs w:val="20"/>
        </w:rPr>
        <w:t>najvišji znesek globe, ki jo lahko nacionalni organi, pristojni za varstvo konkurence, izrečejo vsakemu posameznemu podjetju ali podjetniškemu združenju, udeleženemu pri kršitvi 101</w:t>
      </w:r>
      <w:r w:rsidR="007B0D35" w:rsidRPr="002F30DF">
        <w:rPr>
          <w:rFonts w:cs="Arial"/>
          <w:i/>
          <w:sz w:val="20"/>
          <w:szCs w:val="20"/>
        </w:rPr>
        <w:t>.</w:t>
      </w:r>
      <w:r w:rsidRPr="002F30DF">
        <w:rPr>
          <w:rFonts w:cs="Arial"/>
          <w:i/>
          <w:sz w:val="20"/>
          <w:szCs w:val="20"/>
        </w:rPr>
        <w:t xml:space="preserve"> ali 102</w:t>
      </w:r>
      <w:r w:rsidR="007B0D35" w:rsidRPr="002F30DF">
        <w:rPr>
          <w:rFonts w:cs="Arial"/>
          <w:i/>
          <w:sz w:val="20"/>
          <w:szCs w:val="20"/>
        </w:rPr>
        <w:t>. člena</w:t>
      </w:r>
      <w:r w:rsidRPr="002F30DF">
        <w:rPr>
          <w:rFonts w:cs="Arial"/>
          <w:i/>
          <w:sz w:val="20"/>
          <w:szCs w:val="20"/>
        </w:rPr>
        <w:t xml:space="preserve"> PDEU, ne znaša manj kot 10</w:t>
      </w:r>
      <w:r w:rsidR="007D6C3D" w:rsidRPr="002F30DF">
        <w:rPr>
          <w:rFonts w:cs="Arial"/>
          <w:i/>
          <w:sz w:val="20"/>
          <w:szCs w:val="20"/>
        </w:rPr>
        <w:t xml:space="preserve"> </w:t>
      </w:r>
      <w:r w:rsidRPr="002F30DF">
        <w:rPr>
          <w:rFonts w:cs="Arial"/>
          <w:i/>
          <w:sz w:val="20"/>
          <w:szCs w:val="20"/>
        </w:rPr>
        <w:t>% skupnega svetovnega prometa podjetja ali podjetniškega združenja v poslovnem letu pred odločbo iz</w:t>
      </w:r>
      <w:r w:rsidR="007B0D35" w:rsidRPr="002F30DF">
        <w:rPr>
          <w:rFonts w:cs="Arial"/>
          <w:i/>
          <w:sz w:val="20"/>
          <w:szCs w:val="20"/>
        </w:rPr>
        <w:t xml:space="preserve"> prvega odstavka 13.</w:t>
      </w:r>
      <w:r w:rsidRPr="002F30DF">
        <w:rPr>
          <w:rFonts w:cs="Arial"/>
          <w:i/>
          <w:sz w:val="20"/>
          <w:szCs w:val="20"/>
        </w:rPr>
        <w:t xml:space="preserve"> člena.</w:t>
      </w:r>
    </w:p>
    <w:p w:rsidR="007522E3" w:rsidRPr="002F30DF" w:rsidRDefault="007522E3" w:rsidP="0025166A">
      <w:pPr>
        <w:spacing w:line="260" w:lineRule="atLeast"/>
        <w:rPr>
          <w:rFonts w:cs="Arial"/>
          <w:sz w:val="20"/>
          <w:szCs w:val="20"/>
        </w:rPr>
      </w:pPr>
    </w:p>
    <w:p w:rsidR="007522E3" w:rsidRPr="002F30DF" w:rsidRDefault="007522E3" w:rsidP="0025166A">
      <w:pPr>
        <w:tabs>
          <w:tab w:val="left" w:pos="1530"/>
        </w:tabs>
        <w:spacing w:line="260" w:lineRule="atLeast"/>
        <w:rPr>
          <w:rFonts w:cs="Arial"/>
          <w:sz w:val="20"/>
          <w:szCs w:val="20"/>
        </w:rPr>
      </w:pPr>
      <w:r w:rsidRPr="002F30DF">
        <w:rPr>
          <w:rFonts w:cs="Arial"/>
          <w:sz w:val="20"/>
          <w:szCs w:val="20"/>
          <w:u w:val="single"/>
        </w:rPr>
        <w:lastRenderedPageBreak/>
        <w:t>Drugi odstavek</w:t>
      </w:r>
      <w:r w:rsidRPr="002F30DF">
        <w:rPr>
          <w:rFonts w:cs="Arial"/>
          <w:sz w:val="20"/>
          <w:szCs w:val="20"/>
        </w:rPr>
        <w:t xml:space="preserve"> določa administrativno sankcijo za kršitev določb v zvezi s kršitvami določb povezanih s postopkom koncentracije. V primeru kršitve določb, povezanih s postopkom koncentracije, </w:t>
      </w:r>
      <w:r w:rsidR="00DB1A69" w:rsidRPr="002F30DF">
        <w:rPr>
          <w:rFonts w:cs="Arial"/>
          <w:sz w:val="20"/>
          <w:szCs w:val="20"/>
        </w:rPr>
        <w:t>a</w:t>
      </w:r>
      <w:r w:rsidR="0045309B" w:rsidRPr="002F30DF">
        <w:rPr>
          <w:rFonts w:cs="Arial"/>
          <w:sz w:val="20"/>
          <w:szCs w:val="20"/>
        </w:rPr>
        <w:t>genc</w:t>
      </w:r>
      <w:r w:rsidRPr="002F30DF">
        <w:rPr>
          <w:rFonts w:cs="Arial"/>
          <w:sz w:val="20"/>
          <w:szCs w:val="20"/>
        </w:rPr>
        <w:t xml:space="preserve">ija izreče administrativno sankcijo podjetju, če le to naklepoma ali iz malomarnosti </w:t>
      </w:r>
      <w:r w:rsidR="00DB1A69" w:rsidRPr="002F30DF">
        <w:rPr>
          <w:rFonts w:cs="Arial"/>
          <w:sz w:val="20"/>
          <w:szCs w:val="20"/>
        </w:rPr>
        <w:t>a</w:t>
      </w:r>
      <w:r w:rsidR="0045309B" w:rsidRPr="002F30DF">
        <w:rPr>
          <w:rFonts w:cs="Arial"/>
          <w:sz w:val="20"/>
          <w:szCs w:val="20"/>
        </w:rPr>
        <w:t>genc</w:t>
      </w:r>
      <w:r w:rsidRPr="002F30DF">
        <w:rPr>
          <w:rFonts w:cs="Arial"/>
          <w:sz w:val="20"/>
          <w:szCs w:val="20"/>
        </w:rPr>
        <w:t>iji ne priglasi koncentracije</w:t>
      </w:r>
      <w:r w:rsidR="00E84C61" w:rsidRPr="002F30DF">
        <w:rPr>
          <w:rFonts w:eastAsia="Calibri" w:cs="Arial"/>
          <w:sz w:val="20"/>
          <w:szCs w:val="20"/>
          <w:lang w:eastAsia="en-US"/>
        </w:rPr>
        <w:t xml:space="preserve"> v skladu z 6</w:t>
      </w:r>
      <w:r w:rsidR="00131430" w:rsidRPr="002F30DF">
        <w:rPr>
          <w:rFonts w:eastAsia="Calibri" w:cs="Arial"/>
          <w:sz w:val="20"/>
          <w:szCs w:val="20"/>
          <w:lang w:eastAsia="en-US"/>
        </w:rPr>
        <w:t>8</w:t>
      </w:r>
      <w:r w:rsidR="00E84C61" w:rsidRPr="002F30DF">
        <w:rPr>
          <w:rFonts w:eastAsia="Calibri" w:cs="Arial"/>
          <w:sz w:val="20"/>
          <w:szCs w:val="20"/>
          <w:lang w:eastAsia="en-US"/>
        </w:rPr>
        <w:t xml:space="preserve">. členom </w:t>
      </w:r>
      <w:r w:rsidR="009A2FB0" w:rsidRPr="002F30DF">
        <w:rPr>
          <w:rFonts w:eastAsia="Calibri" w:cs="Arial"/>
          <w:sz w:val="20"/>
          <w:szCs w:val="20"/>
          <w:lang w:eastAsia="en-US"/>
        </w:rPr>
        <w:t>in v roku iz</w:t>
      </w:r>
      <w:r w:rsidR="00131430" w:rsidRPr="002F30DF">
        <w:rPr>
          <w:rFonts w:eastAsia="Calibri" w:cs="Arial"/>
          <w:sz w:val="20"/>
          <w:szCs w:val="20"/>
          <w:lang w:eastAsia="en-US"/>
        </w:rPr>
        <w:t xml:space="preserve"> 68</w:t>
      </w:r>
      <w:r w:rsidR="009A2FB0" w:rsidRPr="002F30DF">
        <w:rPr>
          <w:rFonts w:eastAsia="Calibri" w:cs="Arial"/>
          <w:sz w:val="20"/>
          <w:szCs w:val="20"/>
          <w:lang w:eastAsia="en-US"/>
        </w:rPr>
        <w:t>. člena tega zakona</w:t>
      </w:r>
      <w:r w:rsidRPr="002F30DF">
        <w:rPr>
          <w:rFonts w:cs="Arial"/>
          <w:sz w:val="20"/>
          <w:szCs w:val="20"/>
        </w:rPr>
        <w:t xml:space="preserve"> ali ko podjetje v nasprotju </w:t>
      </w:r>
      <w:r w:rsidR="003C70CA" w:rsidRPr="002F30DF">
        <w:rPr>
          <w:rFonts w:cs="Arial"/>
          <w:sz w:val="20"/>
          <w:szCs w:val="20"/>
        </w:rPr>
        <w:t>z</w:t>
      </w:r>
      <w:r w:rsidRPr="002F30DF">
        <w:rPr>
          <w:rFonts w:cs="Arial"/>
          <w:sz w:val="20"/>
          <w:szCs w:val="20"/>
        </w:rPr>
        <w:t xml:space="preserve"> </w:t>
      </w:r>
      <w:r w:rsidR="003C70CA" w:rsidRPr="002F30DF">
        <w:rPr>
          <w:rFonts w:cs="Arial"/>
          <w:sz w:val="20"/>
          <w:szCs w:val="20"/>
        </w:rPr>
        <w:t>69</w:t>
      </w:r>
      <w:r w:rsidRPr="002F30DF">
        <w:rPr>
          <w:rFonts w:cs="Arial"/>
          <w:sz w:val="20"/>
          <w:szCs w:val="20"/>
        </w:rPr>
        <w:t xml:space="preserve">. členom tega zakona izvršuje pravice ali obveznosti, ki izhajajo iz koncentracije, ali ko podjetje ne izpolni korektivnih ukrepov ali obveznosti, določenih v odločbi o skladnosti koncentracije s pravili konkurence, ali ko podjetje ravna v nasprotju z odločbo o neskladnosti koncentracije s pravili konkurence, ali ko podjetje ravna v nasprotju z izvršljivo odločbo, ki jo je </w:t>
      </w:r>
      <w:r w:rsidR="00DB1A69" w:rsidRPr="002F30DF">
        <w:rPr>
          <w:rFonts w:cs="Arial"/>
          <w:sz w:val="20"/>
          <w:szCs w:val="20"/>
        </w:rPr>
        <w:t>a</w:t>
      </w:r>
      <w:r w:rsidR="0045309B" w:rsidRPr="002F30DF">
        <w:rPr>
          <w:rFonts w:cs="Arial"/>
          <w:sz w:val="20"/>
          <w:szCs w:val="20"/>
        </w:rPr>
        <w:t>genc</w:t>
      </w:r>
      <w:r w:rsidR="00DB1A69" w:rsidRPr="002F30DF">
        <w:rPr>
          <w:rFonts w:cs="Arial"/>
          <w:sz w:val="20"/>
          <w:szCs w:val="20"/>
        </w:rPr>
        <w:t xml:space="preserve">ija izdala na podlagi </w:t>
      </w:r>
      <w:r w:rsidR="00BB66B2" w:rsidRPr="002F30DF">
        <w:rPr>
          <w:rFonts w:cs="Arial"/>
          <w:sz w:val="20"/>
          <w:szCs w:val="20"/>
        </w:rPr>
        <w:t>7</w:t>
      </w:r>
      <w:r w:rsidR="00C90F38" w:rsidRPr="002F30DF">
        <w:rPr>
          <w:rFonts w:cs="Arial"/>
          <w:sz w:val="20"/>
          <w:szCs w:val="20"/>
        </w:rPr>
        <w:t>7</w:t>
      </w:r>
      <w:r w:rsidRPr="002F30DF">
        <w:rPr>
          <w:rFonts w:cs="Arial"/>
          <w:sz w:val="20"/>
          <w:szCs w:val="20"/>
        </w:rPr>
        <w:t xml:space="preserve">. člena tega zakona. </w:t>
      </w:r>
    </w:p>
    <w:p w:rsidR="007D6C3D" w:rsidRPr="002F30DF" w:rsidRDefault="007D6C3D" w:rsidP="0025166A">
      <w:pPr>
        <w:tabs>
          <w:tab w:val="left" w:pos="1530"/>
        </w:tabs>
        <w:spacing w:line="260" w:lineRule="atLeast"/>
        <w:rPr>
          <w:rFonts w:cs="Arial"/>
          <w:sz w:val="20"/>
          <w:szCs w:val="20"/>
        </w:rPr>
      </w:pPr>
    </w:p>
    <w:p w:rsidR="007522E3" w:rsidRPr="002F30DF" w:rsidRDefault="007522E3" w:rsidP="00CD6289">
      <w:pPr>
        <w:overflowPunct/>
        <w:autoSpaceDE/>
        <w:autoSpaceDN/>
        <w:adjustRightInd/>
        <w:spacing w:line="260" w:lineRule="atLeast"/>
        <w:textAlignment w:val="auto"/>
        <w:rPr>
          <w:rFonts w:eastAsia="Calibri" w:cs="Arial"/>
          <w:sz w:val="20"/>
          <w:szCs w:val="20"/>
          <w:lang w:eastAsia="en-US"/>
        </w:rPr>
      </w:pPr>
      <w:r w:rsidRPr="002F30DF">
        <w:rPr>
          <w:rFonts w:cs="Arial"/>
          <w:sz w:val="20"/>
          <w:szCs w:val="20"/>
        </w:rPr>
        <w:t xml:space="preserve">V </w:t>
      </w:r>
      <w:r w:rsidRPr="002F30DF">
        <w:rPr>
          <w:rFonts w:cs="Arial"/>
          <w:sz w:val="20"/>
          <w:szCs w:val="20"/>
          <w:u w:val="single"/>
        </w:rPr>
        <w:t>tretjem odstavku</w:t>
      </w:r>
      <w:r w:rsidRPr="002F30DF">
        <w:rPr>
          <w:rFonts w:cs="Arial"/>
          <w:sz w:val="20"/>
          <w:szCs w:val="20"/>
        </w:rPr>
        <w:t xml:space="preserve"> je določena administrativna sankcija v višini največ enega odstotka letnega prometa podjetja v predhodnem poslovnem letu, kadar podjetje</w:t>
      </w:r>
      <w:r w:rsidR="007B0D35" w:rsidRPr="002F30DF">
        <w:rPr>
          <w:rFonts w:cs="Arial"/>
          <w:sz w:val="20"/>
          <w:szCs w:val="20"/>
        </w:rPr>
        <w:t xml:space="preserve"> v odgovoru na zahtevo za posredovanje podatkov iz prvega odstavka </w:t>
      </w:r>
      <w:r w:rsidR="00BB66B2" w:rsidRPr="002F30DF">
        <w:rPr>
          <w:rFonts w:cs="Arial"/>
          <w:sz w:val="20"/>
          <w:szCs w:val="20"/>
        </w:rPr>
        <w:t>5</w:t>
      </w:r>
      <w:r w:rsidR="003C70CA" w:rsidRPr="002F30DF">
        <w:rPr>
          <w:rFonts w:cs="Arial"/>
          <w:sz w:val="20"/>
          <w:szCs w:val="20"/>
        </w:rPr>
        <w:t>3</w:t>
      </w:r>
      <w:r w:rsidR="007B0D35" w:rsidRPr="002F30DF">
        <w:rPr>
          <w:rFonts w:cs="Arial"/>
          <w:sz w:val="20"/>
          <w:szCs w:val="20"/>
        </w:rPr>
        <w:t>. člena</w:t>
      </w:r>
      <w:r w:rsidR="008C2935" w:rsidRPr="002F30DF">
        <w:rPr>
          <w:rFonts w:cs="Arial"/>
          <w:sz w:val="20"/>
          <w:szCs w:val="20"/>
        </w:rPr>
        <w:t xml:space="preserve"> in </w:t>
      </w:r>
      <w:r w:rsidR="003C70CA" w:rsidRPr="002F30DF">
        <w:rPr>
          <w:rFonts w:eastAsia="Calibri" w:cs="Arial"/>
          <w:sz w:val="20"/>
          <w:szCs w:val="20"/>
          <w:lang w:eastAsia="en-US"/>
        </w:rPr>
        <w:t>72</w:t>
      </w:r>
      <w:r w:rsidR="005C5672" w:rsidRPr="002F30DF">
        <w:rPr>
          <w:rFonts w:eastAsia="Calibri" w:cs="Arial"/>
          <w:sz w:val="20"/>
          <w:szCs w:val="20"/>
          <w:lang w:eastAsia="en-US"/>
        </w:rPr>
        <w:t xml:space="preserve">. člena </w:t>
      </w:r>
      <w:r w:rsidR="008C2935" w:rsidRPr="002F30DF">
        <w:rPr>
          <w:rFonts w:eastAsia="Calibri" w:cs="Arial"/>
          <w:sz w:val="20"/>
          <w:szCs w:val="20"/>
          <w:lang w:eastAsia="en-US"/>
        </w:rPr>
        <w:t>tega zakona</w:t>
      </w:r>
      <w:r w:rsidR="007B0D35" w:rsidRPr="002F30DF">
        <w:rPr>
          <w:rFonts w:cs="Arial"/>
          <w:sz w:val="20"/>
          <w:szCs w:val="20"/>
        </w:rPr>
        <w:t xml:space="preserve"> predloži </w:t>
      </w:r>
      <w:r w:rsidR="004B6915" w:rsidRPr="002F30DF">
        <w:rPr>
          <w:rFonts w:cs="Arial"/>
          <w:sz w:val="20"/>
          <w:szCs w:val="20"/>
        </w:rPr>
        <w:t xml:space="preserve">nepravilne </w:t>
      </w:r>
      <w:r w:rsidR="007B0D35" w:rsidRPr="002F30DF">
        <w:rPr>
          <w:rFonts w:cs="Arial"/>
          <w:sz w:val="20"/>
          <w:szCs w:val="20"/>
        </w:rPr>
        <w:t>ali zavajajoče podatke</w:t>
      </w:r>
      <w:r w:rsidR="00216D71" w:rsidRPr="002F30DF">
        <w:rPr>
          <w:rFonts w:cs="Arial"/>
          <w:sz w:val="20"/>
          <w:szCs w:val="20"/>
        </w:rPr>
        <w:t xml:space="preserve"> ali teh podatkov ne predloži v zahtevanem roku</w:t>
      </w:r>
      <w:r w:rsidR="007B0D35" w:rsidRPr="002F30DF">
        <w:rPr>
          <w:rFonts w:cs="Arial"/>
          <w:sz w:val="20"/>
          <w:szCs w:val="20"/>
        </w:rPr>
        <w:t xml:space="preserve">, </w:t>
      </w:r>
      <w:r w:rsidR="00216D71" w:rsidRPr="002F30DF">
        <w:rPr>
          <w:rFonts w:cs="Arial"/>
          <w:sz w:val="20"/>
          <w:szCs w:val="20"/>
        </w:rPr>
        <w:t>se ne odzove povabilu</w:t>
      </w:r>
      <w:r w:rsidRPr="002F30DF">
        <w:rPr>
          <w:rFonts w:cs="Arial"/>
          <w:sz w:val="20"/>
          <w:szCs w:val="20"/>
        </w:rPr>
        <w:t>, ali če krši določbe, ki se nanašajo na izvajanje preiskave (</w:t>
      </w:r>
      <w:r w:rsidR="00216D71" w:rsidRPr="002F30DF">
        <w:rPr>
          <w:rFonts w:cs="Arial"/>
          <w:sz w:val="20"/>
          <w:szCs w:val="20"/>
        </w:rPr>
        <w:t>predloži nepopolne poslovne knjige in drugo dokumentacijo, ovira pooblaščene osebe pri izvajanju pooblastil</w:t>
      </w:r>
      <w:r w:rsidR="00216D71" w:rsidRPr="002F30DF">
        <w:rPr>
          <w:rFonts w:eastAsia="Calibri" w:cs="Arial"/>
          <w:sz w:val="20"/>
          <w:szCs w:val="20"/>
          <w:lang w:eastAsia="en-US"/>
        </w:rPr>
        <w:t xml:space="preserve">, </w:t>
      </w:r>
      <w:r w:rsidRPr="002F30DF">
        <w:rPr>
          <w:rFonts w:cs="Arial"/>
          <w:sz w:val="20"/>
          <w:szCs w:val="20"/>
        </w:rPr>
        <w:t>poda napačen ali zavajajoč odgovor ali če le</w:t>
      </w:r>
      <w:r w:rsidR="00E11D22" w:rsidRPr="002F30DF">
        <w:rPr>
          <w:rFonts w:cs="Arial"/>
          <w:sz w:val="20"/>
          <w:szCs w:val="20"/>
        </w:rPr>
        <w:t>-</w:t>
      </w:r>
      <w:r w:rsidRPr="002F30DF">
        <w:rPr>
          <w:rFonts w:cs="Arial"/>
          <w:sz w:val="20"/>
          <w:szCs w:val="20"/>
        </w:rPr>
        <w:t>tega v roku n</w:t>
      </w:r>
      <w:r w:rsidR="008C2935" w:rsidRPr="002F30DF">
        <w:rPr>
          <w:rFonts w:cs="Arial"/>
          <w:sz w:val="20"/>
          <w:szCs w:val="20"/>
        </w:rPr>
        <w:t>e</w:t>
      </w:r>
      <w:r w:rsidRPr="002F30DF">
        <w:rPr>
          <w:rFonts w:cs="Arial"/>
          <w:sz w:val="20"/>
          <w:szCs w:val="20"/>
        </w:rPr>
        <w:t xml:space="preserve"> popravi</w:t>
      </w:r>
      <w:r w:rsidR="00216D71" w:rsidRPr="002F30DF">
        <w:rPr>
          <w:rFonts w:cs="Arial"/>
          <w:sz w:val="20"/>
          <w:szCs w:val="20"/>
        </w:rPr>
        <w:t xml:space="preserve">, </w:t>
      </w:r>
      <w:r w:rsidR="00216D71" w:rsidRPr="002F30DF">
        <w:rPr>
          <w:rFonts w:eastAsia="Calibri" w:cs="Arial"/>
          <w:sz w:val="20"/>
          <w:szCs w:val="20"/>
          <w:lang w:eastAsia="en-US"/>
        </w:rPr>
        <w:t>odstrani ali kako drugače poškoduje pečate</w:t>
      </w:r>
      <w:r w:rsidRPr="002F30DF">
        <w:rPr>
          <w:rFonts w:cs="Arial"/>
          <w:sz w:val="20"/>
          <w:szCs w:val="20"/>
        </w:rPr>
        <w:t xml:space="preserve">). </w:t>
      </w:r>
      <w:r w:rsidR="008A73DD" w:rsidRPr="002F30DF">
        <w:rPr>
          <w:rFonts w:cs="Arial"/>
          <w:sz w:val="20"/>
          <w:szCs w:val="20"/>
        </w:rPr>
        <w:t>Agencija ob upoštevanju okoliščin izreče administrativno sankcijo, ki je učinkovita, sorazmerna in odvračilna.</w:t>
      </w:r>
    </w:p>
    <w:p w:rsidR="007522E3" w:rsidRPr="002F30DF" w:rsidRDefault="007522E3" w:rsidP="0025166A">
      <w:pPr>
        <w:tabs>
          <w:tab w:val="left" w:pos="1530"/>
        </w:tabs>
        <w:spacing w:line="260" w:lineRule="atLeast"/>
        <w:rPr>
          <w:rFonts w:cs="Arial"/>
          <w:sz w:val="20"/>
          <w:szCs w:val="20"/>
        </w:rPr>
      </w:pPr>
    </w:p>
    <w:p w:rsidR="00F01CB3" w:rsidRPr="002F30DF" w:rsidRDefault="007522E3" w:rsidP="00CD6289">
      <w:pPr>
        <w:overflowPunct/>
        <w:autoSpaceDE/>
        <w:autoSpaceDN/>
        <w:adjustRightInd/>
        <w:spacing w:line="260" w:lineRule="atLeast"/>
        <w:textAlignment w:val="auto"/>
        <w:rPr>
          <w:rFonts w:eastAsia="Calibri" w:cs="Arial"/>
          <w:sz w:val="20"/>
          <w:szCs w:val="20"/>
          <w:lang w:eastAsia="en-US"/>
        </w:rPr>
      </w:pPr>
      <w:r w:rsidRPr="002F30DF">
        <w:rPr>
          <w:rFonts w:cs="Arial"/>
          <w:sz w:val="20"/>
          <w:szCs w:val="20"/>
        </w:rPr>
        <w:t xml:space="preserve">Z namenom zagotovitve </w:t>
      </w:r>
      <w:r w:rsidR="00DB1A69" w:rsidRPr="002F30DF">
        <w:rPr>
          <w:rFonts w:cs="Arial"/>
          <w:sz w:val="20"/>
          <w:szCs w:val="20"/>
        </w:rPr>
        <w:t>a</w:t>
      </w:r>
      <w:r w:rsidR="0045309B" w:rsidRPr="002F30DF">
        <w:rPr>
          <w:rFonts w:cs="Arial"/>
          <w:sz w:val="20"/>
          <w:szCs w:val="20"/>
        </w:rPr>
        <w:t>genc</w:t>
      </w:r>
      <w:r w:rsidRPr="002F30DF">
        <w:rPr>
          <w:rFonts w:cs="Arial"/>
          <w:sz w:val="20"/>
          <w:szCs w:val="20"/>
        </w:rPr>
        <w:t xml:space="preserve">iji, da ima na voljo učinkovito sankcijo za obravnavo trenutnega ali prihodnjega neupoštevanja njihovih ukrepov </w:t>
      </w:r>
      <w:r w:rsidR="00F01CB3" w:rsidRPr="002F30DF">
        <w:rPr>
          <w:rFonts w:cs="Arial"/>
          <w:sz w:val="20"/>
          <w:szCs w:val="20"/>
        </w:rPr>
        <w:t xml:space="preserve">ali </w:t>
      </w:r>
      <w:r w:rsidRPr="002F30DF">
        <w:rPr>
          <w:rFonts w:cs="Arial"/>
          <w:sz w:val="20"/>
          <w:szCs w:val="20"/>
        </w:rPr>
        <w:t xml:space="preserve">odločb </w:t>
      </w:r>
      <w:r w:rsidR="00DB1A69" w:rsidRPr="002F30DF">
        <w:rPr>
          <w:rFonts w:cs="Arial"/>
          <w:sz w:val="20"/>
          <w:szCs w:val="20"/>
        </w:rPr>
        <w:t>a</w:t>
      </w:r>
      <w:r w:rsidR="0045309B" w:rsidRPr="002F30DF">
        <w:rPr>
          <w:rFonts w:cs="Arial"/>
          <w:sz w:val="20"/>
          <w:szCs w:val="20"/>
        </w:rPr>
        <w:t>genc</w:t>
      </w:r>
      <w:r w:rsidRPr="002F30DF">
        <w:rPr>
          <w:rFonts w:cs="Arial"/>
          <w:sz w:val="20"/>
          <w:szCs w:val="20"/>
        </w:rPr>
        <w:t xml:space="preserve">ije s strani podjetij, se s </w:t>
      </w:r>
      <w:r w:rsidRPr="002F30DF">
        <w:rPr>
          <w:rFonts w:cs="Arial"/>
          <w:sz w:val="20"/>
          <w:szCs w:val="20"/>
          <w:u w:val="single"/>
        </w:rPr>
        <w:t>četrtim odstavkom</w:t>
      </w:r>
      <w:r w:rsidRPr="002F30DF">
        <w:rPr>
          <w:rFonts w:cs="Arial"/>
          <w:sz w:val="20"/>
          <w:szCs w:val="20"/>
        </w:rPr>
        <w:t xml:space="preserve"> uvaja periodična denarna sankcija. Z namenom, da podjetje </w:t>
      </w:r>
      <w:r w:rsidR="00DB1A69" w:rsidRPr="002F30DF">
        <w:rPr>
          <w:rFonts w:cs="Arial"/>
          <w:sz w:val="20"/>
          <w:szCs w:val="20"/>
        </w:rPr>
        <w:t xml:space="preserve">posreduje popolne in točne podatke na zahtevo za posredovanje podatkov, </w:t>
      </w:r>
      <w:r w:rsidR="001049EE" w:rsidRPr="002F30DF">
        <w:rPr>
          <w:rFonts w:cs="Arial"/>
          <w:sz w:val="20"/>
          <w:szCs w:val="20"/>
        </w:rPr>
        <w:t xml:space="preserve">k udeležbi na razgovor za zbiranje informacij iz </w:t>
      </w:r>
      <w:r w:rsidR="00BB66B2" w:rsidRPr="002F30DF">
        <w:rPr>
          <w:rFonts w:cs="Arial"/>
          <w:sz w:val="20"/>
          <w:szCs w:val="20"/>
        </w:rPr>
        <w:t>5</w:t>
      </w:r>
      <w:r w:rsidR="003C70CA" w:rsidRPr="002F30DF">
        <w:rPr>
          <w:rFonts w:cs="Arial"/>
          <w:sz w:val="20"/>
          <w:szCs w:val="20"/>
        </w:rPr>
        <w:t>4</w:t>
      </w:r>
      <w:r w:rsidR="001049EE" w:rsidRPr="002F30DF">
        <w:rPr>
          <w:rFonts w:cs="Arial"/>
          <w:sz w:val="20"/>
          <w:szCs w:val="20"/>
        </w:rPr>
        <w:t xml:space="preserve">. člena </w:t>
      </w:r>
      <w:r w:rsidRPr="002F30DF">
        <w:rPr>
          <w:rFonts w:cs="Arial"/>
          <w:sz w:val="20"/>
          <w:szCs w:val="20"/>
        </w:rPr>
        <w:t xml:space="preserve">spoštuje odločbe iz </w:t>
      </w:r>
      <w:r w:rsidR="00BB66B2" w:rsidRPr="002F30DF">
        <w:rPr>
          <w:rFonts w:cs="Arial"/>
          <w:sz w:val="20"/>
          <w:szCs w:val="20"/>
        </w:rPr>
        <w:t>6</w:t>
      </w:r>
      <w:r w:rsidR="003C70CA" w:rsidRPr="002F30DF">
        <w:rPr>
          <w:rFonts w:cs="Arial"/>
          <w:sz w:val="20"/>
          <w:szCs w:val="20"/>
        </w:rPr>
        <w:t>2</w:t>
      </w:r>
      <w:r w:rsidRPr="002F30DF">
        <w:rPr>
          <w:rFonts w:cs="Arial"/>
          <w:sz w:val="20"/>
          <w:szCs w:val="20"/>
        </w:rPr>
        <w:t xml:space="preserve">., </w:t>
      </w:r>
      <w:r w:rsidR="00BB66B2" w:rsidRPr="002F30DF">
        <w:rPr>
          <w:rFonts w:cs="Arial"/>
          <w:sz w:val="20"/>
          <w:szCs w:val="20"/>
        </w:rPr>
        <w:t>6</w:t>
      </w:r>
      <w:r w:rsidR="003C70CA" w:rsidRPr="002F30DF">
        <w:rPr>
          <w:rFonts w:cs="Arial"/>
          <w:sz w:val="20"/>
          <w:szCs w:val="20"/>
        </w:rPr>
        <w:t>3</w:t>
      </w:r>
      <w:r w:rsidR="00DB1A69" w:rsidRPr="002F30DF">
        <w:rPr>
          <w:rFonts w:cs="Arial"/>
          <w:sz w:val="20"/>
          <w:szCs w:val="20"/>
        </w:rPr>
        <w:t>.</w:t>
      </w:r>
      <w:r w:rsidRPr="002F30DF">
        <w:rPr>
          <w:rFonts w:cs="Arial"/>
          <w:sz w:val="20"/>
          <w:szCs w:val="20"/>
        </w:rPr>
        <w:t xml:space="preserve"> in </w:t>
      </w:r>
      <w:r w:rsidR="00BB66B2" w:rsidRPr="002F30DF">
        <w:rPr>
          <w:rFonts w:cs="Arial"/>
          <w:sz w:val="20"/>
          <w:szCs w:val="20"/>
        </w:rPr>
        <w:t>6</w:t>
      </w:r>
      <w:r w:rsidR="003C70CA" w:rsidRPr="002F30DF">
        <w:rPr>
          <w:rFonts w:cs="Arial"/>
          <w:sz w:val="20"/>
          <w:szCs w:val="20"/>
        </w:rPr>
        <w:t>4</w:t>
      </w:r>
      <w:r w:rsidRPr="002F30DF">
        <w:rPr>
          <w:rFonts w:cs="Arial"/>
          <w:sz w:val="20"/>
          <w:szCs w:val="20"/>
        </w:rPr>
        <w:t xml:space="preserve">. člena </w:t>
      </w:r>
      <w:r w:rsidR="00E24278" w:rsidRPr="002F30DF">
        <w:rPr>
          <w:rFonts w:cs="Arial"/>
          <w:sz w:val="20"/>
          <w:szCs w:val="20"/>
        </w:rPr>
        <w:t xml:space="preserve">in </w:t>
      </w:r>
      <w:r w:rsidR="00E24278" w:rsidRPr="002F30DF">
        <w:rPr>
          <w:rFonts w:eastAsia="Calibri" w:cs="Arial"/>
          <w:sz w:val="20"/>
          <w:szCs w:val="20"/>
          <w:lang w:eastAsia="en-US"/>
        </w:rPr>
        <w:t xml:space="preserve">predložitvi popolnih in pravilnih informacij na zahtevo iz 73. člena tega zakona, </w:t>
      </w:r>
      <w:r w:rsidRPr="002F30DF">
        <w:rPr>
          <w:rFonts w:cs="Arial"/>
          <w:sz w:val="20"/>
          <w:szCs w:val="20"/>
        </w:rPr>
        <w:t xml:space="preserve">lahko </w:t>
      </w:r>
      <w:r w:rsidR="00DB1A69" w:rsidRPr="002F30DF">
        <w:rPr>
          <w:rFonts w:cs="Arial"/>
          <w:sz w:val="20"/>
          <w:szCs w:val="20"/>
        </w:rPr>
        <w:t>a</w:t>
      </w:r>
      <w:r w:rsidR="0045309B" w:rsidRPr="002F30DF">
        <w:rPr>
          <w:rFonts w:cs="Arial"/>
          <w:sz w:val="20"/>
          <w:szCs w:val="20"/>
        </w:rPr>
        <w:t>genc</w:t>
      </w:r>
      <w:r w:rsidRPr="002F30DF">
        <w:rPr>
          <w:rFonts w:cs="Arial"/>
          <w:sz w:val="20"/>
          <w:szCs w:val="20"/>
        </w:rPr>
        <w:t xml:space="preserve">ija naloži podjetju plačilo periodične denarne sankcije za vsak dan nesodelovanja oziroma neupoštevanja odločb </w:t>
      </w:r>
      <w:r w:rsidR="00DB1A69" w:rsidRPr="002F30DF">
        <w:rPr>
          <w:rFonts w:cs="Arial"/>
          <w:sz w:val="20"/>
          <w:szCs w:val="20"/>
        </w:rPr>
        <w:t>a</w:t>
      </w:r>
      <w:r w:rsidR="0045309B" w:rsidRPr="002F30DF">
        <w:rPr>
          <w:rFonts w:cs="Arial"/>
          <w:sz w:val="20"/>
          <w:szCs w:val="20"/>
        </w:rPr>
        <w:t>genc</w:t>
      </w:r>
      <w:r w:rsidRPr="002F30DF">
        <w:rPr>
          <w:rFonts w:cs="Arial"/>
          <w:sz w:val="20"/>
          <w:szCs w:val="20"/>
        </w:rPr>
        <w:t xml:space="preserve">ije. S tem odstavkom se prenaša 16. člen Direktive 2019/1, ki nalaga državam članicam, </w:t>
      </w:r>
      <w:r w:rsidRPr="002F30DF">
        <w:rPr>
          <w:rFonts w:cs="Arial"/>
          <w:i/>
          <w:sz w:val="20"/>
          <w:szCs w:val="20"/>
        </w:rPr>
        <w:t xml:space="preserve">da zagotovijo možnost naložitve periodične denarne kazni z namenom, da se podjetje prisili vsaj, da predloži popolne in pravilne informacije na zahtevo iz 8. člena Direktive, da se udeležijo razgovora iz 9. člena Direktive, da se podvržejo pregledu, kot je določeno v drugem odstavku 6. člena Direktive ter da upoštevajo odločbe iz 10., 11. in 12. člena Direktive. </w:t>
      </w:r>
      <w:r w:rsidR="001D06F4" w:rsidRPr="002F30DF">
        <w:rPr>
          <w:rFonts w:cs="Arial"/>
          <w:i/>
          <w:sz w:val="20"/>
          <w:szCs w:val="20"/>
        </w:rPr>
        <w:t>T</w:t>
      </w:r>
      <w:r w:rsidRPr="002F30DF">
        <w:rPr>
          <w:rFonts w:cs="Arial"/>
          <w:i/>
          <w:sz w:val="20"/>
          <w:szCs w:val="20"/>
        </w:rPr>
        <w:t xml:space="preserve">ake periodične denarne kazni </w:t>
      </w:r>
      <w:r w:rsidR="001D06F4" w:rsidRPr="002F30DF">
        <w:rPr>
          <w:rFonts w:cs="Arial"/>
          <w:i/>
          <w:sz w:val="20"/>
          <w:szCs w:val="20"/>
        </w:rPr>
        <w:lastRenderedPageBreak/>
        <w:t xml:space="preserve">se </w:t>
      </w:r>
      <w:r w:rsidRPr="002F30DF">
        <w:rPr>
          <w:rFonts w:cs="Arial"/>
          <w:i/>
          <w:sz w:val="20"/>
          <w:szCs w:val="20"/>
        </w:rPr>
        <w:t>določijo sorazmerno glede na povprečni dnevni skupni promet teh podjetij ali podjetniških združenj v predhodnem poslovnem letu na dan in se izračunajo od datuma, določenega v tej odločbi.</w:t>
      </w:r>
    </w:p>
    <w:p w:rsidR="007522E3" w:rsidRPr="002F30DF" w:rsidRDefault="007522E3" w:rsidP="0025166A">
      <w:pPr>
        <w:spacing w:line="260" w:lineRule="atLeast"/>
        <w:rPr>
          <w:rFonts w:cs="Arial"/>
          <w:sz w:val="20"/>
          <w:szCs w:val="20"/>
        </w:rPr>
      </w:pPr>
    </w:p>
    <w:p w:rsidR="007522E3" w:rsidRPr="002F30DF" w:rsidRDefault="007522E3" w:rsidP="005C5672">
      <w:pPr>
        <w:spacing w:line="240" w:lineRule="atLeast"/>
        <w:rPr>
          <w:rFonts w:cs="Arial"/>
          <w:sz w:val="20"/>
          <w:szCs w:val="20"/>
        </w:rPr>
      </w:pPr>
      <w:r w:rsidRPr="002F30DF">
        <w:rPr>
          <w:rFonts w:cs="Arial"/>
          <w:sz w:val="20"/>
          <w:szCs w:val="20"/>
        </w:rPr>
        <w:t xml:space="preserve">S </w:t>
      </w:r>
      <w:r w:rsidRPr="002F30DF">
        <w:rPr>
          <w:rFonts w:cs="Arial"/>
          <w:sz w:val="20"/>
          <w:szCs w:val="20"/>
          <w:u w:val="single"/>
        </w:rPr>
        <w:t>petim odstavkom</w:t>
      </w:r>
      <w:r w:rsidRPr="002F30DF">
        <w:rPr>
          <w:rFonts w:cs="Arial"/>
          <w:sz w:val="20"/>
          <w:szCs w:val="20"/>
        </w:rPr>
        <w:t xml:space="preserve"> se ureja trajanje dnevne periodične denarne sankcije. </w:t>
      </w:r>
      <w:r w:rsidR="0045309B" w:rsidRPr="002F30DF">
        <w:rPr>
          <w:rFonts w:cs="Arial"/>
          <w:sz w:val="20"/>
          <w:szCs w:val="20"/>
        </w:rPr>
        <w:t>Agenc</w:t>
      </w:r>
      <w:r w:rsidRPr="002F30DF">
        <w:rPr>
          <w:rFonts w:cs="Arial"/>
          <w:sz w:val="20"/>
          <w:szCs w:val="20"/>
        </w:rPr>
        <w:t>ija lahko naloži podjetju periodično denarno sankcijo za vsak dan nesodelovanja pri zbiranju informacij in preiskavi</w:t>
      </w:r>
      <w:r w:rsidR="00DF2431" w:rsidRPr="002F30DF">
        <w:rPr>
          <w:rFonts w:cs="Arial"/>
          <w:sz w:val="20"/>
          <w:szCs w:val="20"/>
        </w:rPr>
        <w:t xml:space="preserve">, za vsak </w:t>
      </w:r>
      <w:r w:rsidR="00F01CB3" w:rsidRPr="002F30DF">
        <w:rPr>
          <w:rFonts w:cs="Arial"/>
          <w:sz w:val="20"/>
          <w:szCs w:val="20"/>
        </w:rPr>
        <w:t xml:space="preserve">dan </w:t>
      </w:r>
      <w:r w:rsidR="00DF2431" w:rsidRPr="002F30DF">
        <w:rPr>
          <w:rFonts w:cs="Arial"/>
          <w:sz w:val="20"/>
          <w:szCs w:val="20"/>
        </w:rPr>
        <w:t>do predložitve popolnih in pravilnih informacij na zahtevo za posredovanje podatkov</w:t>
      </w:r>
      <w:r w:rsidR="00C64CB9" w:rsidRPr="002F30DF">
        <w:rPr>
          <w:rFonts w:cs="Arial"/>
          <w:sz w:val="20"/>
          <w:szCs w:val="20"/>
        </w:rPr>
        <w:t>,</w:t>
      </w:r>
      <w:r w:rsidRPr="002F30DF">
        <w:rPr>
          <w:rFonts w:cs="Arial"/>
          <w:sz w:val="20"/>
          <w:szCs w:val="20"/>
        </w:rPr>
        <w:t xml:space="preserve"> za vsak</w:t>
      </w:r>
      <w:r w:rsidR="00DB1A69" w:rsidRPr="002F30DF">
        <w:rPr>
          <w:rFonts w:cs="Arial"/>
          <w:sz w:val="20"/>
          <w:szCs w:val="20"/>
        </w:rPr>
        <w:t xml:space="preserve"> dan nespoštovanja odločbe iz </w:t>
      </w:r>
      <w:r w:rsidR="00BB66B2" w:rsidRPr="002F30DF">
        <w:rPr>
          <w:rFonts w:cs="Arial"/>
          <w:sz w:val="20"/>
          <w:szCs w:val="20"/>
        </w:rPr>
        <w:t>6</w:t>
      </w:r>
      <w:r w:rsidR="003C70CA" w:rsidRPr="002F30DF">
        <w:rPr>
          <w:rFonts w:cs="Arial"/>
          <w:sz w:val="20"/>
          <w:szCs w:val="20"/>
        </w:rPr>
        <w:t>2</w:t>
      </w:r>
      <w:r w:rsidRPr="002F30DF">
        <w:rPr>
          <w:rFonts w:cs="Arial"/>
          <w:sz w:val="20"/>
          <w:szCs w:val="20"/>
        </w:rPr>
        <w:t xml:space="preserve">., </w:t>
      </w:r>
      <w:r w:rsidR="00BB66B2" w:rsidRPr="002F30DF">
        <w:rPr>
          <w:rFonts w:cs="Arial"/>
          <w:sz w:val="20"/>
          <w:szCs w:val="20"/>
        </w:rPr>
        <w:t>6</w:t>
      </w:r>
      <w:r w:rsidR="003C70CA" w:rsidRPr="002F30DF">
        <w:rPr>
          <w:rFonts w:cs="Arial"/>
          <w:sz w:val="20"/>
          <w:szCs w:val="20"/>
        </w:rPr>
        <w:t>3</w:t>
      </w:r>
      <w:r w:rsidR="00DB1A69" w:rsidRPr="002F30DF">
        <w:rPr>
          <w:rFonts w:cs="Arial"/>
          <w:sz w:val="20"/>
          <w:szCs w:val="20"/>
        </w:rPr>
        <w:t xml:space="preserve">. in </w:t>
      </w:r>
      <w:r w:rsidR="00BB66B2" w:rsidRPr="002F30DF">
        <w:rPr>
          <w:rFonts w:cs="Arial"/>
          <w:sz w:val="20"/>
          <w:szCs w:val="20"/>
        </w:rPr>
        <w:t>6</w:t>
      </w:r>
      <w:r w:rsidR="003C70CA" w:rsidRPr="002F30DF">
        <w:rPr>
          <w:rFonts w:cs="Arial"/>
          <w:sz w:val="20"/>
          <w:szCs w:val="20"/>
        </w:rPr>
        <w:t>4</w:t>
      </w:r>
      <w:r w:rsidR="00DB1A69" w:rsidRPr="002F30DF">
        <w:rPr>
          <w:rFonts w:cs="Arial"/>
          <w:sz w:val="20"/>
          <w:szCs w:val="20"/>
        </w:rPr>
        <w:t>.</w:t>
      </w:r>
      <w:r w:rsidRPr="002F30DF">
        <w:rPr>
          <w:rFonts w:cs="Arial"/>
          <w:sz w:val="20"/>
          <w:szCs w:val="20"/>
        </w:rPr>
        <w:t xml:space="preserve"> člena tega zakona</w:t>
      </w:r>
      <w:r w:rsidR="00C64CB9" w:rsidRPr="002F30DF">
        <w:rPr>
          <w:rFonts w:cs="Arial"/>
          <w:sz w:val="20"/>
          <w:szCs w:val="20"/>
        </w:rPr>
        <w:t xml:space="preserve"> in zaradi nepredložitve popolnih in pravilnih informacij na za</w:t>
      </w:r>
      <w:r w:rsidR="003C70CA" w:rsidRPr="002F30DF">
        <w:rPr>
          <w:rFonts w:cs="Arial"/>
          <w:sz w:val="20"/>
          <w:szCs w:val="20"/>
        </w:rPr>
        <w:t>htevo iz 72</w:t>
      </w:r>
      <w:r w:rsidR="00C64CB9" w:rsidRPr="002F30DF">
        <w:rPr>
          <w:rFonts w:cs="Arial"/>
          <w:sz w:val="20"/>
          <w:szCs w:val="20"/>
        </w:rPr>
        <w:t>. člena tega zakona.</w:t>
      </w:r>
    </w:p>
    <w:p w:rsidR="007D6C3D" w:rsidRPr="002F30DF" w:rsidRDefault="007D6C3D" w:rsidP="005C5672">
      <w:pPr>
        <w:spacing w:line="240" w:lineRule="atLeast"/>
        <w:rPr>
          <w:rFonts w:cs="Arial"/>
          <w:sz w:val="20"/>
          <w:szCs w:val="20"/>
          <w:u w:val="single"/>
        </w:rPr>
      </w:pPr>
    </w:p>
    <w:p w:rsidR="002D6008" w:rsidRPr="002F30DF" w:rsidRDefault="007522E3" w:rsidP="005C5672">
      <w:pPr>
        <w:tabs>
          <w:tab w:val="left" w:pos="1530"/>
        </w:tabs>
        <w:spacing w:line="240" w:lineRule="atLeast"/>
        <w:rPr>
          <w:rFonts w:cs="Arial"/>
          <w:sz w:val="20"/>
          <w:szCs w:val="20"/>
        </w:rPr>
      </w:pPr>
      <w:r w:rsidRPr="002F30DF">
        <w:rPr>
          <w:rFonts w:cs="Arial"/>
          <w:sz w:val="20"/>
          <w:szCs w:val="20"/>
          <w:u w:val="single"/>
        </w:rPr>
        <w:t>Šesti</w:t>
      </w:r>
      <w:r w:rsidR="008842CA" w:rsidRPr="002F30DF">
        <w:rPr>
          <w:rFonts w:cs="Arial"/>
          <w:sz w:val="20"/>
          <w:szCs w:val="20"/>
          <w:u w:val="single"/>
        </w:rPr>
        <w:t xml:space="preserve"> odstavek</w:t>
      </w:r>
      <w:r w:rsidR="008842CA" w:rsidRPr="002F30DF">
        <w:rPr>
          <w:rFonts w:cs="Arial"/>
          <w:sz w:val="20"/>
          <w:szCs w:val="20"/>
        </w:rPr>
        <w:t xml:space="preserve"> u</w:t>
      </w:r>
      <w:r w:rsidRPr="002F30DF">
        <w:rPr>
          <w:rFonts w:cs="Arial"/>
          <w:sz w:val="20"/>
          <w:szCs w:val="20"/>
        </w:rPr>
        <w:t xml:space="preserve">reja pravno podlago, da se administrativna sankcija izreče tudi podjetjem, ki niso del enotnega gospodarskega subjekta in niso neposredno izvršila kršitve, so pa omogočile izvršitev kršitve. </w:t>
      </w:r>
      <w:r w:rsidR="0045309B" w:rsidRPr="002F30DF">
        <w:rPr>
          <w:rFonts w:cs="Arial"/>
          <w:sz w:val="20"/>
          <w:szCs w:val="20"/>
        </w:rPr>
        <w:t>Agenc</w:t>
      </w:r>
      <w:r w:rsidRPr="002F30DF">
        <w:rPr>
          <w:rFonts w:cs="Arial"/>
          <w:sz w:val="20"/>
          <w:szCs w:val="20"/>
        </w:rPr>
        <w:t xml:space="preserve">ija tako lahko </w:t>
      </w:r>
      <w:r w:rsidR="00D628DA" w:rsidRPr="002F30DF">
        <w:rPr>
          <w:rFonts w:cs="Arial"/>
          <w:sz w:val="20"/>
          <w:szCs w:val="20"/>
        </w:rPr>
        <w:t>izreče</w:t>
      </w:r>
      <w:r w:rsidRPr="002F30DF">
        <w:rPr>
          <w:rFonts w:cs="Arial"/>
          <w:sz w:val="20"/>
          <w:szCs w:val="20"/>
        </w:rPr>
        <w:t xml:space="preserve"> administrativno sankcijo tudi podjetjem, kot so svetovalna podjetja in so npr. organizirala kartelne sestanke. Čeprav iz sodb Sodišča EU izhaja, da je tovrstna udeležba že zajeta v pojmu kršitev konkurenčnega prava, je zaradi jasnosti določbe smiselno to še posebej izpostaviti. Sodišče EU je namreč že presojalo, ali se svetovalno podjetje lahko šteje za odgovorno za kršitev prvega odstavka 81. člena Pogodbe o Evropski skupnosti (sedaj 101. člen PDEU), če dejavno in zavestno pripomore k izvajanju ali nadaljevanju kartela med proizvajalci, ki delujejo na trgu, ki je ločen od trga, na katerem deluje navedeno podjetje. In v zvezi s tem presodilo, da se opustitveni načini udeležbe pri kršitvi – kot je prisotnost podjetja na sestankih, na katerih so bili sklenjeni sporazumi s protikonkurenčnim ciljem, ne da bi temu očitno nasprotovalo – razlagajo kot sostorilstvo, ki povzroči njegovo odgovornost v okviru prvega odstavka 81. člena Pogodbe o Evropski skupnosti (sedaj 101. člen PDEU), ker je posledica tihega odobravanja nezakonite pobude brez javnega distanciranja od njene vsebine ali brez njene prijave upravnim organom spodbujanje nadaljevanja kršitve, zaradi česar je oteženo njeno odkritje. Nadalje je poudarilo, da je glavni cilj prepovedi, določene s prvim odstavkom 101. člena PDEU, da se zagotavlja ohranjanje neizkrivljene konkurence na skupnem trgu, in da je za polni učinek te prepovedi potrebno, da se prepreči dejavno prispevanje podjetja k omejevanju konkurence, tudi če se to prispevanje ne nanaša na gospodarsko dejavnost na upoštevnem trgu, na katerem se to omejevanje izvaja ali naj bi se izvajalo.</w:t>
      </w:r>
      <w:r w:rsidR="002D6008" w:rsidRPr="002F30DF">
        <w:rPr>
          <w:rFonts w:cs="Arial"/>
          <w:sz w:val="20"/>
          <w:szCs w:val="20"/>
        </w:rPr>
        <w:t xml:space="preserve"> Takšna določba tudi ne odstopa od veljavne ureditve sostorilstva, ki velja v kazenskem pravu.</w:t>
      </w:r>
    </w:p>
    <w:p w:rsidR="007522E3" w:rsidRPr="002F30DF" w:rsidRDefault="007522E3" w:rsidP="00D628DA">
      <w:pPr>
        <w:spacing w:line="260" w:lineRule="atLeast"/>
        <w:rPr>
          <w:rFonts w:cs="Arial"/>
          <w:sz w:val="20"/>
          <w:szCs w:val="20"/>
        </w:rPr>
      </w:pPr>
    </w:p>
    <w:p w:rsidR="007522E3" w:rsidRPr="002F30DF" w:rsidRDefault="008A73DD" w:rsidP="0025166A">
      <w:pPr>
        <w:tabs>
          <w:tab w:val="left" w:pos="1530"/>
        </w:tabs>
        <w:spacing w:line="260" w:lineRule="atLeast"/>
        <w:rPr>
          <w:rFonts w:cs="Arial"/>
          <w:sz w:val="20"/>
          <w:szCs w:val="20"/>
        </w:rPr>
      </w:pPr>
      <w:r w:rsidRPr="002F30DF">
        <w:rPr>
          <w:rFonts w:cs="Arial"/>
          <w:sz w:val="20"/>
          <w:szCs w:val="20"/>
        </w:rPr>
        <w:lastRenderedPageBreak/>
        <w:t xml:space="preserve">S </w:t>
      </w:r>
      <w:r w:rsidR="00D628DA" w:rsidRPr="002F30DF">
        <w:rPr>
          <w:rFonts w:cs="Arial"/>
          <w:sz w:val="20"/>
          <w:szCs w:val="20"/>
          <w:u w:val="single"/>
        </w:rPr>
        <w:t>sedmim</w:t>
      </w:r>
      <w:r w:rsidR="007522E3" w:rsidRPr="002F30DF">
        <w:rPr>
          <w:rFonts w:cs="Arial"/>
          <w:sz w:val="20"/>
          <w:szCs w:val="20"/>
          <w:u w:val="single"/>
        </w:rPr>
        <w:t xml:space="preserve"> odstavkom</w:t>
      </w:r>
      <w:r w:rsidR="007522E3" w:rsidRPr="002F30DF">
        <w:rPr>
          <w:rFonts w:cs="Arial"/>
          <w:sz w:val="20"/>
          <w:szCs w:val="20"/>
        </w:rPr>
        <w:t xml:space="preserve"> se določi, da je administrativna sankcija prihodek Republike Slovenije.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5</w:t>
      </w:r>
      <w:r w:rsidRPr="002F30DF">
        <w:rPr>
          <w:rFonts w:cs="Arial"/>
          <w:b/>
          <w:sz w:val="20"/>
          <w:szCs w:val="20"/>
        </w:rPr>
        <w:t>. členu (</w:t>
      </w:r>
      <w:r w:rsidR="00FA1C54" w:rsidRPr="002F30DF">
        <w:rPr>
          <w:rFonts w:cs="Arial"/>
          <w:b/>
          <w:sz w:val="20"/>
          <w:szCs w:val="20"/>
        </w:rPr>
        <w:t>odgovornost matične družbe</w:t>
      </w:r>
      <w:r w:rsidRPr="002F30DF">
        <w:rPr>
          <w:rFonts w:cs="Arial"/>
          <w:b/>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 namenom zagotovitve pravilnega prenosa </w:t>
      </w:r>
      <w:r w:rsidR="00EB0AB5" w:rsidRPr="002F30DF">
        <w:rPr>
          <w:rFonts w:cs="Arial"/>
          <w:sz w:val="20"/>
          <w:szCs w:val="20"/>
        </w:rPr>
        <w:t>D</w:t>
      </w:r>
      <w:r w:rsidRPr="002F30DF">
        <w:rPr>
          <w:rFonts w:cs="Arial"/>
          <w:sz w:val="20"/>
          <w:szCs w:val="20"/>
        </w:rPr>
        <w:t xml:space="preserve">irektive </w:t>
      </w:r>
      <w:r w:rsidR="00DD7927" w:rsidRPr="002F30DF">
        <w:rPr>
          <w:rFonts w:cs="Arial"/>
          <w:sz w:val="20"/>
          <w:szCs w:val="20"/>
        </w:rPr>
        <w:t xml:space="preserve">2019/1 </w:t>
      </w:r>
      <w:r w:rsidRPr="002F30DF">
        <w:rPr>
          <w:rFonts w:cs="Arial"/>
          <w:sz w:val="20"/>
          <w:szCs w:val="20"/>
        </w:rPr>
        <w:t xml:space="preserve">se s tem členom ureja </w:t>
      </w:r>
      <w:r w:rsidR="00D54A23" w:rsidRPr="002F30DF">
        <w:rPr>
          <w:rFonts w:cs="Arial"/>
          <w:sz w:val="20"/>
          <w:szCs w:val="20"/>
        </w:rPr>
        <w:t xml:space="preserve">odgovornost matične družbe ter </w:t>
      </w:r>
      <w:r w:rsidRPr="002F30DF">
        <w:rPr>
          <w:rFonts w:cs="Arial"/>
          <w:sz w:val="20"/>
          <w:szCs w:val="20"/>
        </w:rPr>
        <w:t>izrek administrativne sankcije enotnemu gospodarskemu subjektu.</w:t>
      </w:r>
    </w:p>
    <w:p w:rsidR="007522E3" w:rsidRPr="002F30DF" w:rsidRDefault="007522E3" w:rsidP="0025166A">
      <w:pPr>
        <w:spacing w:line="260" w:lineRule="atLeast"/>
        <w:rPr>
          <w:rFonts w:cs="Arial"/>
          <w:b/>
          <w:i/>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podjetje kot ga opredeljuje 3. člen tega zakona pomeni vsak subjekt, ki opravlja gospodarsko dejavnost, ne glede na njegovo pravnoorganizacijsko obliko in lastninsko pripadnost. Podjetje je tudi podjetniško združenje, ki neposredno ne opravlja gospodarske dejavnosti, vendar vpliva ali bi lahko vplivalo na ravnanje podjetij. </w:t>
      </w:r>
    </w:p>
    <w:p w:rsidR="007522E3" w:rsidRPr="002F30DF" w:rsidRDefault="007522E3" w:rsidP="0025166A">
      <w:pPr>
        <w:spacing w:line="260" w:lineRule="atLeast"/>
        <w:rPr>
          <w:rFonts w:cs="Arial"/>
          <w:sz w:val="20"/>
          <w:szCs w:val="20"/>
        </w:rPr>
      </w:pPr>
    </w:p>
    <w:p w:rsidR="007522E3" w:rsidRPr="002F30DF" w:rsidRDefault="00D54A23" w:rsidP="0025166A">
      <w:pPr>
        <w:spacing w:line="260" w:lineRule="atLeast"/>
        <w:rPr>
          <w:rFonts w:cs="Arial"/>
          <w:sz w:val="20"/>
          <w:szCs w:val="20"/>
        </w:rPr>
      </w:pPr>
      <w:r w:rsidRPr="002F30DF">
        <w:rPr>
          <w:rFonts w:cs="Arial"/>
          <w:sz w:val="20"/>
          <w:szCs w:val="20"/>
        </w:rPr>
        <w:t>V skladu s sodno prakso S</w:t>
      </w:r>
      <w:r w:rsidR="007522E3" w:rsidRPr="002F30DF">
        <w:rPr>
          <w:rFonts w:cs="Arial"/>
          <w:sz w:val="20"/>
          <w:szCs w:val="20"/>
        </w:rPr>
        <w:t>odišča EU se pojem podjetje razlaga široko in zajema skupek vseh subjektov, ki skupaj izvajajo gospodarsko dejavnost podjetja, ne glede na njihov pravni status in način financiranja</w:t>
      </w:r>
      <w:r w:rsidR="007522E3" w:rsidRPr="002F30DF">
        <w:rPr>
          <w:rFonts w:cs="Arial"/>
          <w:sz w:val="20"/>
          <w:szCs w:val="20"/>
          <w:vertAlign w:val="superscript"/>
        </w:rPr>
        <w:footnoteReference w:id="16"/>
      </w:r>
      <w:r w:rsidR="007522E3" w:rsidRPr="002F30DF">
        <w:rPr>
          <w:rFonts w:cs="Arial"/>
          <w:sz w:val="20"/>
          <w:szCs w:val="20"/>
        </w:rPr>
        <w:t>. Pojem podjetje vključuje vse gospodarske subjekte, ki imajo enotno organizacijo osebnih, opredmetenih in neopredmetenih elementov, ki trajno zasledujejo določen gospodarski cilj in so lahko soudeleženi pri kršitvi te določbe.</w:t>
      </w:r>
      <w:r w:rsidR="007522E3" w:rsidRPr="002F30DF">
        <w:rPr>
          <w:rFonts w:cs="Arial"/>
          <w:sz w:val="20"/>
          <w:szCs w:val="20"/>
          <w:vertAlign w:val="superscript"/>
        </w:rPr>
        <w:footnoteReference w:id="17"/>
      </w:r>
      <w:r w:rsidR="007522E3" w:rsidRPr="002F30DF">
        <w:rPr>
          <w:rFonts w:cs="Arial"/>
          <w:sz w:val="20"/>
          <w:szCs w:val="20"/>
        </w:rPr>
        <w:t xml:space="preserve"> Pojem podjetje se torej nanaša tudi na enoten gospodarski subjekt, ki ga sestavljajo lastniško in upravljavsko povezani subjekti, ki skupaj opravljajo dejavnost podjetja tako, da kateri od subjektov neposredno ali posredno dejansko izvaja odločilni vpliv na ravnanja drugega subjekta.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Podjetja, ki pripadajo isti skupini podjetij in imajo status družbe matere in družbe hčere, so sicer pravno samostojna, niso pa ekonomsko samostojna. To pomeni, da podrejena družba ni avtonomna pri določanju svojih ravnanj na trgu, ampak mora slediti navodilom družbe matere. Ker podrejene družbe nimajo avtonomne </w:t>
      </w:r>
      <w:r w:rsidRPr="002F30DF">
        <w:rPr>
          <w:rFonts w:cs="Arial"/>
          <w:sz w:val="20"/>
          <w:szCs w:val="20"/>
        </w:rPr>
        <w:lastRenderedPageBreak/>
        <w:t>volje, se skupaj z družbo materjo štejejo kot en subjekt.</w:t>
      </w:r>
      <w:r w:rsidRPr="002F30DF">
        <w:rPr>
          <w:rFonts w:cs="Arial"/>
          <w:sz w:val="20"/>
          <w:szCs w:val="20"/>
          <w:vertAlign w:val="superscript"/>
        </w:rPr>
        <w:footnoteReference w:id="18"/>
      </w:r>
      <w:r w:rsidRPr="002F30DF">
        <w:rPr>
          <w:rFonts w:cs="Arial"/>
          <w:sz w:val="20"/>
          <w:szCs w:val="20"/>
        </w:rPr>
        <w:t xml:space="preserve"> Za presojo ali povezani družbi tvorita enotni gospodarski subjekt je torej odločilno, ali hčerinska družba dejansko lahko svobodno odloča o svojem ravnanju na trgu, pri čemer je treba upoštevati vse relevantne okoliščine, ki se nanašajo na poslovne, organizacijske in pravne povezave med družbami.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Presoja o tem, ali je hčerinska družba odvisna od družbe matere ali ne, je dejansko vprašanje, za presojo katerega se v praksi uporablja kriterij pravne povezanosti in dejanskega izvrševanja. Enake kriterije se uporablja pri presoji odgovornosti družbe kadar konkurenčno pravne predpise kršijo njihove hčerinske družbe.</w:t>
      </w:r>
      <w:r w:rsidRPr="002F30DF">
        <w:rPr>
          <w:rFonts w:cs="Arial"/>
          <w:sz w:val="20"/>
          <w:szCs w:val="20"/>
          <w:vertAlign w:val="superscript"/>
        </w:rPr>
        <w:footnoteReference w:id="19"/>
      </w:r>
      <w:r w:rsidRPr="002F30DF">
        <w:rPr>
          <w:rFonts w:cs="Arial"/>
          <w:sz w:val="20"/>
          <w:szCs w:val="20"/>
        </w:rPr>
        <w:t xml:space="preserve"> Test, ki ga mora izvesti organ</w:t>
      </w:r>
      <w:r w:rsidR="00B109E3" w:rsidRPr="002F30DF">
        <w:rPr>
          <w:rFonts w:cs="Arial"/>
          <w:sz w:val="20"/>
          <w:szCs w:val="20"/>
        </w:rPr>
        <w:t xml:space="preserve">, pristojen </w:t>
      </w:r>
      <w:r w:rsidRPr="002F30DF">
        <w:rPr>
          <w:rFonts w:cs="Arial"/>
          <w:sz w:val="20"/>
          <w:szCs w:val="20"/>
        </w:rPr>
        <w:t>za varstvo konkurence, narekuje ugotavljanje, ali so stranke v razmerjih matična družba - hčerinska družba neodvisne pri svojih odločitvah oziroma ali je ena sposobna izvajati odločujoč vpliv na drugo, tako da ta nima dejanske avtonomije pri oblikovanju svoje trgovinske pol</w:t>
      </w:r>
      <w:r w:rsidR="00D54A23" w:rsidRPr="002F30DF">
        <w:rPr>
          <w:rFonts w:cs="Arial"/>
          <w:sz w:val="20"/>
          <w:szCs w:val="20"/>
        </w:rPr>
        <w:t>itike na trgu. Iz sodne prakse S</w:t>
      </w:r>
      <w:r w:rsidRPr="002F30DF">
        <w:rPr>
          <w:rFonts w:cs="Arial"/>
          <w:sz w:val="20"/>
          <w:szCs w:val="20"/>
        </w:rPr>
        <w:t>odišča EU izhaja, da se presoja dejansko izvajanje odločujočega vpliva in da lastništvo ni edini dejavnik, ki se ga pri presoji odločujočega vpliva upošteva, predvsem ne njegova višina. Odločilno je torej, ali hčerinska družba dejansko lahko svobodno odloča o svojem ravnanju na trgu. Pri tej presoji je treba upoštevati vse relevantne okoliščine, ki se nanašajo na poslovne, organizacijske in pravne povezave med hčerinsko družbo in njeno matično družbo.</w:t>
      </w:r>
      <w:r w:rsidRPr="002F30DF">
        <w:rPr>
          <w:rFonts w:cs="Arial"/>
          <w:sz w:val="20"/>
          <w:szCs w:val="20"/>
          <w:vertAlign w:val="superscript"/>
        </w:rPr>
        <w:footnoteReference w:id="20"/>
      </w:r>
      <w:r w:rsidRPr="002F30DF">
        <w:rPr>
          <w:rFonts w:cs="Arial"/>
          <w:sz w:val="20"/>
          <w:szCs w:val="20"/>
        </w:rPr>
        <w:t xml:space="preserve"> Nadalje iz sodne prakse</w:t>
      </w:r>
      <w:r w:rsidR="00EE6A04" w:rsidRPr="002F30DF">
        <w:rPr>
          <w:rFonts w:cs="Arial"/>
          <w:sz w:val="20"/>
          <w:szCs w:val="20"/>
        </w:rPr>
        <w:t xml:space="preserve"> sodišč </w:t>
      </w:r>
      <w:r w:rsidRPr="002F30DF">
        <w:rPr>
          <w:rFonts w:cs="Arial"/>
          <w:sz w:val="20"/>
          <w:szCs w:val="20"/>
        </w:rPr>
        <w:t xml:space="preserve"> EU izhaja, da se zahteva preverba dejanskega izvajanja tega vpliva in ne le, ali je matična družba v poziciji, da ga izvaja (EI du Pont de Nemours and Company proti Evropska komisija, C-172/12, točka 44., ECLI:EU:C:2013:601).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Tudi Direktiva 2019/1 v petem odstavku 13. člena zahteva, da se </w:t>
      </w:r>
      <w:r w:rsidRPr="002F30DF">
        <w:rPr>
          <w:rFonts w:cs="Arial"/>
          <w:i/>
          <w:sz w:val="20"/>
          <w:szCs w:val="20"/>
        </w:rPr>
        <w:t xml:space="preserve">za namen glob obvladujočim podjetjem uporablja pojem podjetje. </w:t>
      </w:r>
      <w:r w:rsidRPr="002F30DF">
        <w:rPr>
          <w:rFonts w:cs="Arial"/>
          <w:sz w:val="20"/>
          <w:szCs w:val="20"/>
        </w:rPr>
        <w:t>Direktiva</w:t>
      </w:r>
      <w:r w:rsidR="006A5FC1" w:rsidRPr="002F30DF">
        <w:rPr>
          <w:rFonts w:cs="Arial"/>
          <w:sz w:val="20"/>
          <w:szCs w:val="20"/>
        </w:rPr>
        <w:t xml:space="preserve"> 2019/1</w:t>
      </w:r>
      <w:r w:rsidRPr="002F30DF">
        <w:rPr>
          <w:rFonts w:cs="Arial"/>
          <w:sz w:val="20"/>
          <w:szCs w:val="20"/>
        </w:rPr>
        <w:t xml:space="preserve"> </w:t>
      </w:r>
      <w:r w:rsidR="00D54A23" w:rsidRPr="002F30DF">
        <w:rPr>
          <w:rFonts w:cs="Arial"/>
          <w:sz w:val="20"/>
          <w:szCs w:val="20"/>
        </w:rPr>
        <w:t>ne opredeljuje</w:t>
      </w:r>
      <w:r w:rsidRPr="002F30DF">
        <w:rPr>
          <w:rFonts w:cs="Arial"/>
          <w:sz w:val="20"/>
          <w:szCs w:val="20"/>
        </w:rPr>
        <w:t xml:space="preserve"> pojma enotnega gospodarskega subjekta </w:t>
      </w:r>
      <w:r w:rsidR="00D54A23" w:rsidRPr="002F30DF">
        <w:rPr>
          <w:rFonts w:cs="Arial"/>
          <w:sz w:val="20"/>
          <w:szCs w:val="20"/>
        </w:rPr>
        <w:t>oziroma odgovornosti matične družbe</w:t>
      </w:r>
      <w:r w:rsidRPr="002F30DF">
        <w:rPr>
          <w:rFonts w:cs="Arial"/>
          <w:sz w:val="20"/>
          <w:szCs w:val="20"/>
        </w:rPr>
        <w:t xml:space="preserve">, le v 46. členu uvodne </w:t>
      </w:r>
      <w:r w:rsidR="00721AA6" w:rsidRPr="002F30DF">
        <w:rPr>
          <w:rFonts w:cs="Arial"/>
          <w:sz w:val="20"/>
          <w:szCs w:val="20"/>
        </w:rPr>
        <w:t>izjave</w:t>
      </w:r>
      <w:r w:rsidRPr="002F30DF">
        <w:rPr>
          <w:rFonts w:cs="Arial"/>
          <w:sz w:val="20"/>
          <w:szCs w:val="20"/>
        </w:rPr>
        <w:t xml:space="preserve"> navaja, da </w:t>
      </w:r>
      <w:r w:rsidRPr="002F30DF">
        <w:rPr>
          <w:rFonts w:cs="Arial"/>
          <w:i/>
          <w:sz w:val="20"/>
          <w:szCs w:val="20"/>
        </w:rPr>
        <w:t>pojem podjetje iz 101. in 102. člena PDEU, ki bi ga bilo treba uporabljati v skladu s sodno prakso Sodišča, pomeni gospodarsko enoto, tudi če je sestavljeno iz več pravnih ali fizičnih oseb. V skladu s tem bi bilo treba zagotoviti, da lahko nacionalni organi, pristojni za varstvo konkurence</w:t>
      </w:r>
      <w:r w:rsidR="00EE6A04" w:rsidRPr="002F30DF">
        <w:rPr>
          <w:rFonts w:cs="Arial"/>
          <w:i/>
          <w:sz w:val="20"/>
          <w:szCs w:val="20"/>
        </w:rPr>
        <w:t>,</w:t>
      </w:r>
      <w:r w:rsidRPr="002F30DF">
        <w:rPr>
          <w:rFonts w:cs="Arial"/>
          <w:i/>
          <w:sz w:val="20"/>
          <w:szCs w:val="20"/>
        </w:rPr>
        <w:t xml:space="preserve"> </w:t>
      </w:r>
      <w:r w:rsidRPr="002F30DF">
        <w:rPr>
          <w:rFonts w:cs="Arial"/>
          <w:i/>
          <w:sz w:val="20"/>
          <w:szCs w:val="20"/>
        </w:rPr>
        <w:lastRenderedPageBreak/>
        <w:t>na podlagi pojma podjetje ugotovijo, da je za kršitev odgovorna obvladujoča družba, in ji izrečejo globe za ravnanje ene od njenih odvisnih družb, če takšna obvladujoča družba in njena odvisna družba tvorita eno gospodarsko enoto.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Tako se s </w:t>
      </w:r>
      <w:r w:rsidR="00EC465C" w:rsidRPr="002F30DF">
        <w:rPr>
          <w:rFonts w:cs="Arial"/>
          <w:sz w:val="20"/>
          <w:szCs w:val="20"/>
          <w:u w:val="single"/>
        </w:rPr>
        <w:t>prvim odstavkom</w:t>
      </w:r>
      <w:r w:rsidR="00EC465C" w:rsidRPr="002F30DF">
        <w:rPr>
          <w:rFonts w:cs="Arial"/>
          <w:sz w:val="20"/>
          <w:szCs w:val="20"/>
        </w:rPr>
        <w:t xml:space="preserve"> </w:t>
      </w:r>
      <w:r w:rsidRPr="002F30DF">
        <w:rPr>
          <w:rFonts w:cs="Arial"/>
          <w:sz w:val="20"/>
          <w:szCs w:val="20"/>
        </w:rPr>
        <w:t>ureja naložit</w:t>
      </w:r>
      <w:r w:rsidR="00B109E3" w:rsidRPr="002F30DF">
        <w:rPr>
          <w:rFonts w:cs="Arial"/>
          <w:sz w:val="20"/>
          <w:szCs w:val="20"/>
        </w:rPr>
        <w:t>e</w:t>
      </w:r>
      <w:r w:rsidRPr="002F30DF">
        <w:rPr>
          <w:rFonts w:cs="Arial"/>
          <w:sz w:val="20"/>
          <w:szCs w:val="20"/>
        </w:rPr>
        <w:t xml:space="preserve">v administrativne sankcije </w:t>
      </w:r>
      <w:r w:rsidR="00DF2431" w:rsidRPr="002F30DF">
        <w:rPr>
          <w:rFonts w:cs="Arial"/>
          <w:sz w:val="20"/>
          <w:szCs w:val="20"/>
        </w:rPr>
        <w:t>odgovorni matični družbi</w:t>
      </w:r>
      <w:r w:rsidRPr="002F30DF">
        <w:rPr>
          <w:rFonts w:cs="Arial"/>
          <w:sz w:val="20"/>
          <w:szCs w:val="20"/>
        </w:rPr>
        <w:t>. Izvrševanje odločilnega vpliva je glavni kriterij, ali sicer samostojne družbe tvorijo enotni gospodarski subjekt</w:t>
      </w:r>
      <w:r w:rsidR="00D54A23" w:rsidRPr="002F30DF">
        <w:rPr>
          <w:rFonts w:cs="Arial"/>
          <w:sz w:val="20"/>
          <w:szCs w:val="20"/>
        </w:rPr>
        <w:t xml:space="preserve"> oziroma ali je matična družba odgovorna za kršitve, ki jo stori njena odvisna družba</w:t>
      </w:r>
      <w:r w:rsidR="009A2FB0" w:rsidRPr="002F30DF">
        <w:rPr>
          <w:rFonts w:cs="Arial"/>
          <w:sz w:val="20"/>
          <w:szCs w:val="20"/>
        </w:rPr>
        <w:t xml:space="preserve">, </w:t>
      </w:r>
      <w:r w:rsidR="009A2FB0" w:rsidRPr="002F30DF">
        <w:rPr>
          <w:rFonts w:eastAsia="Calibri" w:cs="Arial"/>
          <w:sz w:val="20"/>
          <w:szCs w:val="20"/>
          <w:lang w:eastAsia="en-US"/>
        </w:rPr>
        <w:t>pri čemer se izvrševanje odločilnega vpliva domneva, če obstaja lastniška povezava med podjetji</w:t>
      </w:r>
      <w:r w:rsidRPr="002F30DF">
        <w:rPr>
          <w:rFonts w:cs="Arial"/>
          <w:sz w:val="20"/>
          <w:szCs w:val="20"/>
        </w:rPr>
        <w:t>.</w:t>
      </w:r>
      <w:r w:rsidR="00655C88" w:rsidRPr="002F30DF">
        <w:rPr>
          <w:rFonts w:cs="Arial"/>
          <w:sz w:val="20"/>
          <w:szCs w:val="20"/>
        </w:rPr>
        <w:t xml:space="preserve"> Pojem odločilnega vpliva pa je pravni standard, ki ga </w:t>
      </w:r>
      <w:r w:rsidR="00D54A23" w:rsidRPr="002F30DF">
        <w:rPr>
          <w:rFonts w:cs="Arial"/>
          <w:sz w:val="20"/>
          <w:szCs w:val="20"/>
        </w:rPr>
        <w:t>je</w:t>
      </w:r>
      <w:r w:rsidR="00655C88" w:rsidRPr="002F30DF">
        <w:rPr>
          <w:rFonts w:cs="Arial"/>
          <w:sz w:val="20"/>
          <w:szCs w:val="20"/>
        </w:rPr>
        <w:t xml:space="preserve"> treba </w:t>
      </w:r>
      <w:r w:rsidRPr="002F30DF">
        <w:rPr>
          <w:rFonts w:cs="Arial"/>
          <w:sz w:val="20"/>
          <w:szCs w:val="20"/>
        </w:rPr>
        <w:t>zaradi pravilne uporabe 101. ali 102. člena PDEU ter pravilne</w:t>
      </w:r>
      <w:r w:rsidR="00DD7927" w:rsidRPr="002F30DF">
        <w:rPr>
          <w:rFonts w:cs="Arial"/>
          <w:sz w:val="20"/>
          <w:szCs w:val="20"/>
        </w:rPr>
        <w:t>ga prenosa</w:t>
      </w:r>
      <w:r w:rsidRPr="002F30DF">
        <w:rPr>
          <w:rFonts w:cs="Arial"/>
          <w:sz w:val="20"/>
          <w:szCs w:val="20"/>
        </w:rPr>
        <w:t xml:space="preserve"> Direktive 2019/1 razlagati na način kot ga je opredelila sodna praksa</w:t>
      </w:r>
      <w:r w:rsidR="006A5FC1" w:rsidRPr="002F30DF">
        <w:rPr>
          <w:rFonts w:cs="Arial"/>
          <w:sz w:val="20"/>
          <w:szCs w:val="20"/>
        </w:rPr>
        <w:t xml:space="preserve"> S</w:t>
      </w:r>
      <w:r w:rsidR="00EE6A04" w:rsidRPr="002F30DF">
        <w:rPr>
          <w:rFonts w:cs="Arial"/>
          <w:sz w:val="20"/>
          <w:szCs w:val="20"/>
        </w:rPr>
        <w:t>odišč EU</w:t>
      </w:r>
      <w:r w:rsidR="00D54A23" w:rsidRPr="002F30DF">
        <w:rPr>
          <w:rFonts w:cs="Arial"/>
          <w:sz w:val="20"/>
          <w:szCs w:val="20"/>
        </w:rPr>
        <w:t xml:space="preserve">. Sodna praksa Sodišč EU </w:t>
      </w:r>
      <w:r w:rsidR="0028071D" w:rsidRPr="002F30DF">
        <w:rPr>
          <w:rFonts w:cs="Arial"/>
          <w:sz w:val="20"/>
          <w:szCs w:val="20"/>
        </w:rPr>
        <w:t xml:space="preserve">je </w:t>
      </w:r>
      <w:r w:rsidRPr="002F30DF">
        <w:rPr>
          <w:rFonts w:cs="Arial"/>
          <w:sz w:val="20"/>
          <w:szCs w:val="20"/>
        </w:rPr>
        <w:t>vzpostav</w:t>
      </w:r>
      <w:r w:rsidR="0028071D" w:rsidRPr="002F30DF">
        <w:rPr>
          <w:rFonts w:cs="Arial"/>
          <w:sz w:val="20"/>
          <w:szCs w:val="20"/>
        </w:rPr>
        <w:t>ila</w:t>
      </w:r>
      <w:r w:rsidRPr="002F30DF">
        <w:rPr>
          <w:rFonts w:cs="Arial"/>
          <w:sz w:val="20"/>
          <w:szCs w:val="20"/>
        </w:rPr>
        <w:t xml:space="preserve"> izpodbojno domnevo, da dva ali več subjektov sestavljajo enoten gospodarski subjekt, če ima ena pravna oseba neposredno ali posredno</w:t>
      </w:r>
      <w:r w:rsidRPr="002F30DF">
        <w:rPr>
          <w:rFonts w:cs="Arial"/>
          <w:sz w:val="20"/>
          <w:szCs w:val="20"/>
          <w:vertAlign w:val="superscript"/>
        </w:rPr>
        <w:footnoteReference w:id="21"/>
      </w:r>
      <w:r w:rsidRPr="002F30DF">
        <w:rPr>
          <w:rFonts w:cs="Arial"/>
          <w:sz w:val="20"/>
          <w:szCs w:val="20"/>
        </w:rPr>
        <w:t xml:space="preserve"> v lasti celoten</w:t>
      </w:r>
      <w:r w:rsidRPr="002F30DF">
        <w:rPr>
          <w:rFonts w:cs="Arial"/>
          <w:sz w:val="20"/>
          <w:szCs w:val="20"/>
          <w:vertAlign w:val="superscript"/>
        </w:rPr>
        <w:footnoteReference w:id="22"/>
      </w:r>
      <w:r w:rsidRPr="002F30DF">
        <w:rPr>
          <w:rFonts w:cs="Arial"/>
          <w:sz w:val="20"/>
          <w:szCs w:val="20"/>
        </w:rPr>
        <w:t xml:space="preserve"> ali skoraj celoten</w:t>
      </w:r>
      <w:r w:rsidRPr="002F30DF">
        <w:rPr>
          <w:rFonts w:cs="Arial"/>
          <w:sz w:val="20"/>
          <w:szCs w:val="20"/>
          <w:vertAlign w:val="superscript"/>
        </w:rPr>
        <w:footnoteReference w:id="23"/>
      </w:r>
      <w:r w:rsidRPr="002F30DF">
        <w:rPr>
          <w:rFonts w:cs="Arial"/>
          <w:sz w:val="20"/>
          <w:szCs w:val="20"/>
        </w:rPr>
        <w:t xml:space="preserve"> osnovni kapital subjekta, ki je izvršil kršitev. </w:t>
      </w:r>
      <w:r w:rsidR="006A5FC1" w:rsidRPr="002F30DF">
        <w:rPr>
          <w:rFonts w:cs="Arial"/>
          <w:sz w:val="20"/>
          <w:szCs w:val="20"/>
        </w:rPr>
        <w:t>Skladno s sodno prak</w:t>
      </w:r>
      <w:r w:rsidR="00B06014" w:rsidRPr="002F30DF">
        <w:rPr>
          <w:rFonts w:cs="Arial"/>
          <w:sz w:val="20"/>
          <w:szCs w:val="20"/>
        </w:rPr>
        <w:t>s</w:t>
      </w:r>
      <w:r w:rsidR="006A5FC1" w:rsidRPr="002F30DF">
        <w:rPr>
          <w:rFonts w:cs="Arial"/>
          <w:sz w:val="20"/>
          <w:szCs w:val="20"/>
        </w:rPr>
        <w:t xml:space="preserve">o </w:t>
      </w:r>
      <w:r w:rsidR="006A5FC1" w:rsidRPr="002F30DF">
        <w:rPr>
          <w:rFonts w:cs="Arial"/>
          <w:sz w:val="20"/>
          <w:szCs w:val="20"/>
        </w:rPr>
        <w:lastRenderedPageBreak/>
        <w:t>S</w:t>
      </w:r>
      <w:r w:rsidR="00DD7927" w:rsidRPr="002F30DF">
        <w:rPr>
          <w:rFonts w:cs="Arial"/>
          <w:sz w:val="20"/>
          <w:szCs w:val="20"/>
        </w:rPr>
        <w:t>odišča EU v</w:t>
      </w:r>
      <w:r w:rsidRPr="002F30DF">
        <w:rPr>
          <w:rFonts w:cs="Arial"/>
          <w:sz w:val="20"/>
          <w:szCs w:val="20"/>
        </w:rPr>
        <w:t xml:space="preserve"> tem primeru zadostuje, da </w:t>
      </w:r>
      <w:r w:rsidR="00D54A23" w:rsidRPr="002F30DF">
        <w:rPr>
          <w:rFonts w:cs="Arial"/>
          <w:sz w:val="20"/>
          <w:szCs w:val="20"/>
        </w:rPr>
        <w:t>a</w:t>
      </w:r>
      <w:r w:rsidR="0045309B" w:rsidRPr="002F30DF">
        <w:rPr>
          <w:rFonts w:cs="Arial"/>
          <w:sz w:val="20"/>
          <w:szCs w:val="20"/>
        </w:rPr>
        <w:t>genc</w:t>
      </w:r>
      <w:r w:rsidRPr="002F30DF">
        <w:rPr>
          <w:rFonts w:cs="Arial"/>
          <w:sz w:val="20"/>
          <w:szCs w:val="20"/>
        </w:rPr>
        <w:t>ija dokaže</w:t>
      </w:r>
      <w:r w:rsidRPr="002F30DF">
        <w:rPr>
          <w:rFonts w:cs="Arial"/>
          <w:sz w:val="20"/>
          <w:szCs w:val="20"/>
          <w:vertAlign w:val="superscript"/>
        </w:rPr>
        <w:footnoteReference w:id="24"/>
      </w:r>
      <w:r w:rsidRPr="002F30DF">
        <w:rPr>
          <w:rFonts w:cs="Arial"/>
          <w:sz w:val="20"/>
          <w:szCs w:val="20"/>
        </w:rPr>
        <w:t>, da ima pravna oseba (matična družba) neposredno ali posredno v lasti celoten ali skoraj celoten osnovni kapital kršitelja. Domneva o obstoju enotnega gospodarskega subjekta obstoji tudi v primeru, ko je delež ostalih lastnikov zanemarljiv. To izhaja tudi iz sodne prakse Sodišča EU v primerih Manufacture francaise des pneumatiques Michelin proti Komisiji, T-203/01, Elf Aquitaine SA proti Komisiji, T-299/08 itd. Obe domnevi sta izpodbojni in matična družba, ki jo želi ovreči, lahko predloži vse elemente, ki so povezani z gospodarskimi, organizacijskimi in pravnimi povezavami, ki hčerinsko družbo povezujejo z matično družbo in za katere menijo, da se z njimi lahko dokaže, da hčerinska družba ne sestavlja enotnega gospodarskega subjekta, ampak da hčerinska družba na trgu ravna samostojno.</w:t>
      </w:r>
    </w:p>
    <w:p w:rsidR="007522E3" w:rsidRPr="002F30DF" w:rsidRDefault="007522E3" w:rsidP="0025166A">
      <w:pPr>
        <w:spacing w:line="260" w:lineRule="atLeast"/>
        <w:rPr>
          <w:rFonts w:cs="Arial"/>
          <w:sz w:val="20"/>
          <w:szCs w:val="20"/>
        </w:rPr>
      </w:pPr>
    </w:p>
    <w:p w:rsidR="00232C15" w:rsidRPr="002F30DF" w:rsidRDefault="00232C15"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določa, da sta matična družba, ki je posredno ali neposredno izvrševala odločilni vpliv nad podjetjem, ki je kršilo pravila konkurenčnega prava, solidarno odgovorna za plačilo administrativne sankcijo, ki jima jo agencija izreče.</w:t>
      </w:r>
    </w:p>
    <w:p w:rsidR="00232C15" w:rsidRPr="002F30DF" w:rsidRDefault="00232C15" w:rsidP="0025166A">
      <w:pPr>
        <w:spacing w:line="260" w:lineRule="atLeast"/>
        <w:rPr>
          <w:rFonts w:cs="Arial"/>
          <w:sz w:val="20"/>
          <w:szCs w:val="20"/>
        </w:rPr>
      </w:pPr>
    </w:p>
    <w:p w:rsidR="00232C15" w:rsidRPr="002F30DF" w:rsidRDefault="00232C15" w:rsidP="0025166A">
      <w:pPr>
        <w:spacing w:line="260" w:lineRule="atLeast"/>
        <w:rPr>
          <w:rFonts w:cs="Arial"/>
          <w:sz w:val="20"/>
          <w:szCs w:val="20"/>
        </w:rPr>
      </w:pPr>
      <w:r w:rsidRPr="002F30DF">
        <w:rPr>
          <w:rFonts w:cs="Arial"/>
          <w:sz w:val="20"/>
          <w:szCs w:val="20"/>
        </w:rPr>
        <w:t xml:space="preserve">Skladno s </w:t>
      </w:r>
      <w:r w:rsidRPr="002F30DF">
        <w:rPr>
          <w:rFonts w:cs="Arial"/>
          <w:sz w:val="20"/>
          <w:szCs w:val="20"/>
          <w:u w:val="single"/>
        </w:rPr>
        <w:t>tretjim odstavkom</w:t>
      </w:r>
      <w:r w:rsidRPr="002F30DF">
        <w:rPr>
          <w:rFonts w:cs="Arial"/>
          <w:sz w:val="20"/>
          <w:szCs w:val="20"/>
        </w:rPr>
        <w:t xml:space="preserve"> finančna obveznost vsakega posameznega podjetja za plačilo izrečene sankcije ne sme presegati najvišjega zneska, za katerega bi bilo podjetje odgovorno, če bi samo izvršilo administrativni prestopek.</w:t>
      </w:r>
    </w:p>
    <w:p w:rsidR="00232C15" w:rsidRPr="002F30DF" w:rsidRDefault="00232C15"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lastRenderedPageBreak/>
        <w:t xml:space="preserve">K </w:t>
      </w:r>
      <w:r w:rsidR="00BB66B2" w:rsidRPr="002F30DF">
        <w:rPr>
          <w:rFonts w:cs="Arial"/>
          <w:b/>
          <w:sz w:val="20"/>
          <w:szCs w:val="20"/>
        </w:rPr>
        <w:t>8</w:t>
      </w:r>
      <w:r w:rsidR="003C70CA" w:rsidRPr="002F30DF">
        <w:rPr>
          <w:rFonts w:cs="Arial"/>
          <w:b/>
          <w:sz w:val="20"/>
          <w:szCs w:val="20"/>
        </w:rPr>
        <w:t>6</w:t>
      </w:r>
      <w:r w:rsidRPr="002F30DF">
        <w:rPr>
          <w:rFonts w:cs="Arial"/>
          <w:b/>
          <w:sz w:val="20"/>
          <w:szCs w:val="20"/>
        </w:rPr>
        <w:t>. členu (pravno in gospodarsko nasledstvo)</w:t>
      </w:r>
    </w:p>
    <w:p w:rsidR="007522E3" w:rsidRPr="002F30DF" w:rsidRDefault="007522E3" w:rsidP="0025166A">
      <w:pPr>
        <w:spacing w:line="260" w:lineRule="atLeast"/>
        <w:rPr>
          <w:rFonts w:cs="Arial"/>
          <w:b/>
          <w:i/>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V petem odstavku 13. člena Direktive 2019/1 je tudi določeno, da se </w:t>
      </w:r>
      <w:r w:rsidRPr="002F30DF">
        <w:rPr>
          <w:rFonts w:cs="Arial"/>
          <w:i/>
          <w:sz w:val="20"/>
          <w:szCs w:val="20"/>
        </w:rPr>
        <w:t>za namen glob pravni</w:t>
      </w:r>
      <w:r w:rsidR="000E7D84" w:rsidRPr="002F30DF">
        <w:rPr>
          <w:rFonts w:cs="Arial"/>
          <w:i/>
          <w:sz w:val="20"/>
          <w:szCs w:val="20"/>
        </w:rPr>
        <w:t>m</w:t>
      </w:r>
      <w:r w:rsidRPr="002F30DF">
        <w:rPr>
          <w:rFonts w:cs="Arial"/>
          <w:i/>
          <w:sz w:val="20"/>
          <w:szCs w:val="20"/>
        </w:rPr>
        <w:t xml:space="preserve"> in gospodarskim naslednikom uporablja pojem podjetje.</w:t>
      </w:r>
      <w:r w:rsidRPr="002F30DF">
        <w:rPr>
          <w:rFonts w:cs="Arial"/>
          <w:sz w:val="20"/>
          <w:szCs w:val="20"/>
        </w:rPr>
        <w:t xml:space="preserve"> Direktiva tega natančneje ne opredeljuje</w:t>
      </w:r>
      <w:r w:rsidR="00232C15" w:rsidRPr="002F30DF">
        <w:rPr>
          <w:rFonts w:cs="Arial"/>
          <w:sz w:val="20"/>
          <w:szCs w:val="20"/>
        </w:rPr>
        <w:t>,</w:t>
      </w:r>
      <w:r w:rsidRPr="002F30DF">
        <w:rPr>
          <w:rFonts w:cs="Arial"/>
          <w:sz w:val="20"/>
          <w:szCs w:val="20"/>
        </w:rPr>
        <w:t xml:space="preserve"> razen v 46. uvodn</w:t>
      </w:r>
      <w:r w:rsidR="00DF2431" w:rsidRPr="002F30DF">
        <w:rPr>
          <w:rFonts w:cs="Arial"/>
          <w:sz w:val="20"/>
          <w:szCs w:val="20"/>
        </w:rPr>
        <w:t>i</w:t>
      </w:r>
      <w:r w:rsidRPr="002F30DF">
        <w:rPr>
          <w:rFonts w:cs="Arial"/>
          <w:sz w:val="20"/>
          <w:szCs w:val="20"/>
        </w:rPr>
        <w:t xml:space="preserve"> </w:t>
      </w:r>
      <w:r w:rsidR="00DF2431" w:rsidRPr="002F30DF">
        <w:rPr>
          <w:rFonts w:cs="Arial"/>
          <w:sz w:val="20"/>
          <w:szCs w:val="20"/>
        </w:rPr>
        <w:t>izjavi</w:t>
      </w:r>
      <w:r w:rsidRPr="002F30DF">
        <w:rPr>
          <w:rFonts w:cs="Arial"/>
          <w:sz w:val="20"/>
          <w:szCs w:val="20"/>
        </w:rPr>
        <w:t xml:space="preserve">, kjer navaja, da se z namenom, da se </w:t>
      </w:r>
      <w:r w:rsidRPr="002F30DF">
        <w:rPr>
          <w:rFonts w:cs="Arial"/>
          <w:i/>
          <w:sz w:val="20"/>
          <w:szCs w:val="20"/>
        </w:rPr>
        <w:t>podjetjem prepreči, da bi se s pravnimi ali organizacijskimi spremembami izognila odgovornosti za plačilo glob za kršitve 101. in 102. členu PDEU, bi morali nacionalni organi, pristojni za varstvo konkurence, imeti možnost ugotoviti, da so za kršitev odgovorni pravni ali gospodarski nasledniki odgovornega podjetja, ter jim izreči globe za kršitve 101. in 102. členu PDEU v skladu s sodno prakso Sodišča.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 tem členom se zatorej ureja možnost naložitve obveznosti za odpravo kršitev konkurenčnega prava ter izrek administrativne sankcije subjektu, ki je pravni oziroma gospodarski naslednik kršitelja, v primeru prenosa dejavnosti. S predlaganim členom se določa izjema od načela osebne odgovornosti, na podlagi katerega se administrativno sankcijo naloži neposredno kršitelju pravil konkurenčnega prava.</w:t>
      </w:r>
    </w:p>
    <w:p w:rsidR="007522E3" w:rsidRPr="002F30DF" w:rsidRDefault="007522E3" w:rsidP="0025166A">
      <w:pPr>
        <w:spacing w:line="260" w:lineRule="atLeast"/>
        <w:rPr>
          <w:rFonts w:cs="Arial"/>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da se s prenosom dejavnosti na drugi subjekt ni mogoče izogniti obveznostim, potrebnim za odpravo kršitve konkurenčnega prava, ter plačilu administrativne sankcije.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zvezi s pravnim ali organizacijskim prestrukturiranjem je </w:t>
      </w:r>
      <w:r w:rsidR="00325CE1" w:rsidRPr="002F30DF">
        <w:rPr>
          <w:rFonts w:cs="Arial"/>
          <w:sz w:val="20"/>
          <w:szCs w:val="20"/>
        </w:rPr>
        <w:t>S</w:t>
      </w:r>
      <w:r w:rsidRPr="002F30DF">
        <w:rPr>
          <w:rFonts w:cs="Arial"/>
          <w:sz w:val="20"/>
          <w:szCs w:val="20"/>
        </w:rPr>
        <w:t xml:space="preserve">odišče EU že odločilo, da kadar je subjekt, ki je kršil pravila o konkurenci, pravno ali organizacijsko spremenjen, ta sprememba ne pomeni nujno ustanovitve novega podjetja, ki ni odgovorno za ravnanja predhodnega subjekta v nasprotju s pravili o konkurenci, če iz gospodarskega gledišča med subjektoma obstaja istovetnost. Če bi se namreč podjetja lahko izognila sankcijam zgolj na podlagi dejstva, da se je spremenila njihova istovetnost zaradi prestrukturiranj, prenosa ali drugih pravnih ali organizacijskih sprememb, bi bil cilj kaznovanja ravnanj, ki so v nasprotju s pravili o konkurenci, in preprečevanja njihovih ponovitev z odvračilnimi sankcijami ogrožen. V skladu s to sodno prakso sta pravna oblika subjekta, ki je storil kršitev, in pravna oblika njegovega naslednika neupoštevni. Naložitev sankcije za kršitev temu nasledniku ne more biti izključena zgolj zaradi dejstva, kot v postopku v glavni stvari, da ima ta drugo pravno obliko in da deluje drugače kot subjekt, ki ga je nasledil </w:t>
      </w:r>
      <w:r w:rsidRPr="002F30DF">
        <w:rPr>
          <w:rFonts w:cs="Arial"/>
          <w:sz w:val="20"/>
          <w:szCs w:val="20"/>
        </w:rPr>
        <w:lastRenderedPageBreak/>
        <w:t>(sodba ETI</w:t>
      </w:r>
      <w:r w:rsidR="00D361A0" w:rsidRPr="002F30DF">
        <w:rPr>
          <w:rFonts w:cs="Arial"/>
          <w:sz w:val="20"/>
          <w:szCs w:val="20"/>
        </w:rPr>
        <w:t xml:space="preserve"> in drugi, EU:C:2007:775, točke </w:t>
      </w:r>
      <w:r w:rsidRPr="002F30DF">
        <w:rPr>
          <w:rFonts w:cs="Arial"/>
          <w:sz w:val="20"/>
          <w:szCs w:val="20"/>
        </w:rPr>
        <w:t>41, 42 in 43 ter navedena sodna praksa).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Načelo pravne varnosti zahteva, da pripis odgovornosti ni odvisen od nastopa slučajnega in negotovega dejstva, kot je nova organizacijska sprememba, za katero se odločijo zadevna podjetja.</w:t>
      </w:r>
      <w:r w:rsidRPr="002F30DF">
        <w:rPr>
          <w:rFonts w:cs="Arial"/>
          <w:sz w:val="20"/>
          <w:szCs w:val="20"/>
          <w:vertAlign w:val="superscript"/>
        </w:rPr>
        <w:footnoteReference w:id="25"/>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te možnosti ne bi bilo, bi se kršitelj lahko izognil plačilu administrativne sankcije s prestrukturiranjem, prodajo ali pravno </w:t>
      </w:r>
      <w:r w:rsidR="006A603D" w:rsidRPr="002F30DF">
        <w:rPr>
          <w:rFonts w:cs="Arial"/>
          <w:sz w:val="20"/>
          <w:szCs w:val="20"/>
        </w:rPr>
        <w:t xml:space="preserve">oziroma </w:t>
      </w:r>
      <w:r w:rsidRPr="002F30DF">
        <w:rPr>
          <w:rFonts w:cs="Arial"/>
          <w:sz w:val="20"/>
          <w:szCs w:val="20"/>
        </w:rPr>
        <w:t>organizacijsko spremembo.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 načelom gospodarske kontinuitete (nasledstva) se želi preprečiti, da bi se kršitelj izognil plačilu administrativne sankcije. To načelo se lahko v skladu s sodno prakso EU uporabi v primerih:</w:t>
      </w:r>
    </w:p>
    <w:p w:rsidR="007522E3" w:rsidRPr="002F30DF" w:rsidRDefault="007522E3" w:rsidP="00431BAA">
      <w:pPr>
        <w:numPr>
          <w:ilvl w:val="1"/>
          <w:numId w:val="68"/>
        </w:numPr>
        <w:overflowPunct/>
        <w:autoSpaceDE/>
        <w:autoSpaceDN/>
        <w:adjustRightInd/>
        <w:spacing w:line="260" w:lineRule="atLeast"/>
        <w:ind w:left="426"/>
        <w:textAlignment w:val="auto"/>
        <w:rPr>
          <w:rFonts w:cs="Arial"/>
          <w:sz w:val="20"/>
          <w:szCs w:val="20"/>
        </w:rPr>
      </w:pPr>
      <w:r w:rsidRPr="002F30DF">
        <w:rPr>
          <w:rFonts w:cs="Arial"/>
          <w:sz w:val="20"/>
          <w:szCs w:val="20"/>
        </w:rPr>
        <w:t>ko bi subjekt, ki je odgovoren za upravljanje podjetja, prenehal pravno obstajati po tem, ko je bila kršitev storjena (zgoraj navedeni sodbi Komisija proti Anic Partecipazioni, točka 145, ter HFB in drugi proti Komisiji, točka 104),</w:t>
      </w:r>
    </w:p>
    <w:p w:rsidR="007522E3" w:rsidRPr="002F30DF" w:rsidRDefault="007522E3" w:rsidP="00431BAA">
      <w:pPr>
        <w:numPr>
          <w:ilvl w:val="1"/>
          <w:numId w:val="68"/>
        </w:numPr>
        <w:overflowPunct/>
        <w:autoSpaceDE/>
        <w:autoSpaceDN/>
        <w:adjustRightInd/>
        <w:spacing w:line="260" w:lineRule="atLeast"/>
        <w:ind w:left="426"/>
        <w:textAlignment w:val="auto"/>
        <w:rPr>
          <w:rFonts w:cs="Arial"/>
          <w:sz w:val="20"/>
          <w:szCs w:val="20"/>
        </w:rPr>
      </w:pPr>
      <w:r w:rsidRPr="002F30DF">
        <w:rPr>
          <w:rFonts w:cs="Arial"/>
          <w:sz w:val="20"/>
          <w:szCs w:val="20"/>
        </w:rPr>
        <w:t>ali v primerih prestrukturiranj znotraj podjetij, pri katerih prvotni upravljavec ne preneha nujno pravno obstajati, vendar na zadevnem trgu ne opravlja več nobene gospodarske dejavnosti, in glede na strukturne povezave med prvotnim in novim upravljavcem podjetja (glej v tem smislu sodbo Sodišča z dne 7. januarja 2004 v združenih zadevah Aalborg Portland in drugi proti Komisiji, C-204/00 P, C-205/00 P, C 211/00 P, 213/00 P, C 217/00 P in C-219/00 P, Recueil, str. I-123, točka 359, in zgoraj navedeno sodbo ETI in drugi, točka 41).</w:t>
      </w:r>
    </w:p>
    <w:p w:rsidR="007522E3" w:rsidRPr="002F30DF" w:rsidRDefault="007522E3" w:rsidP="0025166A">
      <w:pPr>
        <w:spacing w:line="260" w:lineRule="atLeast"/>
        <w:rPr>
          <w:rFonts w:cs="Arial"/>
          <w:sz w:val="20"/>
          <w:szCs w:val="20"/>
        </w:rPr>
      </w:pPr>
    </w:p>
    <w:p w:rsidR="007522E3" w:rsidRPr="002F30DF" w:rsidRDefault="007522E3" w:rsidP="00DF4BB3">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konkretizira načelo gospodarskega nasledstva tako, da omogoči </w:t>
      </w:r>
      <w:r w:rsidR="00D93BA5" w:rsidRPr="002F30DF">
        <w:rPr>
          <w:rFonts w:cs="Arial"/>
          <w:sz w:val="20"/>
          <w:szCs w:val="20"/>
        </w:rPr>
        <w:t>a</w:t>
      </w:r>
      <w:r w:rsidR="0045309B" w:rsidRPr="002F30DF">
        <w:rPr>
          <w:rFonts w:cs="Arial"/>
          <w:sz w:val="20"/>
          <w:szCs w:val="20"/>
        </w:rPr>
        <w:t>genc</w:t>
      </w:r>
      <w:r w:rsidRPr="002F30DF">
        <w:rPr>
          <w:rFonts w:cs="Arial"/>
          <w:sz w:val="20"/>
          <w:szCs w:val="20"/>
        </w:rPr>
        <w:t>iji, da kadar oceni, da bi se kršitelj izognil plačilu administrativne sankcije, izda odločbo o kršitvi tega zakona ali 101. ali 102. člena P</w:t>
      </w:r>
      <w:r w:rsidR="008B0FF9" w:rsidRPr="002F30DF">
        <w:rPr>
          <w:rFonts w:cs="Arial"/>
          <w:sz w:val="20"/>
          <w:szCs w:val="20"/>
        </w:rPr>
        <w:t>DEU</w:t>
      </w:r>
      <w:r w:rsidRPr="002F30DF">
        <w:rPr>
          <w:rFonts w:cs="Arial"/>
          <w:sz w:val="20"/>
          <w:szCs w:val="20"/>
        </w:rPr>
        <w:t xml:space="preserve"> in </w:t>
      </w:r>
      <w:r w:rsidR="00091C1B" w:rsidRPr="002F30DF">
        <w:rPr>
          <w:rFonts w:cs="Arial"/>
          <w:sz w:val="20"/>
          <w:szCs w:val="20"/>
        </w:rPr>
        <w:t>izreče</w:t>
      </w:r>
      <w:r w:rsidRPr="002F30DF">
        <w:rPr>
          <w:rFonts w:cs="Arial"/>
          <w:sz w:val="20"/>
          <w:szCs w:val="20"/>
        </w:rPr>
        <w:t xml:space="preserve"> administrativno sankcijo subjektu, ki je pravni ali gospodarski naslednik kršitelja.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w:t>
      </w:r>
      <w:r w:rsidRPr="002F30DF">
        <w:rPr>
          <w:rFonts w:cs="Arial"/>
          <w:sz w:val="20"/>
          <w:szCs w:val="20"/>
          <w:u w:val="single"/>
        </w:rPr>
        <w:t>tretjim odstavkom</w:t>
      </w:r>
      <w:r w:rsidRPr="002F30DF">
        <w:rPr>
          <w:rFonts w:cs="Arial"/>
          <w:sz w:val="20"/>
          <w:szCs w:val="20"/>
        </w:rPr>
        <w:t xml:space="preserve"> se ureja primere, ko </w:t>
      </w:r>
      <w:r w:rsidR="00091C1B" w:rsidRPr="002F30DF">
        <w:rPr>
          <w:rFonts w:cs="Arial"/>
          <w:sz w:val="20"/>
          <w:szCs w:val="20"/>
        </w:rPr>
        <w:t>a</w:t>
      </w:r>
      <w:r w:rsidR="0045309B" w:rsidRPr="002F30DF">
        <w:rPr>
          <w:rFonts w:cs="Arial"/>
          <w:sz w:val="20"/>
          <w:szCs w:val="20"/>
        </w:rPr>
        <w:t>genc</w:t>
      </w:r>
      <w:r w:rsidRPr="002F30DF">
        <w:rPr>
          <w:rFonts w:cs="Arial"/>
          <w:sz w:val="20"/>
          <w:szCs w:val="20"/>
        </w:rPr>
        <w:t xml:space="preserve">ija v teku postopka razširi postopek še na pravnega ali gospodarskega naslednika kršitelja. Ta subjekt vstopi v postopek v stanju, v katerem je ob vstopu v postopek. Ne glede na to, pa ima ta subjekt </w:t>
      </w:r>
      <w:r w:rsidRPr="002F30DF">
        <w:rPr>
          <w:rFonts w:cs="Arial"/>
          <w:sz w:val="20"/>
          <w:szCs w:val="20"/>
        </w:rPr>
        <w:lastRenderedPageBreak/>
        <w:t>pravico navajati navedbe in dokaze glede okoliščin, ki se nanašajo na njeno pritegnitev v postopek. Subjekt bo lahko ugovarjal in dokazoval, da med kršiteljem in njim ne obstojijo oziroma niso obstajale strukturne povezave in zatorej ne more biti odgovoren za kršitve kršitelja.</w:t>
      </w:r>
    </w:p>
    <w:p w:rsidR="007522E3" w:rsidRPr="002F30DF" w:rsidRDefault="007522E3" w:rsidP="0025166A">
      <w:pPr>
        <w:spacing w:line="260" w:lineRule="atLeast"/>
        <w:rPr>
          <w:rFonts w:cs="Arial"/>
          <w:b/>
          <w:i/>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7</w:t>
      </w:r>
      <w:r w:rsidRPr="002F30DF">
        <w:rPr>
          <w:rFonts w:cs="Arial"/>
          <w:b/>
          <w:sz w:val="20"/>
          <w:szCs w:val="20"/>
        </w:rPr>
        <w:t>. členu (</w:t>
      </w:r>
      <w:r w:rsidR="00FA1C54" w:rsidRPr="002F30DF">
        <w:rPr>
          <w:rFonts w:cs="Arial"/>
          <w:b/>
          <w:sz w:val="20"/>
          <w:szCs w:val="20"/>
        </w:rPr>
        <w:t xml:space="preserve">izrek </w:t>
      </w:r>
      <w:r w:rsidRPr="002F30DF">
        <w:rPr>
          <w:rFonts w:cs="Arial"/>
          <w:b/>
          <w:sz w:val="20"/>
          <w:szCs w:val="20"/>
        </w:rPr>
        <w:t>administrativne sankcije podjetniškemu združenju)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so tudi podjetniška združenja udeležena pri kršitvah pravil konkurence, mora </w:t>
      </w:r>
      <w:r w:rsidR="00BD1D85" w:rsidRPr="002F30DF">
        <w:rPr>
          <w:rFonts w:cs="Arial"/>
          <w:sz w:val="20"/>
          <w:szCs w:val="20"/>
        </w:rPr>
        <w:t>a</w:t>
      </w:r>
      <w:r w:rsidR="0045309B" w:rsidRPr="002F30DF">
        <w:rPr>
          <w:rFonts w:cs="Arial"/>
          <w:sz w:val="20"/>
          <w:szCs w:val="20"/>
        </w:rPr>
        <w:t>genc</w:t>
      </w:r>
      <w:r w:rsidRPr="002F30DF">
        <w:rPr>
          <w:rFonts w:cs="Arial"/>
          <w:sz w:val="20"/>
          <w:szCs w:val="20"/>
        </w:rPr>
        <w:t xml:space="preserve">ija imeti možnost, da takšnim podjetniškim združenjem izreče učinkovite sankcije. Zato </w:t>
      </w:r>
      <w:r w:rsidRPr="002F30DF">
        <w:rPr>
          <w:rFonts w:cs="Arial"/>
          <w:sz w:val="20"/>
          <w:szCs w:val="20"/>
          <w:u w:val="single"/>
        </w:rPr>
        <w:t>prvi odstavek</w:t>
      </w:r>
      <w:r w:rsidRPr="002F30DF">
        <w:rPr>
          <w:rFonts w:cs="Arial"/>
          <w:sz w:val="20"/>
          <w:szCs w:val="20"/>
        </w:rPr>
        <w:t xml:space="preserve"> določa, da se podjetniškemu združenju za kršitve tega zakona ali 101. ali 102. člena PDEU</w:t>
      </w:r>
      <w:r w:rsidR="006A603D" w:rsidRPr="002F30DF">
        <w:rPr>
          <w:rFonts w:cs="Arial"/>
          <w:sz w:val="20"/>
          <w:szCs w:val="20"/>
        </w:rPr>
        <w:t xml:space="preserve"> </w:t>
      </w:r>
      <w:r w:rsidRPr="002F30DF">
        <w:rPr>
          <w:rFonts w:cs="Arial"/>
          <w:sz w:val="20"/>
          <w:szCs w:val="20"/>
        </w:rPr>
        <w:t>izreče administrativna sankcija, tako da se upošteva letni promet podjetniškega združenja</w:t>
      </w:r>
      <w:r w:rsidR="00530E62" w:rsidRPr="002F30DF">
        <w:rPr>
          <w:rFonts w:cs="Arial"/>
          <w:sz w:val="20"/>
          <w:szCs w:val="20"/>
        </w:rPr>
        <w:t xml:space="preserve"> na svetovni ravni</w:t>
      </w:r>
      <w:r w:rsidRPr="002F30DF">
        <w:rPr>
          <w:rFonts w:cs="Arial"/>
          <w:sz w:val="20"/>
          <w:szCs w:val="20"/>
        </w:rPr>
        <w:t>.</w:t>
      </w:r>
    </w:p>
    <w:p w:rsidR="007522E3" w:rsidRPr="002F30DF" w:rsidRDefault="007522E3" w:rsidP="0025166A">
      <w:pPr>
        <w:spacing w:line="260" w:lineRule="atLeast"/>
        <w:rPr>
          <w:rFonts w:cs="Arial"/>
          <w:sz w:val="20"/>
          <w:szCs w:val="20"/>
        </w:rPr>
      </w:pPr>
    </w:p>
    <w:p w:rsidR="00207CE9"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določa višino prometa in višino administrativne sankcije, ki se upošteva pri odmeri administrativne sankcije podjetniškemu združenju, kadar se kršitev podjetniškega združenja nanaša na dejavnost njegovih članov. V tem primeru </w:t>
      </w:r>
      <w:r w:rsidR="00BD1D85" w:rsidRPr="002F30DF">
        <w:rPr>
          <w:rFonts w:cs="Arial"/>
          <w:sz w:val="20"/>
          <w:szCs w:val="20"/>
        </w:rPr>
        <w:t>a</w:t>
      </w:r>
      <w:r w:rsidR="0045309B" w:rsidRPr="002F30DF">
        <w:rPr>
          <w:rFonts w:cs="Arial"/>
          <w:sz w:val="20"/>
          <w:szCs w:val="20"/>
        </w:rPr>
        <w:t>genc</w:t>
      </w:r>
      <w:r w:rsidRPr="002F30DF">
        <w:rPr>
          <w:rFonts w:cs="Arial"/>
          <w:sz w:val="20"/>
          <w:szCs w:val="20"/>
        </w:rPr>
        <w:t xml:space="preserve">ija pri presoji teže kršitve zaradi določitve zneska administrativne </w:t>
      </w:r>
      <w:r w:rsidR="00BD1D85" w:rsidRPr="002F30DF">
        <w:rPr>
          <w:rFonts w:cs="Arial"/>
          <w:sz w:val="20"/>
          <w:szCs w:val="20"/>
        </w:rPr>
        <w:t xml:space="preserve">sankcije </w:t>
      </w:r>
      <w:r w:rsidRPr="002F30DF">
        <w:rPr>
          <w:rFonts w:cs="Arial"/>
          <w:sz w:val="20"/>
          <w:szCs w:val="20"/>
        </w:rPr>
        <w:t>podjetnišk</w:t>
      </w:r>
      <w:r w:rsidR="006A603D" w:rsidRPr="002F30DF">
        <w:rPr>
          <w:rFonts w:cs="Arial"/>
          <w:sz w:val="20"/>
          <w:szCs w:val="20"/>
        </w:rPr>
        <w:t>emu</w:t>
      </w:r>
      <w:r w:rsidRPr="002F30DF">
        <w:rPr>
          <w:rFonts w:cs="Arial"/>
          <w:sz w:val="20"/>
          <w:szCs w:val="20"/>
        </w:rPr>
        <w:t xml:space="preserve"> združenj</w:t>
      </w:r>
      <w:r w:rsidR="006A603D" w:rsidRPr="002F30DF">
        <w:rPr>
          <w:rFonts w:cs="Arial"/>
          <w:sz w:val="20"/>
          <w:szCs w:val="20"/>
        </w:rPr>
        <w:t>u</w:t>
      </w:r>
      <w:r w:rsidRPr="002F30DF">
        <w:rPr>
          <w:rFonts w:cs="Arial"/>
          <w:sz w:val="20"/>
          <w:szCs w:val="20"/>
        </w:rPr>
        <w:t xml:space="preserve"> upošteva vsoto zneskov prodaje blaga in storitev</w:t>
      </w:r>
      <w:r w:rsidR="006A603D" w:rsidRPr="002F30DF">
        <w:rPr>
          <w:rFonts w:cs="Arial"/>
          <w:sz w:val="20"/>
          <w:szCs w:val="20"/>
        </w:rPr>
        <w:t xml:space="preserve"> članov podjetniškega združenja</w:t>
      </w:r>
      <w:r w:rsidRPr="002F30DF">
        <w:rPr>
          <w:rFonts w:cs="Arial"/>
          <w:sz w:val="20"/>
          <w:szCs w:val="20"/>
        </w:rPr>
        <w:t xml:space="preserve">, na katero se kršitev neposredno ali posredno nanaša. Takšen način določanja višine administrativne sankcije je skladen z Direktivo 2019/1, ki v 48. uvodni </w:t>
      </w:r>
      <w:r w:rsidR="00721AA6" w:rsidRPr="002F30DF">
        <w:rPr>
          <w:rFonts w:cs="Arial"/>
          <w:sz w:val="20"/>
          <w:szCs w:val="20"/>
        </w:rPr>
        <w:t>izjavi</w:t>
      </w:r>
      <w:r w:rsidRPr="002F30DF">
        <w:rPr>
          <w:rFonts w:cs="Arial"/>
          <w:sz w:val="20"/>
          <w:szCs w:val="20"/>
        </w:rPr>
        <w:t xml:space="preserve"> pojasnjuje, da </w:t>
      </w:r>
      <w:r w:rsidRPr="002F30DF">
        <w:rPr>
          <w:rFonts w:cs="Arial"/>
          <w:i/>
          <w:sz w:val="20"/>
          <w:szCs w:val="20"/>
        </w:rPr>
        <w:t>kadar se kršitev podjetniškega združenja nanaša na dejavnost njegovih članov, bi moralo biti pri presoji teže kršitve zaradi določitve globe v postopku zoper to združenje možno upoštevati vsoto zneskov prodaje blaga in storitev, na katero se kršitev neposredno ali posredno nanaša, ki jo opravijo podjetja, ki so člani združenja.</w:t>
      </w:r>
      <w:r w:rsidR="00530E62" w:rsidRPr="002F30DF">
        <w:rPr>
          <w:rFonts w:cs="Arial"/>
          <w:sz w:val="20"/>
          <w:szCs w:val="20"/>
        </w:rPr>
        <w:t xml:space="preserve"> Ta odstavek tudi določa, da najvišja administrativna sankcija, ki jo agencija lahko naloži podjetniškemu združenja znaša največ 10 % vsote skupnega prometa vsakega posameznega člana, ki je bil dejaven na trgu, prizadetem zaradi kršitve, ki jo je storilo podjetniško združenje.</w:t>
      </w:r>
    </w:p>
    <w:p w:rsidR="00655C88" w:rsidRPr="002F30DF" w:rsidRDefault="00655C88" w:rsidP="006A603D">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 zagotavljanje učinkovite izterjave administrativne sankcije se v tretjem do šestem odstavku določa način izterjave administrativne </w:t>
      </w:r>
      <w:r w:rsidR="001D06F4" w:rsidRPr="002F30DF">
        <w:rPr>
          <w:rFonts w:cs="Arial"/>
          <w:sz w:val="20"/>
          <w:szCs w:val="20"/>
        </w:rPr>
        <w:t xml:space="preserve">sankcije </w:t>
      </w:r>
      <w:r w:rsidRPr="002F30DF">
        <w:rPr>
          <w:rFonts w:cs="Arial"/>
          <w:sz w:val="20"/>
          <w:szCs w:val="20"/>
        </w:rPr>
        <w:t xml:space="preserve">od podjetij, ki so člani podjetniškega združenja, v primeru ko to podjetniško združenje ni plačilno sposobno.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u w:val="single"/>
        </w:rPr>
        <w:t>Tretji odstavek</w:t>
      </w:r>
      <w:r w:rsidRPr="002F30DF">
        <w:rPr>
          <w:rFonts w:cs="Arial"/>
          <w:sz w:val="20"/>
          <w:szCs w:val="20"/>
        </w:rPr>
        <w:t xml:space="preserve"> nalaga podjetniškemu združenju, da v primeru če samo ne razpolaga z zadostnimi denarnimi sredstvi za plačilo administrativne sankcije, ki mu je </w:t>
      </w:r>
      <w:r w:rsidRPr="002F30DF">
        <w:rPr>
          <w:rFonts w:cs="Arial"/>
          <w:sz w:val="20"/>
          <w:szCs w:val="20"/>
        </w:rPr>
        <w:lastRenderedPageBreak/>
        <w:t xml:space="preserve">bila naložena zaradi kršitev pravil konkurence, zahteva od svojih članov prispevek za plačilo te administrativne sankcije. Podjetniško združenje v tem primeru pozove svoje člane, da v določenem roku zagotovijo denarna sredstva za plačilo izrečene administrativne sankcije. Vsak član je tako dolžan na račun podjetniškega združenja plačati sorazmerni del administrativne sankcije, pri čemer se bo njegov delež odmeril glede na njegov promet v predhodnem poslovnem letu. S tem odstavkom se prenaša tretji odstavek 14. člena Direktive 2019/1, ki določa, da države članice zagotovijo, da je </w:t>
      </w:r>
      <w:r w:rsidRPr="002F30DF">
        <w:rPr>
          <w:rFonts w:cs="Arial"/>
          <w:i/>
          <w:sz w:val="20"/>
          <w:szCs w:val="20"/>
        </w:rPr>
        <w:t>podjetniško združenje, kadar mu je izrečena globa za kršitev 101. ali 102. člena PDEU ob upoštevanju prometa njegovih članov in združenje samo ni plačilno sposobno, dolžno od svojih članov zahtevati prispevke za kritje zneska globe.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lahko posamezni člani podjetniškega združenja kljub pozivu ne plačajo svojega deleža,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lahko na podlagi </w:t>
      </w:r>
      <w:r w:rsidRPr="002F30DF">
        <w:rPr>
          <w:rFonts w:cs="Arial"/>
          <w:sz w:val="20"/>
          <w:szCs w:val="20"/>
          <w:u w:val="single"/>
        </w:rPr>
        <w:t>četrtega odstavka</w:t>
      </w:r>
      <w:r w:rsidRPr="002F30DF">
        <w:rPr>
          <w:rFonts w:cs="Arial"/>
          <w:sz w:val="20"/>
          <w:szCs w:val="20"/>
        </w:rPr>
        <w:t xml:space="preserve"> od podjetij, ki so člani organov odločanja podjetniškega združenja, neposredno izterja njihov delež. Če tudi po posredovanju </w:t>
      </w:r>
      <w:r w:rsidR="00BD1D85" w:rsidRPr="002F30DF">
        <w:rPr>
          <w:rFonts w:cs="Arial"/>
          <w:sz w:val="20"/>
          <w:szCs w:val="20"/>
        </w:rPr>
        <w:t>a</w:t>
      </w:r>
      <w:r w:rsidR="0045309B" w:rsidRPr="002F30DF">
        <w:rPr>
          <w:rFonts w:cs="Arial"/>
          <w:sz w:val="20"/>
          <w:szCs w:val="20"/>
        </w:rPr>
        <w:t>genc</w:t>
      </w:r>
      <w:r w:rsidRPr="002F30DF">
        <w:rPr>
          <w:rFonts w:cs="Arial"/>
          <w:sz w:val="20"/>
          <w:szCs w:val="20"/>
        </w:rPr>
        <w:t xml:space="preserve">ije administrativna sankcija ne bo v celoti poplačana, bo lahko </w:t>
      </w:r>
      <w:r w:rsidR="00BD1D85" w:rsidRPr="002F30DF">
        <w:rPr>
          <w:rFonts w:cs="Arial"/>
          <w:sz w:val="20"/>
          <w:szCs w:val="20"/>
        </w:rPr>
        <w:t>a</w:t>
      </w:r>
      <w:r w:rsidR="0045309B" w:rsidRPr="002F30DF">
        <w:rPr>
          <w:rFonts w:cs="Arial"/>
          <w:sz w:val="20"/>
          <w:szCs w:val="20"/>
        </w:rPr>
        <w:t>genc</w:t>
      </w:r>
      <w:r w:rsidRPr="002F30DF">
        <w:rPr>
          <w:rFonts w:cs="Arial"/>
          <w:sz w:val="20"/>
          <w:szCs w:val="20"/>
        </w:rPr>
        <w:t xml:space="preserve">ija na podlagi </w:t>
      </w:r>
      <w:r w:rsidRPr="002F30DF">
        <w:rPr>
          <w:rFonts w:cs="Arial"/>
          <w:sz w:val="20"/>
          <w:szCs w:val="20"/>
          <w:u w:val="single"/>
        </w:rPr>
        <w:t>petega odstavka</w:t>
      </w:r>
      <w:r w:rsidRPr="002F30DF">
        <w:rPr>
          <w:rFonts w:cs="Arial"/>
          <w:sz w:val="20"/>
          <w:szCs w:val="20"/>
        </w:rPr>
        <w:t xml:space="preserve"> izterjala neplačan del administrativne sankcije neposredno od katerega koli člana podjetniškega združenja, ki je bil dejaven na trgu, na katerem se je kršitev zgodila. Posamezno podjetje, ki je član podjetniškega združenja, vendar ni član organov odločanja, bo lahko oproščeno plačila, če bo dokazalo, da kršitve ni izvajalo bodisi ker ni vedelo za njen obstoj ali se je od kršitve distanciralo, še preden je </w:t>
      </w:r>
      <w:r w:rsidR="00BD1D85" w:rsidRPr="002F30DF">
        <w:rPr>
          <w:rFonts w:cs="Arial"/>
          <w:sz w:val="20"/>
          <w:szCs w:val="20"/>
        </w:rPr>
        <w:t>a</w:t>
      </w:r>
      <w:r w:rsidR="0045309B" w:rsidRPr="002F30DF">
        <w:rPr>
          <w:rFonts w:cs="Arial"/>
          <w:sz w:val="20"/>
          <w:szCs w:val="20"/>
        </w:rPr>
        <w:t>genc</w:t>
      </w:r>
      <w:r w:rsidRPr="002F30DF">
        <w:rPr>
          <w:rFonts w:cs="Arial"/>
          <w:sz w:val="20"/>
          <w:szCs w:val="20"/>
        </w:rPr>
        <w:t>ija začela s preiskavo kršitve.</w:t>
      </w:r>
    </w:p>
    <w:p w:rsidR="00A43249" w:rsidRPr="002F30DF" w:rsidRDefault="00A43249" w:rsidP="0025166A">
      <w:pPr>
        <w:spacing w:line="260" w:lineRule="atLeast"/>
        <w:rPr>
          <w:rFonts w:cs="Arial"/>
          <w:sz w:val="20"/>
          <w:szCs w:val="20"/>
        </w:rPr>
      </w:pPr>
    </w:p>
    <w:p w:rsidR="00A43249" w:rsidRPr="002F30DF" w:rsidRDefault="00A43249" w:rsidP="0025166A">
      <w:pPr>
        <w:spacing w:line="260" w:lineRule="atLeast"/>
        <w:rPr>
          <w:rFonts w:cs="Arial"/>
          <w:sz w:val="20"/>
          <w:szCs w:val="20"/>
        </w:rPr>
      </w:pPr>
      <w:r w:rsidRPr="002F30DF">
        <w:rPr>
          <w:rFonts w:cs="Arial"/>
          <w:sz w:val="20"/>
          <w:szCs w:val="20"/>
        </w:rPr>
        <w:t xml:space="preserve">Glede </w:t>
      </w:r>
      <w:r w:rsidR="00BD5F7D" w:rsidRPr="002F30DF">
        <w:rPr>
          <w:rFonts w:cs="Arial"/>
          <w:sz w:val="20"/>
          <w:szCs w:val="20"/>
        </w:rPr>
        <w:t xml:space="preserve">sorazmernega dela </w:t>
      </w:r>
      <w:r w:rsidRPr="002F30DF">
        <w:rPr>
          <w:rFonts w:cs="Arial"/>
          <w:sz w:val="20"/>
          <w:szCs w:val="20"/>
        </w:rPr>
        <w:t>posameznega člana za plačilo administrativne sankcije, ki je naložena podjetniškemu združenju, pa velja omejitev, in sicer od obveznosti plačila je izvzet posamezen član, ki je dokazal, da ni izvajal kršitve, za katero se je odločilo podjetniško združenje</w:t>
      </w:r>
      <w:r w:rsidR="00BD5F7D" w:rsidRPr="002F30DF">
        <w:rPr>
          <w:rFonts w:cs="Arial"/>
          <w:sz w:val="20"/>
          <w:szCs w:val="20"/>
        </w:rPr>
        <w:t xml:space="preserve"> in bodisi</w:t>
      </w:r>
      <w:r w:rsidRPr="002F30DF">
        <w:rPr>
          <w:rFonts w:cs="Arial"/>
          <w:sz w:val="20"/>
          <w:szCs w:val="20"/>
        </w:rPr>
        <w:t xml:space="preserve"> ni vedel za njen obstoj </w:t>
      </w:r>
      <w:r w:rsidR="00BD5F7D" w:rsidRPr="002F30DF">
        <w:rPr>
          <w:rFonts w:cs="Arial"/>
          <w:sz w:val="20"/>
          <w:szCs w:val="20"/>
        </w:rPr>
        <w:t>sli se je od nje dejavno distanciral</w:t>
      </w:r>
      <w:r w:rsidRPr="002F30DF">
        <w:rPr>
          <w:rFonts w:cs="Arial"/>
          <w:sz w:val="20"/>
          <w:szCs w:val="20"/>
        </w:rPr>
        <w:t>, preden se je postopek pred agencijo začel.</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w:t>
      </w:r>
      <w:r w:rsidRPr="002F30DF">
        <w:rPr>
          <w:rFonts w:cs="Arial"/>
          <w:sz w:val="20"/>
          <w:szCs w:val="20"/>
          <w:u w:val="single"/>
        </w:rPr>
        <w:t>četrtim in petim odstavkom</w:t>
      </w:r>
      <w:r w:rsidRPr="002F30DF">
        <w:rPr>
          <w:rFonts w:cs="Arial"/>
          <w:sz w:val="20"/>
          <w:szCs w:val="20"/>
        </w:rPr>
        <w:t xml:space="preserve"> pa se v naš pravni red prenaša četrti odstavek 14. člena Direktive 2019/1, ki določa, da lahko </w:t>
      </w:r>
      <w:r w:rsidRPr="002F30DF">
        <w:rPr>
          <w:rFonts w:cs="Arial"/>
          <w:i/>
          <w:sz w:val="20"/>
          <w:szCs w:val="20"/>
        </w:rPr>
        <w:t xml:space="preserve">nacionalni organi, pristojni za varstvo konkurence, kadar prispevki iz tretjega odstavka v </w:t>
      </w:r>
      <w:r w:rsidR="008F4E3F" w:rsidRPr="002F30DF">
        <w:rPr>
          <w:rFonts w:cs="Arial"/>
          <w:i/>
          <w:sz w:val="20"/>
          <w:szCs w:val="20"/>
        </w:rPr>
        <w:t xml:space="preserve">določenem </w:t>
      </w:r>
      <w:r w:rsidRPr="002F30DF">
        <w:rPr>
          <w:rFonts w:cs="Arial"/>
          <w:i/>
          <w:sz w:val="20"/>
          <w:szCs w:val="20"/>
        </w:rPr>
        <w:t xml:space="preserve">roku niso bili v celoti nakazani podjetniškemu združenju, zahtevajo plačilo globe neposredno od katerega koli podjetja, katerega predstavniki so bili člani organov odločanja tega združenja. Potem ko so nacionalni organi, pristojni za varstvo konkurence, zahtevali plačilo od takih podjetij, če je to potrebno za zagotovitev, da bo globa plačana v </w:t>
      </w:r>
      <w:r w:rsidRPr="002F30DF">
        <w:rPr>
          <w:rFonts w:cs="Arial"/>
          <w:i/>
          <w:sz w:val="20"/>
          <w:szCs w:val="20"/>
        </w:rPr>
        <w:lastRenderedPageBreak/>
        <w:t xml:space="preserve">celoti, imajo tudi pravico zahtevati plačilo neporavnanega zneska globe od katerega koli člana združenja, ki je bil dejaven na trgu, na katerem se je kršitev zgodila. Vendar se plačilo v skladu s tem odstavkom ne zahteva od podjetij, ki dokažejo, da niso izvajala kršitve, za katero se je odločilo združenje, in bodisi niso vedela za njen obstoj bodisi so se od nje dejavno distancirala, preden se je preiskava začela.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S </w:t>
      </w:r>
      <w:r w:rsidRPr="002F30DF">
        <w:rPr>
          <w:rFonts w:cs="Arial"/>
          <w:sz w:val="20"/>
          <w:szCs w:val="20"/>
          <w:u w:val="single"/>
        </w:rPr>
        <w:t>šestim odstavkom</w:t>
      </w:r>
      <w:r w:rsidRPr="002F30DF">
        <w:rPr>
          <w:rFonts w:cs="Arial"/>
          <w:sz w:val="20"/>
          <w:szCs w:val="20"/>
        </w:rPr>
        <w:t xml:space="preserve"> </w:t>
      </w:r>
      <w:r w:rsidR="008F4E3F" w:rsidRPr="002F30DF">
        <w:rPr>
          <w:rFonts w:cs="Arial"/>
          <w:sz w:val="20"/>
          <w:szCs w:val="20"/>
        </w:rPr>
        <w:t xml:space="preserve">se </w:t>
      </w:r>
      <w:r w:rsidRPr="002F30DF">
        <w:rPr>
          <w:rFonts w:cs="Arial"/>
          <w:sz w:val="20"/>
          <w:szCs w:val="20"/>
        </w:rPr>
        <w:t xml:space="preserve">določa najvišji znesek, ki ga podjetje, ki je član podjetniškega združenja mora plačati, če podjetniško združenje, ki je </w:t>
      </w:r>
      <w:r w:rsidR="008F4E3F" w:rsidRPr="002F30DF">
        <w:rPr>
          <w:rFonts w:cs="Arial"/>
          <w:sz w:val="20"/>
          <w:szCs w:val="20"/>
        </w:rPr>
        <w:t xml:space="preserve">izvršilo </w:t>
      </w:r>
      <w:r w:rsidRPr="002F30DF">
        <w:rPr>
          <w:rFonts w:cs="Arial"/>
          <w:sz w:val="20"/>
          <w:szCs w:val="20"/>
        </w:rPr>
        <w:t>kršitev konkurenčnega prava, nima zadost</w:t>
      </w:r>
      <w:r w:rsidR="008F4E3F" w:rsidRPr="002F30DF">
        <w:rPr>
          <w:rFonts w:cs="Arial"/>
          <w:sz w:val="20"/>
          <w:szCs w:val="20"/>
        </w:rPr>
        <w:t>nih</w:t>
      </w:r>
      <w:r w:rsidRPr="002F30DF">
        <w:rPr>
          <w:rFonts w:cs="Arial"/>
          <w:sz w:val="20"/>
          <w:szCs w:val="20"/>
        </w:rPr>
        <w:t xml:space="preserve"> sredstev. S tem odstavkom se prenaša drugi odstavek 15. člena Direktive 2019/1, ki določa, da </w:t>
      </w:r>
      <w:r w:rsidRPr="002F30DF">
        <w:rPr>
          <w:rFonts w:cs="Arial"/>
          <w:i/>
          <w:sz w:val="20"/>
          <w:szCs w:val="20"/>
        </w:rPr>
        <w:t>kadar se kršitev podjetniškega združenja nanaša na dejavnost njegovih članov, najvišji znesek globe ne znaša manj kot 10 % vsote skupnega svetovnega prometa vsakega posameznega člana, dejavnega na trgu, ki ga je kršitev združenja prizadela. Vendar pa finančna obveznost vsakega posameznega podjetja v zvezi s plačilom globe ne presega najvišjega zneska, določenega v skladu s prvim odstavkom.</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BB66B2" w:rsidRPr="002F30DF">
        <w:rPr>
          <w:rFonts w:cs="Arial"/>
          <w:b/>
          <w:sz w:val="20"/>
          <w:szCs w:val="20"/>
        </w:rPr>
        <w:t>8</w:t>
      </w:r>
      <w:r w:rsidR="003C70CA" w:rsidRPr="002F30DF">
        <w:rPr>
          <w:rFonts w:cs="Arial"/>
          <w:b/>
          <w:sz w:val="20"/>
          <w:szCs w:val="20"/>
        </w:rPr>
        <w:t>8</w:t>
      </w:r>
      <w:r w:rsidRPr="002F30DF">
        <w:rPr>
          <w:rFonts w:cs="Arial"/>
          <w:b/>
          <w:sz w:val="20"/>
          <w:szCs w:val="20"/>
        </w:rPr>
        <w:t>. členu (izključitev odgovornosti)</w:t>
      </w:r>
    </w:p>
    <w:p w:rsidR="007522E3" w:rsidRPr="002F30DF" w:rsidRDefault="007522E3" w:rsidP="0025166A">
      <w:pPr>
        <w:spacing w:line="260" w:lineRule="atLeast"/>
        <w:rPr>
          <w:rFonts w:cs="Arial"/>
          <w:b/>
          <w:sz w:val="20"/>
          <w:szCs w:val="20"/>
        </w:rPr>
      </w:pPr>
    </w:p>
    <w:p w:rsidR="00036C07" w:rsidRPr="002F30DF" w:rsidRDefault="007522E3" w:rsidP="0025166A">
      <w:pPr>
        <w:spacing w:line="260" w:lineRule="atLeast"/>
        <w:rPr>
          <w:rFonts w:cs="Arial"/>
          <w:sz w:val="20"/>
          <w:szCs w:val="20"/>
        </w:rPr>
      </w:pPr>
      <w:r w:rsidRPr="002F30DF">
        <w:rPr>
          <w:rFonts w:cs="Arial"/>
          <w:sz w:val="20"/>
          <w:szCs w:val="20"/>
        </w:rPr>
        <w:t>S tem členom se določi, da nosilcu oblasti ni mogoče izreči administrativne sankcije</w:t>
      </w:r>
      <w:r w:rsidR="008F4E3F" w:rsidRPr="002F30DF">
        <w:rPr>
          <w:rFonts w:cs="Arial"/>
          <w:sz w:val="20"/>
          <w:szCs w:val="20"/>
        </w:rPr>
        <w:t>. To se določa</w:t>
      </w:r>
      <w:r w:rsidRPr="002F30DF">
        <w:rPr>
          <w:rFonts w:cs="Arial"/>
          <w:sz w:val="20"/>
          <w:szCs w:val="20"/>
        </w:rPr>
        <w:t xml:space="preserve">, ker so Republika Slovenija in lokalne skupnosti pravne osebe in so pod določenimi pogoji lahko podjetje v smislu konkurenčnega prava. </w:t>
      </w:r>
      <w:r w:rsidR="00036C07" w:rsidRPr="002F30DF">
        <w:rPr>
          <w:rFonts w:cs="Arial"/>
          <w:sz w:val="20"/>
          <w:szCs w:val="20"/>
        </w:rPr>
        <w:t>Vendar pa ta izjema velja le za tisti del dejavnosti, s katero se izvajajo javna pooblastila ali javnih storitev.</w:t>
      </w:r>
      <w:r w:rsidR="00A55D4C" w:rsidRPr="002F30DF">
        <w:rPr>
          <w:rFonts w:cs="Arial"/>
          <w:sz w:val="20"/>
          <w:szCs w:val="20"/>
        </w:rPr>
        <w:t xml:space="preserve"> Določitev izjeme je skladno s sodno prakso Sodišče EU, ki je v zadevi Komisija proti Nemčiji</w:t>
      </w:r>
      <w:r w:rsidR="00A55D4C" w:rsidRPr="002F30DF">
        <w:rPr>
          <w:rStyle w:val="Sprotnaopomba-sklic"/>
          <w:rFonts w:cs="Arial"/>
          <w:sz w:val="20"/>
          <w:szCs w:val="20"/>
        </w:rPr>
        <w:footnoteReference w:id="26"/>
      </w:r>
      <w:r w:rsidR="00A55D4C" w:rsidRPr="002F30DF">
        <w:rPr>
          <w:rFonts w:cs="Arial"/>
          <w:sz w:val="20"/>
          <w:szCs w:val="20"/>
        </w:rPr>
        <w:t xml:space="preserve"> presodilo, da dejavnosti, ki so povezane z izvajanjem javnih pooblastil, niso gospodarske, kar bi utemeljevalo uporabo pravil konkurence iz PDEU. </w:t>
      </w:r>
    </w:p>
    <w:p w:rsidR="00161767" w:rsidRPr="002F30DF" w:rsidRDefault="00161767"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Ta člen ne vpliva na določbo o višini prometa in višin</w:t>
      </w:r>
      <w:r w:rsidR="00EC465C" w:rsidRPr="002F30DF">
        <w:rPr>
          <w:rFonts w:cs="Arial"/>
          <w:sz w:val="20"/>
          <w:szCs w:val="20"/>
        </w:rPr>
        <w:t>i</w:t>
      </w:r>
      <w:r w:rsidRPr="002F30DF">
        <w:rPr>
          <w:rFonts w:cs="Arial"/>
          <w:sz w:val="20"/>
          <w:szCs w:val="20"/>
        </w:rPr>
        <w:t xml:space="preserve"> sankcije, ki se upošteva pri odmeri administrativne sankcije podjetniškemu združenju, kadar se kršitev podjetniškega združenja nanaša na dejavnost njegovih članov ugotavljanje obstoja kršitev ter </w:t>
      </w:r>
      <w:r w:rsidR="008F4E3F" w:rsidRPr="002F30DF">
        <w:rPr>
          <w:rFonts w:cs="Arial"/>
          <w:sz w:val="20"/>
          <w:szCs w:val="20"/>
        </w:rPr>
        <w:t xml:space="preserve">na </w:t>
      </w:r>
      <w:r w:rsidRPr="002F30DF">
        <w:rPr>
          <w:rFonts w:cs="Arial"/>
          <w:sz w:val="20"/>
          <w:szCs w:val="20"/>
        </w:rPr>
        <w:t xml:space="preserve">izrek administrativne sankcije podjetju, ki je v neposredni ali posredni lasti Republike Slovenije ali samoupravnih lokalnih skupnosti. </w:t>
      </w:r>
    </w:p>
    <w:p w:rsidR="007522E3" w:rsidRPr="002F30DF" w:rsidRDefault="007522E3" w:rsidP="00BD1D85">
      <w:pPr>
        <w:tabs>
          <w:tab w:val="left" w:pos="1590"/>
        </w:tabs>
        <w:spacing w:line="260" w:lineRule="atLeast"/>
        <w:jc w:val="center"/>
        <w:rPr>
          <w:rFonts w:cs="Arial"/>
          <w:b/>
          <w:sz w:val="20"/>
          <w:szCs w:val="20"/>
        </w:rPr>
      </w:pPr>
    </w:p>
    <w:p w:rsidR="007522E3" w:rsidRPr="002F30DF" w:rsidRDefault="007522E3" w:rsidP="0025166A">
      <w:pPr>
        <w:tabs>
          <w:tab w:val="left" w:pos="1590"/>
        </w:tabs>
        <w:spacing w:line="260" w:lineRule="atLeast"/>
        <w:rPr>
          <w:rFonts w:cs="Arial"/>
          <w:b/>
          <w:sz w:val="20"/>
          <w:szCs w:val="20"/>
        </w:rPr>
      </w:pPr>
      <w:r w:rsidRPr="002F30DF">
        <w:rPr>
          <w:rFonts w:cs="Arial"/>
          <w:b/>
          <w:sz w:val="20"/>
          <w:szCs w:val="20"/>
        </w:rPr>
        <w:t xml:space="preserve">K </w:t>
      </w:r>
      <w:r w:rsidR="003C70CA" w:rsidRPr="002F30DF">
        <w:rPr>
          <w:rFonts w:cs="Arial"/>
          <w:b/>
          <w:sz w:val="20"/>
          <w:szCs w:val="20"/>
        </w:rPr>
        <w:t>89</w:t>
      </w:r>
      <w:r w:rsidRPr="002F30DF">
        <w:rPr>
          <w:rFonts w:cs="Arial"/>
          <w:b/>
          <w:sz w:val="20"/>
          <w:szCs w:val="20"/>
        </w:rPr>
        <w:t>. členu (zastaranje administrativnega sankcioniranja)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 tem členom se ureja zastaranje administrativnega sankcioniranja.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w:t>
      </w:r>
      <w:r w:rsidR="001D06F4" w:rsidRPr="002F30DF">
        <w:rPr>
          <w:rFonts w:cs="Arial"/>
          <w:sz w:val="20"/>
          <w:szCs w:val="20"/>
        </w:rPr>
        <w:t>pet</w:t>
      </w:r>
      <w:r w:rsidRPr="002F30DF">
        <w:rPr>
          <w:rFonts w:cs="Arial"/>
          <w:sz w:val="20"/>
          <w:szCs w:val="20"/>
        </w:rPr>
        <w:t xml:space="preserve">letni zastaralni rok za naložitev administrativne sankcije za kršitev 5. ali 8. člen tega zakona ali 101. ali 102. člen PDEU ali za ravnanja v nasprotju z obveznostjo, določeno v izvršljivi odločbi iz </w:t>
      </w:r>
      <w:r w:rsidR="00BB66B2" w:rsidRPr="002F30DF">
        <w:rPr>
          <w:rFonts w:cs="Arial"/>
          <w:sz w:val="20"/>
          <w:szCs w:val="20"/>
        </w:rPr>
        <w:t>6</w:t>
      </w:r>
      <w:r w:rsidR="003C70CA" w:rsidRPr="002F30DF">
        <w:rPr>
          <w:rFonts w:cs="Arial"/>
          <w:sz w:val="20"/>
          <w:szCs w:val="20"/>
        </w:rPr>
        <w:t>2</w:t>
      </w:r>
      <w:r w:rsidRPr="002F30DF">
        <w:rPr>
          <w:rFonts w:cs="Arial"/>
          <w:sz w:val="20"/>
          <w:szCs w:val="20"/>
        </w:rPr>
        <w:t xml:space="preserve">., </w:t>
      </w:r>
      <w:r w:rsidR="00BB66B2" w:rsidRPr="002F30DF">
        <w:rPr>
          <w:rFonts w:cs="Arial"/>
          <w:sz w:val="20"/>
          <w:szCs w:val="20"/>
        </w:rPr>
        <w:t>6</w:t>
      </w:r>
      <w:r w:rsidR="003C70CA" w:rsidRPr="002F30DF">
        <w:rPr>
          <w:rFonts w:cs="Arial"/>
          <w:sz w:val="20"/>
          <w:szCs w:val="20"/>
        </w:rPr>
        <w:t>3</w:t>
      </w:r>
      <w:r w:rsidRPr="002F30DF">
        <w:rPr>
          <w:rFonts w:cs="Arial"/>
          <w:sz w:val="20"/>
          <w:szCs w:val="20"/>
        </w:rPr>
        <w:t xml:space="preserve">. </w:t>
      </w:r>
      <w:r w:rsidR="0052387E" w:rsidRPr="002F30DF">
        <w:rPr>
          <w:rFonts w:cs="Arial"/>
          <w:sz w:val="20"/>
          <w:szCs w:val="20"/>
        </w:rPr>
        <w:t xml:space="preserve">ali </w:t>
      </w:r>
      <w:r w:rsidR="00BB66B2" w:rsidRPr="002F30DF">
        <w:rPr>
          <w:rFonts w:cs="Arial"/>
          <w:sz w:val="20"/>
          <w:szCs w:val="20"/>
        </w:rPr>
        <w:t>6</w:t>
      </w:r>
      <w:r w:rsidR="003C70CA" w:rsidRPr="002F30DF">
        <w:rPr>
          <w:rFonts w:cs="Arial"/>
          <w:sz w:val="20"/>
          <w:szCs w:val="20"/>
        </w:rPr>
        <w:t>4</w:t>
      </w:r>
      <w:r w:rsidRPr="002F30DF">
        <w:rPr>
          <w:rFonts w:cs="Arial"/>
          <w:sz w:val="20"/>
          <w:szCs w:val="20"/>
        </w:rPr>
        <w:t xml:space="preserve">. člena tega zakona. Petletni zastaralni rok velja tudi za izrek administrativne sankcije podjetju, ki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iji ne priglasi koncentracije, ki je podrejena določbam tega zakona, ali je ne priglasi v roku iz </w:t>
      </w:r>
      <w:r w:rsidR="00BB66B2" w:rsidRPr="002F30DF">
        <w:rPr>
          <w:rFonts w:cs="Arial"/>
          <w:sz w:val="20"/>
          <w:szCs w:val="20"/>
        </w:rPr>
        <w:t>6</w:t>
      </w:r>
      <w:r w:rsidR="003C70CA" w:rsidRPr="002F30DF">
        <w:rPr>
          <w:rFonts w:cs="Arial"/>
          <w:sz w:val="20"/>
          <w:szCs w:val="20"/>
        </w:rPr>
        <w:t>8</w:t>
      </w:r>
      <w:r w:rsidRPr="002F30DF">
        <w:rPr>
          <w:rFonts w:cs="Arial"/>
          <w:sz w:val="20"/>
          <w:szCs w:val="20"/>
        </w:rPr>
        <w:t xml:space="preserve">. člena tega zakona ali v nasprotju </w:t>
      </w:r>
      <w:r w:rsidR="003C70CA" w:rsidRPr="002F30DF">
        <w:rPr>
          <w:rFonts w:cs="Arial"/>
          <w:sz w:val="20"/>
          <w:szCs w:val="20"/>
        </w:rPr>
        <w:t>z 69</w:t>
      </w:r>
      <w:r w:rsidRPr="002F30DF">
        <w:rPr>
          <w:rFonts w:cs="Arial"/>
          <w:sz w:val="20"/>
          <w:szCs w:val="20"/>
        </w:rPr>
        <w:t xml:space="preserve">. členom tega zakona izvršuje pravice ali obveznosti, ki izhajajo iz koncentracije, ali ne izpolni korektivnih ukrepov ali obveznosti, določenih v odločbi o skladnosti koncentracije s pravili konkurence ali ravna v nasprotju z odločbo o neskladnosti koncentracije s pravili konkurence ali ravna v nasprotju z izvršljivo odločbo, ki jo je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izdala na podlagi </w:t>
      </w:r>
      <w:r w:rsidR="00BB66B2" w:rsidRPr="002F30DF">
        <w:rPr>
          <w:rFonts w:cs="Arial"/>
          <w:sz w:val="20"/>
          <w:szCs w:val="20"/>
        </w:rPr>
        <w:t>79</w:t>
      </w:r>
      <w:r w:rsidRPr="002F30DF">
        <w:rPr>
          <w:rFonts w:cs="Arial"/>
          <w:sz w:val="20"/>
          <w:szCs w:val="20"/>
        </w:rPr>
        <w:t xml:space="preserve">. člena tega zakona.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Medtem, ko je za primere, </w:t>
      </w:r>
      <w:r w:rsidR="00EC465C" w:rsidRPr="002F30DF">
        <w:rPr>
          <w:rFonts w:cs="Arial"/>
          <w:sz w:val="20"/>
          <w:szCs w:val="20"/>
        </w:rPr>
        <w:t xml:space="preserve">ko </w:t>
      </w:r>
      <w:r w:rsidRPr="002F30DF">
        <w:rPr>
          <w:rFonts w:cs="Arial"/>
          <w:sz w:val="20"/>
          <w:szCs w:val="20"/>
        </w:rPr>
        <w:t xml:space="preserve">podjetje v odgovoru na zahtevo, postavljeno v skladu z drugim odstavkom </w:t>
      </w:r>
      <w:r w:rsidR="00D752B7" w:rsidRPr="002F30DF">
        <w:rPr>
          <w:rFonts w:cs="Arial"/>
          <w:sz w:val="20"/>
          <w:szCs w:val="20"/>
        </w:rPr>
        <w:t>54</w:t>
      </w:r>
      <w:r w:rsidRPr="002F30DF">
        <w:rPr>
          <w:rFonts w:cs="Arial"/>
          <w:sz w:val="20"/>
          <w:szCs w:val="20"/>
        </w:rPr>
        <w:t>. člena tega zakona, predloži napačne, nepopolne ali zavajajoče podatke ali teh podatkov ne predloži v zahtevanem roku</w:t>
      </w:r>
      <w:r w:rsidR="001D06F4" w:rsidRPr="002F30DF">
        <w:rPr>
          <w:rFonts w:cs="Arial"/>
          <w:sz w:val="20"/>
          <w:szCs w:val="20"/>
        </w:rPr>
        <w:t>,</w:t>
      </w:r>
      <w:r w:rsidRPr="002F30DF">
        <w:rPr>
          <w:rFonts w:cs="Arial"/>
          <w:sz w:val="20"/>
          <w:szCs w:val="20"/>
        </w:rPr>
        <w:t xml:space="preserve"> ali se ne odzove povabilu v skladu s </w:t>
      </w:r>
      <w:r w:rsidR="000E427A" w:rsidRPr="002F30DF">
        <w:rPr>
          <w:rFonts w:cs="Arial"/>
          <w:sz w:val="20"/>
          <w:szCs w:val="20"/>
        </w:rPr>
        <w:t>5</w:t>
      </w:r>
      <w:r w:rsidR="003C70CA" w:rsidRPr="002F30DF">
        <w:rPr>
          <w:rFonts w:cs="Arial"/>
          <w:sz w:val="20"/>
          <w:szCs w:val="20"/>
        </w:rPr>
        <w:t>4</w:t>
      </w:r>
      <w:r w:rsidRPr="002F30DF">
        <w:rPr>
          <w:rFonts w:cs="Arial"/>
          <w:sz w:val="20"/>
          <w:szCs w:val="20"/>
        </w:rPr>
        <w:t xml:space="preserve">. členom tega zakona, ali pri preiskavi predloži nepopolne poslovne knjige in drugo poslovno dokumentacijo ali ovira pooblaščene osebe pri izvedbi pooblastil iz drugega odstavka </w:t>
      </w:r>
      <w:r w:rsidR="000E427A" w:rsidRPr="002F30DF">
        <w:rPr>
          <w:rFonts w:cs="Arial"/>
          <w:sz w:val="20"/>
          <w:szCs w:val="20"/>
        </w:rPr>
        <w:t>5</w:t>
      </w:r>
      <w:r w:rsidR="003C70CA" w:rsidRPr="002F30DF">
        <w:rPr>
          <w:rFonts w:cs="Arial"/>
          <w:sz w:val="20"/>
          <w:szCs w:val="20"/>
        </w:rPr>
        <w:t>6</w:t>
      </w:r>
      <w:r w:rsidRPr="002F30DF">
        <w:rPr>
          <w:rFonts w:cs="Arial"/>
          <w:sz w:val="20"/>
          <w:szCs w:val="20"/>
        </w:rPr>
        <w:t xml:space="preserve">. člena tega zakona, ali v odgovoru na vprašanje, postavljeno po </w:t>
      </w:r>
      <w:r w:rsidR="00890E89" w:rsidRPr="002F30DF">
        <w:rPr>
          <w:rFonts w:cs="Arial"/>
          <w:sz w:val="20"/>
          <w:szCs w:val="20"/>
        </w:rPr>
        <w:t>peti</w:t>
      </w:r>
      <w:r w:rsidRPr="002F30DF">
        <w:rPr>
          <w:rFonts w:cs="Arial"/>
          <w:sz w:val="20"/>
          <w:szCs w:val="20"/>
        </w:rPr>
        <w:t xml:space="preserve"> alineji drugega odstavka </w:t>
      </w:r>
      <w:r w:rsidR="000E427A" w:rsidRPr="002F30DF">
        <w:rPr>
          <w:rFonts w:cs="Arial"/>
          <w:sz w:val="20"/>
          <w:szCs w:val="20"/>
        </w:rPr>
        <w:t>5</w:t>
      </w:r>
      <w:r w:rsidR="003C70CA" w:rsidRPr="002F30DF">
        <w:rPr>
          <w:rFonts w:cs="Arial"/>
          <w:sz w:val="20"/>
          <w:szCs w:val="20"/>
        </w:rPr>
        <w:t>6</w:t>
      </w:r>
      <w:r w:rsidRPr="002F30DF">
        <w:rPr>
          <w:rFonts w:cs="Arial"/>
          <w:sz w:val="20"/>
          <w:szCs w:val="20"/>
        </w:rPr>
        <w:t xml:space="preserve">. člena tega zakona, da napačen ali zavajajoč odgovor, če v roku, ki ga določi </w:t>
      </w:r>
      <w:r w:rsidR="00516B5A" w:rsidRPr="002F30DF">
        <w:rPr>
          <w:rFonts w:cs="Arial"/>
          <w:sz w:val="20"/>
          <w:szCs w:val="20"/>
        </w:rPr>
        <w:t>a</w:t>
      </w:r>
      <w:r w:rsidR="0045309B" w:rsidRPr="002F30DF">
        <w:rPr>
          <w:rFonts w:cs="Arial"/>
          <w:sz w:val="20"/>
          <w:szCs w:val="20"/>
        </w:rPr>
        <w:t>genc</w:t>
      </w:r>
      <w:r w:rsidRPr="002F30DF">
        <w:rPr>
          <w:rFonts w:cs="Arial"/>
          <w:sz w:val="20"/>
          <w:szCs w:val="20"/>
        </w:rPr>
        <w:t>ija, ne popravi nepopolnega ali zavajajočega odgovora, ali če ne da ali noče dati popolnega odgovora o dejstvih, ki se nanašajo na predmet in namen sodno odrejene preiskave</w:t>
      </w:r>
      <w:r w:rsidR="00EC465C" w:rsidRPr="002F30DF">
        <w:rPr>
          <w:rFonts w:cs="Arial"/>
          <w:sz w:val="20"/>
          <w:szCs w:val="20"/>
        </w:rPr>
        <w:t>,</w:t>
      </w:r>
      <w:r w:rsidRPr="002F30DF">
        <w:rPr>
          <w:rFonts w:cs="Arial"/>
          <w:sz w:val="20"/>
          <w:szCs w:val="20"/>
        </w:rPr>
        <w:t xml:space="preserve"> ali prelomi pečate, iz če</w:t>
      </w:r>
      <w:r w:rsidR="00912745" w:rsidRPr="002F30DF">
        <w:rPr>
          <w:rFonts w:cs="Arial"/>
          <w:sz w:val="20"/>
          <w:szCs w:val="20"/>
        </w:rPr>
        <w:t xml:space="preserve">trte alineje drugega dostavka </w:t>
      </w:r>
      <w:r w:rsidR="00890E89" w:rsidRPr="002F30DF">
        <w:rPr>
          <w:rFonts w:cs="Arial"/>
          <w:sz w:val="20"/>
          <w:szCs w:val="20"/>
        </w:rPr>
        <w:t>5</w:t>
      </w:r>
      <w:r w:rsidR="003C70CA" w:rsidRPr="002F30DF">
        <w:rPr>
          <w:rFonts w:cs="Arial"/>
          <w:sz w:val="20"/>
          <w:szCs w:val="20"/>
        </w:rPr>
        <w:t>6</w:t>
      </w:r>
      <w:r w:rsidRPr="002F30DF">
        <w:rPr>
          <w:rFonts w:cs="Arial"/>
          <w:sz w:val="20"/>
          <w:szCs w:val="20"/>
        </w:rPr>
        <w:t xml:space="preserve">. člena tega zakona, ali v posebnem obrazcu za priglasitev koncentracije navede nepravilne ali zavajajoče podatke določen triletni zastaralni rok. </w:t>
      </w:r>
      <w:r w:rsidR="00836303" w:rsidRPr="002F30DF">
        <w:rPr>
          <w:rFonts w:cs="Arial"/>
          <w:sz w:val="20"/>
          <w:szCs w:val="20"/>
        </w:rPr>
        <w:t>T</w:t>
      </w:r>
      <w:r w:rsidRPr="002F30DF">
        <w:rPr>
          <w:rFonts w:cs="Arial"/>
          <w:sz w:val="20"/>
          <w:szCs w:val="20"/>
        </w:rPr>
        <w:t xml:space="preserve">riletni zastaralni rok je določen tudi za naložitev dnevne periodične administrativne sankcije, ki jo lahko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izreče z namenom, da podjetje prisili k predložitvi popolnih in pravilnih informacij na zahtevo iz drugega odstavka </w:t>
      </w:r>
      <w:r w:rsidR="00890E89" w:rsidRPr="002F30DF">
        <w:rPr>
          <w:rFonts w:cs="Arial"/>
          <w:sz w:val="20"/>
          <w:szCs w:val="20"/>
        </w:rPr>
        <w:t>5</w:t>
      </w:r>
      <w:r w:rsidR="003C70CA" w:rsidRPr="002F30DF">
        <w:rPr>
          <w:rFonts w:cs="Arial"/>
          <w:sz w:val="20"/>
          <w:szCs w:val="20"/>
        </w:rPr>
        <w:t>6</w:t>
      </w:r>
      <w:r w:rsidRPr="002F30DF">
        <w:rPr>
          <w:rFonts w:cs="Arial"/>
          <w:sz w:val="20"/>
          <w:szCs w:val="20"/>
        </w:rPr>
        <w:t>. člena tega zakona ali k sodelovanju pri postopku zbiranja informacij</w:t>
      </w:r>
      <w:r w:rsidR="00836303" w:rsidRPr="002F30DF">
        <w:rPr>
          <w:rFonts w:cs="Arial"/>
          <w:sz w:val="20"/>
          <w:szCs w:val="20"/>
        </w:rPr>
        <w:t xml:space="preserve"> oziroma k prenehanju oviranja zbiranja informacij</w:t>
      </w:r>
      <w:r w:rsidRPr="002F30DF">
        <w:rPr>
          <w:rFonts w:cs="Arial"/>
          <w:sz w:val="20"/>
          <w:szCs w:val="20"/>
        </w:rPr>
        <w:t xml:space="preserve"> iz </w:t>
      </w:r>
      <w:r w:rsidR="00890E89" w:rsidRPr="002F30DF">
        <w:rPr>
          <w:rFonts w:cs="Arial"/>
          <w:sz w:val="20"/>
          <w:szCs w:val="20"/>
        </w:rPr>
        <w:t>5</w:t>
      </w:r>
      <w:r w:rsidR="003C70CA" w:rsidRPr="002F30DF">
        <w:rPr>
          <w:rFonts w:cs="Arial"/>
          <w:sz w:val="20"/>
          <w:szCs w:val="20"/>
        </w:rPr>
        <w:t>4</w:t>
      </w:r>
      <w:r w:rsidRPr="002F30DF">
        <w:rPr>
          <w:rFonts w:cs="Arial"/>
          <w:sz w:val="20"/>
          <w:szCs w:val="20"/>
        </w:rPr>
        <w:t xml:space="preserve">. člena tega zakona v prostorih </w:t>
      </w:r>
      <w:r w:rsidR="00D93BA5" w:rsidRPr="002F30DF">
        <w:rPr>
          <w:rFonts w:cs="Arial"/>
          <w:sz w:val="20"/>
          <w:szCs w:val="20"/>
        </w:rPr>
        <w:t>a</w:t>
      </w:r>
      <w:r w:rsidR="0045309B" w:rsidRPr="002F30DF">
        <w:rPr>
          <w:rFonts w:cs="Arial"/>
          <w:sz w:val="20"/>
          <w:szCs w:val="20"/>
        </w:rPr>
        <w:t>genc</w:t>
      </w:r>
      <w:r w:rsidRPr="002F30DF">
        <w:rPr>
          <w:rFonts w:cs="Arial"/>
          <w:sz w:val="20"/>
          <w:szCs w:val="20"/>
        </w:rPr>
        <w:t>ije ali k podreditvi sodno odrejen</w:t>
      </w:r>
      <w:r w:rsidR="00836303" w:rsidRPr="002F30DF">
        <w:rPr>
          <w:rFonts w:cs="Arial"/>
          <w:sz w:val="20"/>
          <w:szCs w:val="20"/>
        </w:rPr>
        <w:t>e</w:t>
      </w:r>
      <w:r w:rsidRPr="002F30DF">
        <w:rPr>
          <w:rFonts w:cs="Arial"/>
          <w:sz w:val="20"/>
          <w:szCs w:val="20"/>
        </w:rPr>
        <w:t xml:space="preserve"> preiskav</w:t>
      </w:r>
      <w:r w:rsidR="00836303" w:rsidRPr="002F30DF">
        <w:rPr>
          <w:rFonts w:cs="Arial"/>
          <w:sz w:val="20"/>
          <w:szCs w:val="20"/>
        </w:rPr>
        <w:t>e</w:t>
      </w:r>
      <w:r w:rsidRPr="002F30DF">
        <w:rPr>
          <w:rFonts w:cs="Arial"/>
          <w:sz w:val="20"/>
          <w:szCs w:val="20"/>
        </w:rPr>
        <w:t xml:space="preserve"> iz </w:t>
      </w:r>
      <w:r w:rsidR="00890E89" w:rsidRPr="002F30DF">
        <w:rPr>
          <w:rFonts w:cs="Arial"/>
          <w:sz w:val="20"/>
          <w:szCs w:val="20"/>
        </w:rPr>
        <w:t>5</w:t>
      </w:r>
      <w:r w:rsidR="003C70CA" w:rsidRPr="002F30DF">
        <w:rPr>
          <w:rFonts w:cs="Arial"/>
          <w:sz w:val="20"/>
          <w:szCs w:val="20"/>
        </w:rPr>
        <w:t>6</w:t>
      </w:r>
      <w:r w:rsidRPr="002F30DF">
        <w:rPr>
          <w:rFonts w:cs="Arial"/>
          <w:sz w:val="20"/>
          <w:szCs w:val="20"/>
        </w:rPr>
        <w:t xml:space="preserve">. člena tega zakona ali k </w:t>
      </w:r>
      <w:r w:rsidR="001B2AD4" w:rsidRPr="002F30DF">
        <w:rPr>
          <w:rFonts w:cs="Arial"/>
          <w:sz w:val="20"/>
          <w:szCs w:val="20"/>
        </w:rPr>
        <w:t xml:space="preserve">podreditvi </w:t>
      </w:r>
      <w:r w:rsidRPr="002F30DF">
        <w:rPr>
          <w:rFonts w:cs="Arial"/>
          <w:sz w:val="20"/>
          <w:szCs w:val="20"/>
        </w:rPr>
        <w:t>upoštevanj</w:t>
      </w:r>
      <w:r w:rsidR="001B2AD4" w:rsidRPr="002F30DF">
        <w:rPr>
          <w:rFonts w:cs="Arial"/>
          <w:sz w:val="20"/>
          <w:szCs w:val="20"/>
        </w:rPr>
        <w:t>a</w:t>
      </w:r>
      <w:r w:rsidRPr="002F30DF">
        <w:rPr>
          <w:rFonts w:cs="Arial"/>
          <w:sz w:val="20"/>
          <w:szCs w:val="20"/>
        </w:rPr>
        <w:t xml:space="preserve"> odločbe iz </w:t>
      </w:r>
      <w:r w:rsidR="00890E89" w:rsidRPr="002F30DF">
        <w:rPr>
          <w:rFonts w:cs="Arial"/>
          <w:sz w:val="20"/>
          <w:szCs w:val="20"/>
        </w:rPr>
        <w:t>6</w:t>
      </w:r>
      <w:r w:rsidR="003C70CA" w:rsidRPr="002F30DF">
        <w:rPr>
          <w:rFonts w:cs="Arial"/>
          <w:sz w:val="20"/>
          <w:szCs w:val="20"/>
        </w:rPr>
        <w:t>2</w:t>
      </w:r>
      <w:r w:rsidRPr="002F30DF">
        <w:rPr>
          <w:rFonts w:cs="Arial"/>
          <w:sz w:val="20"/>
          <w:szCs w:val="20"/>
        </w:rPr>
        <w:t xml:space="preserve">., </w:t>
      </w:r>
      <w:r w:rsidR="00890E89" w:rsidRPr="002F30DF">
        <w:rPr>
          <w:rFonts w:cs="Arial"/>
          <w:sz w:val="20"/>
          <w:szCs w:val="20"/>
        </w:rPr>
        <w:t>6</w:t>
      </w:r>
      <w:r w:rsidR="003C70CA" w:rsidRPr="002F30DF">
        <w:rPr>
          <w:rFonts w:cs="Arial"/>
          <w:sz w:val="20"/>
          <w:szCs w:val="20"/>
        </w:rPr>
        <w:t>3</w:t>
      </w:r>
      <w:r w:rsidRPr="002F30DF">
        <w:rPr>
          <w:rFonts w:cs="Arial"/>
          <w:sz w:val="20"/>
          <w:szCs w:val="20"/>
        </w:rPr>
        <w:t xml:space="preserve">. ali </w:t>
      </w:r>
      <w:r w:rsidR="00890E89" w:rsidRPr="002F30DF">
        <w:rPr>
          <w:rFonts w:cs="Arial"/>
          <w:sz w:val="20"/>
          <w:szCs w:val="20"/>
        </w:rPr>
        <w:t>6</w:t>
      </w:r>
      <w:r w:rsidR="003C70CA" w:rsidRPr="002F30DF">
        <w:rPr>
          <w:rFonts w:cs="Arial"/>
          <w:sz w:val="20"/>
          <w:szCs w:val="20"/>
        </w:rPr>
        <w:t>4</w:t>
      </w:r>
      <w:r w:rsidRPr="002F30DF">
        <w:rPr>
          <w:rFonts w:cs="Arial"/>
          <w:sz w:val="20"/>
          <w:szCs w:val="20"/>
        </w:rPr>
        <w:t xml:space="preserve">. člena tega zakona.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 xml:space="preserve">drugem odstavku </w:t>
      </w:r>
      <w:r w:rsidRPr="002F30DF">
        <w:rPr>
          <w:rFonts w:cs="Arial"/>
          <w:sz w:val="20"/>
          <w:szCs w:val="20"/>
        </w:rPr>
        <w:t>je določen trenutek začetka teka zastaranja. Zastaranje začne teči na dan, ko je bil administrativni prestopek izvršen. Ker pa dejanja kršitve konkurenčnega prava običajno trajajo dlje časa ali pa se ponavljajo, je v tem odstavku tudi določeno, da v takšnih primerih začne teči zastaranje na dan, ko je kršitelj prenehal z dejanjem kršitve konkurenčnega prava. Tovrsten zastaralni rok ne odstopa od ureditve zastaranja po Uredbi 1/2003</w:t>
      </w:r>
      <w:r w:rsidR="002D6008" w:rsidRPr="002F30DF">
        <w:rPr>
          <w:rFonts w:cs="Arial"/>
          <w:sz w:val="20"/>
          <w:szCs w:val="20"/>
        </w:rPr>
        <w:t xml:space="preserve"> in </w:t>
      </w:r>
      <w:r w:rsidR="00EC465C" w:rsidRPr="002F30DF">
        <w:rPr>
          <w:rFonts w:cs="Arial"/>
          <w:sz w:val="20"/>
          <w:szCs w:val="20"/>
        </w:rPr>
        <w:t xml:space="preserve">ureditve trajajočih in ponavljajočih prekrškov v </w:t>
      </w:r>
      <w:r w:rsidR="002D6008" w:rsidRPr="002F30DF">
        <w:rPr>
          <w:rFonts w:cs="Arial"/>
          <w:sz w:val="20"/>
          <w:szCs w:val="20"/>
        </w:rPr>
        <w:t>ZP-1</w:t>
      </w:r>
      <w:r w:rsidR="00EC465C"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 xml:space="preserve">Tretji </w:t>
      </w:r>
      <w:r w:rsidR="00F80B7C" w:rsidRPr="002F30DF">
        <w:rPr>
          <w:rFonts w:cs="Arial"/>
          <w:sz w:val="20"/>
          <w:szCs w:val="20"/>
          <w:u w:val="single"/>
        </w:rPr>
        <w:t>odstavek</w:t>
      </w:r>
      <w:r w:rsidR="00F80B7C" w:rsidRPr="002F30DF">
        <w:rPr>
          <w:rFonts w:cs="Arial"/>
          <w:sz w:val="20"/>
          <w:szCs w:val="20"/>
        </w:rPr>
        <w:t xml:space="preserve"> ureja</w:t>
      </w:r>
      <w:r w:rsidRPr="002F30DF">
        <w:rPr>
          <w:rFonts w:cs="Arial"/>
          <w:sz w:val="20"/>
          <w:szCs w:val="20"/>
        </w:rPr>
        <w:t xml:space="preserve"> pretrganje zastaranja</w:t>
      </w:r>
      <w:r w:rsidR="00F80B7C" w:rsidRPr="002F30DF">
        <w:rPr>
          <w:rFonts w:cs="Arial"/>
          <w:sz w:val="20"/>
          <w:szCs w:val="20"/>
        </w:rPr>
        <w:t xml:space="preserve">, in </w:t>
      </w:r>
      <w:r w:rsidRPr="002F30DF">
        <w:rPr>
          <w:rFonts w:cs="Arial"/>
          <w:sz w:val="20"/>
          <w:szCs w:val="20"/>
        </w:rPr>
        <w:t xml:space="preserve">sicer </w:t>
      </w:r>
      <w:r w:rsidR="00F80B7C" w:rsidRPr="002F30DF">
        <w:rPr>
          <w:rFonts w:cs="Arial"/>
          <w:sz w:val="20"/>
          <w:szCs w:val="20"/>
        </w:rPr>
        <w:t>določa</w:t>
      </w:r>
      <w:r w:rsidRPr="002F30DF">
        <w:rPr>
          <w:rFonts w:cs="Arial"/>
          <w:sz w:val="20"/>
          <w:szCs w:val="20"/>
        </w:rPr>
        <w:t xml:space="preserve">, da vsako dejanje </w:t>
      </w:r>
      <w:r w:rsidR="00F80B7C" w:rsidRPr="002F30DF">
        <w:rPr>
          <w:rFonts w:cs="Arial"/>
          <w:sz w:val="20"/>
          <w:szCs w:val="20"/>
        </w:rPr>
        <w:t>a</w:t>
      </w:r>
      <w:r w:rsidR="0045309B" w:rsidRPr="002F30DF">
        <w:rPr>
          <w:rFonts w:cs="Arial"/>
          <w:sz w:val="20"/>
          <w:szCs w:val="20"/>
        </w:rPr>
        <w:t>genc</w:t>
      </w:r>
      <w:r w:rsidRPr="002F30DF">
        <w:rPr>
          <w:rFonts w:cs="Arial"/>
          <w:sz w:val="20"/>
          <w:szCs w:val="20"/>
        </w:rPr>
        <w:t xml:space="preserve">ije, ki ga </w:t>
      </w:r>
      <w:r w:rsidR="00F80B7C" w:rsidRPr="002F30DF">
        <w:rPr>
          <w:rFonts w:cs="Arial"/>
          <w:sz w:val="20"/>
          <w:szCs w:val="20"/>
        </w:rPr>
        <w:t>a</w:t>
      </w:r>
      <w:r w:rsidR="0045309B" w:rsidRPr="002F30DF">
        <w:rPr>
          <w:rFonts w:cs="Arial"/>
          <w:sz w:val="20"/>
          <w:szCs w:val="20"/>
        </w:rPr>
        <w:t>genc</w:t>
      </w:r>
      <w:r w:rsidRPr="002F30DF">
        <w:rPr>
          <w:rFonts w:cs="Arial"/>
          <w:sz w:val="20"/>
          <w:szCs w:val="20"/>
        </w:rPr>
        <w:t>ija izvede zaradi preiskave ali postopka v zvezi s kršitvijo določb tega zakona ali 101. ali 102. člena PDEU (kot na primeru začetek postopka po</w:t>
      </w:r>
      <w:r w:rsidR="001D06F4" w:rsidRPr="002F30DF">
        <w:rPr>
          <w:rFonts w:cs="Arial"/>
          <w:sz w:val="20"/>
          <w:szCs w:val="20"/>
        </w:rPr>
        <w:t xml:space="preserve"> </w:t>
      </w:r>
      <w:r w:rsidR="003C70CA" w:rsidRPr="002F30DF">
        <w:rPr>
          <w:rFonts w:cs="Arial"/>
          <w:sz w:val="20"/>
          <w:szCs w:val="20"/>
        </w:rPr>
        <w:t>49</w:t>
      </w:r>
      <w:r w:rsidRPr="002F30DF">
        <w:rPr>
          <w:rFonts w:cs="Arial"/>
          <w:sz w:val="20"/>
          <w:szCs w:val="20"/>
        </w:rPr>
        <w:t xml:space="preserve">. členu tega  zakona, ali izvedba posameznih dejanj iz </w:t>
      </w:r>
      <w:r w:rsidR="00890E89" w:rsidRPr="002F30DF">
        <w:rPr>
          <w:rFonts w:cs="Arial"/>
          <w:sz w:val="20"/>
          <w:szCs w:val="20"/>
        </w:rPr>
        <w:t>4</w:t>
      </w:r>
      <w:r w:rsidR="003C70CA" w:rsidRPr="002F30DF">
        <w:rPr>
          <w:rFonts w:cs="Arial"/>
          <w:sz w:val="20"/>
          <w:szCs w:val="20"/>
        </w:rPr>
        <w:t>7</w:t>
      </w:r>
      <w:r w:rsidRPr="002F30DF">
        <w:rPr>
          <w:rFonts w:cs="Arial"/>
          <w:sz w:val="20"/>
          <w:szCs w:val="20"/>
        </w:rPr>
        <w:t>.</w:t>
      </w:r>
      <w:r w:rsidR="001D06F4" w:rsidRPr="002F30DF">
        <w:rPr>
          <w:rFonts w:cs="Arial"/>
          <w:sz w:val="20"/>
          <w:szCs w:val="20"/>
        </w:rPr>
        <w:t xml:space="preserve"> in</w:t>
      </w:r>
      <w:r w:rsidR="00912745" w:rsidRPr="002F30DF">
        <w:rPr>
          <w:rFonts w:cs="Arial"/>
          <w:sz w:val="20"/>
          <w:szCs w:val="20"/>
        </w:rPr>
        <w:t xml:space="preserve"> </w:t>
      </w:r>
      <w:r w:rsidR="00890E89" w:rsidRPr="002F30DF">
        <w:rPr>
          <w:rFonts w:cs="Arial"/>
          <w:sz w:val="20"/>
          <w:szCs w:val="20"/>
        </w:rPr>
        <w:t>4</w:t>
      </w:r>
      <w:r w:rsidR="003C70CA" w:rsidRPr="002F30DF">
        <w:rPr>
          <w:rFonts w:cs="Arial"/>
          <w:sz w:val="20"/>
          <w:szCs w:val="20"/>
        </w:rPr>
        <w:t>8</w:t>
      </w:r>
      <w:r w:rsidRPr="002F30DF">
        <w:rPr>
          <w:rFonts w:cs="Arial"/>
          <w:sz w:val="20"/>
          <w:szCs w:val="20"/>
        </w:rPr>
        <w:t>.</w:t>
      </w:r>
      <w:r w:rsidR="001D06F4" w:rsidRPr="002F30DF">
        <w:rPr>
          <w:rFonts w:cs="Arial"/>
          <w:sz w:val="20"/>
          <w:szCs w:val="20"/>
        </w:rPr>
        <w:t xml:space="preserve"> ter od</w:t>
      </w:r>
      <w:r w:rsidRPr="002F30DF">
        <w:rPr>
          <w:rFonts w:cs="Arial"/>
          <w:sz w:val="20"/>
          <w:szCs w:val="20"/>
        </w:rPr>
        <w:t xml:space="preserve"> </w:t>
      </w:r>
      <w:r w:rsidR="00890E89" w:rsidRPr="002F30DF">
        <w:rPr>
          <w:rFonts w:cs="Arial"/>
          <w:sz w:val="20"/>
          <w:szCs w:val="20"/>
        </w:rPr>
        <w:t>5</w:t>
      </w:r>
      <w:r w:rsidR="003C70CA" w:rsidRPr="002F30DF">
        <w:rPr>
          <w:rFonts w:cs="Arial"/>
          <w:sz w:val="20"/>
          <w:szCs w:val="20"/>
        </w:rPr>
        <w:t>4</w:t>
      </w:r>
      <w:r w:rsidRPr="002F30DF">
        <w:rPr>
          <w:rFonts w:cs="Arial"/>
          <w:sz w:val="20"/>
          <w:szCs w:val="20"/>
        </w:rPr>
        <w:t xml:space="preserve">. do </w:t>
      </w:r>
      <w:r w:rsidR="0052387E" w:rsidRPr="002F30DF">
        <w:rPr>
          <w:rFonts w:cs="Arial"/>
          <w:sz w:val="20"/>
          <w:szCs w:val="20"/>
        </w:rPr>
        <w:t>6</w:t>
      </w:r>
      <w:r w:rsidR="003C70CA" w:rsidRPr="002F30DF">
        <w:rPr>
          <w:rFonts w:cs="Arial"/>
          <w:sz w:val="20"/>
          <w:szCs w:val="20"/>
        </w:rPr>
        <w:t>2</w:t>
      </w:r>
      <w:r w:rsidRPr="002F30DF">
        <w:rPr>
          <w:rFonts w:cs="Arial"/>
          <w:sz w:val="20"/>
          <w:szCs w:val="20"/>
        </w:rPr>
        <w:t xml:space="preserve">. člena tega zakona) pretrga tek zastaralnega roka. </w:t>
      </w:r>
      <w:r w:rsidR="00F80B7C" w:rsidRPr="002F30DF">
        <w:rPr>
          <w:rFonts w:cs="Arial"/>
          <w:sz w:val="20"/>
          <w:szCs w:val="20"/>
        </w:rPr>
        <w:t xml:space="preserve">Pretrganje velja zoper </w:t>
      </w:r>
      <w:r w:rsidRPr="002F30DF">
        <w:rPr>
          <w:rFonts w:cs="Arial"/>
          <w:sz w:val="20"/>
          <w:szCs w:val="20"/>
        </w:rPr>
        <w:t xml:space="preserve">vsa podjetja, in ne zgolj zoper podjetje, katerega je </w:t>
      </w:r>
      <w:r w:rsidR="00F80B7C" w:rsidRPr="002F30DF">
        <w:rPr>
          <w:rFonts w:cs="Arial"/>
          <w:sz w:val="20"/>
          <w:szCs w:val="20"/>
        </w:rPr>
        <w:t>a</w:t>
      </w:r>
      <w:r w:rsidR="0045309B" w:rsidRPr="002F30DF">
        <w:rPr>
          <w:rFonts w:cs="Arial"/>
          <w:sz w:val="20"/>
          <w:szCs w:val="20"/>
        </w:rPr>
        <w:t>genc</w:t>
      </w:r>
      <w:r w:rsidRPr="002F30DF">
        <w:rPr>
          <w:rFonts w:cs="Arial"/>
          <w:sz w:val="20"/>
          <w:szCs w:val="20"/>
        </w:rPr>
        <w:t xml:space="preserve">ija </w:t>
      </w:r>
      <w:r w:rsidR="00F80B7C" w:rsidRPr="002F30DF">
        <w:rPr>
          <w:rFonts w:cs="Arial"/>
          <w:sz w:val="20"/>
          <w:szCs w:val="20"/>
        </w:rPr>
        <w:t>izvedla neko</w:t>
      </w:r>
      <w:r w:rsidRPr="002F30DF">
        <w:rPr>
          <w:rFonts w:cs="Arial"/>
          <w:sz w:val="20"/>
          <w:szCs w:val="20"/>
        </w:rPr>
        <w:t xml:space="preserve"> dejanje.</w:t>
      </w:r>
    </w:p>
    <w:p w:rsidR="007522E3" w:rsidRPr="002F30DF" w:rsidRDefault="007522E3" w:rsidP="0025166A">
      <w:pPr>
        <w:spacing w:line="260" w:lineRule="atLeast"/>
        <w:rPr>
          <w:rFonts w:cs="Arial"/>
          <w:sz w:val="20"/>
          <w:szCs w:val="20"/>
        </w:rPr>
      </w:pPr>
    </w:p>
    <w:p w:rsidR="007522E3" w:rsidRPr="002F30DF" w:rsidRDefault="00F80B7C" w:rsidP="0025166A">
      <w:pPr>
        <w:spacing w:line="260" w:lineRule="atLeast"/>
        <w:rPr>
          <w:rFonts w:cs="Arial"/>
          <w:sz w:val="20"/>
          <w:szCs w:val="20"/>
        </w:rPr>
      </w:pPr>
      <w:r w:rsidRPr="002F30DF">
        <w:rPr>
          <w:rFonts w:cs="Arial"/>
          <w:sz w:val="20"/>
          <w:szCs w:val="20"/>
          <w:u w:val="single"/>
        </w:rPr>
        <w:t>Četrti</w:t>
      </w:r>
      <w:r w:rsidR="007522E3" w:rsidRPr="002F30DF">
        <w:rPr>
          <w:rFonts w:cs="Arial"/>
          <w:sz w:val="20"/>
          <w:szCs w:val="20"/>
          <w:u w:val="single"/>
        </w:rPr>
        <w:t xml:space="preserve"> odstavek</w:t>
      </w:r>
      <w:r w:rsidR="007522E3" w:rsidRPr="002F30DF">
        <w:rPr>
          <w:rFonts w:cs="Arial"/>
          <w:sz w:val="20"/>
          <w:szCs w:val="20"/>
        </w:rPr>
        <w:t xml:space="preserve"> določa, da po vsakem </w:t>
      </w:r>
      <w:r w:rsidR="00EC465C" w:rsidRPr="002F30DF">
        <w:rPr>
          <w:rFonts w:cs="Arial"/>
          <w:sz w:val="20"/>
          <w:szCs w:val="20"/>
        </w:rPr>
        <w:t>pretrganju</w:t>
      </w:r>
      <w:r w:rsidR="007522E3" w:rsidRPr="002F30DF">
        <w:rPr>
          <w:rFonts w:cs="Arial"/>
          <w:sz w:val="20"/>
          <w:szCs w:val="20"/>
        </w:rPr>
        <w:t xml:space="preserve"> začne zastaranje znova teči. </w:t>
      </w:r>
    </w:p>
    <w:p w:rsidR="001D06F4" w:rsidRPr="002F30DF" w:rsidRDefault="001D06F4" w:rsidP="0025166A">
      <w:pPr>
        <w:spacing w:line="260" w:lineRule="atLeast"/>
        <w:rPr>
          <w:rFonts w:cs="Arial"/>
          <w:sz w:val="20"/>
          <w:szCs w:val="20"/>
        </w:rPr>
      </w:pPr>
    </w:p>
    <w:p w:rsidR="00F80B7C" w:rsidRPr="002F30DF" w:rsidRDefault="00F80B7C" w:rsidP="00F80B7C">
      <w:pPr>
        <w:pStyle w:val="Navaden3"/>
        <w:spacing w:before="0" w:beforeAutospacing="0" w:after="0" w:afterAutospacing="0" w:line="260" w:lineRule="atLeast"/>
        <w:jc w:val="both"/>
        <w:rPr>
          <w:rFonts w:ascii="Arial" w:hAnsi="Arial" w:cs="Arial"/>
          <w:i/>
          <w:sz w:val="20"/>
          <w:szCs w:val="20"/>
        </w:rPr>
      </w:pPr>
      <w:r w:rsidRPr="002F30DF">
        <w:rPr>
          <w:rFonts w:ascii="Arial" w:hAnsi="Arial" w:cs="Arial"/>
          <w:sz w:val="20"/>
          <w:szCs w:val="20"/>
        </w:rPr>
        <w:t xml:space="preserve">V </w:t>
      </w:r>
      <w:r w:rsidRPr="002F30DF">
        <w:rPr>
          <w:rFonts w:ascii="Arial" w:hAnsi="Arial" w:cs="Arial"/>
          <w:sz w:val="20"/>
          <w:szCs w:val="20"/>
          <w:u w:val="single"/>
        </w:rPr>
        <w:t>petem odstavku</w:t>
      </w:r>
      <w:r w:rsidRPr="002F30DF">
        <w:rPr>
          <w:rFonts w:ascii="Arial" w:hAnsi="Arial" w:cs="Arial"/>
          <w:sz w:val="20"/>
          <w:szCs w:val="20"/>
        </w:rPr>
        <w:t xml:space="preserve"> je določena prekinitev zastaranja v primeru, ko postopek za uveljavljanje pravil konkurence </w:t>
      </w:r>
      <w:r w:rsidR="00A05386" w:rsidRPr="002F30DF">
        <w:rPr>
          <w:rFonts w:ascii="Arial" w:hAnsi="Arial" w:cs="Arial"/>
          <w:sz w:val="20"/>
          <w:szCs w:val="20"/>
        </w:rPr>
        <w:t xml:space="preserve">v zvezi s kršitvijo, ki se nanaša na isto prepovedano ravnanje določeno v 101. ali 102. členu PDEU </w:t>
      </w:r>
      <w:r w:rsidRPr="002F30DF">
        <w:rPr>
          <w:rFonts w:ascii="Arial" w:hAnsi="Arial" w:cs="Arial"/>
          <w:sz w:val="20"/>
          <w:szCs w:val="20"/>
        </w:rPr>
        <w:t>teče pred organom, pristojnim za varstvo konkurence druge države članice ali pred Evropsko komisijo. V takšnih primerih se tek zastaralnega roka pred agencijo prekine z dnem, ko organ, pristojen za varstvo konkurence druge države članice ali Evropska komisija vroči prvi uradni ukrep kateremu izmed podjetij udeleženih v postopku. Po zaključku postopka pred tem organom se zastaralni rok v postopku pred agencijo nadaljuje. S tem odstavkom se prenaša prvi odstavek 29. člena Direktiva 2019/1, ki določa</w:t>
      </w:r>
      <w:r w:rsidR="00B20693" w:rsidRPr="002F30DF">
        <w:rPr>
          <w:rFonts w:ascii="Arial" w:hAnsi="Arial" w:cs="Arial"/>
          <w:sz w:val="20"/>
          <w:szCs w:val="20"/>
        </w:rPr>
        <w:t>, da</w:t>
      </w:r>
      <w:r w:rsidRPr="002F30DF">
        <w:rPr>
          <w:rFonts w:ascii="Arial" w:hAnsi="Arial" w:cs="Arial"/>
          <w:sz w:val="20"/>
          <w:szCs w:val="20"/>
        </w:rPr>
        <w:t xml:space="preserve"> se </w:t>
      </w:r>
      <w:r w:rsidRPr="002F30DF">
        <w:rPr>
          <w:rFonts w:ascii="Arial" w:hAnsi="Arial" w:cs="Arial"/>
          <w:i/>
          <w:sz w:val="20"/>
          <w:szCs w:val="20"/>
        </w:rPr>
        <w:t xml:space="preserve">tek zastaralnih rokov za izrek glob ali periodičnih denarnih kazni s strani nacionalnih organov, pristojnih za varstvo konkurence, v skladu s 13. in 16. členom, prekine oziroma se zastaranje pretrga za čas trajanja postopka za uveljavljanje pravil konkurence pred nacionalnimi organi, pristojnimi za varstvo konkurence drugih držav članic, ali Evropsko komisijo v zvezi s kršitvijo, ki se nanaša na isti sporazum, sklep združenja, usklajeno ravnanje ali drugo ravnanje, prepovedano na podlagi 101. ali 102. člena PDEU. Prekinitev teka zastaralnih rokov oziroma pretrganje zastaranja začne veljati z vročitvijo prvega uradnega preiskovalnega ukrepa najmanj enemu podjetju, ki je predmet postopka za uveljavljanje pravil konkurence. Uporablja se za vsa podjetja ali podjetniška združenja, ki so </w:t>
      </w:r>
      <w:r w:rsidRPr="002F30DF">
        <w:rPr>
          <w:rFonts w:ascii="Arial" w:hAnsi="Arial" w:cs="Arial"/>
          <w:i/>
          <w:sz w:val="20"/>
          <w:szCs w:val="20"/>
        </w:rPr>
        <w:lastRenderedPageBreak/>
        <w:t>bila udeležena pri kršitvi. Prekinitev oziroma pretrganje preneha na dan, ko zadevni organ, pristojen za varstvo konkurence, konča svoj postopek za uveljavljanje pravil konkurence s sprejetjem odločbe iz 10., 12. ali 13. člena te direktive ali na podlagi 7., 9. ali 10. člena Uredbe (ES) št. 1/2003, ali na dan, ko je ugotovil, da ni več razloga, da bi še naprej ukrepal.</w:t>
      </w:r>
      <w:r w:rsidR="00912745" w:rsidRPr="002F30DF">
        <w:rPr>
          <w:rFonts w:ascii="Arial" w:hAnsi="Arial" w:cs="Arial"/>
          <w:i/>
          <w:sz w:val="20"/>
          <w:szCs w:val="20"/>
        </w:rPr>
        <w:t xml:space="preserve"> </w:t>
      </w:r>
      <w:r w:rsidRPr="002F30DF">
        <w:rPr>
          <w:rFonts w:ascii="Arial" w:hAnsi="Arial" w:cs="Arial"/>
          <w:i/>
          <w:sz w:val="20"/>
          <w:szCs w:val="20"/>
        </w:rPr>
        <w:t>Trajanje takega obdobja prekinitve oziroma pretrganja ne posega v absolutne zastaralne roke, določene v nacionalnem pravu.</w:t>
      </w:r>
    </w:p>
    <w:p w:rsidR="00F80B7C" w:rsidRPr="002F30DF" w:rsidRDefault="00F80B7C" w:rsidP="0025166A">
      <w:pPr>
        <w:spacing w:line="260" w:lineRule="atLeast"/>
        <w:rPr>
          <w:rFonts w:cs="Arial"/>
          <w:sz w:val="20"/>
          <w:szCs w:val="20"/>
        </w:rPr>
      </w:pPr>
    </w:p>
    <w:p w:rsidR="007522E3" w:rsidRPr="002F30DF" w:rsidRDefault="00F80B7C" w:rsidP="0025166A">
      <w:pPr>
        <w:spacing w:line="260" w:lineRule="atLeast"/>
        <w:rPr>
          <w:rFonts w:cs="Arial"/>
          <w:sz w:val="20"/>
          <w:szCs w:val="20"/>
        </w:rPr>
      </w:pPr>
      <w:r w:rsidRPr="002F30DF">
        <w:rPr>
          <w:rFonts w:cs="Arial"/>
          <w:sz w:val="20"/>
          <w:szCs w:val="20"/>
          <w:u w:val="single"/>
        </w:rPr>
        <w:t>Šesti odstavek</w:t>
      </w:r>
      <w:r w:rsidRPr="002F30DF">
        <w:rPr>
          <w:rFonts w:cs="Arial"/>
          <w:sz w:val="20"/>
          <w:szCs w:val="20"/>
        </w:rPr>
        <w:t xml:space="preserve"> določa absolutni zastaralni rok za izrek administrativne sankcije podjetju, ki je kršilo konkurenčno pravo in sicer je absolutni zastaralni rok določen na dvakratnik zastaralnega roka, določenega v prvem odstavku tega člena. Ta rok </w:t>
      </w:r>
      <w:r w:rsidR="005E4DF7" w:rsidRPr="002F30DF">
        <w:rPr>
          <w:rFonts w:cs="Arial"/>
          <w:sz w:val="20"/>
          <w:szCs w:val="20"/>
        </w:rPr>
        <w:t xml:space="preserve">se </w:t>
      </w:r>
      <w:r w:rsidR="0028104C" w:rsidRPr="002F30DF">
        <w:rPr>
          <w:rFonts w:cs="Arial"/>
          <w:sz w:val="20"/>
          <w:szCs w:val="20"/>
        </w:rPr>
        <w:t xml:space="preserve">skladno s </w:t>
      </w:r>
      <w:r w:rsidR="0028104C" w:rsidRPr="002F30DF">
        <w:rPr>
          <w:rFonts w:cs="Arial"/>
          <w:sz w:val="20"/>
          <w:szCs w:val="20"/>
          <w:u w:val="single"/>
        </w:rPr>
        <w:t>sedmim odstavkom</w:t>
      </w:r>
      <w:r w:rsidRPr="002F30DF">
        <w:rPr>
          <w:rFonts w:cs="Arial"/>
          <w:sz w:val="20"/>
          <w:szCs w:val="20"/>
        </w:rPr>
        <w:t xml:space="preserve"> prekin</w:t>
      </w:r>
      <w:r w:rsidR="005E4DF7" w:rsidRPr="002F30DF">
        <w:rPr>
          <w:rFonts w:cs="Arial"/>
          <w:sz w:val="20"/>
          <w:szCs w:val="20"/>
        </w:rPr>
        <w:t>e</w:t>
      </w:r>
      <w:r w:rsidRPr="002F30DF">
        <w:rPr>
          <w:rFonts w:cs="Arial"/>
          <w:sz w:val="20"/>
          <w:szCs w:val="20"/>
        </w:rPr>
        <w:t xml:space="preserve"> in ne teče v času </w:t>
      </w:r>
      <w:r w:rsidR="007522E3" w:rsidRPr="002F30DF">
        <w:rPr>
          <w:rFonts w:cs="Arial"/>
          <w:sz w:val="20"/>
          <w:szCs w:val="20"/>
        </w:rPr>
        <w:t xml:space="preserve">postopka </w:t>
      </w:r>
      <w:r w:rsidR="0028104C" w:rsidRPr="002F30DF">
        <w:rPr>
          <w:rFonts w:cs="Arial"/>
          <w:sz w:val="20"/>
          <w:szCs w:val="20"/>
        </w:rPr>
        <w:t xml:space="preserve">rednega ali izrednega </w:t>
      </w:r>
      <w:r w:rsidR="007522E3" w:rsidRPr="002F30DF">
        <w:rPr>
          <w:rFonts w:cs="Arial"/>
          <w:sz w:val="20"/>
          <w:szCs w:val="20"/>
        </w:rPr>
        <w:t>sodnega varstva zoper odločitev o administrativnem prestopku, ali v času, ko se postopek po zakonu ne sme začeti ali nadaljevati. Čas, ki je pretekel pred zadržanjem, se všteje v zastaralni rok. S tem odstavkom se prenaša drugi odstavek 29. člena Direktiv</w:t>
      </w:r>
      <w:r w:rsidR="0028104C" w:rsidRPr="002F30DF">
        <w:rPr>
          <w:rFonts w:cs="Arial"/>
          <w:sz w:val="20"/>
          <w:szCs w:val="20"/>
        </w:rPr>
        <w:t>e</w:t>
      </w:r>
      <w:r w:rsidR="007522E3" w:rsidRPr="002F30DF">
        <w:rPr>
          <w:rFonts w:cs="Arial"/>
          <w:sz w:val="20"/>
          <w:szCs w:val="20"/>
        </w:rPr>
        <w:t xml:space="preserve"> 2019/1, ki določa, da se </w:t>
      </w:r>
      <w:r w:rsidR="007522E3" w:rsidRPr="002F30DF">
        <w:rPr>
          <w:rFonts w:cs="Arial"/>
          <w:i/>
          <w:sz w:val="20"/>
          <w:szCs w:val="20"/>
        </w:rPr>
        <w:t>tek zastaralnega roka za izrek glob ali periodičnih denarnih kazni s strani nacionalnega organa, pristojnega za varstvo konkurence, prekine oziroma se to zastaranje pretrga za čas, ko o odločbi navedenega nacionalnega organa, pristojnega za varstvo konkurence, teče postopek na pritožbenem sodišču</w:t>
      </w:r>
      <w:r w:rsidR="007522E3" w:rsidRPr="002F30DF">
        <w:rPr>
          <w:rFonts w:cs="Arial"/>
          <w:sz w:val="20"/>
          <w:szCs w:val="20"/>
        </w:rPr>
        <w:t>.</w:t>
      </w:r>
    </w:p>
    <w:p w:rsidR="00FA1C54" w:rsidRPr="002F30DF" w:rsidRDefault="00FA1C54" w:rsidP="0025166A">
      <w:pPr>
        <w:pStyle w:val="Navaden3"/>
        <w:spacing w:before="0" w:beforeAutospacing="0" w:after="0" w:afterAutospacing="0" w:line="260" w:lineRule="atLeast"/>
        <w:jc w:val="both"/>
        <w:rPr>
          <w:rFonts w:ascii="Arial" w:hAnsi="Arial" w:cs="Arial"/>
          <w:i/>
          <w:sz w:val="20"/>
          <w:szCs w:val="20"/>
        </w:rPr>
      </w:pPr>
    </w:p>
    <w:p w:rsidR="0028104C" w:rsidRPr="002F30DF" w:rsidRDefault="0028104C" w:rsidP="0028104C">
      <w:pPr>
        <w:spacing w:line="260" w:lineRule="atLeast"/>
        <w:rPr>
          <w:rFonts w:cs="Arial"/>
          <w:sz w:val="20"/>
          <w:szCs w:val="20"/>
        </w:rPr>
      </w:pPr>
      <w:r w:rsidRPr="002F30DF">
        <w:rPr>
          <w:rFonts w:cs="Arial"/>
          <w:sz w:val="20"/>
          <w:szCs w:val="20"/>
        </w:rPr>
        <w:t>V</w:t>
      </w:r>
      <w:r w:rsidR="007522E3" w:rsidRPr="002F30DF">
        <w:rPr>
          <w:rFonts w:cs="Arial"/>
          <w:sz w:val="20"/>
          <w:szCs w:val="20"/>
        </w:rPr>
        <w:t xml:space="preserve"> </w:t>
      </w:r>
      <w:r w:rsidR="007522E3" w:rsidRPr="002F30DF">
        <w:rPr>
          <w:rFonts w:cs="Arial"/>
          <w:sz w:val="20"/>
          <w:szCs w:val="20"/>
          <w:u w:val="single"/>
        </w:rPr>
        <w:t>osmem odstavku</w:t>
      </w:r>
      <w:r w:rsidR="007522E3" w:rsidRPr="002F30DF">
        <w:rPr>
          <w:rFonts w:cs="Arial"/>
          <w:sz w:val="20"/>
          <w:szCs w:val="20"/>
        </w:rPr>
        <w:t xml:space="preserve"> zaradi spoštovanja vidika pravne varnosti in načela zaupanja posameznika v pravo iz 2. člena </w:t>
      </w:r>
      <w:r w:rsidRPr="002F30DF">
        <w:rPr>
          <w:rFonts w:cs="Arial"/>
          <w:sz w:val="20"/>
          <w:szCs w:val="20"/>
        </w:rPr>
        <w:t>u</w:t>
      </w:r>
      <w:r w:rsidR="007522E3" w:rsidRPr="002F30DF">
        <w:rPr>
          <w:rFonts w:cs="Arial"/>
          <w:sz w:val="20"/>
          <w:szCs w:val="20"/>
        </w:rPr>
        <w:t>stave</w:t>
      </w:r>
      <w:r w:rsidRPr="002F30DF">
        <w:rPr>
          <w:rFonts w:cs="Arial"/>
          <w:sz w:val="20"/>
          <w:szCs w:val="20"/>
        </w:rPr>
        <w:t xml:space="preserve"> se določa tek zastaralnega roka v primeru razveljavitve sodne odločbe ali sodbe v postopku za izredno pravno sredstvo. V tem primeru je določeno, da je v primeru, da se je zastaranje iz šestega odstavka tega člena izteklo ali bi se izteklo v roku krajšem od dveh let, je v novem postopku odločanja o administrativni sankciji pred agencijo zastaralni rok dve leti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890E89" w:rsidRPr="002F30DF">
        <w:rPr>
          <w:rFonts w:cs="Arial"/>
          <w:b/>
          <w:sz w:val="20"/>
          <w:szCs w:val="20"/>
        </w:rPr>
        <w:t>9</w:t>
      </w:r>
      <w:r w:rsidR="003C70CA" w:rsidRPr="002F30DF">
        <w:rPr>
          <w:rFonts w:cs="Arial"/>
          <w:b/>
          <w:sz w:val="20"/>
          <w:szCs w:val="20"/>
        </w:rPr>
        <w:t>0</w:t>
      </w:r>
      <w:r w:rsidRPr="002F30DF">
        <w:rPr>
          <w:rFonts w:cs="Arial"/>
          <w:b/>
          <w:sz w:val="20"/>
          <w:szCs w:val="20"/>
        </w:rPr>
        <w:t>. členu (odmera in plačilo administrativne sankcije)</w:t>
      </w:r>
    </w:p>
    <w:p w:rsidR="007522E3" w:rsidRPr="002F30DF" w:rsidRDefault="007522E3" w:rsidP="0025166A">
      <w:pPr>
        <w:spacing w:line="260" w:lineRule="atLeast"/>
        <w:rPr>
          <w:rFonts w:cs="Arial"/>
          <w:b/>
          <w:i/>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2019/1 v prvem in drugem odstavku 14. člena določa, da </w:t>
      </w:r>
      <w:r w:rsidRPr="002F30DF">
        <w:rPr>
          <w:rFonts w:cs="Arial"/>
          <w:i/>
          <w:sz w:val="20"/>
          <w:szCs w:val="20"/>
        </w:rPr>
        <w:t>nacionalni organi, pristojni za varstvo konkurence, pri določanju zneska izrečene globe za kršitev 101. ali 102. člena PDEU upoštevajo tako težo kot tudi trajanje kršitve ter da se pri določanju zneska izrečene globe za kršitev 101. ali 102. člena PDEU v skladu s tretjim odstavkom 18. člena Direktive 2014/104 upošteva tudi odškodnina, plačana na podlagi sporazumne poravnave.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Ta člen ureja določitev višine administrativne sankcije in njeno plačilo.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nalaga </w:t>
      </w:r>
      <w:r w:rsidR="0008474B" w:rsidRPr="002F30DF">
        <w:rPr>
          <w:rFonts w:cs="Arial"/>
          <w:sz w:val="20"/>
          <w:szCs w:val="20"/>
        </w:rPr>
        <w:t>a</w:t>
      </w:r>
      <w:r w:rsidR="0045309B" w:rsidRPr="002F30DF">
        <w:rPr>
          <w:rFonts w:cs="Arial"/>
          <w:sz w:val="20"/>
          <w:szCs w:val="20"/>
        </w:rPr>
        <w:t>genc</w:t>
      </w:r>
      <w:r w:rsidRPr="002F30DF">
        <w:rPr>
          <w:rFonts w:cs="Arial"/>
          <w:sz w:val="20"/>
          <w:szCs w:val="20"/>
        </w:rPr>
        <w:t xml:space="preserve">iji, da pri odmeri administrativne sankcije upošteva vse okoliščine posameznega primera, saj le tako lahko izrečena sankcija doseže svoj namen, ki se odraža predvsem v odvračilnem učinku, ne le zaradi preganjanja zadevnega podjetja (posebni odvračilni učinek), ampak tudi zaradi odvračanja drugih podjetij od storitve takšnih protikonkurenčnih dejanj.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V nadaljevanju prvega odstavka pa so primeroma naštete okoliščine, ki vplivajo na višino administrativne sankcije. Navedene okoliščine so določene skladno s Smernicami o načinu določanja glob, naloženih v skladu s členom 23(2)(a) U</w:t>
      </w:r>
      <w:r w:rsidR="0008474B" w:rsidRPr="002F30DF">
        <w:rPr>
          <w:rFonts w:cs="Arial"/>
          <w:sz w:val="20"/>
          <w:szCs w:val="20"/>
        </w:rPr>
        <w:t>redbe 1/2003 in so se upoštevale</w:t>
      </w:r>
      <w:r w:rsidRPr="002F30DF">
        <w:rPr>
          <w:rFonts w:cs="Arial"/>
          <w:sz w:val="20"/>
          <w:szCs w:val="20"/>
        </w:rPr>
        <w:t xml:space="preserve"> že</w:t>
      </w:r>
      <w:r w:rsidR="00EC465C" w:rsidRPr="002F30DF">
        <w:rPr>
          <w:rFonts w:cs="Arial"/>
          <w:sz w:val="20"/>
          <w:szCs w:val="20"/>
        </w:rPr>
        <w:t xml:space="preserve"> sedaj</w:t>
      </w:r>
      <w:r w:rsidRPr="002F30DF">
        <w:rPr>
          <w:rFonts w:cs="Arial"/>
          <w:sz w:val="20"/>
          <w:szCs w:val="20"/>
        </w:rPr>
        <w:t xml:space="preserve"> pri odmeri globe v prekrškovnem postopku po ZPOmK-1. Tako na višino sankcije vpliva narava in teža kršitve, letni promet s storitvijo ali blagom, ki je predmet kršitve in ga je podjetje ustvarilo v zadnjem letu trajanja kršitve, trajanje</w:t>
      </w:r>
      <w:r w:rsidR="00E464C5" w:rsidRPr="002F30DF">
        <w:rPr>
          <w:rFonts w:cs="Arial"/>
          <w:sz w:val="20"/>
          <w:szCs w:val="20"/>
        </w:rPr>
        <w:t xml:space="preserve"> kršitve, sodelovanje podjetja z</w:t>
      </w:r>
      <w:r w:rsidRPr="002F30DF">
        <w:rPr>
          <w:rFonts w:cs="Arial"/>
          <w:sz w:val="20"/>
          <w:szCs w:val="20"/>
        </w:rPr>
        <w:t xml:space="preserve"> </w:t>
      </w:r>
      <w:r w:rsidR="0008474B" w:rsidRPr="002F30DF">
        <w:rPr>
          <w:rFonts w:cs="Arial"/>
          <w:sz w:val="20"/>
          <w:szCs w:val="20"/>
        </w:rPr>
        <w:t>a</w:t>
      </w:r>
      <w:r w:rsidR="0045309B" w:rsidRPr="002F30DF">
        <w:rPr>
          <w:rFonts w:cs="Arial"/>
          <w:sz w:val="20"/>
          <w:szCs w:val="20"/>
        </w:rPr>
        <w:t>genc</w:t>
      </w:r>
      <w:r w:rsidRPr="002F30DF">
        <w:rPr>
          <w:rFonts w:cs="Arial"/>
          <w:sz w:val="20"/>
          <w:szCs w:val="20"/>
        </w:rPr>
        <w:t>ijo v postopku ugotavljanja kršitve, dejstvo, ali je podjetje povrnilo škodo oškodovancem, dejstvo, ali je podjetje z oškodovanci sklenilo poravnave za povračil</w:t>
      </w:r>
      <w:r w:rsidR="0050351E" w:rsidRPr="002F30DF">
        <w:rPr>
          <w:rFonts w:cs="Arial"/>
          <w:sz w:val="20"/>
          <w:szCs w:val="20"/>
        </w:rPr>
        <w:t>o škode ter nezmožnost plačila (npr. upošteva</w:t>
      </w:r>
      <w:r w:rsidR="00EB5454" w:rsidRPr="002F30DF">
        <w:rPr>
          <w:rFonts w:cs="Arial"/>
          <w:sz w:val="20"/>
          <w:szCs w:val="20"/>
        </w:rPr>
        <w:t>nje</w:t>
      </w:r>
      <w:r w:rsidR="0050351E" w:rsidRPr="002F30DF">
        <w:rPr>
          <w:rFonts w:cs="Arial"/>
          <w:sz w:val="20"/>
          <w:szCs w:val="20"/>
        </w:rPr>
        <w:t xml:space="preserve"> ekonomsk</w:t>
      </w:r>
      <w:r w:rsidR="00EB5454" w:rsidRPr="002F30DF">
        <w:rPr>
          <w:rFonts w:cs="Arial"/>
          <w:sz w:val="20"/>
          <w:szCs w:val="20"/>
        </w:rPr>
        <w:t>e</w:t>
      </w:r>
      <w:r w:rsidR="0050351E" w:rsidRPr="002F30DF">
        <w:rPr>
          <w:rFonts w:cs="Arial"/>
          <w:sz w:val="20"/>
          <w:szCs w:val="20"/>
        </w:rPr>
        <w:t xml:space="preserve"> sposobnost</w:t>
      </w:r>
      <w:r w:rsidR="00EB5454" w:rsidRPr="002F30DF">
        <w:rPr>
          <w:rFonts w:cs="Arial"/>
          <w:sz w:val="20"/>
          <w:szCs w:val="20"/>
        </w:rPr>
        <w:t>i</w:t>
      </w:r>
      <w:r w:rsidR="0050351E" w:rsidRPr="002F30DF">
        <w:rPr>
          <w:rFonts w:cs="Arial"/>
          <w:sz w:val="20"/>
          <w:szCs w:val="20"/>
        </w:rPr>
        <w:t xml:space="preserve"> preživetja zadevnega podjetja). </w:t>
      </w:r>
      <w:r w:rsidRPr="002F30DF">
        <w:rPr>
          <w:rFonts w:cs="Arial"/>
          <w:sz w:val="20"/>
          <w:szCs w:val="20"/>
        </w:rPr>
        <w:t>Na višino administrativne sankcije lahko vpliva tudi dejstvo, da gre za hitrorastoči trg, zaradi česar se kot letni promet upošteva večletno povprečje dohodkov. V primeru nakupnega kartela, kjer so bile cene nižje kot bi bile, bi se lahko administrativno sankcijo, ki temelji na letnem prometu ustrezno povečalo</w:t>
      </w:r>
      <w:r w:rsidRPr="002F30DF">
        <w:rPr>
          <w:rStyle w:val="Sprotnaopomba-sklic"/>
          <w:rFonts w:cs="Arial"/>
          <w:sz w:val="20"/>
          <w:szCs w:val="20"/>
        </w:rPr>
        <w:footnoteReference w:id="27"/>
      </w:r>
      <w:r w:rsidRPr="002F30DF">
        <w:rPr>
          <w:rFonts w:cs="Arial"/>
          <w:sz w:val="20"/>
          <w:szCs w:val="20"/>
        </w:rPr>
        <w:t xml:space="preserve">. </w:t>
      </w:r>
      <w:r w:rsidR="0050351E" w:rsidRPr="002F30DF">
        <w:rPr>
          <w:rFonts w:cs="Arial"/>
          <w:sz w:val="20"/>
          <w:szCs w:val="20"/>
        </w:rPr>
        <w:t xml:space="preserve">Z upoštevanjem, ali je podjetje sklenilo poravnave z oškodovanci ter jim povrnilo škodo </w:t>
      </w:r>
      <w:r w:rsidR="00EB5454" w:rsidRPr="002F30DF">
        <w:rPr>
          <w:rFonts w:cs="Arial"/>
          <w:sz w:val="20"/>
          <w:szCs w:val="20"/>
        </w:rPr>
        <w:t xml:space="preserve">pri odmeri administrativne sankcije </w:t>
      </w:r>
      <w:r w:rsidR="0050351E" w:rsidRPr="002F30DF">
        <w:rPr>
          <w:rFonts w:cs="Arial"/>
          <w:sz w:val="20"/>
          <w:szCs w:val="20"/>
        </w:rPr>
        <w:t xml:space="preserve">se zagotavlja tudi prenos tretjega odstavka 19. člena Direktive 2014/14, ki določa, da </w:t>
      </w:r>
      <w:r w:rsidR="0050351E" w:rsidRPr="002F30DF">
        <w:rPr>
          <w:rFonts w:cs="Arial"/>
          <w:i/>
          <w:sz w:val="20"/>
          <w:szCs w:val="20"/>
        </w:rPr>
        <w:t>organ, pristojen za varstvo konkurence, lahko presodi, da odškodnino, plačano na podlagi sporazumne poravnave in preden  je bila izdana odločba o naložitvi globe, šteje kot olajševalna okoliščina.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nalaga </w:t>
      </w:r>
      <w:r w:rsidR="00E50C87" w:rsidRPr="002F30DF">
        <w:rPr>
          <w:rFonts w:cs="Arial"/>
          <w:sz w:val="20"/>
          <w:szCs w:val="20"/>
        </w:rPr>
        <w:t>a</w:t>
      </w:r>
      <w:r w:rsidR="0045309B" w:rsidRPr="002F30DF">
        <w:rPr>
          <w:rFonts w:cs="Arial"/>
          <w:sz w:val="20"/>
          <w:szCs w:val="20"/>
        </w:rPr>
        <w:t>genc</w:t>
      </w:r>
      <w:r w:rsidRPr="002F30DF">
        <w:rPr>
          <w:rFonts w:cs="Arial"/>
          <w:sz w:val="20"/>
          <w:szCs w:val="20"/>
        </w:rPr>
        <w:t>iji, da v odločbi, s katero podjetju izreče administrativno sankcijo, določi tudi rok, v katerem mora podjetje to administrativno sankcijo plačati.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dopušča </w:t>
      </w:r>
      <w:r w:rsidR="00E50C87" w:rsidRPr="002F30DF">
        <w:rPr>
          <w:rFonts w:cs="Arial"/>
          <w:sz w:val="20"/>
          <w:szCs w:val="20"/>
        </w:rPr>
        <w:t>a</w:t>
      </w:r>
      <w:r w:rsidR="0045309B" w:rsidRPr="002F30DF">
        <w:rPr>
          <w:rFonts w:cs="Arial"/>
          <w:sz w:val="20"/>
          <w:szCs w:val="20"/>
        </w:rPr>
        <w:t>genc</w:t>
      </w:r>
      <w:r w:rsidRPr="002F30DF">
        <w:rPr>
          <w:rFonts w:cs="Arial"/>
          <w:sz w:val="20"/>
          <w:szCs w:val="20"/>
        </w:rPr>
        <w:t>iji, da lahko zniža ali odpusti administrativno sankcijo, če tako določa ta zakon</w:t>
      </w:r>
      <w:r w:rsidR="00BD5F7D"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27303" w:rsidRPr="002F30DF">
        <w:rPr>
          <w:rFonts w:cs="Arial"/>
          <w:b/>
          <w:sz w:val="20"/>
          <w:szCs w:val="20"/>
        </w:rPr>
        <w:t>9</w:t>
      </w:r>
      <w:r w:rsidR="003C70CA" w:rsidRPr="002F30DF">
        <w:rPr>
          <w:rFonts w:cs="Arial"/>
          <w:b/>
          <w:sz w:val="20"/>
          <w:szCs w:val="20"/>
        </w:rPr>
        <w:t>1</w:t>
      </w:r>
      <w:r w:rsidRPr="002F30DF">
        <w:rPr>
          <w:rFonts w:cs="Arial"/>
          <w:b/>
          <w:sz w:val="20"/>
          <w:szCs w:val="20"/>
        </w:rPr>
        <w:t>. členu</w:t>
      </w:r>
      <w:r w:rsidRPr="002F30DF">
        <w:rPr>
          <w:rFonts w:cs="Arial"/>
          <w:sz w:val="20"/>
          <w:szCs w:val="20"/>
        </w:rPr>
        <w:t xml:space="preserve"> </w:t>
      </w:r>
      <w:r w:rsidRPr="002F30DF">
        <w:rPr>
          <w:rFonts w:cs="Arial"/>
          <w:b/>
          <w:sz w:val="20"/>
          <w:szCs w:val="20"/>
        </w:rPr>
        <w:t>(odpustitev in znižanje administrativne sankcije)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Program odpustitve in znižanja administrativne sankcije, za katerega Direktiva 2019/1 uporablja izraz program prizanesljivosti, je ključno orodje za odkrivanje kartelov ter s tem prispeva k učinkovitejšemu pregonu in izreku administrativne sankcije. Podjetja bodo razkrila kartele, v katerih so udeležena, le če imajo zadostno pravno varnost, da jim bo priznana odpustitev administrativne sankcije. Direktiva 2019/1 v 50. uvodni </w:t>
      </w:r>
      <w:r w:rsidR="00721AA6" w:rsidRPr="002F30DF">
        <w:rPr>
          <w:rFonts w:cs="Arial"/>
          <w:sz w:val="20"/>
          <w:szCs w:val="20"/>
        </w:rPr>
        <w:t>izjavi</w:t>
      </w:r>
      <w:r w:rsidRPr="002F30DF">
        <w:rPr>
          <w:rFonts w:cs="Arial"/>
          <w:sz w:val="20"/>
          <w:szCs w:val="20"/>
        </w:rPr>
        <w:t xml:space="preserve"> navaja, da so </w:t>
      </w:r>
      <w:r w:rsidRPr="002F30DF">
        <w:rPr>
          <w:rFonts w:cs="Arial"/>
          <w:i/>
          <w:sz w:val="20"/>
          <w:szCs w:val="20"/>
        </w:rPr>
        <w:t xml:space="preserve">programi prizanesljivosti ključno orodje za odkrivanje skrivnih kartelov ter tako prispevajo k učinkovitemu pregonu in izreku kazni za najhujše kršitve konkurenčnega prava, saj razlike povzročajo pravno negotovost pri podjetjih glede pogojev, pod katerimi lahko vložijo </w:t>
      </w:r>
      <w:r w:rsidR="00BD5F59" w:rsidRPr="002F30DF">
        <w:rPr>
          <w:rFonts w:cs="Arial"/>
          <w:i/>
          <w:sz w:val="20"/>
          <w:szCs w:val="20"/>
        </w:rPr>
        <w:t xml:space="preserve">izjavo </w:t>
      </w:r>
      <w:r w:rsidRPr="002F30DF">
        <w:rPr>
          <w:rFonts w:cs="Arial"/>
          <w:i/>
          <w:sz w:val="20"/>
          <w:szCs w:val="20"/>
        </w:rPr>
        <w:t>za prizanesljivost, ter negotovost glede njihovega statusa v zvezi z odpustitvijo glob v skladu z zadevnimi programi prizanesljivost.</w:t>
      </w:r>
      <w:r w:rsidRPr="002F30DF">
        <w:rPr>
          <w:rFonts w:cs="Arial"/>
          <w:sz w:val="20"/>
          <w:szCs w:val="20"/>
        </w:rPr>
        <w:t xml:space="preserve"> Direktiva 2019/1 ureja program prizanesljivosti natančno in obsežno v členih od 17. do 23. in za katere se zahteva polna harmonizacija.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2019/1 opredeljuje </w:t>
      </w:r>
      <w:r w:rsidRPr="002F30DF">
        <w:rPr>
          <w:rFonts w:cs="Arial"/>
          <w:i/>
          <w:sz w:val="20"/>
          <w:szCs w:val="20"/>
        </w:rPr>
        <w:t>program prizanesljivosti kot program v zvezi z uporabo 101. člena PDEU ali ustreznih določb nacionalnega konkurenčnega prava, na podlagi katerega udeleženec v skrivnem kartelu neodvisno od drugih podjetij v kartelu sodeluje v preiskavi organa, pristojnega za varstvo konkurence, tako da prostovoljno predstavi informacije o kartelu in svoji vlogi v njem, v zameno za kar se mu z odločbo ali ustavitvijo postopka prizna odpustitev ali znižanje globe, ki bi se mu drugače izrekla zaradi njegove udeležbe v kartelu</w:t>
      </w:r>
      <w:r w:rsidRPr="002F30DF">
        <w:rPr>
          <w:rFonts w:cs="Arial"/>
          <w:sz w:val="20"/>
          <w:szCs w:val="20"/>
        </w:rPr>
        <w:t>. Vendar prvi odstavek 17. člena Direktive 2019/1 dopušča vzpostavitev programa prizanesljivosti za kršitve, ki ne zajemajo le skrivnih kartelov, ampak tudi druge kršitve 101. člena PDEU ter enakovrednih določb nacionalnega konkurenčnega prava, ali da sprejmejo program za prizanesljivost, ki ga vložijo fizične osebe v svojem imenu.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Program odpustitve in znižanja globe je </w:t>
      </w:r>
      <w:r w:rsidR="00EC465C" w:rsidRPr="002F30DF">
        <w:rPr>
          <w:rFonts w:cs="Arial"/>
          <w:sz w:val="20"/>
          <w:szCs w:val="20"/>
        </w:rPr>
        <w:t xml:space="preserve">že </w:t>
      </w:r>
      <w:r w:rsidRPr="002F30DF">
        <w:rPr>
          <w:rFonts w:cs="Arial"/>
          <w:sz w:val="20"/>
          <w:szCs w:val="20"/>
        </w:rPr>
        <w:t>urej</w:t>
      </w:r>
      <w:r w:rsidR="00323B32" w:rsidRPr="002F30DF">
        <w:rPr>
          <w:rFonts w:cs="Arial"/>
          <w:sz w:val="20"/>
          <w:szCs w:val="20"/>
        </w:rPr>
        <w:t>a</w:t>
      </w:r>
      <w:r w:rsidR="00576C6D" w:rsidRPr="002F30DF">
        <w:rPr>
          <w:rFonts w:cs="Arial"/>
          <w:sz w:val="20"/>
          <w:szCs w:val="20"/>
        </w:rPr>
        <w:t xml:space="preserve"> </w:t>
      </w:r>
      <w:r w:rsidR="00EC465C" w:rsidRPr="002F30DF">
        <w:rPr>
          <w:rFonts w:cs="Arial"/>
          <w:sz w:val="20"/>
          <w:szCs w:val="20"/>
        </w:rPr>
        <w:t>veljavn</w:t>
      </w:r>
      <w:r w:rsidR="00576C6D" w:rsidRPr="002F30DF">
        <w:rPr>
          <w:rFonts w:cs="Arial"/>
          <w:sz w:val="20"/>
          <w:szCs w:val="20"/>
        </w:rPr>
        <w:t>i</w:t>
      </w:r>
      <w:r w:rsidR="00EC465C" w:rsidRPr="002F30DF">
        <w:rPr>
          <w:rFonts w:cs="Arial"/>
          <w:sz w:val="20"/>
          <w:szCs w:val="20"/>
        </w:rPr>
        <w:t xml:space="preserve"> </w:t>
      </w:r>
      <w:r w:rsidRPr="002F30DF">
        <w:rPr>
          <w:rFonts w:cs="Arial"/>
          <w:sz w:val="20"/>
          <w:szCs w:val="20"/>
        </w:rPr>
        <w:t>76. člen ZPOmK-1 in Uredb</w:t>
      </w:r>
      <w:r w:rsidR="00576C6D" w:rsidRPr="002F30DF">
        <w:rPr>
          <w:rFonts w:cs="Arial"/>
          <w:sz w:val="20"/>
          <w:szCs w:val="20"/>
        </w:rPr>
        <w:t>a</w:t>
      </w:r>
      <w:r w:rsidRPr="002F30DF">
        <w:rPr>
          <w:rFonts w:cs="Arial"/>
          <w:sz w:val="20"/>
          <w:szCs w:val="20"/>
        </w:rPr>
        <w:t xml:space="preserve"> o postopku odpustitve in znižanja globe storilcem, ki so udeleženi v kartelih (Uradni list RS, št. </w:t>
      </w:r>
      <w:hyperlink r:id="rId121" w:tgtFrame="_blank" w:tooltip="Uredba o postopku odpustitve in znižanja globe storilcem, ki so udeleženi v kartelih" w:history="1">
        <w:r w:rsidRPr="002F30DF">
          <w:rPr>
            <w:rFonts w:cs="Arial"/>
            <w:sz w:val="20"/>
            <w:szCs w:val="20"/>
          </w:rPr>
          <w:t>112/09</w:t>
        </w:r>
      </w:hyperlink>
      <w:r w:rsidRPr="002F30DF">
        <w:rPr>
          <w:rFonts w:cs="Arial"/>
          <w:sz w:val="20"/>
          <w:szCs w:val="20"/>
        </w:rPr>
        <w:t xml:space="preserve"> in </w:t>
      </w:r>
      <w:hyperlink r:id="rId122" w:tgtFrame="_blank" w:tooltip="Uredba o spremembah Uredbe o postopku odpustitve in znižanja globe storilcem, ki so udeleženi v kartelih" w:history="1">
        <w:r w:rsidRPr="002F30DF">
          <w:rPr>
            <w:rFonts w:cs="Arial"/>
            <w:sz w:val="20"/>
            <w:szCs w:val="20"/>
          </w:rPr>
          <w:t>2/14</w:t>
        </w:r>
      </w:hyperlink>
      <w:r w:rsidRPr="002F30DF">
        <w:rPr>
          <w:rFonts w:cs="Arial"/>
          <w:sz w:val="20"/>
          <w:szCs w:val="20"/>
        </w:rPr>
        <w:t xml:space="preserve">). Do sedaj veljavne določbe odpustitve in znižanja glob iz ZPOmK-1 so nadgrajene </w:t>
      </w:r>
      <w:r w:rsidR="00836303" w:rsidRPr="002F30DF">
        <w:rPr>
          <w:rFonts w:cs="Arial"/>
          <w:sz w:val="20"/>
          <w:szCs w:val="20"/>
        </w:rPr>
        <w:t>s</w:t>
      </w:r>
      <w:r w:rsidRPr="002F30DF">
        <w:rPr>
          <w:rFonts w:cs="Arial"/>
          <w:sz w:val="20"/>
          <w:szCs w:val="20"/>
        </w:rPr>
        <w:t xml:space="preserve"> pogoji iz Direktive 2019/1. </w:t>
      </w:r>
    </w:p>
    <w:p w:rsidR="007522E3" w:rsidRPr="002F30DF" w:rsidRDefault="007522E3" w:rsidP="0025166A">
      <w:pPr>
        <w:spacing w:line="260" w:lineRule="atLeast"/>
        <w:rPr>
          <w:rFonts w:cs="Arial"/>
          <w:sz w:val="20"/>
          <w:szCs w:val="20"/>
        </w:rPr>
      </w:pPr>
    </w:p>
    <w:p w:rsidR="007522E3" w:rsidRPr="002F30DF" w:rsidRDefault="007522E3" w:rsidP="00576C6D">
      <w:pPr>
        <w:overflowPunct/>
        <w:autoSpaceDE/>
        <w:autoSpaceDN/>
        <w:adjustRightInd/>
        <w:spacing w:line="260" w:lineRule="atLeast"/>
        <w:textAlignment w:val="auto"/>
        <w:rPr>
          <w:rFonts w:cs="Arial"/>
          <w:sz w:val="20"/>
          <w:szCs w:val="20"/>
        </w:rPr>
      </w:pPr>
      <w:r w:rsidRPr="002F30DF">
        <w:rPr>
          <w:rFonts w:cs="Arial"/>
          <w:sz w:val="20"/>
          <w:szCs w:val="20"/>
        </w:rPr>
        <w:t xml:space="preserve">V skladu s </w:t>
      </w:r>
      <w:r w:rsidRPr="002F30DF">
        <w:rPr>
          <w:rFonts w:cs="Arial"/>
          <w:sz w:val="20"/>
          <w:szCs w:val="20"/>
          <w:u w:val="single"/>
        </w:rPr>
        <w:t>prvim odstavkom</w:t>
      </w:r>
      <w:r w:rsidRPr="002F30DF">
        <w:rPr>
          <w:rFonts w:cs="Arial"/>
          <w:sz w:val="20"/>
          <w:szCs w:val="20"/>
        </w:rPr>
        <w:t xml:space="preserve"> se lahko podjetju, ki je udeležen v kartelu odpusti administrativna sankcija, če konča svojo udeležbo v domnevnem kartelu, prvi predloži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iji dokaze, ki po mnenju </w:t>
      </w:r>
      <w:r w:rsidR="00E50C87" w:rsidRPr="002F30DF">
        <w:rPr>
          <w:rFonts w:cs="Arial"/>
          <w:sz w:val="20"/>
          <w:szCs w:val="20"/>
        </w:rPr>
        <w:t>a</w:t>
      </w:r>
      <w:r w:rsidR="0045309B" w:rsidRPr="002F30DF">
        <w:rPr>
          <w:rFonts w:cs="Arial"/>
          <w:sz w:val="20"/>
          <w:szCs w:val="20"/>
        </w:rPr>
        <w:t>genc</w:t>
      </w:r>
      <w:r w:rsidRPr="002F30DF">
        <w:rPr>
          <w:rFonts w:cs="Arial"/>
          <w:sz w:val="20"/>
          <w:szCs w:val="20"/>
        </w:rPr>
        <w:t>ije omogoči</w:t>
      </w:r>
      <w:r w:rsidR="00576C6D" w:rsidRPr="002F30DF">
        <w:rPr>
          <w:rFonts w:cs="Arial"/>
          <w:sz w:val="20"/>
          <w:szCs w:val="20"/>
        </w:rPr>
        <w:t>jo izvedbo</w:t>
      </w:r>
      <w:r w:rsidRPr="002F30DF">
        <w:rPr>
          <w:rFonts w:cs="Arial"/>
          <w:sz w:val="20"/>
          <w:szCs w:val="20"/>
        </w:rPr>
        <w:t xml:space="preserve"> preiskav</w:t>
      </w:r>
      <w:r w:rsidR="00576C6D" w:rsidRPr="002F30DF">
        <w:rPr>
          <w:rFonts w:cs="Arial"/>
          <w:sz w:val="20"/>
          <w:szCs w:val="20"/>
        </w:rPr>
        <w:t>e</w:t>
      </w:r>
      <w:r w:rsidRPr="002F30DF">
        <w:rPr>
          <w:rFonts w:cs="Arial"/>
          <w:sz w:val="20"/>
          <w:szCs w:val="20"/>
        </w:rPr>
        <w:t xml:space="preserve"> oziroma </w:t>
      </w:r>
      <w:r w:rsidRPr="002F30DF">
        <w:rPr>
          <w:rFonts w:cs="Arial"/>
          <w:sz w:val="20"/>
          <w:szCs w:val="20"/>
        </w:rPr>
        <w:lastRenderedPageBreak/>
        <w:t>ugotovitev kršitve pravil konkurenčnega prava</w:t>
      </w:r>
      <w:r w:rsidR="00576C6D" w:rsidRPr="002F30DF">
        <w:rPr>
          <w:rFonts w:cs="Arial"/>
          <w:sz w:val="20"/>
          <w:szCs w:val="20"/>
        </w:rPr>
        <w:t xml:space="preserve"> ali po mnenju agencije zadoščajo za ugotovitev kršitve 5. člena tega zakona ali 101. člena </w:t>
      </w:r>
      <w:r w:rsidR="005B5DEA" w:rsidRPr="002F30DF">
        <w:rPr>
          <w:rFonts w:cs="Arial"/>
          <w:sz w:val="20"/>
          <w:szCs w:val="20"/>
        </w:rPr>
        <w:t>PDEU</w:t>
      </w:r>
      <w:r w:rsidR="00576C6D" w:rsidRPr="002F30DF">
        <w:rPr>
          <w:rFonts w:cs="Arial"/>
          <w:sz w:val="20"/>
          <w:szCs w:val="20"/>
        </w:rPr>
        <w:t xml:space="preserve"> v zvezi z domnevnim kartelom, pod pogojem, da agencija še ni razpolagala z zadostnimi dokazi za ugotovitev te kršitve in da pred tem nobeno drugo podjetje ni izpolnilo pogojev za priznanje odpustitve administrativne sankcije v zvezi z navedenim domnevnim kartelom</w:t>
      </w:r>
      <w:r w:rsidRPr="002F30DF">
        <w:rPr>
          <w:rFonts w:cs="Arial"/>
          <w:sz w:val="20"/>
          <w:szCs w:val="20"/>
        </w:rPr>
        <w:t xml:space="preserve">. Podjetje tudi mora sodelovati </w:t>
      </w:r>
      <w:r w:rsidR="00E464C5" w:rsidRPr="002F30DF">
        <w:rPr>
          <w:rFonts w:cs="Arial"/>
          <w:sz w:val="20"/>
          <w:szCs w:val="20"/>
        </w:rPr>
        <w:t>z</w:t>
      </w:r>
      <w:r w:rsidRPr="002F30DF">
        <w:rPr>
          <w:rFonts w:cs="Arial"/>
          <w:sz w:val="20"/>
          <w:szCs w:val="20"/>
        </w:rPr>
        <w:t xml:space="preserve">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ijo ter prenehati s svojo udeležbo v kartelu, razen če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meni, da je njegova udeležba nujna zaradi interesov preiskave, na primer, da drugi domnevni udeleženci v kartelu ne odkrijejo, da je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seznanjena z domnevnim kartelom. </w:t>
      </w:r>
      <w:r w:rsidR="005B5DEA" w:rsidRPr="002F30DF">
        <w:rPr>
          <w:rFonts w:cs="Arial"/>
          <w:sz w:val="20"/>
          <w:szCs w:val="20"/>
        </w:rPr>
        <w:t xml:space="preserve">Poleg tega podjetje </w:t>
      </w:r>
      <w:r w:rsidR="00576C6D" w:rsidRPr="002F30DF">
        <w:rPr>
          <w:rFonts w:cs="Arial"/>
          <w:sz w:val="20"/>
          <w:szCs w:val="20"/>
        </w:rPr>
        <w:t xml:space="preserve">med načrtovanjem izjave zaradi prizanesljivosti </w:t>
      </w:r>
      <w:r w:rsidR="005B5DEA" w:rsidRPr="002F30DF">
        <w:rPr>
          <w:rFonts w:cs="Arial"/>
          <w:sz w:val="20"/>
          <w:szCs w:val="20"/>
        </w:rPr>
        <w:t xml:space="preserve">ne sme </w:t>
      </w:r>
      <w:r w:rsidR="00576C6D" w:rsidRPr="002F30DF">
        <w:rPr>
          <w:rFonts w:cs="Arial"/>
          <w:sz w:val="20"/>
          <w:szCs w:val="20"/>
        </w:rPr>
        <w:t>uniči</w:t>
      </w:r>
      <w:r w:rsidR="005B5DEA" w:rsidRPr="002F30DF">
        <w:rPr>
          <w:rFonts w:cs="Arial"/>
          <w:sz w:val="20"/>
          <w:szCs w:val="20"/>
        </w:rPr>
        <w:t>ti</w:t>
      </w:r>
      <w:r w:rsidR="00576C6D" w:rsidRPr="002F30DF">
        <w:rPr>
          <w:rFonts w:cs="Arial"/>
          <w:sz w:val="20"/>
          <w:szCs w:val="20"/>
        </w:rPr>
        <w:t>, poneveri</w:t>
      </w:r>
      <w:r w:rsidR="005B5DEA" w:rsidRPr="002F30DF">
        <w:rPr>
          <w:rFonts w:cs="Arial"/>
          <w:sz w:val="20"/>
          <w:szCs w:val="20"/>
        </w:rPr>
        <w:t xml:space="preserve">ti </w:t>
      </w:r>
      <w:r w:rsidR="00576C6D" w:rsidRPr="002F30DF">
        <w:rPr>
          <w:rFonts w:cs="Arial"/>
          <w:sz w:val="20"/>
          <w:szCs w:val="20"/>
        </w:rPr>
        <w:t>ali prikriva</w:t>
      </w:r>
      <w:r w:rsidR="005B5DEA" w:rsidRPr="002F30DF">
        <w:rPr>
          <w:rFonts w:cs="Arial"/>
          <w:sz w:val="20"/>
          <w:szCs w:val="20"/>
        </w:rPr>
        <w:t>ti</w:t>
      </w:r>
      <w:r w:rsidR="00576C6D" w:rsidRPr="002F30DF">
        <w:rPr>
          <w:rFonts w:cs="Arial"/>
          <w:sz w:val="20"/>
          <w:szCs w:val="20"/>
        </w:rPr>
        <w:t xml:space="preserve"> informacij ali dokazov, povezanih z domnevnim kartelom ali razkri</w:t>
      </w:r>
      <w:r w:rsidR="005B5DEA" w:rsidRPr="002F30DF">
        <w:rPr>
          <w:rFonts w:cs="Arial"/>
          <w:sz w:val="20"/>
          <w:szCs w:val="20"/>
        </w:rPr>
        <w:t>ti</w:t>
      </w:r>
      <w:r w:rsidR="00576C6D" w:rsidRPr="002F30DF">
        <w:rPr>
          <w:rFonts w:cs="Arial"/>
          <w:sz w:val="20"/>
          <w:szCs w:val="20"/>
        </w:rPr>
        <w:t xml:space="preserve"> dejstva glede vložitve ali vsebine načrtovane prijave, razen </w:t>
      </w:r>
      <w:r w:rsidR="005B5DEA" w:rsidRPr="002F30DF">
        <w:rPr>
          <w:rFonts w:cs="Arial"/>
          <w:sz w:val="20"/>
          <w:szCs w:val="20"/>
        </w:rPr>
        <w:t xml:space="preserve">Evropski komisij ali </w:t>
      </w:r>
      <w:r w:rsidR="00576C6D" w:rsidRPr="002F30DF">
        <w:rPr>
          <w:rFonts w:cs="Arial"/>
          <w:sz w:val="20"/>
          <w:szCs w:val="20"/>
        </w:rPr>
        <w:t xml:space="preserve">organom, pristojnim za varstvo konkurence druge države članice ali iz tretjih držav ter da storilec ni prisilil drugih k udeležbi v domnevnem kartelu niti jih ni prisilil k temu, da so v njem udeleženi še naprej </w:t>
      </w:r>
      <w:r w:rsidRPr="002F30DF">
        <w:rPr>
          <w:rFonts w:cs="Arial"/>
          <w:sz w:val="20"/>
          <w:szCs w:val="20"/>
        </w:rPr>
        <w:t>Vsi ti pogoji morajo biti izpolnj</w:t>
      </w:r>
      <w:r w:rsidR="00E50C87" w:rsidRPr="002F30DF">
        <w:rPr>
          <w:rFonts w:cs="Arial"/>
          <w:sz w:val="20"/>
          <w:szCs w:val="20"/>
        </w:rPr>
        <w:t>eni kumulativno. Ne glede na to</w:t>
      </w:r>
      <w:r w:rsidRPr="002F30DF">
        <w:rPr>
          <w:rFonts w:cs="Arial"/>
          <w:sz w:val="20"/>
          <w:szCs w:val="20"/>
        </w:rPr>
        <w:t xml:space="preserve">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ne sme odpustiti administrativne sankcije podjetju, ki je k udeležbi prisilo druge ali jih je prisilo k temu, da so v njem udeleženi še naprej. S tem </w:t>
      </w:r>
      <w:r w:rsidR="00EC465C" w:rsidRPr="002F30DF">
        <w:rPr>
          <w:rFonts w:cs="Arial"/>
          <w:sz w:val="20"/>
          <w:szCs w:val="20"/>
        </w:rPr>
        <w:t xml:space="preserve">odstavkom </w:t>
      </w:r>
      <w:r w:rsidRPr="002F30DF">
        <w:rPr>
          <w:rFonts w:cs="Arial"/>
          <w:sz w:val="20"/>
          <w:szCs w:val="20"/>
        </w:rPr>
        <w:t>se prenašajo drugi in tretji odstavek 17. člena ter delno 19. člen Direktive 2019/1. Natančnejša opredelitev obsega sodelovanja, ki je določena v točki b) 19. člena Direktive 2019/1, ki ureja ravnanje z dokazi pred prijavo, bo urejena v uredbi iz petega odstavka tega člena.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2019/1 v 18. členu nalaga vzpostavitev programa prizanesljivosti, ki omogoča, da se podjetjem, ki ne izpolnjujejo pogojev za priznanje odpustitve glob, prizna znižanje glob. Tudi za te primere Direktiva 2019/1 ne preprečuje vzpostavitve programov prizanesljivosti za kršitve, ki niso skrivni karteli, ali programov prizanesljivosti, ki omogočajo, da priznajo znižanje glob fizičnim osebam. Ta člen Direktive 2019/1 je prenesen v </w:t>
      </w:r>
      <w:r w:rsidRPr="002F30DF">
        <w:rPr>
          <w:rFonts w:cs="Arial"/>
          <w:sz w:val="20"/>
          <w:szCs w:val="20"/>
          <w:u w:val="single"/>
        </w:rPr>
        <w:t>drugi  odstavek</w:t>
      </w:r>
      <w:r w:rsidRPr="002F30DF">
        <w:rPr>
          <w:rFonts w:cs="Arial"/>
          <w:sz w:val="20"/>
          <w:szCs w:val="20"/>
        </w:rPr>
        <w:t>, s katerim se ureja znižanje administrativne sankcije podjetju, ko niso izpolnjeni vsi pogoji za odpustitev administrativne sankcije, vendar razpolaga z informaciji in dokazi, ki predstavljajo znatno dokazno vrednost</w:t>
      </w:r>
      <w:r w:rsidR="005B5DEA" w:rsidRPr="002F30DF">
        <w:rPr>
          <w:rFonts w:cs="Arial"/>
          <w:sz w:val="20"/>
          <w:szCs w:val="20"/>
        </w:rPr>
        <w:t xml:space="preserve"> za dokazovanje domnevnega kartela</w:t>
      </w:r>
      <w:r w:rsidRPr="002F30DF">
        <w:rPr>
          <w:rFonts w:cs="Arial"/>
          <w:sz w:val="20"/>
          <w:szCs w:val="20"/>
        </w:rPr>
        <w:t xml:space="preserve"> glede na dokaze, ki jih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ima. Tako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podjetju, ki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iji v celoti in popolnoma razkrije svojo udeležbo pri domnevnem kartelu, predloži dokaze o svoji udeležbi v domnevnem kartelu, ki predstavljajo znatno dodano vrednost glede na dokaze, ki jih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že ima, odkrito, v celoti, neprenehoma in brez odlašanja sodeluje </w:t>
      </w:r>
      <w:r w:rsidR="00E464C5" w:rsidRPr="002F30DF">
        <w:rPr>
          <w:rFonts w:cs="Arial"/>
          <w:sz w:val="20"/>
          <w:szCs w:val="20"/>
        </w:rPr>
        <w:t>z</w:t>
      </w:r>
      <w:r w:rsidRPr="002F30DF">
        <w:rPr>
          <w:rFonts w:cs="Arial"/>
          <w:sz w:val="20"/>
          <w:szCs w:val="20"/>
        </w:rPr>
        <w:t xml:space="preserve"> </w:t>
      </w:r>
      <w:r w:rsidR="00E50C87" w:rsidRPr="002F30DF">
        <w:rPr>
          <w:rFonts w:cs="Arial"/>
          <w:sz w:val="20"/>
          <w:szCs w:val="20"/>
        </w:rPr>
        <w:t>a</w:t>
      </w:r>
      <w:r w:rsidR="0045309B" w:rsidRPr="002F30DF">
        <w:rPr>
          <w:rFonts w:cs="Arial"/>
          <w:sz w:val="20"/>
          <w:szCs w:val="20"/>
        </w:rPr>
        <w:t>genc</w:t>
      </w:r>
      <w:r w:rsidRPr="002F30DF">
        <w:rPr>
          <w:rFonts w:cs="Arial"/>
          <w:sz w:val="20"/>
          <w:szCs w:val="20"/>
        </w:rPr>
        <w:t>ijo med celotnim postopkom</w:t>
      </w:r>
      <w:r w:rsidR="005B5DEA" w:rsidRPr="002F30DF">
        <w:rPr>
          <w:rFonts w:cs="Arial"/>
          <w:sz w:val="20"/>
          <w:szCs w:val="20"/>
        </w:rPr>
        <w:t xml:space="preserve"> za uveljavljanje pravil konkurence zoper vse stranke postopka</w:t>
      </w:r>
      <w:r w:rsidRPr="002F30DF">
        <w:rPr>
          <w:rFonts w:cs="Arial"/>
          <w:sz w:val="20"/>
          <w:szCs w:val="20"/>
        </w:rPr>
        <w:t xml:space="preserve"> in </w:t>
      </w:r>
      <w:r w:rsidR="00D93BA5" w:rsidRPr="002F30DF">
        <w:rPr>
          <w:rFonts w:cs="Arial"/>
          <w:sz w:val="20"/>
          <w:szCs w:val="20"/>
        </w:rPr>
        <w:t>a</w:t>
      </w:r>
      <w:r w:rsidR="0045309B" w:rsidRPr="002F30DF">
        <w:rPr>
          <w:rFonts w:cs="Arial"/>
          <w:sz w:val="20"/>
          <w:szCs w:val="20"/>
        </w:rPr>
        <w:t>genc</w:t>
      </w:r>
      <w:r w:rsidRPr="002F30DF">
        <w:rPr>
          <w:rFonts w:cs="Arial"/>
          <w:sz w:val="20"/>
          <w:szCs w:val="20"/>
        </w:rPr>
        <w:t>iji nemudoma zagotovi vse relevantne informacije in dokaze v zvezi z domnevnim kartelom, ki preidejo v posest prijavitelja in so mu dostopni,</w:t>
      </w:r>
      <w:r w:rsidR="005B5DEA" w:rsidRPr="002F30DF">
        <w:rPr>
          <w:rFonts w:cs="Arial"/>
          <w:sz w:val="20"/>
          <w:szCs w:val="20"/>
        </w:rPr>
        <w:t xml:space="preserve"> </w:t>
      </w:r>
      <w:r w:rsidRPr="002F30DF">
        <w:rPr>
          <w:rFonts w:cs="Arial"/>
          <w:sz w:val="20"/>
          <w:szCs w:val="20"/>
        </w:rPr>
        <w:t xml:space="preserve">je </w:t>
      </w:r>
      <w:r w:rsidRPr="002F30DF">
        <w:rPr>
          <w:rFonts w:cs="Arial"/>
          <w:sz w:val="20"/>
          <w:szCs w:val="20"/>
        </w:rPr>
        <w:lastRenderedPageBreak/>
        <w:t xml:space="preserve">prenehal s </w:t>
      </w:r>
      <w:r w:rsidR="005B5DEA" w:rsidRPr="002F30DF">
        <w:rPr>
          <w:rFonts w:cs="Arial"/>
          <w:sz w:val="20"/>
          <w:szCs w:val="20"/>
        </w:rPr>
        <w:t>sodelovati</w:t>
      </w:r>
      <w:r w:rsidRPr="002F30DF">
        <w:rPr>
          <w:rFonts w:cs="Arial"/>
          <w:sz w:val="20"/>
          <w:szCs w:val="20"/>
        </w:rPr>
        <w:t xml:space="preserve"> v domnevnem kartel</w:t>
      </w:r>
      <w:r w:rsidR="00E464C5" w:rsidRPr="002F30DF">
        <w:rPr>
          <w:rFonts w:cs="Arial"/>
          <w:sz w:val="20"/>
          <w:szCs w:val="20"/>
        </w:rPr>
        <w:t xml:space="preserve">u takoj po </w:t>
      </w:r>
      <w:r w:rsidR="005B5DEA" w:rsidRPr="002F30DF">
        <w:rPr>
          <w:rFonts w:cs="Arial"/>
          <w:sz w:val="20"/>
          <w:szCs w:val="20"/>
        </w:rPr>
        <w:t xml:space="preserve">vložitvi izjave zaradi  prizanesljivosti agenciji </w:t>
      </w:r>
      <w:r w:rsidRPr="002F30DF">
        <w:rPr>
          <w:rFonts w:cs="Arial"/>
          <w:sz w:val="20"/>
          <w:szCs w:val="20"/>
        </w:rPr>
        <w:t xml:space="preserve">v zvezi z znižanjem administrativne sankcije, razen če bi bilo po mnenju </w:t>
      </w:r>
      <w:r w:rsidR="00E50C87" w:rsidRPr="002F30DF">
        <w:rPr>
          <w:rFonts w:cs="Arial"/>
          <w:sz w:val="20"/>
          <w:szCs w:val="20"/>
        </w:rPr>
        <w:t>a</w:t>
      </w:r>
      <w:r w:rsidR="0045309B" w:rsidRPr="002F30DF">
        <w:rPr>
          <w:rFonts w:cs="Arial"/>
          <w:sz w:val="20"/>
          <w:szCs w:val="20"/>
        </w:rPr>
        <w:t>genc</w:t>
      </w:r>
      <w:r w:rsidRPr="002F30DF">
        <w:rPr>
          <w:rFonts w:cs="Arial"/>
          <w:sz w:val="20"/>
          <w:szCs w:val="20"/>
        </w:rPr>
        <w:t>ije to v nasprotju z interesi preiskave</w:t>
      </w:r>
      <w:r w:rsidR="005B5DEA" w:rsidRPr="002F30DF">
        <w:rPr>
          <w:rFonts w:cs="Arial"/>
          <w:sz w:val="20"/>
          <w:szCs w:val="20"/>
        </w:rPr>
        <w:t xml:space="preserve"> ter pod pogojem, da med načrtovanjem izjave zaradi prizanesljivosti ni uničil, poneveril ali prikrival informacij ali dokazov, povezanih z domnevnim kartelom ali razkril dejstva glede vložitve ali vsebine načrtovane prijave, razen organom, pristojnim za varstvo  konkurence druge države članice ali iz tretjih držav</w:t>
      </w:r>
      <w:r w:rsidRPr="002F30DF">
        <w:rPr>
          <w:rFonts w:cs="Arial"/>
          <w:sz w:val="20"/>
          <w:szCs w:val="20"/>
        </w:rPr>
        <w:t xml:space="preserve">, zniža višino administrativno sankcije.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u w:val="single"/>
        </w:rPr>
      </w:pPr>
      <w:r w:rsidRPr="002F30DF">
        <w:rPr>
          <w:rFonts w:cs="Arial"/>
          <w:sz w:val="20"/>
          <w:szCs w:val="20"/>
        </w:rPr>
        <w:t xml:space="preserve">Pri višini znižanja administrativne sankcije je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omejena z določbama </w:t>
      </w:r>
      <w:r w:rsidRPr="002F30DF">
        <w:rPr>
          <w:rFonts w:cs="Arial"/>
          <w:sz w:val="20"/>
          <w:szCs w:val="20"/>
          <w:u w:val="single"/>
        </w:rPr>
        <w:t>tretjega odstavka</w:t>
      </w:r>
      <w:r w:rsidRPr="002F30DF">
        <w:rPr>
          <w:rFonts w:cs="Arial"/>
          <w:sz w:val="20"/>
          <w:szCs w:val="20"/>
        </w:rPr>
        <w:t xml:space="preserve">. In sicer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lahko zniža administrativno sankcijo v višini od 30 do 50 odstotkov podjetju, ki je izpolnilo vse pogoje iz drugega odstavka in je kot prvo predložilo dokaze. Podjetju, ki izpolni vse pogoje za znižanje administrativne sankcije in je kot drugo predložilo dokaze o svoji udeležbi v domnevnem kartelu, ki predstavljajo znatno dodano vrednost glede na dokaze, ki jih </w:t>
      </w:r>
      <w:r w:rsidR="00E50C87" w:rsidRPr="002F30DF">
        <w:rPr>
          <w:rFonts w:cs="Arial"/>
          <w:sz w:val="20"/>
          <w:szCs w:val="20"/>
        </w:rPr>
        <w:t>a</w:t>
      </w:r>
      <w:r w:rsidR="0045309B" w:rsidRPr="002F30DF">
        <w:rPr>
          <w:rFonts w:cs="Arial"/>
          <w:sz w:val="20"/>
          <w:szCs w:val="20"/>
        </w:rPr>
        <w:t>genc</w:t>
      </w:r>
      <w:r w:rsidRPr="002F30DF">
        <w:rPr>
          <w:rFonts w:cs="Arial"/>
          <w:sz w:val="20"/>
          <w:szCs w:val="20"/>
        </w:rPr>
        <w:t xml:space="preserve">ija že ima, pa se lahko višina administrativne sankcije zniža za največ 20 odstotkov. </w:t>
      </w:r>
    </w:p>
    <w:p w:rsidR="007522E3" w:rsidRPr="002F30DF" w:rsidRDefault="007522E3" w:rsidP="0025166A">
      <w:pPr>
        <w:spacing w:line="260" w:lineRule="atLeast"/>
        <w:rPr>
          <w:rFonts w:cs="Arial"/>
          <w:sz w:val="20"/>
          <w:szCs w:val="20"/>
        </w:rPr>
      </w:pPr>
    </w:p>
    <w:p w:rsidR="007522E3" w:rsidRPr="002F30DF" w:rsidRDefault="00BD5F7D" w:rsidP="0025166A">
      <w:pPr>
        <w:spacing w:line="260" w:lineRule="atLeast"/>
        <w:rPr>
          <w:rFonts w:cs="Arial"/>
          <w:sz w:val="20"/>
          <w:szCs w:val="20"/>
        </w:rPr>
      </w:pPr>
      <w:r w:rsidRPr="002F30DF">
        <w:rPr>
          <w:rFonts w:cs="Arial"/>
          <w:sz w:val="20"/>
          <w:szCs w:val="20"/>
        </w:rPr>
        <w:t xml:space="preserve">Podrobnejši </w:t>
      </w:r>
      <w:r w:rsidR="007522E3" w:rsidRPr="002F30DF">
        <w:rPr>
          <w:rFonts w:cs="Arial"/>
          <w:sz w:val="20"/>
          <w:szCs w:val="20"/>
        </w:rPr>
        <w:t xml:space="preserve">postopek odpustitve in znižanja administrativne sankcije se uredi z uredbo, ki jo predpiše </w:t>
      </w:r>
      <w:r w:rsidR="00EC465C" w:rsidRPr="002F30DF">
        <w:rPr>
          <w:rFonts w:cs="Arial"/>
          <w:sz w:val="20"/>
          <w:szCs w:val="20"/>
        </w:rPr>
        <w:t>vlada</w:t>
      </w:r>
      <w:r w:rsidR="007522E3" w:rsidRPr="002F30DF">
        <w:rPr>
          <w:rFonts w:cs="Arial"/>
          <w:sz w:val="20"/>
          <w:szCs w:val="20"/>
        </w:rPr>
        <w:t xml:space="preserve">. </w:t>
      </w:r>
      <w:r w:rsidRPr="002F30DF">
        <w:rPr>
          <w:rFonts w:cs="Arial"/>
          <w:sz w:val="20"/>
          <w:szCs w:val="20"/>
          <w:u w:val="single"/>
        </w:rPr>
        <w:t xml:space="preserve">Četrti </w:t>
      </w:r>
      <w:r w:rsidR="00836303" w:rsidRPr="002F30DF">
        <w:rPr>
          <w:rFonts w:cs="Arial"/>
          <w:sz w:val="20"/>
          <w:szCs w:val="20"/>
          <w:u w:val="single"/>
        </w:rPr>
        <w:t>d</w:t>
      </w:r>
      <w:r w:rsidR="007522E3" w:rsidRPr="002F30DF">
        <w:rPr>
          <w:rFonts w:cs="Arial"/>
          <w:sz w:val="20"/>
          <w:szCs w:val="20"/>
          <w:u w:val="single"/>
        </w:rPr>
        <w:t>ostavek</w:t>
      </w:r>
      <w:r w:rsidR="007522E3" w:rsidRPr="002F30DF">
        <w:rPr>
          <w:rFonts w:cs="Arial"/>
          <w:sz w:val="20"/>
          <w:szCs w:val="20"/>
        </w:rPr>
        <w:t xml:space="preserve"> določa pravno podlago za izdajo te uredbe.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9</w:t>
      </w:r>
      <w:r w:rsidR="003C70CA" w:rsidRPr="002F30DF">
        <w:rPr>
          <w:rFonts w:cs="Arial"/>
          <w:b/>
          <w:sz w:val="20"/>
          <w:szCs w:val="20"/>
        </w:rPr>
        <w:t>2</w:t>
      </w:r>
      <w:r w:rsidRPr="002F30DF">
        <w:rPr>
          <w:rFonts w:cs="Arial"/>
          <w:b/>
          <w:sz w:val="20"/>
          <w:szCs w:val="20"/>
        </w:rPr>
        <w:t xml:space="preserve">. členu (vpliv vložitve </w:t>
      </w:r>
      <w:r w:rsidR="00BD5F7D" w:rsidRPr="002F30DF">
        <w:rPr>
          <w:rFonts w:cs="Arial"/>
          <w:b/>
          <w:sz w:val="20"/>
          <w:szCs w:val="20"/>
        </w:rPr>
        <w:t xml:space="preserve">izjave  </w:t>
      </w:r>
      <w:r w:rsidRPr="002F30DF">
        <w:rPr>
          <w:rFonts w:cs="Arial"/>
          <w:b/>
          <w:sz w:val="20"/>
          <w:szCs w:val="20"/>
        </w:rPr>
        <w:t xml:space="preserve">za odpustitev sankcij na </w:t>
      </w:r>
      <w:r w:rsidR="00836303" w:rsidRPr="002F30DF">
        <w:rPr>
          <w:rFonts w:cs="Arial"/>
          <w:b/>
          <w:sz w:val="20"/>
          <w:szCs w:val="20"/>
        </w:rPr>
        <w:t>izrek sankcije</w:t>
      </w:r>
      <w:r w:rsidRPr="002F30DF">
        <w:rPr>
          <w:rFonts w:cs="Arial"/>
          <w:b/>
          <w:sz w:val="20"/>
          <w:szCs w:val="20"/>
        </w:rPr>
        <w:t xml:space="preserve"> fizičn</w:t>
      </w:r>
      <w:r w:rsidR="00836303" w:rsidRPr="002F30DF">
        <w:rPr>
          <w:rFonts w:cs="Arial"/>
          <w:b/>
          <w:sz w:val="20"/>
          <w:szCs w:val="20"/>
        </w:rPr>
        <w:t>i</w:t>
      </w:r>
      <w:r w:rsidRPr="002F30DF">
        <w:rPr>
          <w:rFonts w:cs="Arial"/>
          <w:b/>
          <w:sz w:val="20"/>
          <w:szCs w:val="20"/>
        </w:rPr>
        <w:t xml:space="preserve"> oseb</w:t>
      </w:r>
      <w:r w:rsidR="00836303" w:rsidRPr="002F30DF">
        <w:rPr>
          <w:rFonts w:cs="Arial"/>
          <w:b/>
          <w:sz w:val="20"/>
          <w:szCs w:val="20"/>
        </w:rPr>
        <w:t>i</w:t>
      </w:r>
      <w:r w:rsidRPr="002F30DF">
        <w:rPr>
          <w:rFonts w:cs="Arial"/>
          <w:b/>
          <w:sz w:val="20"/>
          <w:szCs w:val="20"/>
        </w:rPr>
        <w:t>)</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Ne ureditev vprašanja, ali so trenutni in nekdanji vodilni delavci in drugi zaposleni prijaviteljev za odpustitev sankcij zaščiteni pred individualnimi sankcijami, kot so na primer administrativne sankcije, prepoved opravljanja dejavnosti ali zaporna kazen, bi lahko prijavitelje odvrnilo od tega, da bi vložili </w:t>
      </w:r>
      <w:r w:rsidR="00F041F0" w:rsidRPr="002F30DF">
        <w:rPr>
          <w:rFonts w:cs="Arial"/>
          <w:sz w:val="20"/>
          <w:szCs w:val="20"/>
        </w:rPr>
        <w:t xml:space="preserve">izjavo </w:t>
      </w:r>
      <w:r w:rsidRPr="002F30DF">
        <w:rPr>
          <w:rFonts w:cs="Arial"/>
          <w:sz w:val="20"/>
          <w:szCs w:val="20"/>
        </w:rPr>
        <w:t>za</w:t>
      </w:r>
      <w:r w:rsidR="00F041F0" w:rsidRPr="002F30DF">
        <w:rPr>
          <w:rFonts w:cs="Arial"/>
          <w:sz w:val="20"/>
          <w:szCs w:val="20"/>
        </w:rPr>
        <w:t>radi</w:t>
      </w:r>
      <w:r w:rsidRPr="002F30DF">
        <w:rPr>
          <w:rFonts w:cs="Arial"/>
          <w:sz w:val="20"/>
          <w:szCs w:val="20"/>
        </w:rPr>
        <w:t xml:space="preserve"> prizanesljivost</w:t>
      </w:r>
      <w:r w:rsidR="00AB128E" w:rsidRPr="002F30DF">
        <w:rPr>
          <w:rFonts w:cs="Arial"/>
          <w:sz w:val="20"/>
          <w:szCs w:val="20"/>
        </w:rPr>
        <w:t>i</w:t>
      </w:r>
      <w:r w:rsidRPr="002F30DF">
        <w:rPr>
          <w:rFonts w:cs="Arial"/>
          <w:sz w:val="20"/>
          <w:szCs w:val="20"/>
        </w:rPr>
        <w:t xml:space="preserve">. Zato </w:t>
      </w:r>
      <w:r w:rsidR="005122E7" w:rsidRPr="002F30DF">
        <w:rPr>
          <w:rFonts w:cs="Arial"/>
          <w:sz w:val="20"/>
          <w:szCs w:val="20"/>
        </w:rPr>
        <w:t xml:space="preserve">aDirektiva </w:t>
      </w:r>
      <w:r w:rsidRPr="002F30DF">
        <w:rPr>
          <w:rFonts w:cs="Arial"/>
          <w:sz w:val="20"/>
          <w:szCs w:val="20"/>
        </w:rPr>
        <w:t>2019/1</w:t>
      </w:r>
      <w:r w:rsidR="0050245A" w:rsidRPr="002F30DF">
        <w:rPr>
          <w:rFonts w:cs="Arial"/>
          <w:sz w:val="20"/>
          <w:szCs w:val="20"/>
        </w:rPr>
        <w:t xml:space="preserve"> </w:t>
      </w:r>
      <w:r w:rsidRPr="002F30DF">
        <w:rPr>
          <w:rFonts w:cs="Arial"/>
          <w:sz w:val="20"/>
          <w:szCs w:val="20"/>
        </w:rPr>
        <w:t>ureja povezanost prijav za odpustitev sankcij in sankcij zoper fizične osebe in v drugem odstavku nalaga državam članicam, da zagotovijo</w:t>
      </w:r>
      <w:r w:rsidRPr="002F30DF">
        <w:rPr>
          <w:rFonts w:cs="Arial"/>
          <w:i/>
          <w:sz w:val="20"/>
          <w:szCs w:val="20"/>
        </w:rPr>
        <w:t xml:space="preserve">, da so trenutni in nekdanji vodilni delavci in drugi zaposleni prijaviteljev, ki pri organih, pristojnih za varstvo konkurence, vložijo prijavo za odpustitev glob, zaščiteni pred sankcijami, ki se v kazenskih postopkih v zvezi z njihovo udeležbo v skrivnem kartelu, ki ga zajema prijava za odpustitev glob, izrečejo za kršitve nacionalne zakonodaje, katere cilji so pretežno isti kot cilji 101. člena PDEU, če izpolnjujejo pogoje iz prvega odstavka in aktivno sodelujejo z organom, pristojnim za pregon. Če pogoj sodelovanja z organom, pristojnim za pregon, ni izpolnjen, lahko navedeni organ, pristojen za pregon, nadaljuje s preiskavo. </w:t>
      </w:r>
      <w:r w:rsidRPr="002F30DF">
        <w:rPr>
          <w:rFonts w:cs="Arial"/>
          <w:sz w:val="20"/>
          <w:szCs w:val="20"/>
        </w:rPr>
        <w:t xml:space="preserve">Izjemo od tega </w:t>
      </w:r>
      <w:r w:rsidRPr="002F30DF">
        <w:rPr>
          <w:rFonts w:cs="Arial"/>
          <w:sz w:val="20"/>
          <w:szCs w:val="20"/>
        </w:rPr>
        <w:lastRenderedPageBreak/>
        <w:t xml:space="preserve">odstavka ureja tretji odstavek 23. člena Direktive 2019/1, ki določa, da </w:t>
      </w:r>
      <w:r w:rsidRPr="002F30DF">
        <w:rPr>
          <w:rFonts w:cs="Arial"/>
          <w:i/>
          <w:sz w:val="20"/>
          <w:szCs w:val="20"/>
        </w:rPr>
        <w:t xml:space="preserve">države članice lahko z odstopanjem od </w:t>
      </w:r>
      <w:r w:rsidR="00AB128E" w:rsidRPr="002F30DF">
        <w:rPr>
          <w:rFonts w:cs="Arial"/>
          <w:i/>
          <w:sz w:val="20"/>
          <w:szCs w:val="20"/>
        </w:rPr>
        <w:t xml:space="preserve">drugega </w:t>
      </w:r>
      <w:r w:rsidRPr="002F30DF">
        <w:rPr>
          <w:rFonts w:cs="Arial"/>
          <w:i/>
          <w:sz w:val="20"/>
          <w:szCs w:val="20"/>
        </w:rPr>
        <w:t xml:space="preserve">odstavka zaradi zagotovitve skladnosti z obstoječimi osnovnimi načeli svojih pravnih sistemov pristojnim organom omogočijo, da se lahko odločijo, da ne bodo izrekli sankcij ali bodo sankcije, ki se izrečejo v kazenskem postopku, samo ublažili, kolikor prispevek posameznikov iz drugega odstavka k odkritju in preiskavi skrivnega kartela pretehta nad interesom za pregon in/ali sankcioniranje teh posameznikov. </w:t>
      </w:r>
    </w:p>
    <w:p w:rsidR="007522E3" w:rsidRPr="002F30DF" w:rsidRDefault="007522E3" w:rsidP="0025166A">
      <w:pPr>
        <w:spacing w:line="260" w:lineRule="atLeast"/>
        <w:rPr>
          <w:rFonts w:cs="Arial"/>
          <w:i/>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in drugi odstavek</w:t>
      </w:r>
      <w:r w:rsidRPr="002F30DF">
        <w:rPr>
          <w:rFonts w:cs="Arial"/>
          <w:sz w:val="20"/>
          <w:szCs w:val="20"/>
        </w:rPr>
        <w:t xml:space="preserve"> določata, da kadar so izpolnjeni določeni pogoji so </w:t>
      </w:r>
      <w:r w:rsidR="00323B32" w:rsidRPr="002F30DF">
        <w:rPr>
          <w:rFonts w:cs="Arial"/>
          <w:sz w:val="20"/>
          <w:szCs w:val="20"/>
        </w:rPr>
        <w:t>trenutne in nekdanje odgovorne osebe in drugi zaposleni v podjetju</w:t>
      </w:r>
      <w:r w:rsidRPr="002F30DF">
        <w:rPr>
          <w:rFonts w:cs="Arial"/>
          <w:sz w:val="20"/>
          <w:szCs w:val="20"/>
        </w:rPr>
        <w:t xml:space="preserve">, ki </w:t>
      </w:r>
      <w:r w:rsidR="00323B32" w:rsidRPr="002F30DF">
        <w:rPr>
          <w:rFonts w:cs="Arial"/>
          <w:sz w:val="20"/>
          <w:szCs w:val="20"/>
        </w:rPr>
        <w:t xml:space="preserve">je </w:t>
      </w:r>
      <w:r w:rsidRPr="002F30DF">
        <w:rPr>
          <w:rFonts w:cs="Arial"/>
          <w:sz w:val="20"/>
          <w:szCs w:val="20"/>
        </w:rPr>
        <w:t>vloži</w:t>
      </w:r>
      <w:r w:rsidR="00323B32" w:rsidRPr="002F30DF">
        <w:rPr>
          <w:rFonts w:cs="Arial"/>
          <w:sz w:val="20"/>
          <w:szCs w:val="20"/>
        </w:rPr>
        <w:t>l</w:t>
      </w:r>
      <w:r w:rsidRPr="002F30DF">
        <w:rPr>
          <w:rFonts w:cs="Arial"/>
          <w:sz w:val="20"/>
          <w:szCs w:val="20"/>
        </w:rPr>
        <w:t xml:space="preserve">o </w:t>
      </w:r>
      <w:r w:rsidR="00F041F0" w:rsidRPr="002F30DF">
        <w:rPr>
          <w:rFonts w:cs="Arial"/>
          <w:sz w:val="20"/>
          <w:szCs w:val="20"/>
        </w:rPr>
        <w:t xml:space="preserve">izjavo </w:t>
      </w:r>
      <w:r w:rsidRPr="002F30DF">
        <w:rPr>
          <w:rFonts w:cs="Arial"/>
          <w:sz w:val="20"/>
          <w:szCs w:val="20"/>
        </w:rPr>
        <w:t>za</w:t>
      </w:r>
      <w:r w:rsidR="00F041F0" w:rsidRPr="002F30DF">
        <w:rPr>
          <w:rFonts w:cs="Arial"/>
          <w:sz w:val="20"/>
          <w:szCs w:val="20"/>
        </w:rPr>
        <w:t>radi</w:t>
      </w:r>
      <w:r w:rsidRPr="002F30DF">
        <w:rPr>
          <w:rFonts w:cs="Arial"/>
          <w:sz w:val="20"/>
          <w:szCs w:val="20"/>
        </w:rPr>
        <w:t xml:space="preserve"> prizanesljivost</w:t>
      </w:r>
      <w:r w:rsidR="00AB128E" w:rsidRPr="002F30DF">
        <w:rPr>
          <w:rFonts w:cs="Arial"/>
          <w:sz w:val="20"/>
          <w:szCs w:val="20"/>
        </w:rPr>
        <w:t>i</w:t>
      </w:r>
      <w:r w:rsidRPr="002F30DF">
        <w:rPr>
          <w:rFonts w:cs="Arial"/>
          <w:sz w:val="20"/>
          <w:szCs w:val="20"/>
        </w:rPr>
        <w:t xml:space="preserve"> zaščiteni pred sankcijami, ki jih javni organi izrečejo v kazenskih postopkih v zvezi z vpletenostjo v skrivni kartel, ki je predmet prijave.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Direktiva 2019/1 v </w:t>
      </w:r>
      <w:r w:rsidR="00DD24AE" w:rsidRPr="002F30DF">
        <w:rPr>
          <w:rFonts w:cs="Arial"/>
          <w:sz w:val="20"/>
          <w:szCs w:val="20"/>
        </w:rPr>
        <w:t xml:space="preserve">tretjem </w:t>
      </w:r>
      <w:r w:rsidRPr="002F30DF">
        <w:rPr>
          <w:rFonts w:cs="Arial"/>
          <w:sz w:val="20"/>
          <w:szCs w:val="20"/>
        </w:rPr>
        <w:t xml:space="preserve">odstavku 23. člena dopušča državam članicam, da </w:t>
      </w:r>
      <w:r w:rsidRPr="002F30DF">
        <w:rPr>
          <w:rFonts w:cs="Arial"/>
          <w:i/>
          <w:sz w:val="20"/>
          <w:szCs w:val="20"/>
        </w:rPr>
        <w:t xml:space="preserve">z odstopanjem od drugega odstavka zaradi zagotovitve skladnosti z obstoječimi osnovnimi načeli svojih pravnih sistemov pristojnim organom omogočijo, da se lahko odločijo, da ne bodo izrekli sankcij ali bodo sankcije, ki se izrečejo v kazenskem postopku, samo ublažili, kolikor prispevek posameznikov iz drugega odstavka k odkritju in preiskavi skrivnega kartela pretehta nad interesom za pregon in/ali sankcioniranje teh posameznikov, </w:t>
      </w:r>
      <w:r w:rsidRPr="002F30DF">
        <w:rPr>
          <w:rFonts w:cs="Arial"/>
          <w:sz w:val="20"/>
          <w:szCs w:val="20"/>
        </w:rPr>
        <w:t xml:space="preserve">se v </w:t>
      </w:r>
      <w:r w:rsidRPr="002F30DF">
        <w:rPr>
          <w:rFonts w:cs="Arial"/>
          <w:sz w:val="20"/>
          <w:szCs w:val="20"/>
          <w:u w:val="single"/>
        </w:rPr>
        <w:t>tretjem odstavku</w:t>
      </w:r>
      <w:r w:rsidRPr="002F30DF">
        <w:rPr>
          <w:rFonts w:cs="Arial"/>
          <w:sz w:val="20"/>
          <w:szCs w:val="20"/>
        </w:rPr>
        <w:t xml:space="preserve"> ureja možnosti, da državni tožilec ne začne kazenskega pregona oziroma od njega odstopi, ko prispevek k odkritju in preiskavi kartela fizične osebe iz prvega odstavka pretehta nad interesom za pregon oziroma nad sankcioniranjem. </w:t>
      </w:r>
    </w:p>
    <w:p w:rsidR="007522E3" w:rsidRPr="002F30DF" w:rsidRDefault="007522E3" w:rsidP="0025166A">
      <w:pPr>
        <w:spacing w:line="260" w:lineRule="atLeast"/>
        <w:rPr>
          <w:rFonts w:cs="Arial"/>
          <w:sz w:val="20"/>
          <w:szCs w:val="20"/>
        </w:rPr>
      </w:pPr>
    </w:p>
    <w:p w:rsidR="007522E3" w:rsidRPr="002F30DF" w:rsidRDefault="0050245A" w:rsidP="0025166A">
      <w:pPr>
        <w:spacing w:line="260" w:lineRule="atLeast"/>
        <w:rPr>
          <w:rFonts w:cs="Arial"/>
          <w:i/>
          <w:sz w:val="20"/>
          <w:szCs w:val="20"/>
        </w:rPr>
      </w:pPr>
      <w:r w:rsidRPr="002F30DF">
        <w:rPr>
          <w:rFonts w:cs="Arial"/>
          <w:sz w:val="20"/>
          <w:szCs w:val="20"/>
          <w:u w:val="single"/>
        </w:rPr>
        <w:t xml:space="preserve">Četrti </w:t>
      </w:r>
      <w:r w:rsidR="007522E3" w:rsidRPr="002F30DF">
        <w:rPr>
          <w:rFonts w:cs="Arial"/>
          <w:sz w:val="20"/>
          <w:szCs w:val="20"/>
          <w:u w:val="single"/>
        </w:rPr>
        <w:t>odstavek</w:t>
      </w:r>
      <w:r w:rsidR="007522E3" w:rsidRPr="002F30DF">
        <w:rPr>
          <w:rFonts w:cs="Arial"/>
          <w:sz w:val="20"/>
          <w:szCs w:val="20"/>
        </w:rPr>
        <w:t xml:space="preserve"> ureja situacije, ko je za obravnavo dejanj kršitev </w:t>
      </w:r>
      <w:r w:rsidR="003370C4" w:rsidRPr="002F30DF">
        <w:rPr>
          <w:rFonts w:cs="Arial"/>
          <w:sz w:val="20"/>
          <w:szCs w:val="20"/>
        </w:rPr>
        <w:t xml:space="preserve">iz prejšnjih odstavkov </w:t>
      </w:r>
      <w:r w:rsidR="007522E3" w:rsidRPr="002F30DF">
        <w:rPr>
          <w:rFonts w:cs="Arial"/>
          <w:sz w:val="20"/>
          <w:szCs w:val="20"/>
        </w:rPr>
        <w:t xml:space="preserve">pristojnih več organov v različnih državah članicah. Za takšne primere je določeno, da je </w:t>
      </w:r>
      <w:r w:rsidR="00E50C87" w:rsidRPr="002F30DF">
        <w:rPr>
          <w:rFonts w:cs="Arial"/>
          <w:sz w:val="20"/>
          <w:szCs w:val="20"/>
        </w:rPr>
        <w:t>a</w:t>
      </w:r>
      <w:r w:rsidR="0045309B" w:rsidRPr="002F30DF">
        <w:rPr>
          <w:rFonts w:cs="Arial"/>
          <w:sz w:val="20"/>
          <w:szCs w:val="20"/>
        </w:rPr>
        <w:t>genc</w:t>
      </w:r>
      <w:r w:rsidR="007522E3" w:rsidRPr="002F30DF">
        <w:rPr>
          <w:rFonts w:cs="Arial"/>
          <w:sz w:val="20"/>
          <w:szCs w:val="20"/>
        </w:rPr>
        <w:t>ija stičen organ, ki zagotavlja komunikacijo med pristojnimi organi iz različnih držav</w:t>
      </w:r>
      <w:r w:rsidR="00323B32" w:rsidRPr="002F30DF">
        <w:rPr>
          <w:rFonts w:cs="Arial"/>
          <w:sz w:val="20"/>
          <w:szCs w:val="20"/>
        </w:rPr>
        <w:t xml:space="preserve"> in Evropsko komisijo</w:t>
      </w:r>
      <w:r w:rsidR="007522E3" w:rsidRPr="002F30DF">
        <w:rPr>
          <w:rFonts w:cs="Arial"/>
          <w:sz w:val="20"/>
          <w:szCs w:val="20"/>
        </w:rPr>
        <w:t xml:space="preserve">. S tem odstavkom se prenaša četrti odstavek 23. člena Direktiva 2019/1, ki pravi, da </w:t>
      </w:r>
      <w:r w:rsidR="007522E3" w:rsidRPr="002F30DF">
        <w:rPr>
          <w:rFonts w:cs="Arial"/>
          <w:i/>
          <w:sz w:val="20"/>
          <w:szCs w:val="20"/>
        </w:rPr>
        <w:t>bi bila lahko zaščita iz</w:t>
      </w:r>
      <w:r w:rsidR="00AB128E" w:rsidRPr="002F30DF">
        <w:rPr>
          <w:rFonts w:cs="Arial"/>
          <w:i/>
          <w:sz w:val="20"/>
          <w:szCs w:val="20"/>
        </w:rPr>
        <w:t xml:space="preserve"> prvega, drugega in tretjega</w:t>
      </w:r>
      <w:r w:rsidR="007522E3" w:rsidRPr="002F30DF">
        <w:rPr>
          <w:rFonts w:cs="Arial"/>
          <w:i/>
          <w:sz w:val="20"/>
          <w:szCs w:val="20"/>
        </w:rPr>
        <w:t xml:space="preserve"> odstavk</w:t>
      </w:r>
      <w:r w:rsidR="00AB128E" w:rsidRPr="002F30DF">
        <w:rPr>
          <w:rFonts w:cs="Arial"/>
          <w:i/>
          <w:sz w:val="20"/>
          <w:szCs w:val="20"/>
        </w:rPr>
        <w:t>a</w:t>
      </w:r>
      <w:r w:rsidR="007522E3" w:rsidRPr="002F30DF">
        <w:rPr>
          <w:rFonts w:cs="Arial"/>
          <w:i/>
          <w:sz w:val="20"/>
          <w:szCs w:val="20"/>
        </w:rPr>
        <w:t>, kadar gre za več kot eno jurisdikcijo, učinkovita, države članice v primerih, ko organ, pristojen za sankcioniranje ali pregon, ni v isti jurisdikciji kot organ, pristojen za varstvo konkurence, ki obravnava zadevo, določijo, da potrebno komunikacijo med njima zagotavlja nacionalni organ, pristojen za varstvo konkurence, iz jurisdikcije organa, pristojnega za sankcioniranje ali pregon.</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lastRenderedPageBreak/>
        <w:t>Peti odstavek</w:t>
      </w:r>
      <w:r w:rsidRPr="002F30DF">
        <w:rPr>
          <w:rFonts w:cs="Arial"/>
          <w:sz w:val="20"/>
          <w:szCs w:val="20"/>
        </w:rPr>
        <w:t xml:space="preserve"> določa, da ureditev tega člena ne posega v pravico oškodovancev, ki zahtevajo odškodnino za škodo, ki so jo utrpele zaradi konkurenčnega prava. S tem </w:t>
      </w:r>
      <w:r w:rsidR="00EC465C" w:rsidRPr="002F30DF">
        <w:rPr>
          <w:rFonts w:cs="Arial"/>
          <w:sz w:val="20"/>
          <w:szCs w:val="20"/>
        </w:rPr>
        <w:t xml:space="preserve">odstavkom </w:t>
      </w:r>
      <w:r w:rsidRPr="002F30DF">
        <w:rPr>
          <w:rFonts w:cs="Arial"/>
          <w:sz w:val="20"/>
          <w:szCs w:val="20"/>
        </w:rPr>
        <w:t>se prenaša peti odstavek 23. člena Direktive 2019/1.</w:t>
      </w:r>
    </w:p>
    <w:p w:rsidR="007B36F5" w:rsidRPr="002F30DF" w:rsidRDefault="007B36F5"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9</w:t>
      </w:r>
      <w:r w:rsidR="005122E7" w:rsidRPr="002F30DF">
        <w:rPr>
          <w:rFonts w:cs="Arial"/>
          <w:b/>
          <w:sz w:val="20"/>
          <w:szCs w:val="20"/>
        </w:rPr>
        <w:t>3</w:t>
      </w:r>
      <w:r w:rsidRPr="002F30DF">
        <w:rPr>
          <w:rFonts w:cs="Arial"/>
          <w:b/>
          <w:sz w:val="20"/>
          <w:szCs w:val="20"/>
        </w:rPr>
        <w:t>. členu (izvršba administrativne sankcije</w:t>
      </w:r>
      <w:r w:rsidR="00DD24AE" w:rsidRPr="002F30DF">
        <w:rPr>
          <w:rFonts w:cs="Arial"/>
          <w:b/>
          <w:sz w:val="20"/>
          <w:szCs w:val="20"/>
        </w:rPr>
        <w:t xml:space="preserve"> in zavarovanje</w:t>
      </w:r>
      <w:r w:rsidRPr="002F30DF">
        <w:rPr>
          <w:rFonts w:cs="Arial"/>
          <w:b/>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tem členu so določena pravila po katerih se izvrši prisilna izterjava administrativne sankcije</w:t>
      </w:r>
      <w:r w:rsidR="00DD24AE" w:rsidRPr="002F30DF">
        <w:rPr>
          <w:rFonts w:cs="Arial"/>
          <w:sz w:val="20"/>
          <w:szCs w:val="20"/>
        </w:rPr>
        <w:t xml:space="preserve"> in njeno zavarovanje</w:t>
      </w:r>
      <w:r w:rsidRPr="002F30DF">
        <w:rPr>
          <w:rFonts w:cs="Arial"/>
          <w:sz w:val="20"/>
          <w:szCs w:val="20"/>
        </w:rPr>
        <w:t xml:space="preserve">, če jo podjetje, kateremu je </w:t>
      </w:r>
      <w:r w:rsidR="00E50C87" w:rsidRPr="002F30DF">
        <w:rPr>
          <w:rFonts w:cs="Arial"/>
          <w:sz w:val="20"/>
          <w:szCs w:val="20"/>
        </w:rPr>
        <w:t>a</w:t>
      </w:r>
      <w:r w:rsidR="0045309B" w:rsidRPr="002F30DF">
        <w:rPr>
          <w:rFonts w:cs="Arial"/>
          <w:sz w:val="20"/>
          <w:szCs w:val="20"/>
        </w:rPr>
        <w:t>genc</w:t>
      </w:r>
      <w:r w:rsidRPr="002F30DF">
        <w:rPr>
          <w:rFonts w:cs="Arial"/>
          <w:sz w:val="20"/>
          <w:szCs w:val="20"/>
        </w:rPr>
        <w:t>ija izrekla administrativno sankcijo, ne bo prostovoljno plačalo.</w:t>
      </w:r>
    </w:p>
    <w:p w:rsidR="007522E3" w:rsidRPr="002F30DF" w:rsidRDefault="007522E3" w:rsidP="0025166A">
      <w:pPr>
        <w:spacing w:line="260" w:lineRule="atLeast"/>
        <w:rPr>
          <w:rFonts w:cs="Arial"/>
          <w:sz w:val="20"/>
          <w:szCs w:val="20"/>
        </w:rPr>
      </w:pPr>
    </w:p>
    <w:p w:rsidR="007522E3" w:rsidRPr="002F30DF" w:rsidRDefault="008C4B74" w:rsidP="0025166A">
      <w:pPr>
        <w:spacing w:line="260" w:lineRule="atLeast"/>
        <w:rPr>
          <w:rFonts w:cs="Arial"/>
          <w:sz w:val="20"/>
          <w:szCs w:val="20"/>
        </w:rPr>
      </w:pPr>
      <w:r w:rsidRPr="002F30DF">
        <w:rPr>
          <w:rFonts w:cs="Arial"/>
          <w:sz w:val="20"/>
          <w:szCs w:val="20"/>
        </w:rPr>
        <w:t xml:space="preserve">S </w:t>
      </w:r>
      <w:r w:rsidR="007522E3" w:rsidRPr="002F30DF">
        <w:rPr>
          <w:rFonts w:cs="Arial"/>
          <w:sz w:val="20"/>
          <w:szCs w:val="20"/>
          <w:u w:val="single"/>
        </w:rPr>
        <w:t xml:space="preserve">prvim </w:t>
      </w:r>
      <w:r w:rsidR="005215AE">
        <w:rPr>
          <w:rFonts w:cs="Arial"/>
          <w:sz w:val="20"/>
          <w:szCs w:val="20"/>
          <w:u w:val="single"/>
        </w:rPr>
        <w:t xml:space="preserve">in drugim </w:t>
      </w:r>
      <w:r w:rsidR="007522E3" w:rsidRPr="002F30DF">
        <w:rPr>
          <w:rFonts w:cs="Arial"/>
          <w:sz w:val="20"/>
          <w:szCs w:val="20"/>
          <w:u w:val="single"/>
        </w:rPr>
        <w:t>odstavkom</w:t>
      </w:r>
      <w:r w:rsidR="007522E3" w:rsidRPr="002F30DF">
        <w:rPr>
          <w:rFonts w:cs="Arial"/>
          <w:sz w:val="20"/>
          <w:szCs w:val="20"/>
        </w:rPr>
        <w:t xml:space="preserve"> </w:t>
      </w:r>
      <w:r w:rsidRPr="002F30DF">
        <w:rPr>
          <w:rFonts w:cs="Arial"/>
          <w:sz w:val="20"/>
          <w:szCs w:val="20"/>
        </w:rPr>
        <w:t xml:space="preserve">se </w:t>
      </w:r>
      <w:r w:rsidR="007522E3" w:rsidRPr="002F30DF">
        <w:rPr>
          <w:rFonts w:cs="Arial"/>
          <w:sz w:val="20"/>
          <w:szCs w:val="20"/>
        </w:rPr>
        <w:t>določ</w:t>
      </w:r>
      <w:r w:rsidRPr="002F30DF">
        <w:rPr>
          <w:rFonts w:cs="Arial"/>
          <w:sz w:val="20"/>
          <w:szCs w:val="20"/>
        </w:rPr>
        <w:t>i</w:t>
      </w:r>
      <w:r w:rsidR="007522E3" w:rsidRPr="002F30DF">
        <w:rPr>
          <w:rFonts w:cs="Arial"/>
          <w:sz w:val="20"/>
          <w:szCs w:val="20"/>
        </w:rPr>
        <w:t xml:space="preserve">, da se </w:t>
      </w:r>
      <w:r w:rsidR="005215AE">
        <w:rPr>
          <w:rFonts w:cs="Arial"/>
          <w:sz w:val="20"/>
          <w:szCs w:val="20"/>
        </w:rPr>
        <w:t xml:space="preserve">administrativna sankcija prisilno izvrši </w:t>
      </w:r>
      <w:r w:rsidR="007522E3" w:rsidRPr="002F30DF">
        <w:rPr>
          <w:rFonts w:cs="Arial"/>
          <w:sz w:val="20"/>
          <w:szCs w:val="20"/>
        </w:rPr>
        <w:t xml:space="preserve">po pravnomočnosti odločbe </w:t>
      </w:r>
      <w:r w:rsidR="00E50C87" w:rsidRPr="002F30DF">
        <w:rPr>
          <w:rFonts w:cs="Arial"/>
          <w:sz w:val="20"/>
          <w:szCs w:val="20"/>
        </w:rPr>
        <w:t>a</w:t>
      </w:r>
      <w:r w:rsidR="0045309B" w:rsidRPr="002F30DF">
        <w:rPr>
          <w:rFonts w:cs="Arial"/>
          <w:sz w:val="20"/>
          <w:szCs w:val="20"/>
        </w:rPr>
        <w:t>genc</w:t>
      </w:r>
      <w:r w:rsidR="005215AE">
        <w:rPr>
          <w:rFonts w:cs="Arial"/>
          <w:sz w:val="20"/>
          <w:szCs w:val="20"/>
        </w:rPr>
        <w:t>ije. Izvršbo opravi pristojni davčni organ na predlog agencije. Izvršba se opravi po postopku, po katerem se izvršujejo davčne obveznosti in je predpisan z zakonom, ki ureja davčni postopek.</w:t>
      </w:r>
    </w:p>
    <w:p w:rsidR="007522E3" w:rsidRPr="002F30DF" w:rsidRDefault="007522E3" w:rsidP="00E50C87">
      <w:pPr>
        <w:overflowPunct/>
        <w:autoSpaceDE/>
        <w:autoSpaceDN/>
        <w:adjustRightInd/>
        <w:spacing w:line="260" w:lineRule="atLeast"/>
        <w:textAlignment w:val="auto"/>
        <w:rPr>
          <w:rFonts w:cs="Arial"/>
          <w:sz w:val="20"/>
          <w:szCs w:val="20"/>
        </w:rPr>
      </w:pPr>
    </w:p>
    <w:p w:rsidR="00C878EE" w:rsidRPr="002F30DF" w:rsidRDefault="00C878EE" w:rsidP="00C878EE">
      <w:pPr>
        <w:spacing w:line="260" w:lineRule="atLeast"/>
        <w:rPr>
          <w:rFonts w:cs="Arial"/>
          <w:sz w:val="20"/>
          <w:szCs w:val="20"/>
        </w:rPr>
      </w:pPr>
      <w:r w:rsidRPr="002F30DF">
        <w:rPr>
          <w:rFonts w:cs="Arial"/>
          <w:sz w:val="20"/>
          <w:szCs w:val="20"/>
        </w:rPr>
        <w:t xml:space="preserve"> </w:t>
      </w:r>
      <w:r w:rsidR="00323B32" w:rsidRPr="002F30DF">
        <w:rPr>
          <w:rFonts w:cs="Arial"/>
          <w:sz w:val="20"/>
          <w:szCs w:val="20"/>
          <w:u w:val="single"/>
        </w:rPr>
        <w:t xml:space="preserve">Z </w:t>
      </w:r>
      <w:r w:rsidRPr="002F30DF">
        <w:rPr>
          <w:rFonts w:cs="Arial"/>
          <w:sz w:val="20"/>
          <w:szCs w:val="20"/>
          <w:u w:val="single"/>
        </w:rPr>
        <w:t>drugim odstavkom</w:t>
      </w:r>
      <w:r w:rsidRPr="002F30DF">
        <w:rPr>
          <w:rFonts w:cs="Arial"/>
          <w:sz w:val="20"/>
          <w:szCs w:val="20"/>
        </w:rPr>
        <w:t xml:space="preserve"> se določi, da se terjatev, ki jo agencija vodi do podjetja, ki je dolžno plačati administrativno sankcijo, prenese na davčni organ z dnem, ko agencija vloži predlog za prisilno izterjavo. </w:t>
      </w:r>
    </w:p>
    <w:p w:rsidR="00C878EE" w:rsidRPr="002F30DF" w:rsidRDefault="00C878EE" w:rsidP="00E50C87">
      <w:pPr>
        <w:overflowPunct/>
        <w:autoSpaceDE/>
        <w:autoSpaceDN/>
        <w:adjustRightInd/>
        <w:spacing w:line="260" w:lineRule="atLeast"/>
        <w:textAlignment w:val="auto"/>
        <w:rPr>
          <w:rFonts w:cs="Arial"/>
          <w:sz w:val="20"/>
          <w:szCs w:val="20"/>
        </w:rPr>
      </w:pPr>
    </w:p>
    <w:p w:rsidR="007522E3" w:rsidRPr="002F30DF" w:rsidRDefault="007522E3" w:rsidP="005215AE">
      <w:pPr>
        <w:overflowPunct/>
        <w:autoSpaceDE/>
        <w:autoSpaceDN/>
        <w:adjustRightInd/>
        <w:spacing w:line="260" w:lineRule="atLeast"/>
        <w:textAlignment w:val="auto"/>
        <w:rPr>
          <w:rFonts w:cs="Arial"/>
          <w:sz w:val="20"/>
          <w:szCs w:val="20"/>
        </w:rPr>
      </w:pPr>
      <w:r w:rsidRPr="002F30DF">
        <w:rPr>
          <w:rFonts w:cs="Arial"/>
          <w:sz w:val="20"/>
          <w:szCs w:val="20"/>
        </w:rPr>
        <w:t xml:space="preserve">Z namenom učinkovite izvršbe je v </w:t>
      </w:r>
      <w:r w:rsidR="00C878EE" w:rsidRPr="002F30DF">
        <w:rPr>
          <w:rFonts w:cs="Arial"/>
          <w:sz w:val="20"/>
          <w:szCs w:val="20"/>
          <w:u w:val="single"/>
        </w:rPr>
        <w:t xml:space="preserve">tretjem </w:t>
      </w:r>
      <w:r w:rsidRPr="002F30DF">
        <w:rPr>
          <w:rFonts w:cs="Arial"/>
          <w:sz w:val="20"/>
          <w:szCs w:val="20"/>
          <w:u w:val="single"/>
        </w:rPr>
        <w:t>odstavku</w:t>
      </w:r>
      <w:r w:rsidRPr="002F30DF">
        <w:rPr>
          <w:rFonts w:cs="Arial"/>
          <w:sz w:val="20"/>
          <w:szCs w:val="20"/>
        </w:rPr>
        <w:t xml:space="preserve"> dopuščena možnost ukrepov za zavarovanje izvršbe in za zavarovanje izpolnitve iz naslova naložitve administrativne sankcije.</w:t>
      </w:r>
      <w:r w:rsidR="00E50C87" w:rsidRPr="002F30DF">
        <w:rPr>
          <w:rFonts w:cs="Arial"/>
          <w:sz w:val="20"/>
          <w:szCs w:val="20"/>
        </w:rPr>
        <w:t xml:space="preserve"> Agencija lahko </w:t>
      </w:r>
      <w:r w:rsidR="005215AE">
        <w:rPr>
          <w:rFonts w:cs="Arial"/>
          <w:sz w:val="20"/>
          <w:szCs w:val="20"/>
        </w:rPr>
        <w:t>ob smiselni uporabi zakona</w:t>
      </w:r>
      <w:r w:rsidR="00E50C87" w:rsidRPr="002F30DF">
        <w:rPr>
          <w:rFonts w:cs="Arial"/>
          <w:sz w:val="20"/>
          <w:szCs w:val="20"/>
        </w:rPr>
        <w:t>, ki ureja davčni postopek, pred, ob ali po izdaji odločbe izvede ukrepe za zavarovanje izvršbe in za zavarovanje izpolnitve obveznosti iz naslova izrečene administrativne sankcije</w:t>
      </w:r>
      <w:r w:rsidR="00C878EE" w:rsidRPr="002F30DF">
        <w:rPr>
          <w:rFonts w:cs="Arial"/>
          <w:sz w:val="20"/>
          <w:szCs w:val="20"/>
        </w:rPr>
        <w:t xml:space="preserve"> in s tem povezanih stroškov</w:t>
      </w:r>
      <w:r w:rsidR="005215AE">
        <w:rPr>
          <w:rFonts w:cs="Arial"/>
          <w:sz w:val="20"/>
          <w:szCs w:val="20"/>
        </w:rPr>
        <w:t>.</w:t>
      </w:r>
    </w:p>
    <w:p w:rsidR="007522E3" w:rsidRPr="002F30DF" w:rsidRDefault="007522E3" w:rsidP="0025166A">
      <w:pPr>
        <w:spacing w:line="260" w:lineRule="atLeast"/>
        <w:rPr>
          <w:rFonts w:cs="Arial"/>
          <w:b/>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9</w:t>
      </w:r>
      <w:r w:rsidR="005122E7" w:rsidRPr="002F30DF">
        <w:rPr>
          <w:rFonts w:cs="Arial"/>
          <w:b/>
          <w:sz w:val="20"/>
          <w:szCs w:val="20"/>
        </w:rPr>
        <w:t>4</w:t>
      </w:r>
      <w:r w:rsidRPr="002F30DF">
        <w:rPr>
          <w:rFonts w:cs="Arial"/>
          <w:b/>
          <w:sz w:val="20"/>
          <w:szCs w:val="20"/>
        </w:rPr>
        <w:t>. členu (sodno varstvo)</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Zoper odločbe </w:t>
      </w:r>
      <w:r w:rsidR="00C20FCE" w:rsidRPr="002F30DF">
        <w:rPr>
          <w:rFonts w:cs="Arial"/>
          <w:sz w:val="20"/>
          <w:szCs w:val="20"/>
        </w:rPr>
        <w:t>a</w:t>
      </w:r>
      <w:r w:rsidR="0045309B" w:rsidRPr="002F30DF">
        <w:rPr>
          <w:rFonts w:cs="Arial"/>
          <w:sz w:val="20"/>
          <w:szCs w:val="20"/>
        </w:rPr>
        <w:t>genc</w:t>
      </w:r>
      <w:r w:rsidRPr="002F30DF">
        <w:rPr>
          <w:rFonts w:cs="Arial"/>
          <w:sz w:val="20"/>
          <w:szCs w:val="20"/>
        </w:rPr>
        <w:t>ije je dopustno začeti postopek sodnega varstva. Za postopek sodnega varstva se smiselno uporablja ZUS-1, razen če je s tem zakonom drug</w:t>
      </w:r>
      <w:r w:rsidR="006D527D" w:rsidRPr="002F30DF">
        <w:rPr>
          <w:rFonts w:cs="Arial"/>
          <w:sz w:val="20"/>
          <w:szCs w:val="20"/>
        </w:rPr>
        <w:t>ač</w:t>
      </w:r>
      <w:r w:rsidRPr="002F30DF">
        <w:rPr>
          <w:rFonts w:cs="Arial"/>
          <w:sz w:val="20"/>
          <w:szCs w:val="20"/>
        </w:rPr>
        <w:t xml:space="preserve">e določeno.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Ustava v 25. členu določa, da je treba vsakomur zagotoviti pravico do pritožbe ali drugega pravnega sredstva proti odločbam sodišč ali drugih organov, s katerimi ti določajo o njegovih pravicah, dolžnostih ali pravnih interesih. Ustavno sodišče Republike Slovenije je v sklepu št. U-I-309/94 z dne 16. 2. 1996 navedlo, da ta določba zagotavlja načelo instančnosti, katerega bistvena vsebina je v tem, da </w:t>
      </w:r>
      <w:r w:rsidRPr="002F30DF">
        <w:rPr>
          <w:rFonts w:cs="Arial"/>
          <w:sz w:val="20"/>
          <w:szCs w:val="20"/>
        </w:rPr>
        <w:lastRenderedPageBreak/>
        <w:t>lahko organ druge stopnje presoja odločitev prvostopenjskega organa z vidika vseh vprašanj, ki so pomembna za odločitev o pravici ali obveznosti. To pomeni, da mora zakonodajalec v primeru, ko se o pravici ali obveznostih odloča v upravnem postopku, zoper takšno odločitev predvideti pritožbo ali drugo pravno sredstvo.</w:t>
      </w:r>
      <w:r w:rsidRPr="002F30DF">
        <w:rPr>
          <w:rStyle w:val="Sprotnaopomba-sklic"/>
          <w:rFonts w:cs="Arial"/>
          <w:sz w:val="20"/>
          <w:szCs w:val="20"/>
        </w:rPr>
        <w:footnoteReference w:id="28"/>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Iz ustavnega besedila, po katerem mora biti zagotovljena »pravica do pritožbe ali drugega pravnega sredstva«, izrecno ne izhaja zahteva, da bi moralo biti »drugo pravno sredstvo« vedno zagotovljeno znotraj konkretnega postopka, temveč omogoča tudi razlago, po kateri lahko funkcijo pravnega sredstva izjemoma opravi zahteva za preizkus odločbe v sodnem postopku. Zato je v primerih, ko o posameznih upravnih zadevah odločajo najvišji organi posameznih vej oblasti ali strokovni organi, ki so posebej v ta namen ustanovljeni z zakonom kot organi na prvi in zadnji stopnji, mogoče šteti upravni spor kot »drugo pravn</w:t>
      </w:r>
      <w:r w:rsidR="00C20FCE" w:rsidRPr="002F30DF">
        <w:rPr>
          <w:rFonts w:cs="Arial"/>
          <w:sz w:val="20"/>
          <w:szCs w:val="20"/>
        </w:rPr>
        <w:t>o sredstvo« v smislu 25. člena u</w:t>
      </w:r>
      <w:r w:rsidRPr="002F30DF">
        <w:rPr>
          <w:rFonts w:cs="Arial"/>
          <w:sz w:val="20"/>
          <w:szCs w:val="20"/>
        </w:rPr>
        <w:t>stave, vendar pod pogojem, da se z njimi še vedno zagotavlja temeljni namen instančnosti, kot ga zagotavlja ta človekova pravica – to je, da je to pravno sredstvo po svoji naravi enako učinkovito, kot bi bila pritožba v upravnem postopku.</w:t>
      </w:r>
      <w:r w:rsidRPr="002F30DF">
        <w:rPr>
          <w:rStyle w:val="Sprotnaopomba-sklic"/>
          <w:rFonts w:cs="Arial"/>
          <w:sz w:val="20"/>
          <w:szCs w:val="20"/>
        </w:rPr>
        <w:footnoteReference w:id="29"/>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Ker se lahko skladno s tem zakonom v upravnem sporu uveljavlja vse razloge, ki bi jih sicer lahko stranka uveljavlja v pritožbi zoper upravno odločbo po prvem odstavku 237. člena ZUP, je upravni spor po tem zakonu glede obsega izpodbijanja enako učinkovito pravno sredstvo, kot bi bila pritožba v upravnem postopku.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Dokončne upravne odločbe so praviloma izvršljive. Tožba v upravnem sporu nima suspenzivnega učinka, če zakon ne določa drugače. Ker je v postopku odločanja </w:t>
      </w:r>
      <w:r w:rsidR="006D527D" w:rsidRPr="002F30DF">
        <w:rPr>
          <w:rFonts w:cs="Arial"/>
          <w:sz w:val="20"/>
          <w:szCs w:val="20"/>
        </w:rPr>
        <w:t>a</w:t>
      </w:r>
      <w:r w:rsidR="0045309B" w:rsidRPr="002F30DF">
        <w:rPr>
          <w:rFonts w:cs="Arial"/>
          <w:sz w:val="20"/>
          <w:szCs w:val="20"/>
        </w:rPr>
        <w:t>genc</w:t>
      </w:r>
      <w:r w:rsidRPr="002F30DF">
        <w:rPr>
          <w:rFonts w:cs="Arial"/>
          <w:sz w:val="20"/>
          <w:szCs w:val="20"/>
        </w:rPr>
        <w:t>ij</w:t>
      </w:r>
      <w:r w:rsidR="0050245A" w:rsidRPr="002F30DF">
        <w:rPr>
          <w:rFonts w:cs="Arial"/>
          <w:sz w:val="20"/>
          <w:szCs w:val="20"/>
        </w:rPr>
        <w:t>e</w:t>
      </w:r>
      <w:r w:rsidRPr="002F30DF">
        <w:rPr>
          <w:rFonts w:cs="Arial"/>
          <w:sz w:val="20"/>
          <w:szCs w:val="20"/>
        </w:rPr>
        <w:t xml:space="preserve"> pritožba izključena, je odločitev </w:t>
      </w:r>
      <w:r w:rsidR="006D527D" w:rsidRPr="002F30DF">
        <w:rPr>
          <w:rFonts w:cs="Arial"/>
          <w:sz w:val="20"/>
          <w:szCs w:val="20"/>
        </w:rPr>
        <w:t>a</w:t>
      </w:r>
      <w:r w:rsidR="0045309B" w:rsidRPr="002F30DF">
        <w:rPr>
          <w:rFonts w:cs="Arial"/>
          <w:sz w:val="20"/>
          <w:szCs w:val="20"/>
        </w:rPr>
        <w:t>genc</w:t>
      </w:r>
      <w:r w:rsidRPr="002F30DF">
        <w:rPr>
          <w:rFonts w:cs="Arial"/>
          <w:sz w:val="20"/>
          <w:szCs w:val="20"/>
        </w:rPr>
        <w:t>ije dokončna. Če bi bila s tem tudi izvršljiva, bi to lahko pomenilo, da je tožba v upravnem sporu manj učinkovito pravno sredstvo od pritožbe, ki ima praviloma odložni (suspenzivni) učinek.</w:t>
      </w:r>
      <w:r w:rsidRPr="002F30DF">
        <w:rPr>
          <w:rStyle w:val="Sprotnaopomba-sklic"/>
          <w:rFonts w:cs="Arial"/>
          <w:sz w:val="20"/>
          <w:szCs w:val="20"/>
        </w:rPr>
        <w:footnoteReference w:id="30"/>
      </w:r>
      <w:r w:rsidRPr="002F30DF">
        <w:rPr>
          <w:rFonts w:cs="Arial"/>
          <w:sz w:val="20"/>
          <w:szCs w:val="20"/>
        </w:rPr>
        <w:t xml:space="preserve"> Izpolnitev tega pogoja pa izhaja iz </w:t>
      </w:r>
      <w:r w:rsidR="00AB4654" w:rsidRPr="002F30DF">
        <w:rPr>
          <w:rFonts w:cs="Arial"/>
          <w:sz w:val="20"/>
          <w:szCs w:val="20"/>
        </w:rPr>
        <w:t>80</w:t>
      </w:r>
      <w:r w:rsidRPr="002F30DF">
        <w:rPr>
          <w:rFonts w:cs="Arial"/>
          <w:sz w:val="20"/>
          <w:szCs w:val="20"/>
        </w:rPr>
        <w:t xml:space="preserve">. člena tega zakona, na podlagi katere je izvršljivost odločb vezana na pravnomočnost, torej na odločitev sodišča o tožbi zoper odločbo </w:t>
      </w:r>
      <w:r w:rsidR="006D527D" w:rsidRPr="002F30DF">
        <w:rPr>
          <w:rFonts w:cs="Arial"/>
          <w:sz w:val="20"/>
          <w:szCs w:val="20"/>
        </w:rPr>
        <w:t>a</w:t>
      </w:r>
      <w:r w:rsidR="0045309B" w:rsidRPr="002F30DF">
        <w:rPr>
          <w:rFonts w:cs="Arial"/>
          <w:sz w:val="20"/>
          <w:szCs w:val="20"/>
        </w:rPr>
        <w:t>genc</w:t>
      </w:r>
      <w:r w:rsidRPr="002F30DF">
        <w:rPr>
          <w:rFonts w:cs="Arial"/>
          <w:sz w:val="20"/>
          <w:szCs w:val="20"/>
        </w:rPr>
        <w:t xml:space="preserve">ije.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lastRenderedPageBreak/>
        <w:t xml:space="preserve">K </w:t>
      </w:r>
      <w:r w:rsidR="00384FE5" w:rsidRPr="002F30DF">
        <w:rPr>
          <w:rFonts w:cs="Arial"/>
          <w:b/>
          <w:sz w:val="20"/>
          <w:szCs w:val="20"/>
        </w:rPr>
        <w:t>9</w:t>
      </w:r>
      <w:r w:rsidR="005122E7" w:rsidRPr="002F30DF">
        <w:rPr>
          <w:rFonts w:cs="Arial"/>
          <w:b/>
          <w:sz w:val="20"/>
          <w:szCs w:val="20"/>
        </w:rPr>
        <w:t>5</w:t>
      </w:r>
      <w:r w:rsidRPr="002F30DF">
        <w:rPr>
          <w:rFonts w:cs="Arial"/>
          <w:b/>
          <w:sz w:val="20"/>
          <w:szCs w:val="20"/>
        </w:rPr>
        <w:t>. členu (pravica do sodnega varstva zoper odločbe in sklepe)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Sodno varstvo mora biti zagotovljeno proti vsem posamičnim upravnim aktom, s katerimi državni organ dokončno odloči o pravicah in obveznostih. V tem členu so podrobneje določeni akti </w:t>
      </w:r>
      <w:r w:rsidR="00491150" w:rsidRPr="002F30DF">
        <w:rPr>
          <w:rFonts w:cs="Arial"/>
          <w:sz w:val="20"/>
          <w:szCs w:val="20"/>
        </w:rPr>
        <w:t>a</w:t>
      </w:r>
      <w:r w:rsidR="0045309B" w:rsidRPr="002F30DF">
        <w:rPr>
          <w:rFonts w:cs="Arial"/>
          <w:sz w:val="20"/>
          <w:szCs w:val="20"/>
        </w:rPr>
        <w:t>genc</w:t>
      </w:r>
      <w:r w:rsidRPr="002F30DF">
        <w:rPr>
          <w:rFonts w:cs="Arial"/>
          <w:sz w:val="20"/>
          <w:szCs w:val="20"/>
        </w:rPr>
        <w:t xml:space="preserve">ije, proti katerim je dovoljeno začeti postopek sodnega varstva. Zoper odločbe </w:t>
      </w:r>
      <w:r w:rsidR="00491150" w:rsidRPr="002F30DF">
        <w:rPr>
          <w:rFonts w:cs="Arial"/>
          <w:sz w:val="20"/>
          <w:szCs w:val="20"/>
        </w:rPr>
        <w:t>a</w:t>
      </w:r>
      <w:r w:rsidR="0045309B" w:rsidRPr="002F30DF">
        <w:rPr>
          <w:rFonts w:cs="Arial"/>
          <w:sz w:val="20"/>
          <w:szCs w:val="20"/>
        </w:rPr>
        <w:t>genc</w:t>
      </w:r>
      <w:r w:rsidRPr="002F30DF">
        <w:rPr>
          <w:rFonts w:cs="Arial"/>
          <w:sz w:val="20"/>
          <w:szCs w:val="20"/>
        </w:rPr>
        <w:t>ije je vedno mogoče vložiti tožbo v upravnem sporu (</w:t>
      </w:r>
      <w:r w:rsidRPr="002F30DF">
        <w:rPr>
          <w:rFonts w:cs="Arial"/>
          <w:sz w:val="20"/>
          <w:szCs w:val="20"/>
          <w:u w:val="single"/>
        </w:rPr>
        <w:t>prvi odstavek</w:t>
      </w:r>
      <w:r w:rsidRPr="002F30DF">
        <w:rPr>
          <w:rFonts w:cs="Arial"/>
          <w:sz w:val="20"/>
          <w:szCs w:val="20"/>
        </w:rPr>
        <w:t xml:space="preserve">), prav tako zoper sklepe, ki jih </w:t>
      </w:r>
      <w:r w:rsidR="00491150" w:rsidRPr="002F30DF">
        <w:rPr>
          <w:rFonts w:cs="Arial"/>
          <w:sz w:val="20"/>
          <w:szCs w:val="20"/>
        </w:rPr>
        <w:t>a</w:t>
      </w:r>
      <w:r w:rsidR="0045309B" w:rsidRPr="002F30DF">
        <w:rPr>
          <w:rFonts w:cs="Arial"/>
          <w:sz w:val="20"/>
          <w:szCs w:val="20"/>
        </w:rPr>
        <w:t>genc</w:t>
      </w:r>
      <w:r w:rsidRPr="002F30DF">
        <w:rPr>
          <w:rFonts w:cs="Arial"/>
          <w:sz w:val="20"/>
          <w:szCs w:val="20"/>
        </w:rPr>
        <w:t>ija izda na podlagi tega zakona, razen če je sodno varstvo izrecno izključeno (</w:t>
      </w:r>
      <w:r w:rsidRPr="002F30DF">
        <w:rPr>
          <w:rFonts w:cs="Arial"/>
          <w:sz w:val="20"/>
          <w:szCs w:val="20"/>
          <w:u w:val="single"/>
        </w:rPr>
        <w:t>drugi odstavek</w:t>
      </w:r>
      <w:r w:rsidRPr="002F30DF">
        <w:rPr>
          <w:rFonts w:cs="Arial"/>
          <w:sz w:val="20"/>
          <w:szCs w:val="20"/>
        </w:rPr>
        <w:t>).</w:t>
      </w:r>
      <w:r w:rsidR="00F7305C" w:rsidRPr="002F30DF">
        <w:rPr>
          <w:rFonts w:cs="Arial"/>
          <w:sz w:val="20"/>
          <w:szCs w:val="20"/>
        </w:rPr>
        <w:t xml:space="preserve"> Ne glede na to, pa je dopuščeno sodno varstvo zoper sklep, s katerim agencija zahteva podatke od podjetja.</w:t>
      </w:r>
      <w:r w:rsidRPr="002F30DF">
        <w:rPr>
          <w:rFonts w:cs="Arial"/>
          <w:sz w:val="20"/>
          <w:szCs w:val="20"/>
        </w:rPr>
        <w:t xml:space="preserve"> S </w:t>
      </w:r>
      <w:r w:rsidR="00F7305C" w:rsidRPr="002F30DF">
        <w:rPr>
          <w:rFonts w:cs="Arial"/>
          <w:sz w:val="20"/>
          <w:szCs w:val="20"/>
          <w:u w:val="single"/>
        </w:rPr>
        <w:t>četr</w:t>
      </w:r>
      <w:r w:rsidR="009D7FF1" w:rsidRPr="002F30DF">
        <w:rPr>
          <w:rFonts w:cs="Arial"/>
          <w:sz w:val="20"/>
          <w:szCs w:val="20"/>
          <w:u w:val="single"/>
        </w:rPr>
        <w:t>t</w:t>
      </w:r>
      <w:r w:rsidR="00F7305C" w:rsidRPr="002F30DF">
        <w:rPr>
          <w:rFonts w:cs="Arial"/>
          <w:sz w:val="20"/>
          <w:szCs w:val="20"/>
          <w:u w:val="single"/>
        </w:rPr>
        <w:t xml:space="preserve">im </w:t>
      </w:r>
      <w:r w:rsidRPr="002F30DF">
        <w:rPr>
          <w:rFonts w:cs="Arial"/>
          <w:sz w:val="20"/>
          <w:szCs w:val="20"/>
          <w:u w:val="single"/>
        </w:rPr>
        <w:t>odstavkom</w:t>
      </w:r>
      <w:r w:rsidRPr="002F30DF">
        <w:rPr>
          <w:rFonts w:cs="Arial"/>
          <w:sz w:val="20"/>
          <w:szCs w:val="20"/>
        </w:rPr>
        <w:t xml:space="preserve"> se določa, da </w:t>
      </w:r>
      <w:r w:rsidR="0050245A" w:rsidRPr="002F30DF">
        <w:rPr>
          <w:rFonts w:cs="Arial"/>
          <w:sz w:val="20"/>
          <w:szCs w:val="20"/>
        </w:rPr>
        <w:t>je dovoljen upravni spor tudi</w:t>
      </w:r>
      <w:r w:rsidRPr="002F30DF">
        <w:rPr>
          <w:rFonts w:cs="Arial"/>
          <w:sz w:val="20"/>
          <w:szCs w:val="20"/>
        </w:rPr>
        <w:t xml:space="preserve"> zoper sklepe, zoper katere je po določbah ZUP dovoljena pritožba. Ta določba predstavlja izjemo od </w:t>
      </w:r>
      <w:r w:rsidR="0050245A" w:rsidRPr="002F30DF">
        <w:rPr>
          <w:rFonts w:cs="Arial"/>
          <w:sz w:val="20"/>
          <w:szCs w:val="20"/>
        </w:rPr>
        <w:t>25</w:t>
      </w:r>
      <w:r w:rsidRPr="002F30DF">
        <w:rPr>
          <w:rFonts w:cs="Arial"/>
          <w:sz w:val="20"/>
          <w:szCs w:val="20"/>
        </w:rPr>
        <w:t>8. člena ZUP.</w:t>
      </w:r>
    </w:p>
    <w:p w:rsidR="007522E3" w:rsidRPr="002F30DF" w:rsidRDefault="007522E3" w:rsidP="0025166A">
      <w:pPr>
        <w:spacing w:line="260" w:lineRule="atLeast"/>
        <w:rPr>
          <w:rFonts w:cs="Arial"/>
          <w:sz w:val="20"/>
          <w:szCs w:val="20"/>
        </w:rPr>
      </w:pPr>
    </w:p>
    <w:p w:rsidR="007522E3" w:rsidRPr="002F30DF" w:rsidRDefault="00F7305C" w:rsidP="0025166A">
      <w:pPr>
        <w:spacing w:line="260" w:lineRule="atLeast"/>
        <w:rPr>
          <w:rFonts w:cs="Arial"/>
          <w:sz w:val="20"/>
          <w:szCs w:val="20"/>
        </w:rPr>
      </w:pPr>
      <w:r w:rsidRPr="002F30DF">
        <w:rPr>
          <w:rFonts w:cs="Arial"/>
          <w:sz w:val="20"/>
          <w:szCs w:val="20"/>
          <w:u w:val="single"/>
        </w:rPr>
        <w:t xml:space="preserve">Peti </w:t>
      </w:r>
      <w:r w:rsidR="007522E3" w:rsidRPr="002F30DF">
        <w:rPr>
          <w:rFonts w:cs="Arial"/>
          <w:sz w:val="20"/>
          <w:szCs w:val="20"/>
          <w:u w:val="single"/>
        </w:rPr>
        <w:t>odstavek</w:t>
      </w:r>
      <w:r w:rsidR="007522E3" w:rsidRPr="002F30DF">
        <w:rPr>
          <w:rFonts w:cs="Arial"/>
          <w:sz w:val="20"/>
          <w:szCs w:val="20"/>
        </w:rPr>
        <w:t xml:space="preserve"> določa, da so zadeve v postopku sodnega varstva po tem zakonu nujne in da o njih sodišče odloča prednostno. Zakon o sodiščih (Uradni list RS, št. </w:t>
      </w:r>
      <w:hyperlink r:id="rId123" w:tgtFrame="_blank" w:tooltip="Zakon o sodiščih (uradno prečiščeno besedilo)" w:history="1">
        <w:r w:rsidR="007522E3" w:rsidRPr="002F30DF">
          <w:rPr>
            <w:rFonts w:cs="Arial"/>
            <w:sz w:val="20"/>
            <w:szCs w:val="20"/>
          </w:rPr>
          <w:t>94/07</w:t>
        </w:r>
      </w:hyperlink>
      <w:r w:rsidR="007522E3" w:rsidRPr="002F30DF">
        <w:rPr>
          <w:rFonts w:cs="Arial"/>
          <w:sz w:val="20"/>
          <w:szCs w:val="20"/>
        </w:rPr>
        <w:t xml:space="preserve"> – uradno prečiščeno besedilo, </w:t>
      </w:r>
      <w:hyperlink r:id="rId124" w:tgtFrame="_blank" w:tooltip="Zakon o spremembah in dopolnitvah Zakona o sodiščih" w:history="1">
        <w:r w:rsidR="007522E3" w:rsidRPr="002F30DF">
          <w:rPr>
            <w:rFonts w:cs="Arial"/>
            <w:sz w:val="20"/>
            <w:szCs w:val="20"/>
          </w:rPr>
          <w:t>45/08</w:t>
        </w:r>
      </w:hyperlink>
      <w:r w:rsidR="007522E3" w:rsidRPr="002F30DF">
        <w:rPr>
          <w:rFonts w:cs="Arial"/>
          <w:sz w:val="20"/>
          <w:szCs w:val="20"/>
        </w:rPr>
        <w:t xml:space="preserve">, </w:t>
      </w:r>
      <w:hyperlink r:id="rId125" w:tgtFrame="_blank" w:tooltip="Zakon o spremembah in dopolnitvah Zakona o sodiščih" w:history="1">
        <w:r w:rsidR="007522E3" w:rsidRPr="002F30DF">
          <w:rPr>
            <w:rFonts w:cs="Arial"/>
            <w:sz w:val="20"/>
            <w:szCs w:val="20"/>
          </w:rPr>
          <w:t>96/09</w:t>
        </w:r>
      </w:hyperlink>
      <w:r w:rsidR="007522E3" w:rsidRPr="002F30DF">
        <w:rPr>
          <w:rFonts w:cs="Arial"/>
          <w:sz w:val="20"/>
          <w:szCs w:val="20"/>
        </w:rPr>
        <w:t xml:space="preserve">, </w:t>
      </w:r>
      <w:hyperlink r:id="rId126" w:tgtFrame="_blank" w:tooltip="Zakon o Javnem nepremičninskem skladu Republike Slovenije" w:history="1">
        <w:r w:rsidR="007522E3" w:rsidRPr="002F30DF">
          <w:rPr>
            <w:rFonts w:cs="Arial"/>
            <w:sz w:val="20"/>
            <w:szCs w:val="20"/>
          </w:rPr>
          <w:t>86/10</w:t>
        </w:r>
      </w:hyperlink>
      <w:r w:rsidR="007522E3" w:rsidRPr="002F30DF">
        <w:rPr>
          <w:rFonts w:cs="Arial"/>
          <w:sz w:val="20"/>
          <w:szCs w:val="20"/>
        </w:rPr>
        <w:t xml:space="preserve"> – ZJNepS, </w:t>
      </w:r>
      <w:hyperlink r:id="rId127" w:tgtFrame="_blank" w:tooltip="Zakon o spremembah in dopolnitvah Zakona o sodiščih" w:history="1">
        <w:r w:rsidR="007522E3" w:rsidRPr="002F30DF">
          <w:rPr>
            <w:rFonts w:cs="Arial"/>
            <w:sz w:val="20"/>
            <w:szCs w:val="20"/>
          </w:rPr>
          <w:t>33/11</w:t>
        </w:r>
      </w:hyperlink>
      <w:r w:rsidR="007522E3" w:rsidRPr="002F30DF">
        <w:rPr>
          <w:rFonts w:cs="Arial"/>
          <w:sz w:val="20"/>
          <w:szCs w:val="20"/>
        </w:rPr>
        <w:t xml:space="preserve">, </w:t>
      </w:r>
      <w:hyperlink r:id="rId128" w:tgtFrame="_blank" w:tooltip="Zakon o spremembah in dopolnitvah Zakona o stvarnem premoženju države in samoupravnih lokalnih skupnosti" w:history="1">
        <w:r w:rsidR="007522E3" w:rsidRPr="002F30DF">
          <w:rPr>
            <w:rFonts w:cs="Arial"/>
            <w:sz w:val="20"/>
            <w:szCs w:val="20"/>
          </w:rPr>
          <w:t>75/12</w:t>
        </w:r>
      </w:hyperlink>
      <w:r w:rsidR="007522E3" w:rsidRPr="002F30DF">
        <w:rPr>
          <w:rFonts w:cs="Arial"/>
          <w:sz w:val="20"/>
          <w:szCs w:val="20"/>
        </w:rPr>
        <w:t xml:space="preserve"> – ZSPDSLS-A, </w:t>
      </w:r>
      <w:hyperlink r:id="rId129" w:tgtFrame="_blank" w:tooltip="Zakon o spremembah in dopolnitvah Zakona o sodiščih" w:history="1">
        <w:r w:rsidR="007522E3" w:rsidRPr="002F30DF">
          <w:rPr>
            <w:rFonts w:cs="Arial"/>
            <w:sz w:val="20"/>
            <w:szCs w:val="20"/>
          </w:rPr>
          <w:t>63/13</w:t>
        </w:r>
      </w:hyperlink>
      <w:r w:rsidR="007522E3" w:rsidRPr="002F30DF">
        <w:rPr>
          <w:rFonts w:cs="Arial"/>
          <w:sz w:val="20"/>
          <w:szCs w:val="20"/>
        </w:rPr>
        <w:t xml:space="preserve">, </w:t>
      </w:r>
      <w:hyperlink r:id="rId130" w:tgtFrame="_blank" w:tooltip="Zakon o spremembah in dopolnitvah Zakona o sodiščih" w:history="1">
        <w:r w:rsidR="007522E3" w:rsidRPr="002F30DF">
          <w:rPr>
            <w:rFonts w:cs="Arial"/>
            <w:sz w:val="20"/>
            <w:szCs w:val="20"/>
          </w:rPr>
          <w:t>17/15</w:t>
        </w:r>
      </w:hyperlink>
      <w:r w:rsidR="007522E3" w:rsidRPr="002F30DF">
        <w:rPr>
          <w:rFonts w:cs="Arial"/>
          <w:sz w:val="20"/>
          <w:szCs w:val="20"/>
        </w:rPr>
        <w:t xml:space="preserve">, </w:t>
      </w:r>
      <w:hyperlink r:id="rId131" w:tgtFrame="_blank" w:tooltip="Zakon o sodnem svetu" w:history="1">
        <w:r w:rsidR="007522E3" w:rsidRPr="002F30DF">
          <w:rPr>
            <w:rFonts w:cs="Arial"/>
            <w:sz w:val="20"/>
            <w:szCs w:val="20"/>
          </w:rPr>
          <w:t>23/17</w:t>
        </w:r>
      </w:hyperlink>
      <w:r w:rsidR="007522E3" w:rsidRPr="002F30DF">
        <w:rPr>
          <w:rFonts w:cs="Arial"/>
          <w:sz w:val="20"/>
          <w:szCs w:val="20"/>
        </w:rPr>
        <w:t xml:space="preserve"> – ZSSve, </w:t>
      </w:r>
      <w:hyperlink r:id="rId132" w:tgtFrame="_blank" w:tooltip="Zakon o sodnih izvedencih, sodnih cenilcih in sodnih tolmačih" w:history="1">
        <w:r w:rsidR="007522E3" w:rsidRPr="002F30DF">
          <w:rPr>
            <w:rFonts w:cs="Arial"/>
            <w:sz w:val="20"/>
            <w:szCs w:val="20"/>
          </w:rPr>
          <w:t>22/18</w:t>
        </w:r>
      </w:hyperlink>
      <w:r w:rsidR="007522E3" w:rsidRPr="002F30DF">
        <w:rPr>
          <w:rFonts w:cs="Arial"/>
          <w:sz w:val="20"/>
          <w:szCs w:val="20"/>
        </w:rPr>
        <w:t xml:space="preserve"> – ZSICT in </w:t>
      </w:r>
      <w:hyperlink r:id="rId133" w:tgtFrame="_blank" w:tooltip="Zakon o nepravdnem postopku" w:history="1">
        <w:r w:rsidR="007522E3" w:rsidRPr="002F30DF">
          <w:rPr>
            <w:rFonts w:cs="Arial"/>
            <w:sz w:val="20"/>
            <w:szCs w:val="20"/>
          </w:rPr>
          <w:t>16/19</w:t>
        </w:r>
      </w:hyperlink>
      <w:r w:rsidR="007522E3" w:rsidRPr="002F30DF">
        <w:rPr>
          <w:rFonts w:cs="Arial"/>
          <w:sz w:val="20"/>
          <w:szCs w:val="20"/>
        </w:rPr>
        <w:t xml:space="preserve"> – ZNP-1)  v 1. do 8. točki drugega odstavka 83. člena našteva zadeve, ki se štejejo za nujne. V skladu z 9. točko navedene določbe so nujne tudi druge zadeve, za katere tako določa (drug) zakon. Namen nadzora, ki ga opravlja </w:t>
      </w:r>
      <w:r w:rsidR="00491150"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ija, je zagotavljanje učinkovite konkurence na ozemlju Republike Slovenije z odkrivanjem in odpravljanjem omejevalnih ravnanj ter nadzorom tržne strukture (presoja koncentracij). Omejevalna ravnanja na trgu povzročajo veliko škodo, saj zavirajo učinkovito konkurenco in gospodarski razvoj, kar v končni fazi škoduje domačemu potrošniku. To utemeljuje zahtevo po hitri izvedbi ukrepov, ki jih naloži </w:t>
      </w:r>
      <w:r w:rsidR="00491150" w:rsidRPr="002F30DF">
        <w:rPr>
          <w:rFonts w:cs="Arial"/>
          <w:sz w:val="20"/>
          <w:szCs w:val="20"/>
        </w:rPr>
        <w:t>a</w:t>
      </w:r>
      <w:r w:rsidR="0045309B" w:rsidRPr="002F30DF">
        <w:rPr>
          <w:rFonts w:cs="Arial"/>
          <w:sz w:val="20"/>
          <w:szCs w:val="20"/>
        </w:rPr>
        <w:t>genc</w:t>
      </w:r>
      <w:r w:rsidR="007522E3" w:rsidRPr="002F30DF">
        <w:rPr>
          <w:rFonts w:cs="Arial"/>
          <w:sz w:val="20"/>
          <w:szCs w:val="20"/>
        </w:rPr>
        <w:t>ija. Prav tako je postopek sodnega varstva nujen v primerih presoje koncentracij. Podjetja morajo na trgu reagirati hitro, zato mora biti hitra tudi odločitev o skladnosti oziroma neskladnosti koncentracije (tako v upravnem kot tudi v sodnem postopku).</w:t>
      </w:r>
    </w:p>
    <w:p w:rsidR="007522E3" w:rsidRPr="002F30DF" w:rsidRDefault="007522E3" w:rsidP="0025166A">
      <w:pPr>
        <w:spacing w:line="260" w:lineRule="atLeast"/>
        <w:rPr>
          <w:rFonts w:cs="Arial"/>
          <w:sz w:val="20"/>
          <w:szCs w:val="20"/>
        </w:rPr>
      </w:pPr>
    </w:p>
    <w:p w:rsidR="00464B19" w:rsidRPr="002F30DF" w:rsidRDefault="00464B19" w:rsidP="0025166A">
      <w:pPr>
        <w:spacing w:line="260" w:lineRule="atLeast"/>
        <w:rPr>
          <w:rFonts w:cs="Arial"/>
          <w:sz w:val="20"/>
          <w:szCs w:val="20"/>
        </w:rPr>
      </w:pPr>
      <w:r w:rsidRPr="002F30DF">
        <w:rPr>
          <w:rFonts w:cs="Arial"/>
          <w:sz w:val="20"/>
          <w:szCs w:val="20"/>
        </w:rPr>
        <w:t>S tem členom se tudi delno prenaša drugi odstavek 3. člena Direktiva 2019/1, na podlagi katerega je treba zagotoviti pravico do učinkovitega pravnega sredstva pred sodiščem.</w:t>
      </w:r>
    </w:p>
    <w:p w:rsidR="006C0632" w:rsidRPr="002F30DF" w:rsidRDefault="006C0632" w:rsidP="0025166A">
      <w:pPr>
        <w:spacing w:line="260" w:lineRule="atLeast"/>
        <w:rPr>
          <w:rFonts w:cs="Arial"/>
          <w:sz w:val="20"/>
          <w:szCs w:val="20"/>
        </w:rPr>
      </w:pPr>
    </w:p>
    <w:p w:rsidR="00540232" w:rsidRPr="002F30DF" w:rsidRDefault="00540232" w:rsidP="00540232">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9</w:t>
      </w:r>
      <w:r w:rsidR="005122E7" w:rsidRPr="002F30DF">
        <w:rPr>
          <w:rFonts w:cs="Arial"/>
          <w:b/>
          <w:sz w:val="20"/>
          <w:szCs w:val="20"/>
        </w:rPr>
        <w:t>6</w:t>
      </w:r>
      <w:r w:rsidRPr="002F30DF">
        <w:rPr>
          <w:rFonts w:cs="Arial"/>
          <w:b/>
          <w:sz w:val="20"/>
          <w:szCs w:val="20"/>
        </w:rPr>
        <w:t>. členu (pregled dokumentov zadeve in uporaba informacij)</w:t>
      </w:r>
    </w:p>
    <w:p w:rsidR="00540232" w:rsidRPr="002F30DF" w:rsidRDefault="00540232" w:rsidP="00540232">
      <w:pPr>
        <w:spacing w:line="260" w:lineRule="atLeast"/>
        <w:rPr>
          <w:rFonts w:cs="Arial"/>
          <w:sz w:val="20"/>
          <w:szCs w:val="20"/>
        </w:rPr>
      </w:pPr>
    </w:p>
    <w:p w:rsidR="00540232" w:rsidRPr="002F30DF" w:rsidRDefault="00540232" w:rsidP="00540232">
      <w:pPr>
        <w:spacing w:line="260" w:lineRule="atLeast"/>
        <w:rPr>
          <w:rFonts w:cs="Arial"/>
          <w:sz w:val="20"/>
          <w:szCs w:val="20"/>
        </w:rPr>
      </w:pPr>
      <w:r w:rsidRPr="002F30DF">
        <w:rPr>
          <w:rFonts w:cs="Arial"/>
          <w:sz w:val="20"/>
          <w:szCs w:val="20"/>
        </w:rPr>
        <w:t xml:space="preserve">Kot je določal že ZPOmK-1 se tudi v </w:t>
      </w:r>
      <w:r w:rsidRPr="002F30DF">
        <w:rPr>
          <w:rFonts w:cs="Arial"/>
          <w:sz w:val="20"/>
          <w:szCs w:val="20"/>
          <w:u w:val="single"/>
        </w:rPr>
        <w:t>prvem odstavku</w:t>
      </w:r>
      <w:r w:rsidRPr="002F30DF">
        <w:rPr>
          <w:rFonts w:cs="Arial"/>
          <w:sz w:val="20"/>
          <w:szCs w:val="20"/>
        </w:rPr>
        <w:t xml:space="preserve"> predloga tega člena ohranja, da se tudi za pregled dokumentov pred sodišč</w:t>
      </w:r>
      <w:r w:rsidR="009317E3" w:rsidRPr="002F30DF">
        <w:rPr>
          <w:rFonts w:cs="Arial"/>
          <w:sz w:val="20"/>
          <w:szCs w:val="20"/>
        </w:rPr>
        <w:t>em</w:t>
      </w:r>
      <w:r w:rsidRPr="002F30DF">
        <w:rPr>
          <w:rFonts w:cs="Arial"/>
          <w:sz w:val="20"/>
          <w:szCs w:val="20"/>
        </w:rPr>
        <w:t xml:space="preserve"> smiselno uporablja </w:t>
      </w:r>
      <w:r w:rsidR="00DE0AFA" w:rsidRPr="002F30DF">
        <w:rPr>
          <w:rFonts w:cs="Arial"/>
          <w:sz w:val="20"/>
          <w:szCs w:val="20"/>
        </w:rPr>
        <w:t>25</w:t>
      </w:r>
      <w:r w:rsidRPr="002F30DF">
        <w:rPr>
          <w:rFonts w:cs="Arial"/>
          <w:sz w:val="20"/>
          <w:szCs w:val="20"/>
        </w:rPr>
        <w:t xml:space="preserve">. člen tega </w:t>
      </w:r>
      <w:r w:rsidRPr="002F30DF">
        <w:rPr>
          <w:rFonts w:cs="Arial"/>
          <w:sz w:val="20"/>
          <w:szCs w:val="20"/>
        </w:rPr>
        <w:lastRenderedPageBreak/>
        <w:t>zakona, ki ureja pravico strank v upravnem postopku do pregleda dokumentov zadeve. Zaradi dolžnosti varovanja tajnosti vira oziroma zaradi občutlji</w:t>
      </w:r>
      <w:r w:rsidR="004D0A32" w:rsidRPr="002F30DF">
        <w:rPr>
          <w:rFonts w:cs="Arial"/>
          <w:sz w:val="20"/>
          <w:szCs w:val="20"/>
        </w:rPr>
        <w:t>vih poslovnih podatkov, ki jih a</w:t>
      </w:r>
      <w:r w:rsidRPr="002F30DF">
        <w:rPr>
          <w:rFonts w:cs="Arial"/>
          <w:sz w:val="20"/>
          <w:szCs w:val="20"/>
        </w:rPr>
        <w:t>gencija pridobi v postopku, t</w:t>
      </w:r>
      <w:r w:rsidR="004D0A32" w:rsidRPr="002F30DF">
        <w:rPr>
          <w:rFonts w:cs="Arial"/>
          <w:sz w:val="20"/>
          <w:szCs w:val="20"/>
        </w:rPr>
        <w:t>er pisne korespondence med a</w:t>
      </w:r>
      <w:r w:rsidRPr="002F30DF">
        <w:rPr>
          <w:rFonts w:cs="Arial"/>
          <w:sz w:val="20"/>
          <w:szCs w:val="20"/>
        </w:rPr>
        <w:t xml:space="preserve">gencijo in drugimi organi, pristojnimi za varstvo konkurenco, </w:t>
      </w:r>
      <w:r w:rsidR="009317E3" w:rsidRPr="002F30DF">
        <w:rPr>
          <w:rFonts w:cs="Arial"/>
          <w:sz w:val="20"/>
          <w:szCs w:val="20"/>
        </w:rPr>
        <w:t xml:space="preserve">in </w:t>
      </w:r>
      <w:r w:rsidRPr="002F30DF">
        <w:rPr>
          <w:rFonts w:cs="Arial"/>
          <w:sz w:val="20"/>
          <w:szCs w:val="20"/>
        </w:rPr>
        <w:t>tudi zaradi obst</w:t>
      </w:r>
      <w:r w:rsidR="004D0A32" w:rsidRPr="002F30DF">
        <w:rPr>
          <w:rFonts w:cs="Arial"/>
          <w:sz w:val="20"/>
          <w:szCs w:val="20"/>
        </w:rPr>
        <w:t>oja drugih internih dokumentov a</w:t>
      </w:r>
      <w:r w:rsidRPr="002F30DF">
        <w:rPr>
          <w:rFonts w:cs="Arial"/>
          <w:sz w:val="20"/>
          <w:szCs w:val="20"/>
        </w:rPr>
        <w:t>gencije, je dostop do teh dokumento</w:t>
      </w:r>
      <w:r w:rsidR="004D0A32" w:rsidRPr="002F30DF">
        <w:rPr>
          <w:rFonts w:cs="Arial"/>
          <w:sz w:val="20"/>
          <w:szCs w:val="20"/>
        </w:rPr>
        <w:t>v strankam omejen, razen če se a</w:t>
      </w:r>
      <w:r w:rsidRPr="002F30DF">
        <w:rPr>
          <w:rFonts w:cs="Arial"/>
          <w:sz w:val="20"/>
          <w:szCs w:val="20"/>
        </w:rPr>
        <w:t>gencija v svoji odločbi nanje opre.</w:t>
      </w:r>
      <w:r w:rsidR="004D0A32" w:rsidRPr="002F30DF">
        <w:rPr>
          <w:rFonts w:cs="Arial"/>
          <w:sz w:val="20"/>
          <w:szCs w:val="20"/>
        </w:rPr>
        <w:t xml:space="preserve"> V zvezi z uporabo informacij je določeno, da se uporablja </w:t>
      </w:r>
      <w:r w:rsidR="00AB4654" w:rsidRPr="002F30DF">
        <w:rPr>
          <w:rFonts w:cs="Arial"/>
          <w:sz w:val="20"/>
          <w:szCs w:val="20"/>
        </w:rPr>
        <w:t>26</w:t>
      </w:r>
      <w:r w:rsidR="004D0A32" w:rsidRPr="002F30DF">
        <w:rPr>
          <w:rFonts w:cs="Arial"/>
          <w:sz w:val="20"/>
          <w:szCs w:val="20"/>
        </w:rPr>
        <w:t>. člen tega zakona.</w:t>
      </w:r>
    </w:p>
    <w:p w:rsidR="00540232" w:rsidRPr="002F30DF" w:rsidRDefault="00540232" w:rsidP="00540232">
      <w:pPr>
        <w:spacing w:line="260" w:lineRule="atLeast"/>
        <w:rPr>
          <w:rFonts w:cs="Arial"/>
          <w:sz w:val="20"/>
          <w:szCs w:val="20"/>
        </w:rPr>
      </w:pPr>
    </w:p>
    <w:p w:rsidR="00B35AAF" w:rsidRPr="002F30DF" w:rsidRDefault="00B35AAF" w:rsidP="00B35AAF">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9</w:t>
      </w:r>
      <w:r w:rsidR="005122E7" w:rsidRPr="002F30DF">
        <w:rPr>
          <w:rFonts w:cs="Arial"/>
          <w:b/>
          <w:sz w:val="20"/>
          <w:szCs w:val="20"/>
        </w:rPr>
        <w:t>7</w:t>
      </w:r>
      <w:r w:rsidRPr="002F30DF">
        <w:rPr>
          <w:rFonts w:cs="Arial"/>
          <w:b/>
          <w:sz w:val="20"/>
          <w:szCs w:val="20"/>
        </w:rPr>
        <w:t>. členu (objava sodnih odločb na spletu)</w:t>
      </w:r>
    </w:p>
    <w:p w:rsidR="00B35AAF" w:rsidRPr="002F30DF" w:rsidRDefault="00B35AAF" w:rsidP="00B35AAF">
      <w:pPr>
        <w:spacing w:line="260" w:lineRule="atLeast"/>
        <w:rPr>
          <w:rFonts w:cs="Arial"/>
          <w:b/>
          <w:sz w:val="20"/>
          <w:szCs w:val="20"/>
        </w:rPr>
      </w:pPr>
    </w:p>
    <w:p w:rsidR="00540232" w:rsidRPr="002F30DF" w:rsidRDefault="00B35AAF" w:rsidP="00B35AAF">
      <w:pPr>
        <w:spacing w:line="260" w:lineRule="atLeast"/>
        <w:rPr>
          <w:rFonts w:cs="Arial"/>
          <w:sz w:val="20"/>
          <w:szCs w:val="20"/>
        </w:rPr>
      </w:pPr>
      <w:r w:rsidRPr="002F30DF">
        <w:rPr>
          <w:rFonts w:cs="Arial"/>
          <w:sz w:val="20"/>
          <w:szCs w:val="20"/>
        </w:rPr>
        <w:t>S tem členom se še naprej zagotavlja objava sodnih odločb na spletu in s tem transparentnost postopka.</w:t>
      </w:r>
    </w:p>
    <w:p w:rsidR="00ED2BC0" w:rsidRPr="002F30DF" w:rsidRDefault="00ED2BC0" w:rsidP="0020496A">
      <w:pPr>
        <w:tabs>
          <w:tab w:val="left" w:pos="5660"/>
        </w:tabs>
        <w:spacing w:line="260" w:lineRule="atLeast"/>
        <w:rPr>
          <w:rFonts w:cs="Arial"/>
          <w:sz w:val="20"/>
          <w:szCs w:val="20"/>
        </w:rPr>
      </w:pPr>
    </w:p>
    <w:p w:rsidR="007E10BC" w:rsidRPr="002F30DF" w:rsidRDefault="007E10BC" w:rsidP="007E10BC">
      <w:pPr>
        <w:spacing w:line="260" w:lineRule="atLeast"/>
        <w:rPr>
          <w:rFonts w:cs="Arial"/>
          <w:b/>
          <w:sz w:val="20"/>
          <w:szCs w:val="20"/>
        </w:rPr>
      </w:pPr>
      <w:r w:rsidRPr="002F30DF">
        <w:rPr>
          <w:rFonts w:cs="Arial"/>
          <w:b/>
          <w:sz w:val="20"/>
          <w:szCs w:val="20"/>
        </w:rPr>
        <w:t xml:space="preserve">K </w:t>
      </w:r>
      <w:r w:rsidR="00DD24AE" w:rsidRPr="002F30DF">
        <w:rPr>
          <w:rFonts w:cs="Arial"/>
          <w:b/>
          <w:sz w:val="20"/>
          <w:szCs w:val="20"/>
        </w:rPr>
        <w:t>9</w:t>
      </w:r>
      <w:r w:rsidR="005122E7" w:rsidRPr="002F30DF">
        <w:rPr>
          <w:rFonts w:cs="Arial"/>
          <w:b/>
          <w:sz w:val="20"/>
          <w:szCs w:val="20"/>
        </w:rPr>
        <w:t>8</w:t>
      </w:r>
      <w:r w:rsidRPr="002F30DF">
        <w:rPr>
          <w:rFonts w:cs="Arial"/>
          <w:b/>
          <w:sz w:val="20"/>
          <w:szCs w:val="20"/>
        </w:rPr>
        <w:t xml:space="preserve"> členu (medsebojna pomoč)</w:t>
      </w:r>
    </w:p>
    <w:p w:rsidR="007E10BC" w:rsidRPr="002F30DF" w:rsidRDefault="007E10BC" w:rsidP="007E10BC">
      <w:pPr>
        <w:spacing w:line="260" w:lineRule="atLeast"/>
        <w:rPr>
          <w:rFonts w:cs="Arial"/>
          <w:b/>
          <w:sz w:val="20"/>
          <w:szCs w:val="20"/>
        </w:rPr>
      </w:pPr>
    </w:p>
    <w:p w:rsidR="007E10BC" w:rsidRPr="002F30DF" w:rsidRDefault="007E10BC" w:rsidP="007E10BC">
      <w:pPr>
        <w:spacing w:line="260" w:lineRule="atLeast"/>
        <w:rPr>
          <w:rFonts w:cs="Arial"/>
          <w:sz w:val="20"/>
          <w:szCs w:val="20"/>
        </w:rPr>
      </w:pPr>
      <w:r w:rsidRPr="002F30DF">
        <w:rPr>
          <w:rFonts w:cs="Arial"/>
          <w:sz w:val="20"/>
          <w:szCs w:val="20"/>
        </w:rPr>
        <w:t xml:space="preserve">Ker imajo Evropska komisija in organi, pristojni za varstvo konkurence, vzporedna pooblastila, da pri ugotavljanju kršitev konkurenčnega prava poleg nacionalnih določb uporabijo tudi 101. ali 102. člen PDEU, morajo ti organi medsebojno sodelovati. </w:t>
      </w:r>
    </w:p>
    <w:p w:rsidR="00585731" w:rsidRPr="002F30DF" w:rsidRDefault="00585731" w:rsidP="007E10BC">
      <w:pPr>
        <w:spacing w:line="260" w:lineRule="atLeast"/>
        <w:rPr>
          <w:rFonts w:cs="Arial"/>
          <w:sz w:val="20"/>
          <w:szCs w:val="20"/>
        </w:rPr>
      </w:pPr>
    </w:p>
    <w:p w:rsidR="007E10BC" w:rsidRPr="002F30DF" w:rsidRDefault="007E10BC" w:rsidP="007E10BC">
      <w:pPr>
        <w:spacing w:line="260" w:lineRule="atLeast"/>
        <w:rPr>
          <w:rFonts w:cs="Arial"/>
          <w:sz w:val="20"/>
          <w:szCs w:val="20"/>
        </w:rPr>
      </w:pPr>
      <w:r w:rsidRPr="002F30DF">
        <w:rPr>
          <w:rFonts w:cs="Arial"/>
          <w:sz w:val="20"/>
          <w:szCs w:val="20"/>
        </w:rPr>
        <w:t xml:space="preserve">Sodelovanje med nacionalnimi upravnimi organi, pristojnimi za varstvo konkurence, je urejeno v 24. členu Direktive 2019/1, ki v prvem odstavku določa, da </w:t>
      </w:r>
      <w:r w:rsidRPr="002F30DF">
        <w:rPr>
          <w:rFonts w:cs="Arial"/>
          <w:i/>
          <w:sz w:val="20"/>
          <w:szCs w:val="20"/>
        </w:rPr>
        <w:t xml:space="preserve">kadar nacionalni upravni organi, pristojni za varstvo konkurence, v imenu in za račun drugih nacionalnih organov, pristojnih za varstvo konkurence, izvajajo pregled ali vodijo razgovor v skladu z 22. členom Uredbe (ES) št. 1/2003 – uradnikom in drugim spremljevalnim osebam, ki jih je nacionalni organ prosilec, pristojen za varstvo konkurence, pooblastil ali imenoval, pod nadzorom uradnikov zaprošenega nacionalnega organa, pristojnega za varstvo konkurence, dovoli, da so navzoči pri pregledu ali razgovoru in pri tem aktivno pomagajo zaprošenemu nacionalnemu organu, pristojnemu za varstvo konkurence, kadar zaprošeni nacionalni organ, pristojen za varstvo konkurence, izvaja pooblastila iz 6., 7. in 9. člena te direktive. Drugi odstavek pa nalaga državam članicam, da zagotovijo, da so nacionalni upravni organi, pristojni za varstvo konkurence, na svojem ozemlju pooblaščeni, da v skladu s svojim nacionalnim pravom v imenu in za račun drugih nacionalnih organov, pristojnih za varstvo konkurence, izvajajo pooblastila iz 6. do 9. člena te direktive, da ugotovijo, ali podjetja ali podjetniška združenja niso spoštovala preiskovalnih ukrepov in odločb nacionalnega organa prosilca, pristojnega za </w:t>
      </w:r>
      <w:r w:rsidRPr="002F30DF">
        <w:rPr>
          <w:rFonts w:cs="Arial"/>
          <w:i/>
          <w:sz w:val="20"/>
          <w:szCs w:val="20"/>
        </w:rPr>
        <w:lastRenderedPageBreak/>
        <w:t>varstvo konkurence, iz 6. in 8</w:t>
      </w:r>
      <w:r w:rsidR="00323B32" w:rsidRPr="002F30DF">
        <w:rPr>
          <w:rFonts w:cs="Arial"/>
          <w:i/>
          <w:sz w:val="20"/>
          <w:szCs w:val="20"/>
        </w:rPr>
        <w:t>.</w:t>
      </w:r>
      <w:r w:rsidRPr="002F30DF">
        <w:rPr>
          <w:rFonts w:cs="Arial"/>
          <w:i/>
          <w:sz w:val="20"/>
          <w:szCs w:val="20"/>
        </w:rPr>
        <w:t xml:space="preserve"> do 12. člena te direktive. Nacionalni organ prosilec, pristojen za varstvo konkurence, in zaprošeni nacionalni organ, pristojen za varstvo konkurence, sta pooblaščena, da si ob upoštevanju omejitev iz 12. člena Uredbe št. 1/2003 izmenjujeta informacije in jih uporabita kot dokazno sredstvo za ta namen.</w:t>
      </w:r>
    </w:p>
    <w:p w:rsidR="0020496A" w:rsidRPr="002F30DF" w:rsidRDefault="0020496A">
      <w:pPr>
        <w:pStyle w:val="Odstavek"/>
        <w:spacing w:before="0" w:line="260" w:lineRule="atLeast"/>
        <w:ind w:firstLine="0"/>
        <w:rPr>
          <w:sz w:val="20"/>
          <w:szCs w:val="20"/>
        </w:rPr>
      </w:pPr>
    </w:p>
    <w:p w:rsidR="00CA0E98" w:rsidRPr="002F30DF" w:rsidRDefault="007E10BC">
      <w:pPr>
        <w:pStyle w:val="Odstavek"/>
        <w:spacing w:before="0" w:line="260" w:lineRule="atLeast"/>
        <w:ind w:firstLine="0"/>
        <w:rPr>
          <w:sz w:val="20"/>
          <w:szCs w:val="20"/>
        </w:rPr>
      </w:pPr>
      <w:r w:rsidRPr="002F30DF">
        <w:rPr>
          <w:sz w:val="20"/>
          <w:szCs w:val="20"/>
        </w:rPr>
        <w:t xml:space="preserve">Že </w:t>
      </w:r>
      <w:r w:rsidR="002700E4" w:rsidRPr="002F30DF">
        <w:rPr>
          <w:sz w:val="20"/>
          <w:szCs w:val="20"/>
        </w:rPr>
        <w:t xml:space="preserve">trenutno veljavno </w:t>
      </w:r>
      <w:r w:rsidRPr="002F30DF">
        <w:rPr>
          <w:sz w:val="20"/>
          <w:szCs w:val="20"/>
        </w:rPr>
        <w:t>ZPOmK-1 v 35. členu ureja medsebojno pomoč pri preiskavah organov, pristojnih za varstvo konkurence, ki se na podlagi Direktive 2019/1 dopolnjuje. Pooblaščene osebe so na podlagi</w:t>
      </w:r>
      <w:r w:rsidR="00947357" w:rsidRPr="002F30DF">
        <w:rPr>
          <w:sz w:val="20"/>
          <w:szCs w:val="20"/>
        </w:rPr>
        <w:t xml:space="preserve"> prve alineje</w:t>
      </w:r>
      <w:r w:rsidRPr="002F30DF">
        <w:rPr>
          <w:sz w:val="20"/>
          <w:szCs w:val="20"/>
        </w:rPr>
        <w:t xml:space="preserve"> </w:t>
      </w:r>
      <w:r w:rsidRPr="002F30DF">
        <w:rPr>
          <w:sz w:val="20"/>
          <w:szCs w:val="20"/>
          <w:u w:val="single"/>
        </w:rPr>
        <w:t>prvega odstavka</w:t>
      </w:r>
      <w:r w:rsidRPr="002F30DF">
        <w:rPr>
          <w:sz w:val="20"/>
          <w:szCs w:val="20"/>
        </w:rPr>
        <w:t xml:space="preserve"> </w:t>
      </w:r>
      <w:r w:rsidR="00993AAB" w:rsidRPr="002F30DF">
        <w:rPr>
          <w:sz w:val="20"/>
          <w:szCs w:val="20"/>
        </w:rPr>
        <w:t xml:space="preserve">tega člena </w:t>
      </w:r>
      <w:r w:rsidRPr="002F30DF">
        <w:rPr>
          <w:sz w:val="20"/>
          <w:szCs w:val="20"/>
        </w:rPr>
        <w:t>poleg izvajanja pooblastil v imenu in za račun organa, pristojnega za varstvo konkurence druge države čl</w:t>
      </w:r>
      <w:r w:rsidR="0020496A" w:rsidRPr="002F30DF">
        <w:rPr>
          <w:sz w:val="20"/>
          <w:szCs w:val="20"/>
        </w:rPr>
        <w:t>a</w:t>
      </w:r>
      <w:r w:rsidRPr="002F30DF">
        <w:rPr>
          <w:sz w:val="20"/>
          <w:szCs w:val="20"/>
        </w:rPr>
        <w:t>nice, ali Evropske komisije pristojne tudi za posredovanje zahtev za informacije ter zbiranje informacij, kadar bo za to zaprosila Evropska komisija</w:t>
      </w:r>
      <w:r w:rsidR="00947357" w:rsidRPr="002F30DF">
        <w:rPr>
          <w:sz w:val="20"/>
          <w:szCs w:val="20"/>
        </w:rPr>
        <w:t xml:space="preserve"> ali organ, pristojen za varstvo konkurence druge države članice, ki zaprosi za mednarodno pomoč</w:t>
      </w:r>
      <w:r w:rsidRPr="002F30DF">
        <w:rPr>
          <w:sz w:val="20"/>
          <w:szCs w:val="20"/>
        </w:rPr>
        <w:t xml:space="preserve">. Na podlagi druge alineje pooblaščene osebe dejavno pomagajo uradnim osebam in drugim osebam, ki jih je Evropska komisija za izvajanje preiskav v skladu z 20. členom Uredbe 1/2003, pri čemer je obseg pooblastil pooblaščenih oseb določen v drugem odstavku 20. člena Uredbe 1/2003. Dosedanje naloge pooblaščenih oseb se dopolnjuje z nalogo, da pooblaščene osebe </w:t>
      </w:r>
      <w:r w:rsidR="0020496A" w:rsidRPr="002F30DF">
        <w:rPr>
          <w:sz w:val="20"/>
          <w:szCs w:val="20"/>
        </w:rPr>
        <w:t>a</w:t>
      </w:r>
      <w:r w:rsidRPr="002F30DF">
        <w:rPr>
          <w:sz w:val="20"/>
          <w:szCs w:val="20"/>
        </w:rPr>
        <w:t>gencije ugotavljajo, ali podjetja spoštujejo preiskovalne ukrepe in odločbe organa prosilca, izdane v postopkih, ki se nanašajo na preiskavo, zahtevo za posredovanje podatkov, zbiranje informacij, odločbo o prenehanju s krši</w:t>
      </w:r>
      <w:r w:rsidR="008D0B23" w:rsidRPr="002F30DF">
        <w:rPr>
          <w:sz w:val="20"/>
          <w:szCs w:val="20"/>
        </w:rPr>
        <w:t xml:space="preserve">tvijo, začasne ukrepe ali zaveze, kot to določa </w:t>
      </w:r>
      <w:r w:rsidR="008D0B23" w:rsidRPr="002F30DF">
        <w:rPr>
          <w:i/>
          <w:sz w:val="20"/>
          <w:szCs w:val="20"/>
        </w:rPr>
        <w:t>tretja alineja</w:t>
      </w:r>
      <w:r w:rsidRPr="002F30DF">
        <w:rPr>
          <w:sz w:val="20"/>
          <w:szCs w:val="20"/>
        </w:rPr>
        <w:t>.</w:t>
      </w:r>
      <w:r w:rsidR="00BD1F87" w:rsidRPr="002F30DF">
        <w:rPr>
          <w:sz w:val="20"/>
          <w:szCs w:val="20"/>
        </w:rPr>
        <w:t xml:space="preserve"> </w:t>
      </w:r>
      <w:r w:rsidR="008D0B23" w:rsidRPr="002F30DF">
        <w:rPr>
          <w:i/>
          <w:sz w:val="20"/>
          <w:szCs w:val="20"/>
        </w:rPr>
        <w:t>Četrta alineja</w:t>
      </w:r>
      <w:r w:rsidR="008D0B23" w:rsidRPr="002F30DF">
        <w:rPr>
          <w:sz w:val="20"/>
          <w:szCs w:val="20"/>
        </w:rPr>
        <w:t xml:space="preserve"> se nanaša na preiskovalna dejanja v postopkih pri koncentracijah, in sicer enako kot določa</w:t>
      </w:r>
      <w:r w:rsidR="002700E4" w:rsidRPr="002F30DF">
        <w:rPr>
          <w:sz w:val="20"/>
          <w:szCs w:val="20"/>
        </w:rPr>
        <w:t xml:space="preserve"> trenutno veljavni</w:t>
      </w:r>
      <w:r w:rsidR="008D0B23" w:rsidRPr="002F30DF">
        <w:rPr>
          <w:sz w:val="20"/>
          <w:szCs w:val="20"/>
        </w:rPr>
        <w:t xml:space="preserve"> drugi odstavek 48. člena ZPOmK-1 ta alineja določa, da p</w:t>
      </w:r>
      <w:r w:rsidR="00BD1F87" w:rsidRPr="002F30DF">
        <w:rPr>
          <w:sz w:val="20"/>
          <w:szCs w:val="20"/>
        </w:rPr>
        <w:t>ooblaščene osebe dejavno pomagajo uradnim osebam in drugim osebam, ki jih je Evropska komisija pooblastila za izvajanje preiskav v skladu s 13. členom Uredbe 139/2004, pri čemer je obseg pooblastil pooblaščenih oseb določen v drugem odstavku 13. člena Uredbe 139/2004.</w:t>
      </w:r>
    </w:p>
    <w:p w:rsidR="007E10BC" w:rsidRPr="002F30DF" w:rsidRDefault="007E10BC" w:rsidP="007E10BC">
      <w:pPr>
        <w:spacing w:line="260" w:lineRule="atLeast"/>
        <w:rPr>
          <w:rFonts w:cs="Arial"/>
          <w:sz w:val="20"/>
          <w:szCs w:val="20"/>
        </w:rPr>
      </w:pPr>
    </w:p>
    <w:p w:rsidR="007E10BC" w:rsidRPr="002F30DF" w:rsidRDefault="007E10BC" w:rsidP="007E10BC">
      <w:pPr>
        <w:pStyle w:val="Odstavek"/>
        <w:spacing w:before="0" w:line="260" w:lineRule="atLeast"/>
        <w:ind w:firstLine="0"/>
        <w:rPr>
          <w:sz w:val="20"/>
          <w:szCs w:val="20"/>
        </w:rPr>
      </w:pPr>
      <w:r w:rsidRPr="002F30DF">
        <w:rPr>
          <w:sz w:val="20"/>
          <w:szCs w:val="20"/>
          <w:u w:val="single"/>
        </w:rPr>
        <w:t>Drugi odstavek</w:t>
      </w:r>
      <w:r w:rsidR="0020496A" w:rsidRPr="002F30DF">
        <w:rPr>
          <w:sz w:val="20"/>
          <w:szCs w:val="20"/>
        </w:rPr>
        <w:t xml:space="preserve"> nalaga a</w:t>
      </w:r>
      <w:r w:rsidRPr="002F30DF">
        <w:rPr>
          <w:sz w:val="20"/>
          <w:szCs w:val="20"/>
        </w:rPr>
        <w:t>genciji, da omogoči uradnim osebam organa, pristojnega za varstvo konkurence druge države članice, ali Evropske komisije in drugim osebam, ki jih je ta organ pooblastil, da sodelujejo in aktivn</w:t>
      </w:r>
      <w:r w:rsidR="0020496A" w:rsidRPr="002F30DF">
        <w:rPr>
          <w:sz w:val="20"/>
          <w:szCs w:val="20"/>
        </w:rPr>
        <w:t>o pomagajo pooblaščenim osebam a</w:t>
      </w:r>
      <w:r w:rsidRPr="002F30DF">
        <w:rPr>
          <w:sz w:val="20"/>
          <w:szCs w:val="20"/>
        </w:rPr>
        <w:t xml:space="preserve">gencije pri izvajanju preiskav v skladu z 22. členom Uredbe 1/2003 ali pri zbiranju informacij. Z dodatnimi viri, znanjem in strokovnimi izkušnjami uradnih oseb organa, pristojnega za varstvo konkurence, in drugih oseb, ki jih je ta organ pooblasti, se pripomore, da so preiskave in zbiranje informacij bolj učinkoviti. </w:t>
      </w:r>
    </w:p>
    <w:p w:rsidR="007E10BC" w:rsidRPr="002F30DF" w:rsidRDefault="007E10BC" w:rsidP="007E10BC">
      <w:pPr>
        <w:spacing w:line="260" w:lineRule="atLeast"/>
        <w:rPr>
          <w:rFonts w:cs="Arial"/>
          <w:sz w:val="20"/>
          <w:szCs w:val="20"/>
        </w:rPr>
      </w:pPr>
    </w:p>
    <w:p w:rsidR="007E10BC" w:rsidRPr="002F30DF" w:rsidRDefault="007E10BC" w:rsidP="007E10BC">
      <w:pPr>
        <w:spacing w:line="260" w:lineRule="atLeast"/>
        <w:rPr>
          <w:rFonts w:cs="Arial"/>
          <w:i/>
          <w:sz w:val="20"/>
          <w:szCs w:val="20"/>
        </w:rPr>
      </w:pPr>
      <w:r w:rsidRPr="002F30DF">
        <w:rPr>
          <w:rFonts w:cs="Arial"/>
          <w:sz w:val="20"/>
          <w:szCs w:val="20"/>
          <w:u w:val="single"/>
        </w:rPr>
        <w:lastRenderedPageBreak/>
        <w:t>Tretji odstavek</w:t>
      </w:r>
      <w:r w:rsidRPr="002F30DF">
        <w:rPr>
          <w:rFonts w:cs="Arial"/>
          <w:sz w:val="20"/>
          <w:szCs w:val="20"/>
        </w:rPr>
        <w:t xml:space="preserve"> ureja pravno podlago za izmenjavo informacij med </w:t>
      </w:r>
      <w:r w:rsidR="0020496A" w:rsidRPr="002F30DF">
        <w:rPr>
          <w:rFonts w:cs="Arial"/>
          <w:sz w:val="20"/>
          <w:szCs w:val="20"/>
        </w:rPr>
        <w:t>a</w:t>
      </w:r>
      <w:r w:rsidRPr="002F30DF">
        <w:rPr>
          <w:rFonts w:cs="Arial"/>
          <w:sz w:val="20"/>
          <w:szCs w:val="20"/>
        </w:rPr>
        <w:t xml:space="preserve">gencijo in organom, pristojnim za varstvo konkurence, ki </w:t>
      </w:r>
      <w:r w:rsidR="0020496A" w:rsidRPr="002F30DF">
        <w:rPr>
          <w:rFonts w:cs="Arial"/>
          <w:sz w:val="20"/>
          <w:szCs w:val="20"/>
        </w:rPr>
        <w:t>a</w:t>
      </w:r>
      <w:r w:rsidRPr="002F30DF">
        <w:rPr>
          <w:rFonts w:cs="Arial"/>
          <w:sz w:val="20"/>
          <w:szCs w:val="20"/>
        </w:rPr>
        <w:t>gencijo</w:t>
      </w:r>
      <w:r w:rsidR="008D0B23" w:rsidRPr="002F30DF">
        <w:rPr>
          <w:rFonts w:cs="Arial"/>
          <w:sz w:val="20"/>
          <w:szCs w:val="20"/>
        </w:rPr>
        <w:t xml:space="preserve"> zaprosi</w:t>
      </w:r>
      <w:r w:rsidRPr="002F30DF">
        <w:rPr>
          <w:rFonts w:cs="Arial"/>
          <w:sz w:val="20"/>
          <w:szCs w:val="20"/>
        </w:rPr>
        <w:t xml:space="preserve"> za pomoč. Informacije, ki si jih ti organi izmenjujejo, se lahko uporabijo kot dokazno sredstvo. </w:t>
      </w:r>
      <w:r w:rsidR="008D0B23" w:rsidRPr="002F30DF">
        <w:rPr>
          <w:rFonts w:cs="Arial"/>
          <w:sz w:val="20"/>
          <w:szCs w:val="20"/>
        </w:rPr>
        <w:t xml:space="preserve">Pri tem </w:t>
      </w:r>
      <w:r w:rsidR="008143B0" w:rsidRPr="002F30DF">
        <w:rPr>
          <w:rFonts w:cs="Arial"/>
          <w:sz w:val="20"/>
          <w:szCs w:val="20"/>
        </w:rPr>
        <w:t>se</w:t>
      </w:r>
      <w:r w:rsidR="008D0B23" w:rsidRPr="002F30DF">
        <w:rPr>
          <w:rFonts w:cs="Arial"/>
          <w:sz w:val="20"/>
          <w:szCs w:val="20"/>
        </w:rPr>
        <w:t xml:space="preserve"> upošteva 12. člen Uredbe 1/2003, ki določa, da so Evropska komisija in organi, pristojni za varstvo konkurenco druge države članice, za namene uporabe 101. in 102. člena PDEU pooblaščeni, da drug drugemu priskrbijo in tudi uporabijo kot dokazno sredstvo vse dejanske in pravne okoliščine, vključno z zaupnimi podatki. Agenciji je dopuščeno, da razkrije podatke tudi pooblaščenim organom tretjih držav, vendar le če je tako določeno v mednarodnih pogodbah, ki zavezujejo Republiko Slovenijo</w:t>
      </w:r>
      <w:r w:rsidR="008143B0" w:rsidRPr="002F30DF">
        <w:rPr>
          <w:rFonts w:cs="Arial"/>
          <w:sz w:val="20"/>
          <w:szCs w:val="20"/>
        </w:rPr>
        <w:t xml:space="preserve"> (sedmi odstavek)</w:t>
      </w:r>
      <w:r w:rsidR="008D0B23" w:rsidRPr="002F30DF">
        <w:rPr>
          <w:rFonts w:cs="Arial"/>
          <w:sz w:val="20"/>
          <w:szCs w:val="20"/>
        </w:rPr>
        <w:t xml:space="preserve">. </w:t>
      </w:r>
      <w:r w:rsidRPr="002F30DF">
        <w:rPr>
          <w:rFonts w:cs="Arial"/>
          <w:sz w:val="20"/>
          <w:szCs w:val="20"/>
        </w:rPr>
        <w:t xml:space="preserve">S tem odstavkom se prenaša drugi stavek drugega odstavka 24. člena Direktive 2019/1, ki določa, da </w:t>
      </w:r>
      <w:r w:rsidRPr="002F30DF">
        <w:rPr>
          <w:rFonts w:cs="Arial"/>
          <w:i/>
          <w:sz w:val="20"/>
          <w:szCs w:val="20"/>
        </w:rPr>
        <w:t>sta nacionalni organ prosilec, pristojen za varstvo konkurence, in zaprošeni nacionalni organ, pristojen za varstvo konkurence, pooblaščena, da si ob upoštevanju omejitev iz 12. člena Uredbe (ES) št. 1/2003 izmenjujeta informacije in jih uporabita kot dokazno sredstvo za ta namen.</w:t>
      </w:r>
    </w:p>
    <w:p w:rsidR="00E615B0" w:rsidRPr="002F30DF" w:rsidRDefault="00E615B0" w:rsidP="007E10BC">
      <w:pPr>
        <w:spacing w:line="260" w:lineRule="atLeast"/>
        <w:rPr>
          <w:rFonts w:cs="Arial"/>
          <w:i/>
          <w:sz w:val="20"/>
          <w:szCs w:val="20"/>
        </w:rPr>
      </w:pPr>
    </w:p>
    <w:p w:rsidR="007E10BC" w:rsidRPr="002F30DF" w:rsidRDefault="007E10BC" w:rsidP="007E10BC">
      <w:pPr>
        <w:spacing w:line="260" w:lineRule="atLeast"/>
        <w:rPr>
          <w:rFonts w:cs="Arial"/>
          <w:sz w:val="20"/>
          <w:szCs w:val="20"/>
        </w:rPr>
      </w:pPr>
      <w:r w:rsidRPr="002F30DF">
        <w:rPr>
          <w:rFonts w:cs="Arial"/>
          <w:sz w:val="20"/>
          <w:szCs w:val="20"/>
        </w:rPr>
        <w:t xml:space="preserve">S </w:t>
      </w:r>
      <w:r w:rsidRPr="002F30DF">
        <w:rPr>
          <w:rFonts w:cs="Arial"/>
          <w:sz w:val="20"/>
          <w:szCs w:val="20"/>
          <w:u w:val="single"/>
        </w:rPr>
        <w:t>četrtim odstavkom</w:t>
      </w:r>
      <w:r w:rsidRPr="002F30DF">
        <w:rPr>
          <w:rFonts w:cs="Arial"/>
          <w:sz w:val="20"/>
          <w:szCs w:val="20"/>
        </w:rPr>
        <w:t xml:space="preserve"> se pooblaščenim osebam, uradnim osebam organa, pristojnega za varstvo konkurence druge države članice, ali Evropske komisije in drugim osebam, ki jih je ta organ pooblastil, da sodelujejo in aktivn</w:t>
      </w:r>
      <w:r w:rsidR="0020496A" w:rsidRPr="002F30DF">
        <w:rPr>
          <w:rFonts w:cs="Arial"/>
          <w:sz w:val="20"/>
          <w:szCs w:val="20"/>
        </w:rPr>
        <w:t>o pomagajo pooblaščenim osebam a</w:t>
      </w:r>
      <w:r w:rsidRPr="002F30DF">
        <w:rPr>
          <w:rFonts w:cs="Arial"/>
          <w:sz w:val="20"/>
          <w:szCs w:val="20"/>
        </w:rPr>
        <w:t>gencije pri izvajanju preiskav, zagotovi pomoč policije.</w:t>
      </w:r>
    </w:p>
    <w:p w:rsidR="0020496A" w:rsidRPr="002F30DF" w:rsidRDefault="0020496A" w:rsidP="0020496A">
      <w:pPr>
        <w:shd w:val="clear" w:color="auto" w:fill="FFFFFF" w:themeFill="background1"/>
        <w:spacing w:line="260" w:lineRule="atLeast"/>
        <w:rPr>
          <w:rFonts w:cs="Arial"/>
          <w:sz w:val="20"/>
          <w:szCs w:val="20"/>
        </w:rPr>
      </w:pPr>
    </w:p>
    <w:p w:rsidR="0020496A" w:rsidRPr="002F30DF" w:rsidRDefault="0020496A" w:rsidP="0020496A">
      <w:pPr>
        <w:shd w:val="clear" w:color="auto" w:fill="FFFFFF" w:themeFill="background1"/>
        <w:spacing w:line="260" w:lineRule="atLeast"/>
        <w:rPr>
          <w:rFonts w:cs="Arial"/>
          <w:i/>
          <w:sz w:val="20"/>
          <w:szCs w:val="20"/>
        </w:rPr>
      </w:pPr>
      <w:r w:rsidRPr="002F30DF">
        <w:rPr>
          <w:rFonts w:cs="Arial"/>
          <w:sz w:val="20"/>
          <w:szCs w:val="20"/>
        </w:rPr>
        <w:t xml:space="preserve">Razkritje podatkov iz </w:t>
      </w:r>
      <w:r w:rsidR="007D14FB" w:rsidRPr="002F30DF">
        <w:rPr>
          <w:rFonts w:cs="Arial"/>
          <w:sz w:val="20"/>
          <w:szCs w:val="20"/>
        </w:rPr>
        <w:t xml:space="preserve">izjav </w:t>
      </w:r>
      <w:r w:rsidRPr="002F30DF">
        <w:rPr>
          <w:rFonts w:cs="Arial"/>
          <w:sz w:val="20"/>
          <w:szCs w:val="20"/>
        </w:rPr>
        <w:t>za</w:t>
      </w:r>
      <w:r w:rsidR="007D14FB" w:rsidRPr="002F30DF">
        <w:rPr>
          <w:rFonts w:cs="Arial"/>
          <w:sz w:val="20"/>
          <w:szCs w:val="20"/>
        </w:rPr>
        <w:t>radi</w:t>
      </w:r>
      <w:r w:rsidRPr="002F30DF">
        <w:rPr>
          <w:rFonts w:cs="Arial"/>
          <w:sz w:val="20"/>
          <w:szCs w:val="20"/>
        </w:rPr>
        <w:t xml:space="preserve"> prizanesljivost</w:t>
      </w:r>
      <w:r w:rsidR="007D14FB" w:rsidRPr="002F30DF">
        <w:rPr>
          <w:rFonts w:cs="Arial"/>
          <w:sz w:val="20"/>
          <w:szCs w:val="20"/>
        </w:rPr>
        <w:t>i</w:t>
      </w:r>
      <w:r w:rsidRPr="002F30DF">
        <w:rPr>
          <w:rFonts w:cs="Arial"/>
          <w:sz w:val="20"/>
          <w:szCs w:val="20"/>
        </w:rPr>
        <w:t xml:space="preserve"> je zelo občutljivo in lahko negativno vpliva na vlagatelje </w:t>
      </w:r>
      <w:r w:rsidR="007D14FB" w:rsidRPr="002F30DF">
        <w:rPr>
          <w:rFonts w:cs="Arial"/>
          <w:sz w:val="20"/>
          <w:szCs w:val="20"/>
        </w:rPr>
        <w:t xml:space="preserve">izjav </w:t>
      </w:r>
      <w:r w:rsidRPr="002F30DF">
        <w:rPr>
          <w:rFonts w:cs="Arial"/>
          <w:sz w:val="20"/>
          <w:szCs w:val="20"/>
        </w:rPr>
        <w:t>za</w:t>
      </w:r>
      <w:r w:rsidR="007D14FB" w:rsidRPr="002F30DF">
        <w:rPr>
          <w:rFonts w:cs="Arial"/>
          <w:sz w:val="20"/>
          <w:szCs w:val="20"/>
        </w:rPr>
        <w:t>radi</w:t>
      </w:r>
      <w:r w:rsidRPr="002F30DF">
        <w:rPr>
          <w:rFonts w:cs="Arial"/>
          <w:sz w:val="20"/>
          <w:szCs w:val="20"/>
        </w:rPr>
        <w:t xml:space="preserve"> prizanesljivost</w:t>
      </w:r>
      <w:r w:rsidR="007D14FB" w:rsidRPr="002F30DF">
        <w:rPr>
          <w:rFonts w:cs="Arial"/>
          <w:sz w:val="20"/>
          <w:szCs w:val="20"/>
        </w:rPr>
        <w:t>i</w:t>
      </w:r>
      <w:r w:rsidRPr="002F30DF">
        <w:rPr>
          <w:rFonts w:cs="Arial"/>
          <w:sz w:val="20"/>
          <w:szCs w:val="20"/>
        </w:rPr>
        <w:t xml:space="preserve">. To izpostavlja tudi Direktiva 2019/1, ki v 72. uvodni </w:t>
      </w:r>
      <w:r w:rsidR="00721AA6" w:rsidRPr="002F30DF">
        <w:rPr>
          <w:rFonts w:cs="Arial"/>
          <w:sz w:val="20"/>
          <w:szCs w:val="20"/>
        </w:rPr>
        <w:t>izjavi</w:t>
      </w:r>
      <w:r w:rsidRPr="002F30DF">
        <w:rPr>
          <w:rFonts w:cs="Arial"/>
          <w:sz w:val="20"/>
          <w:szCs w:val="20"/>
        </w:rPr>
        <w:t xml:space="preserve"> navaja, da </w:t>
      </w:r>
      <w:r w:rsidRPr="002F30DF">
        <w:rPr>
          <w:rFonts w:cs="Arial"/>
          <w:i/>
          <w:sz w:val="20"/>
          <w:szCs w:val="20"/>
        </w:rPr>
        <w:t>tveganje razkritja samoobdolžitvenega materiala zunaj okvira preiskave, za namen katere je bil predložen, bi lahko zmanjšalo interes morebitnih prijaviteljev za prizanesljivost, da bi sodelovali z organi, pristojnimi za varstvo konkurence. Posledično bi se ne glede na obliko, v kateri so predložene izjave za prizanesljivost, informacije v izjavah za prizanesljivost, ki so bile pridobljene z dostopom do spisa, morale uporabiti le, če je to potrebno za uveljavljanje pravic obrambe v postopku pred nacionalnimi sodišči v nekaterih zelo omejenih primerih, ki so neposredno povezani z zadevo, za katero je bil odobren dostop. To organom, pristojnim za varstvo konkurenco, ne bi smelo preprečiti, da bi objavili svoje odločbe v skladu z veljavnim pravom Unije ali nacionalnim pravom.</w:t>
      </w:r>
      <w:r w:rsidRPr="002F30DF">
        <w:rPr>
          <w:rFonts w:cs="Arial"/>
          <w:sz w:val="20"/>
          <w:szCs w:val="20"/>
        </w:rPr>
        <w:t xml:space="preserve"> S tem namenom šesti odstavek 31. člena Direktive 2019/1 nalaga državam članicam, da </w:t>
      </w:r>
      <w:r w:rsidRPr="002F30DF">
        <w:rPr>
          <w:rFonts w:cs="Arial"/>
          <w:i/>
          <w:sz w:val="20"/>
          <w:szCs w:val="20"/>
        </w:rPr>
        <w:t xml:space="preserve">se izjave za prizanesljivost med nacionalnimi organi, pristojnimi za konkurenco, izmenjajo v skladu </w:t>
      </w:r>
      <w:r w:rsidR="002700E4" w:rsidRPr="002F30DF">
        <w:rPr>
          <w:rFonts w:cs="Arial"/>
          <w:i/>
          <w:sz w:val="20"/>
          <w:szCs w:val="20"/>
        </w:rPr>
        <w:t xml:space="preserve">z </w:t>
      </w:r>
      <w:r w:rsidRPr="002F30DF">
        <w:rPr>
          <w:rFonts w:cs="Arial"/>
          <w:i/>
          <w:sz w:val="20"/>
          <w:szCs w:val="20"/>
        </w:rPr>
        <w:t>12. členom Uredbe (ES) št. 1/2003 samo:</w:t>
      </w:r>
    </w:p>
    <w:p w:rsidR="0020496A" w:rsidRPr="002F30DF" w:rsidRDefault="0020496A" w:rsidP="0020496A">
      <w:pPr>
        <w:shd w:val="clear" w:color="auto" w:fill="FFFFFF" w:themeFill="background1"/>
        <w:spacing w:line="260" w:lineRule="atLeast"/>
        <w:rPr>
          <w:rFonts w:cs="Arial"/>
          <w:i/>
          <w:sz w:val="20"/>
          <w:szCs w:val="20"/>
        </w:rPr>
      </w:pPr>
      <w:r w:rsidRPr="002F30DF">
        <w:rPr>
          <w:rFonts w:cs="Arial"/>
          <w:i/>
          <w:sz w:val="20"/>
          <w:szCs w:val="20"/>
        </w:rPr>
        <w:t>(a) s soglasjem prijavitelja ali</w:t>
      </w:r>
    </w:p>
    <w:p w:rsidR="0020496A" w:rsidRPr="002F30DF" w:rsidRDefault="0020496A" w:rsidP="0020496A">
      <w:pPr>
        <w:shd w:val="clear" w:color="auto" w:fill="FFFFFF" w:themeFill="background1"/>
        <w:spacing w:line="260" w:lineRule="atLeast"/>
        <w:rPr>
          <w:rFonts w:cs="Arial"/>
          <w:i/>
          <w:sz w:val="20"/>
          <w:szCs w:val="20"/>
        </w:rPr>
      </w:pPr>
      <w:r w:rsidRPr="002F30DF">
        <w:rPr>
          <w:rFonts w:cs="Arial"/>
          <w:i/>
          <w:sz w:val="20"/>
          <w:szCs w:val="20"/>
        </w:rPr>
        <w:lastRenderedPageBreak/>
        <w:t>(b) kadar je nacionalni organ, pristojen za konkurenco, ki je prejel izjavo za prizanesljivost, prav tako prejel prijavo za prizanesljivost glede iste kršitve od istega prijavitelja, kot jo je prejel nacionalni organ, pristojen za konkurenco, ki pošilja izjavo za prizanesljivost, pod pogojem, da v času pošiljanja izjave za prizanesljivost prijavitelj ne more umakniti informacij, ki jih je predložil nacionalnemu organu, pristojnemu za konkurenco, ki je prejel izjavo za prizanesljivost.</w:t>
      </w:r>
    </w:p>
    <w:p w:rsidR="0020496A" w:rsidRPr="002F30DF" w:rsidRDefault="0020496A" w:rsidP="0020496A">
      <w:pPr>
        <w:spacing w:line="260" w:lineRule="atLeast"/>
        <w:rPr>
          <w:rFonts w:cs="Arial"/>
          <w:sz w:val="20"/>
          <w:szCs w:val="20"/>
        </w:rPr>
      </w:pPr>
    </w:p>
    <w:p w:rsidR="007E10BC" w:rsidRPr="002F30DF" w:rsidRDefault="0020496A" w:rsidP="0020496A">
      <w:pPr>
        <w:spacing w:line="260" w:lineRule="atLeast"/>
        <w:rPr>
          <w:rFonts w:cs="Arial"/>
          <w:sz w:val="20"/>
          <w:szCs w:val="20"/>
        </w:rPr>
      </w:pPr>
      <w:r w:rsidRPr="002F30DF">
        <w:rPr>
          <w:rFonts w:cs="Arial"/>
          <w:sz w:val="20"/>
          <w:szCs w:val="20"/>
        </w:rPr>
        <w:t xml:space="preserve">Na podlagi navedenega se </w:t>
      </w:r>
      <w:r w:rsidRPr="002F30DF">
        <w:rPr>
          <w:rFonts w:cs="Arial"/>
          <w:sz w:val="20"/>
          <w:szCs w:val="20"/>
          <w:u w:val="single"/>
        </w:rPr>
        <w:t>v petem odstavku</w:t>
      </w:r>
      <w:r w:rsidRPr="002F30DF">
        <w:rPr>
          <w:rFonts w:cs="Arial"/>
          <w:sz w:val="20"/>
          <w:szCs w:val="20"/>
        </w:rPr>
        <w:t xml:space="preserve"> tega člena ureja izjem</w:t>
      </w:r>
      <w:r w:rsidR="00926B3A" w:rsidRPr="002F30DF">
        <w:rPr>
          <w:rFonts w:cs="Arial"/>
          <w:sz w:val="20"/>
          <w:szCs w:val="20"/>
        </w:rPr>
        <w:t>a</w:t>
      </w:r>
      <w:r w:rsidRPr="002F30DF">
        <w:rPr>
          <w:rFonts w:cs="Arial"/>
          <w:sz w:val="20"/>
          <w:szCs w:val="20"/>
        </w:rPr>
        <w:t xml:space="preserve"> glede razkritja podatkov iz </w:t>
      </w:r>
      <w:r w:rsidR="007D14FB" w:rsidRPr="002F30DF">
        <w:rPr>
          <w:rFonts w:cs="Arial"/>
          <w:sz w:val="20"/>
          <w:szCs w:val="20"/>
        </w:rPr>
        <w:t xml:space="preserve">izjave </w:t>
      </w:r>
      <w:r w:rsidRPr="002F30DF">
        <w:rPr>
          <w:rFonts w:cs="Arial"/>
          <w:sz w:val="20"/>
          <w:szCs w:val="20"/>
        </w:rPr>
        <w:t>za</w:t>
      </w:r>
      <w:r w:rsidR="007D14FB" w:rsidRPr="002F30DF">
        <w:rPr>
          <w:rFonts w:cs="Arial"/>
          <w:sz w:val="20"/>
          <w:szCs w:val="20"/>
        </w:rPr>
        <w:t>radi</w:t>
      </w:r>
      <w:r w:rsidRPr="002F30DF">
        <w:rPr>
          <w:rFonts w:cs="Arial"/>
          <w:sz w:val="20"/>
          <w:szCs w:val="20"/>
        </w:rPr>
        <w:t xml:space="preserve"> prizanesljivost</w:t>
      </w:r>
      <w:r w:rsidR="007D14FB" w:rsidRPr="002F30DF">
        <w:rPr>
          <w:rFonts w:cs="Arial"/>
          <w:sz w:val="20"/>
          <w:szCs w:val="20"/>
        </w:rPr>
        <w:t>i</w:t>
      </w:r>
      <w:r w:rsidRPr="002F30DF">
        <w:rPr>
          <w:rFonts w:cs="Arial"/>
          <w:sz w:val="20"/>
          <w:szCs w:val="20"/>
        </w:rPr>
        <w:t xml:space="preserve">. Agencija lahko posreduje </w:t>
      </w:r>
      <w:r w:rsidR="007D14FB" w:rsidRPr="002F30DF">
        <w:rPr>
          <w:rFonts w:cs="Arial"/>
          <w:sz w:val="20"/>
          <w:szCs w:val="20"/>
        </w:rPr>
        <w:t xml:space="preserve">izjavo </w:t>
      </w:r>
      <w:r w:rsidRPr="002F30DF">
        <w:rPr>
          <w:rFonts w:cs="Arial"/>
          <w:sz w:val="20"/>
          <w:szCs w:val="20"/>
        </w:rPr>
        <w:t>za</w:t>
      </w:r>
      <w:r w:rsidR="007D14FB" w:rsidRPr="002F30DF">
        <w:rPr>
          <w:rFonts w:cs="Arial"/>
          <w:sz w:val="20"/>
          <w:szCs w:val="20"/>
        </w:rPr>
        <w:t>radi</w:t>
      </w:r>
      <w:r w:rsidRPr="002F30DF">
        <w:rPr>
          <w:rFonts w:cs="Arial"/>
          <w:sz w:val="20"/>
          <w:szCs w:val="20"/>
        </w:rPr>
        <w:t xml:space="preserve"> prizanesljivost</w:t>
      </w:r>
      <w:r w:rsidR="007D14FB" w:rsidRPr="002F30DF">
        <w:rPr>
          <w:rFonts w:cs="Arial"/>
          <w:sz w:val="20"/>
          <w:szCs w:val="20"/>
        </w:rPr>
        <w:t>i</w:t>
      </w:r>
      <w:r w:rsidRPr="002F30DF">
        <w:rPr>
          <w:rFonts w:cs="Arial"/>
          <w:sz w:val="20"/>
          <w:szCs w:val="20"/>
        </w:rPr>
        <w:t xml:space="preserve"> Evropski Komisiji in organom, pristojnim za varstvo konkurence druge države članice, le na podlagi soglasja vlagatelja ali kadar sta agencija in Evropska komisija ali organ, pristojen za varstvo konkurence druge države članice, od istega vlagatelja prejela </w:t>
      </w:r>
      <w:r w:rsidR="007D14FB" w:rsidRPr="002F30DF">
        <w:rPr>
          <w:rFonts w:cs="Arial"/>
          <w:sz w:val="20"/>
          <w:szCs w:val="20"/>
        </w:rPr>
        <w:t xml:space="preserve">izjavo </w:t>
      </w:r>
      <w:r w:rsidRPr="002F30DF">
        <w:rPr>
          <w:rFonts w:cs="Arial"/>
          <w:sz w:val="20"/>
          <w:szCs w:val="20"/>
        </w:rPr>
        <w:t>za</w:t>
      </w:r>
      <w:r w:rsidR="007D14FB" w:rsidRPr="002F30DF">
        <w:rPr>
          <w:rFonts w:cs="Arial"/>
          <w:sz w:val="20"/>
          <w:szCs w:val="20"/>
        </w:rPr>
        <w:t>radi</w:t>
      </w:r>
      <w:r w:rsidRPr="002F30DF">
        <w:rPr>
          <w:rFonts w:cs="Arial"/>
          <w:sz w:val="20"/>
          <w:szCs w:val="20"/>
        </w:rPr>
        <w:t xml:space="preserve"> prizanesljivost</w:t>
      </w:r>
      <w:r w:rsidR="007D14FB" w:rsidRPr="002F30DF">
        <w:rPr>
          <w:rFonts w:cs="Arial"/>
          <w:sz w:val="20"/>
          <w:szCs w:val="20"/>
        </w:rPr>
        <w:t>i</w:t>
      </w:r>
      <w:r w:rsidRPr="002F30DF">
        <w:rPr>
          <w:rFonts w:cs="Arial"/>
          <w:sz w:val="20"/>
          <w:szCs w:val="20"/>
        </w:rPr>
        <w:t xml:space="preserve">, ki se nanaša na isto domnevno kršitev, pod pogojem, da v času pošiljanja </w:t>
      </w:r>
      <w:r w:rsidR="007D14FB" w:rsidRPr="002F30DF">
        <w:rPr>
          <w:rFonts w:cs="Arial"/>
          <w:sz w:val="20"/>
          <w:szCs w:val="20"/>
        </w:rPr>
        <w:t>izjavo</w:t>
      </w:r>
      <w:r w:rsidRPr="002F30DF">
        <w:rPr>
          <w:rFonts w:cs="Arial"/>
          <w:sz w:val="20"/>
          <w:szCs w:val="20"/>
        </w:rPr>
        <w:t xml:space="preserve"> za</w:t>
      </w:r>
      <w:r w:rsidR="007D14FB" w:rsidRPr="002F30DF">
        <w:rPr>
          <w:rFonts w:cs="Arial"/>
          <w:sz w:val="20"/>
          <w:szCs w:val="20"/>
        </w:rPr>
        <w:t>radi</w:t>
      </w:r>
      <w:r w:rsidRPr="002F30DF">
        <w:rPr>
          <w:rFonts w:cs="Arial"/>
          <w:sz w:val="20"/>
          <w:szCs w:val="20"/>
        </w:rPr>
        <w:t xml:space="preserve"> prizanesljivost</w:t>
      </w:r>
      <w:r w:rsidR="007D14FB" w:rsidRPr="002F30DF">
        <w:rPr>
          <w:rFonts w:cs="Arial"/>
          <w:sz w:val="20"/>
          <w:szCs w:val="20"/>
        </w:rPr>
        <w:t>i</w:t>
      </w:r>
      <w:r w:rsidRPr="002F30DF">
        <w:rPr>
          <w:rFonts w:cs="Arial"/>
          <w:sz w:val="20"/>
          <w:szCs w:val="20"/>
        </w:rPr>
        <w:t xml:space="preserve"> prijavitelj ne more umakniti informacij, ki jih je predložil </w:t>
      </w:r>
      <w:r w:rsidR="008125C3" w:rsidRPr="002F30DF">
        <w:rPr>
          <w:rFonts w:cs="Arial"/>
          <w:sz w:val="20"/>
          <w:szCs w:val="20"/>
        </w:rPr>
        <w:t>organu, pristojnemu za varstvo konkurence druge države članice ali Evropski komisiji</w:t>
      </w:r>
      <w:r w:rsidRPr="002F30DF">
        <w:rPr>
          <w:rFonts w:cs="Arial"/>
          <w:sz w:val="20"/>
          <w:szCs w:val="20"/>
        </w:rPr>
        <w:t>.</w:t>
      </w:r>
    </w:p>
    <w:p w:rsidR="0020496A" w:rsidRPr="002F30DF" w:rsidRDefault="0020496A" w:rsidP="0020496A">
      <w:pPr>
        <w:spacing w:line="260" w:lineRule="atLeast"/>
        <w:rPr>
          <w:rFonts w:cs="Arial"/>
          <w:sz w:val="20"/>
          <w:szCs w:val="20"/>
        </w:rPr>
      </w:pPr>
    </w:p>
    <w:p w:rsidR="0020496A" w:rsidRPr="002F30DF" w:rsidRDefault="0020496A" w:rsidP="0020496A">
      <w:pPr>
        <w:spacing w:line="260" w:lineRule="atLeast"/>
        <w:rPr>
          <w:rFonts w:cs="Arial"/>
          <w:sz w:val="20"/>
          <w:szCs w:val="20"/>
        </w:rPr>
      </w:pPr>
      <w:r w:rsidRPr="002F30DF">
        <w:rPr>
          <w:rFonts w:cs="Arial"/>
          <w:sz w:val="20"/>
          <w:szCs w:val="20"/>
        </w:rPr>
        <w:t>Ker je namen učinkovitega izvrševanja pravil konkurence tudi odvračilni učinek, je treba zagotoviti, da podjetje plača izrečeno administrativno sankcijo. Če podjetje tega ne stor</w:t>
      </w:r>
      <w:r w:rsidR="00B4728B" w:rsidRPr="002F30DF">
        <w:rPr>
          <w:rFonts w:cs="Arial"/>
          <w:sz w:val="20"/>
          <w:szCs w:val="20"/>
        </w:rPr>
        <w:t>i prostovoljno, a</w:t>
      </w:r>
      <w:r w:rsidRPr="002F30DF">
        <w:rPr>
          <w:rFonts w:cs="Arial"/>
          <w:sz w:val="20"/>
          <w:szCs w:val="20"/>
        </w:rPr>
        <w:t xml:space="preserve">gencija predlaga pristojnemu organu prisilno izterjavo. </w:t>
      </w:r>
      <w:r w:rsidR="008143B0" w:rsidRPr="002F30DF">
        <w:rPr>
          <w:rFonts w:cs="Arial"/>
          <w:sz w:val="20"/>
          <w:szCs w:val="20"/>
        </w:rPr>
        <w:t xml:space="preserve">Ker ima lahko podjetje sredstva v tujini se v </w:t>
      </w:r>
      <w:r w:rsidR="00B4728B" w:rsidRPr="002F30DF">
        <w:rPr>
          <w:rFonts w:cs="Arial"/>
          <w:sz w:val="20"/>
          <w:szCs w:val="20"/>
          <w:u w:val="single"/>
        </w:rPr>
        <w:t>šestem</w:t>
      </w:r>
      <w:r w:rsidRPr="002F30DF">
        <w:rPr>
          <w:rFonts w:cs="Arial"/>
          <w:sz w:val="20"/>
          <w:szCs w:val="20"/>
          <w:u w:val="single"/>
        </w:rPr>
        <w:t xml:space="preserve"> odstavku</w:t>
      </w:r>
      <w:r w:rsidR="00B4728B" w:rsidRPr="002F30DF">
        <w:rPr>
          <w:rFonts w:cs="Arial"/>
          <w:sz w:val="20"/>
          <w:szCs w:val="20"/>
        </w:rPr>
        <w:t xml:space="preserve"> določi, da a</w:t>
      </w:r>
      <w:r w:rsidRPr="002F30DF">
        <w:rPr>
          <w:rFonts w:cs="Arial"/>
          <w:sz w:val="20"/>
          <w:szCs w:val="20"/>
        </w:rPr>
        <w:t xml:space="preserve">gencija razkrije pristojnemu organu </w:t>
      </w:r>
      <w:r w:rsidR="00323B32" w:rsidRPr="002F30DF">
        <w:rPr>
          <w:rFonts w:cs="Arial"/>
          <w:sz w:val="20"/>
          <w:szCs w:val="20"/>
        </w:rPr>
        <w:t xml:space="preserve">za varstvo konkurence drugih držav članic </w:t>
      </w:r>
      <w:r w:rsidRPr="002F30DF">
        <w:rPr>
          <w:rFonts w:cs="Arial"/>
          <w:sz w:val="20"/>
          <w:szCs w:val="20"/>
        </w:rPr>
        <w:t xml:space="preserve">podatke, ki so potrebni, da se lahko opravi izvršba. </w:t>
      </w:r>
    </w:p>
    <w:p w:rsidR="0020496A" w:rsidRPr="002F30DF" w:rsidRDefault="0020496A" w:rsidP="0020496A">
      <w:pPr>
        <w:spacing w:line="260" w:lineRule="atLeast"/>
        <w:rPr>
          <w:rFonts w:cs="Arial"/>
          <w:sz w:val="20"/>
          <w:szCs w:val="20"/>
        </w:rPr>
      </w:pPr>
    </w:p>
    <w:p w:rsidR="007522E3" w:rsidRPr="002F30DF" w:rsidRDefault="00305E82" w:rsidP="0025166A">
      <w:pPr>
        <w:spacing w:line="260" w:lineRule="atLeast"/>
        <w:rPr>
          <w:rFonts w:cs="Arial"/>
          <w:sz w:val="20"/>
          <w:szCs w:val="20"/>
        </w:rPr>
      </w:pPr>
      <w:r w:rsidRPr="002F30DF">
        <w:rPr>
          <w:rFonts w:cs="Arial"/>
          <w:sz w:val="20"/>
          <w:szCs w:val="20"/>
        </w:rPr>
        <w:t xml:space="preserve">Enako kot </w:t>
      </w:r>
      <w:r w:rsidR="002700E4" w:rsidRPr="002F30DF">
        <w:rPr>
          <w:rFonts w:cs="Arial"/>
          <w:sz w:val="20"/>
          <w:szCs w:val="20"/>
        </w:rPr>
        <w:t xml:space="preserve">že </w:t>
      </w:r>
      <w:r w:rsidRPr="002F30DF">
        <w:rPr>
          <w:rFonts w:cs="Arial"/>
          <w:sz w:val="20"/>
          <w:szCs w:val="20"/>
        </w:rPr>
        <w:t>ureja</w:t>
      </w:r>
      <w:r w:rsidR="002700E4" w:rsidRPr="002F30DF">
        <w:rPr>
          <w:rFonts w:cs="Arial"/>
          <w:sz w:val="20"/>
          <w:szCs w:val="20"/>
        </w:rPr>
        <w:t xml:space="preserve"> trenutno veljavni</w:t>
      </w:r>
      <w:r w:rsidRPr="002F30DF">
        <w:rPr>
          <w:rFonts w:cs="Arial"/>
          <w:sz w:val="20"/>
          <w:szCs w:val="20"/>
        </w:rPr>
        <w:t xml:space="preserve"> ZPOmK-1 v 2. točki drugega odstavka 13. člena je v</w:t>
      </w:r>
      <w:r w:rsidR="009C0E82" w:rsidRPr="002F30DF">
        <w:rPr>
          <w:rFonts w:cs="Arial"/>
          <w:sz w:val="20"/>
          <w:szCs w:val="20"/>
        </w:rPr>
        <w:t xml:space="preserve"> </w:t>
      </w:r>
      <w:r w:rsidR="00B4728B" w:rsidRPr="002F30DF">
        <w:rPr>
          <w:rFonts w:cs="Arial"/>
          <w:sz w:val="20"/>
          <w:szCs w:val="20"/>
          <w:u w:val="single"/>
        </w:rPr>
        <w:t>sedm</w:t>
      </w:r>
      <w:r w:rsidRPr="002F30DF">
        <w:rPr>
          <w:rFonts w:cs="Arial"/>
          <w:sz w:val="20"/>
          <w:szCs w:val="20"/>
          <w:u w:val="single"/>
        </w:rPr>
        <w:t>e</w:t>
      </w:r>
      <w:r w:rsidR="00B4728B" w:rsidRPr="002F30DF">
        <w:rPr>
          <w:rFonts w:cs="Arial"/>
          <w:sz w:val="20"/>
          <w:szCs w:val="20"/>
          <w:u w:val="single"/>
        </w:rPr>
        <w:t>m</w:t>
      </w:r>
      <w:r w:rsidR="005F149E" w:rsidRPr="002F30DF">
        <w:rPr>
          <w:rFonts w:cs="Arial"/>
          <w:sz w:val="20"/>
          <w:szCs w:val="20"/>
          <w:u w:val="single"/>
        </w:rPr>
        <w:t xml:space="preserve"> odstavk</w:t>
      </w:r>
      <w:r w:rsidRPr="002F30DF">
        <w:rPr>
          <w:rFonts w:cs="Arial"/>
          <w:sz w:val="20"/>
          <w:szCs w:val="20"/>
          <w:u w:val="single"/>
        </w:rPr>
        <w:t>u</w:t>
      </w:r>
      <w:r w:rsidR="005F149E" w:rsidRPr="002F30DF">
        <w:rPr>
          <w:rFonts w:cs="Arial"/>
          <w:sz w:val="20"/>
          <w:szCs w:val="20"/>
        </w:rPr>
        <w:t xml:space="preserve"> določeno, da se ta člen uporablja tudi za medsebojno pomoč pooblaščenim organom držav</w:t>
      </w:r>
      <w:r w:rsidRPr="002F30DF">
        <w:rPr>
          <w:rFonts w:cs="Arial"/>
          <w:sz w:val="20"/>
          <w:szCs w:val="20"/>
        </w:rPr>
        <w:t>, ki niso članice Evropske unije</w:t>
      </w:r>
      <w:r w:rsidR="005F149E" w:rsidRPr="002F30DF">
        <w:rPr>
          <w:rFonts w:cs="Arial"/>
          <w:sz w:val="20"/>
          <w:szCs w:val="20"/>
        </w:rPr>
        <w:t>, če je tako določeno v mednarodnih pogodbah, ki zavezujejo Republiko Slovenijo.</w:t>
      </w:r>
      <w:r w:rsidR="007522E3" w:rsidRPr="002F30DF">
        <w:rPr>
          <w:rFonts w:cs="Arial"/>
          <w:sz w:val="20"/>
          <w:szCs w:val="20"/>
        </w:rPr>
        <w:t xml:space="preserve"> </w:t>
      </w:r>
    </w:p>
    <w:p w:rsidR="007522E3" w:rsidRPr="002F30DF" w:rsidRDefault="007522E3" w:rsidP="0025166A">
      <w:pPr>
        <w:spacing w:line="260" w:lineRule="atLeast"/>
        <w:rPr>
          <w:rFonts w:cs="Arial"/>
          <w:b/>
          <w:sz w:val="20"/>
          <w:szCs w:val="20"/>
        </w:rPr>
      </w:pPr>
    </w:p>
    <w:p w:rsidR="007522E3" w:rsidRPr="002F30DF" w:rsidRDefault="007522E3" w:rsidP="0025166A">
      <w:pPr>
        <w:suppressAutoHyphens/>
        <w:spacing w:line="260" w:lineRule="atLeast"/>
        <w:rPr>
          <w:rFonts w:cs="Arial"/>
          <w:b/>
          <w:sz w:val="20"/>
          <w:szCs w:val="20"/>
        </w:rPr>
      </w:pPr>
      <w:r w:rsidRPr="002F30DF">
        <w:rPr>
          <w:rFonts w:cs="Arial"/>
          <w:b/>
          <w:sz w:val="20"/>
          <w:szCs w:val="20"/>
        </w:rPr>
        <w:t xml:space="preserve">K </w:t>
      </w:r>
      <w:r w:rsidR="005122E7" w:rsidRPr="002F30DF">
        <w:rPr>
          <w:rFonts w:cs="Arial"/>
          <w:b/>
          <w:sz w:val="20"/>
          <w:szCs w:val="20"/>
        </w:rPr>
        <w:t>99</w:t>
      </w:r>
      <w:r w:rsidRPr="002F30DF">
        <w:rPr>
          <w:rFonts w:cs="Arial"/>
          <w:b/>
          <w:sz w:val="20"/>
          <w:szCs w:val="20"/>
        </w:rPr>
        <w:t xml:space="preserve">. členu (vročitev in izvršitev aktov </w:t>
      </w:r>
      <w:r w:rsidR="00497B33" w:rsidRPr="002F30DF">
        <w:rPr>
          <w:rFonts w:cs="Arial"/>
          <w:b/>
          <w:sz w:val="20"/>
          <w:szCs w:val="20"/>
        </w:rPr>
        <w:t>a</w:t>
      </w:r>
      <w:r w:rsidR="0045309B" w:rsidRPr="002F30DF">
        <w:rPr>
          <w:rFonts w:cs="Arial"/>
          <w:b/>
          <w:sz w:val="20"/>
          <w:szCs w:val="20"/>
        </w:rPr>
        <w:t>genc</w:t>
      </w:r>
      <w:r w:rsidRPr="002F30DF">
        <w:rPr>
          <w:rFonts w:cs="Arial"/>
          <w:b/>
          <w:sz w:val="20"/>
          <w:szCs w:val="20"/>
        </w:rPr>
        <w:t>ije zoper podjetje, ki ima sedež ali premoženje v drugi državi članici)</w:t>
      </w:r>
    </w:p>
    <w:p w:rsidR="007522E3" w:rsidRPr="002F30DF" w:rsidRDefault="007522E3" w:rsidP="0025166A">
      <w:pPr>
        <w:spacing w:line="260" w:lineRule="atLeast"/>
        <w:rPr>
          <w:rFonts w:cs="Arial"/>
          <w:b/>
          <w:sz w:val="20"/>
          <w:szCs w:val="20"/>
        </w:rPr>
      </w:pPr>
    </w:p>
    <w:p w:rsidR="001A372A" w:rsidRPr="002F30DF" w:rsidRDefault="00C0235F" w:rsidP="0025166A">
      <w:pPr>
        <w:spacing w:line="260" w:lineRule="atLeast"/>
        <w:rPr>
          <w:rFonts w:cs="Arial"/>
          <w:sz w:val="20"/>
          <w:szCs w:val="20"/>
        </w:rPr>
      </w:pPr>
      <w:r w:rsidRPr="002F30DF">
        <w:rPr>
          <w:rFonts w:cs="Arial"/>
          <w:sz w:val="20"/>
          <w:szCs w:val="20"/>
        </w:rPr>
        <w:t xml:space="preserve">Agencija vroča akte skladno z ZUP, ki v četrtem odstavku 89. člena določa, da kadar je stranka ali njen zakoniti zastopnik v tujini, pa v državi nima pooblaščenca, mu je treba ob vročitvi prvega dokumenta naložiti, naj v določenem roku imenuje pooblaščenca ali pa pooblaščenca za vročitve in ga opozoriti, da mu bo po uradni dolžnosti postavljen pooblaščenec za vročitve oziroma začasni zastopnik, če v </w:t>
      </w:r>
      <w:r w:rsidRPr="002F30DF">
        <w:rPr>
          <w:rFonts w:cs="Arial"/>
          <w:sz w:val="20"/>
          <w:szCs w:val="20"/>
        </w:rPr>
        <w:lastRenderedPageBreak/>
        <w:t>danem roku ne bo sam imenoval pooblaščenca.</w:t>
      </w:r>
      <w:r w:rsidR="001A372A" w:rsidRPr="002F30DF">
        <w:rPr>
          <w:rFonts w:cs="Arial"/>
          <w:sz w:val="20"/>
          <w:szCs w:val="20"/>
        </w:rPr>
        <w:t xml:space="preserve"> Drugi odstavek 92. člena ZUP določa, da se fizičnim in pravnim osebam v tujini lahko vroča neposredno ali po diplomatski poti, razen, če mednarodna pogodba ne določa drugače.</w:t>
      </w:r>
    </w:p>
    <w:p w:rsidR="001A372A" w:rsidRPr="002F30DF" w:rsidRDefault="001A372A" w:rsidP="0025166A">
      <w:pPr>
        <w:spacing w:line="260" w:lineRule="atLeast"/>
        <w:rPr>
          <w:rFonts w:cs="Arial"/>
          <w:sz w:val="20"/>
          <w:szCs w:val="20"/>
        </w:rPr>
      </w:pPr>
    </w:p>
    <w:p w:rsidR="00C0235F" w:rsidRPr="002F30DF" w:rsidRDefault="001A372A" w:rsidP="0025166A">
      <w:pPr>
        <w:spacing w:line="260" w:lineRule="atLeast"/>
        <w:rPr>
          <w:rFonts w:cs="Arial"/>
          <w:sz w:val="20"/>
          <w:szCs w:val="20"/>
        </w:rPr>
      </w:pPr>
      <w:r w:rsidRPr="002F30DF">
        <w:rPr>
          <w:rFonts w:cs="Arial"/>
          <w:sz w:val="20"/>
          <w:szCs w:val="20"/>
        </w:rPr>
        <w:t xml:space="preserve">S tem členom se </w:t>
      </w:r>
      <w:r w:rsidR="006D7CDF" w:rsidRPr="002F30DF">
        <w:rPr>
          <w:rFonts w:cs="Arial"/>
          <w:sz w:val="20"/>
          <w:szCs w:val="20"/>
        </w:rPr>
        <w:t>a</w:t>
      </w:r>
      <w:r w:rsidRPr="002F30DF">
        <w:rPr>
          <w:rFonts w:cs="Arial"/>
          <w:sz w:val="20"/>
          <w:szCs w:val="20"/>
        </w:rPr>
        <w:t>genciji omogoča dodaten način vročitve upravnih pisanj podjetjem v tujini in sicer s pomočjo organa, pristojnega za varstvo konkurence druge države članice, na način kot je določen v tem členu.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w:t>
      </w:r>
      <w:r w:rsidRPr="002F30DF">
        <w:rPr>
          <w:rFonts w:cs="Arial"/>
          <w:sz w:val="20"/>
          <w:szCs w:val="20"/>
          <w:u w:val="single"/>
        </w:rPr>
        <w:t>prvim odstavkom</w:t>
      </w:r>
      <w:r w:rsidRPr="002F30DF">
        <w:rPr>
          <w:rFonts w:cs="Arial"/>
          <w:sz w:val="20"/>
          <w:szCs w:val="20"/>
        </w:rPr>
        <w:t xml:space="preserve"> se omogoči </w:t>
      </w:r>
      <w:r w:rsidR="006D7CDF" w:rsidRPr="002F30DF">
        <w:rPr>
          <w:rFonts w:cs="Arial"/>
          <w:sz w:val="20"/>
          <w:szCs w:val="20"/>
        </w:rPr>
        <w:t>a</w:t>
      </w:r>
      <w:r w:rsidR="0045309B" w:rsidRPr="002F30DF">
        <w:rPr>
          <w:rFonts w:cs="Arial"/>
          <w:sz w:val="20"/>
          <w:szCs w:val="20"/>
        </w:rPr>
        <w:t>genc</w:t>
      </w:r>
      <w:r w:rsidRPr="002F30DF">
        <w:rPr>
          <w:rFonts w:cs="Arial"/>
          <w:sz w:val="20"/>
          <w:szCs w:val="20"/>
        </w:rPr>
        <w:t xml:space="preserve">iji, da v primeru, če podjetje nima sedeža v Republiki Sloveniji, lahko zaprosi organ, pristojen za varstvo konkurence druge države članice, za pomoč pri vročitvi predhodne ugotovitve o domnevni kršitvi </w:t>
      </w:r>
      <w:r w:rsidR="00706A60" w:rsidRPr="002F30DF">
        <w:rPr>
          <w:rFonts w:cs="Arial"/>
          <w:sz w:val="20"/>
          <w:szCs w:val="20"/>
        </w:rPr>
        <w:t xml:space="preserve">5. ali 8. člena tega zakona ali </w:t>
      </w:r>
      <w:r w:rsidRPr="002F30DF">
        <w:rPr>
          <w:rFonts w:cs="Arial"/>
          <w:sz w:val="20"/>
          <w:szCs w:val="20"/>
        </w:rPr>
        <w:t xml:space="preserve">101. ali 102. člena PDEU ter katere koli </w:t>
      </w:r>
      <w:r w:rsidR="00305E82" w:rsidRPr="002F30DF">
        <w:rPr>
          <w:rFonts w:cs="Arial"/>
          <w:sz w:val="20"/>
          <w:szCs w:val="20"/>
        </w:rPr>
        <w:t>odločbe, s katerimi se uporabijo</w:t>
      </w:r>
      <w:r w:rsidRPr="002F30DF">
        <w:rPr>
          <w:rFonts w:cs="Arial"/>
          <w:sz w:val="20"/>
          <w:szCs w:val="20"/>
        </w:rPr>
        <w:t xml:space="preserve"> naveden</w:t>
      </w:r>
      <w:r w:rsidR="00706A60" w:rsidRPr="002F30DF">
        <w:rPr>
          <w:rFonts w:cs="Arial"/>
          <w:sz w:val="20"/>
          <w:szCs w:val="20"/>
        </w:rPr>
        <w:t>i</w:t>
      </w:r>
      <w:r w:rsidRPr="002F30DF">
        <w:rPr>
          <w:rFonts w:cs="Arial"/>
          <w:sz w:val="20"/>
          <w:szCs w:val="20"/>
        </w:rPr>
        <w:t xml:space="preserve"> člen</w:t>
      </w:r>
      <w:r w:rsidR="00305E82" w:rsidRPr="002F30DF">
        <w:rPr>
          <w:rFonts w:cs="Arial"/>
          <w:sz w:val="20"/>
          <w:szCs w:val="20"/>
        </w:rPr>
        <w:t>i</w:t>
      </w:r>
      <w:r w:rsidRPr="002F30DF">
        <w:rPr>
          <w:rFonts w:cs="Arial"/>
          <w:sz w:val="20"/>
          <w:szCs w:val="20"/>
        </w:rPr>
        <w:t xml:space="preserve"> ali drugega procesnega akta, sprejetega v okviru postopkov za uveljavljanje pravil konkurence, ki bi moral biti v skladu </w:t>
      </w:r>
      <w:r w:rsidR="00C86CD6" w:rsidRPr="002F30DF">
        <w:rPr>
          <w:rFonts w:cs="Arial"/>
          <w:sz w:val="20"/>
          <w:szCs w:val="20"/>
        </w:rPr>
        <w:t>s slovenskim pravnim redom</w:t>
      </w:r>
      <w:r w:rsidRPr="002F30DF">
        <w:rPr>
          <w:rFonts w:cs="Arial"/>
          <w:sz w:val="20"/>
          <w:szCs w:val="20"/>
        </w:rPr>
        <w:t xml:space="preserve"> vročen, ali drugih ustreznih dokumentov v zvezi z uporabo</w:t>
      </w:r>
      <w:r w:rsidR="00706A60" w:rsidRPr="002F30DF">
        <w:rPr>
          <w:rFonts w:cs="Arial"/>
          <w:sz w:val="20"/>
          <w:szCs w:val="20"/>
        </w:rPr>
        <w:t xml:space="preserve"> 5. ali 8. člena tega zakona ali</w:t>
      </w:r>
      <w:r w:rsidRPr="002F30DF">
        <w:rPr>
          <w:rFonts w:cs="Arial"/>
          <w:sz w:val="20"/>
          <w:szCs w:val="20"/>
        </w:rPr>
        <w:t xml:space="preserve"> 101. ali 102. člena PDEU, med drugim tudi dokumente, ki se nanašajo na izvršitev odločb o izreku </w:t>
      </w:r>
      <w:r w:rsidR="00305E82" w:rsidRPr="002F30DF">
        <w:rPr>
          <w:rFonts w:cs="Arial"/>
          <w:sz w:val="20"/>
          <w:szCs w:val="20"/>
        </w:rPr>
        <w:t>administrativnih sankcij</w:t>
      </w:r>
      <w:r w:rsidRPr="002F30DF">
        <w:rPr>
          <w:rFonts w:cs="Arial"/>
          <w:sz w:val="20"/>
          <w:szCs w:val="20"/>
        </w:rPr>
        <w:t xml:space="preserve"> ali periodičnih denarnih kazni. S tem odstavkom se v naš pravni sistem delno prenaša 25. člen Direktive 2019/1.</w:t>
      </w:r>
    </w:p>
    <w:p w:rsidR="007522E3" w:rsidRPr="002F30DF" w:rsidRDefault="007522E3" w:rsidP="0025166A">
      <w:pPr>
        <w:spacing w:line="260" w:lineRule="atLeast"/>
        <w:rPr>
          <w:rFonts w:cs="Arial"/>
          <w:sz w:val="20"/>
          <w:szCs w:val="20"/>
        </w:rPr>
      </w:pPr>
    </w:p>
    <w:p w:rsidR="007522E3" w:rsidRPr="002F30DF" w:rsidRDefault="007E1434" w:rsidP="0025166A">
      <w:pPr>
        <w:spacing w:line="260" w:lineRule="atLeast"/>
        <w:rPr>
          <w:rFonts w:cs="Arial"/>
          <w:sz w:val="20"/>
          <w:szCs w:val="20"/>
        </w:rPr>
      </w:pPr>
      <w:r w:rsidRPr="002F30DF">
        <w:rPr>
          <w:rFonts w:cs="Arial"/>
          <w:sz w:val="20"/>
          <w:szCs w:val="20"/>
        </w:rPr>
        <w:t>Z namenom prenosa</w:t>
      </w:r>
      <w:r w:rsidR="007522E3" w:rsidRPr="002F30DF">
        <w:rPr>
          <w:rFonts w:cs="Arial"/>
          <w:sz w:val="20"/>
          <w:szCs w:val="20"/>
        </w:rPr>
        <w:t xml:space="preserve"> prvega odstavka 27. člena Direktive 2019/1 je v </w:t>
      </w:r>
      <w:r w:rsidR="007522E3" w:rsidRPr="002F30DF">
        <w:rPr>
          <w:rFonts w:cs="Arial"/>
          <w:sz w:val="20"/>
          <w:szCs w:val="20"/>
          <w:u w:val="single"/>
        </w:rPr>
        <w:t>drugem odstavku</w:t>
      </w:r>
      <w:r w:rsidR="007522E3" w:rsidRPr="002F30DF">
        <w:rPr>
          <w:rFonts w:cs="Arial"/>
          <w:sz w:val="20"/>
          <w:szCs w:val="20"/>
        </w:rPr>
        <w:t xml:space="preserve"> določena vsebina zaprosila, s katerim </w:t>
      </w:r>
      <w:r w:rsidR="00305E82"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ija zaprosi zaprošeni organ v drugi državi članici, da v njenem imenu podjetju vroči pomembne dokumente </w:t>
      </w:r>
      <w:r w:rsidR="00305E82" w:rsidRPr="002F30DF">
        <w:rPr>
          <w:rFonts w:cs="Arial"/>
          <w:sz w:val="20"/>
          <w:szCs w:val="20"/>
        </w:rPr>
        <w:t>ali</w:t>
      </w:r>
      <w:r w:rsidR="007522E3" w:rsidRPr="002F30DF">
        <w:rPr>
          <w:rFonts w:cs="Arial"/>
          <w:sz w:val="20"/>
          <w:szCs w:val="20"/>
        </w:rPr>
        <w:t xml:space="preserve"> odločbo. Takšno zaprosilo vključuje: </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 xml:space="preserve">ime, znani naslov </w:t>
      </w:r>
      <w:r w:rsidR="00B31B2B" w:rsidRPr="002F30DF">
        <w:rPr>
          <w:rFonts w:cs="Arial"/>
          <w:sz w:val="20"/>
          <w:szCs w:val="20"/>
        </w:rPr>
        <w:t xml:space="preserve">podjetja </w:t>
      </w:r>
      <w:r w:rsidRPr="002F30DF">
        <w:rPr>
          <w:rFonts w:cs="Arial"/>
          <w:sz w:val="20"/>
          <w:szCs w:val="20"/>
        </w:rPr>
        <w:t xml:space="preserve">ter morebitne druge relevantne informacije za identifikacijo </w:t>
      </w:r>
      <w:r w:rsidR="00B31B2B" w:rsidRPr="002F30DF">
        <w:rPr>
          <w:rFonts w:cs="Arial"/>
          <w:sz w:val="20"/>
          <w:szCs w:val="20"/>
        </w:rPr>
        <w:t>podjetja</w:t>
      </w:r>
      <w:r w:rsidR="00C07833" w:rsidRPr="002F30DF">
        <w:rPr>
          <w:rFonts w:cs="Arial"/>
          <w:sz w:val="20"/>
          <w:szCs w:val="20"/>
        </w:rPr>
        <w:t>,</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kratek opis relevantnih dejstev in okoliščin</w:t>
      </w:r>
      <w:r w:rsidR="00C07833" w:rsidRPr="002F30DF">
        <w:rPr>
          <w:rFonts w:cs="Arial"/>
          <w:sz w:val="20"/>
          <w:szCs w:val="20"/>
        </w:rPr>
        <w:t>,</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povzetek priložene kopije akta, ki ga je treba vročiti</w:t>
      </w:r>
      <w:r w:rsidR="00C07833" w:rsidRPr="002F30DF">
        <w:rPr>
          <w:rFonts w:cs="Arial"/>
          <w:sz w:val="20"/>
          <w:szCs w:val="20"/>
        </w:rPr>
        <w:t>,</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naziv, naslov in druge kontaktne podatke zaprošenega organa;</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roke za vročitev, kot so zakonski ali zastaralni roki in</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kopijo akta, ki se vroča.</w:t>
      </w:r>
    </w:p>
    <w:p w:rsidR="007522E3" w:rsidRPr="002F30DF" w:rsidRDefault="007522E3" w:rsidP="0025166A">
      <w:pPr>
        <w:spacing w:line="260" w:lineRule="atLeast"/>
        <w:rPr>
          <w:rFonts w:cs="Arial"/>
          <w:b/>
          <w:sz w:val="20"/>
          <w:szCs w:val="20"/>
        </w:rPr>
      </w:pPr>
    </w:p>
    <w:p w:rsidR="007522E3" w:rsidRPr="002F30DF" w:rsidRDefault="008E43FF" w:rsidP="0025166A">
      <w:pPr>
        <w:suppressAutoHyphens/>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če podjetje, kateremu je </w:t>
      </w:r>
      <w:r w:rsidR="00305E82" w:rsidRPr="002F30DF">
        <w:rPr>
          <w:rFonts w:cs="Arial"/>
          <w:sz w:val="20"/>
          <w:szCs w:val="20"/>
        </w:rPr>
        <w:t>a</w:t>
      </w:r>
      <w:r w:rsidRPr="002F30DF">
        <w:rPr>
          <w:rFonts w:cs="Arial"/>
          <w:sz w:val="20"/>
          <w:szCs w:val="20"/>
        </w:rPr>
        <w:t xml:space="preserve">gencija </w:t>
      </w:r>
      <w:r w:rsidR="007522E3" w:rsidRPr="002F30DF">
        <w:rPr>
          <w:rFonts w:cs="Arial"/>
          <w:sz w:val="20"/>
          <w:szCs w:val="20"/>
        </w:rPr>
        <w:t xml:space="preserve">s pravnomočno odločbo naložila plačilo administrativne sankcije ali periodične administrativne sankcije, nima </w:t>
      </w:r>
      <w:r w:rsidR="00706A60" w:rsidRPr="002F30DF">
        <w:rPr>
          <w:rFonts w:cs="Arial"/>
          <w:sz w:val="20"/>
          <w:szCs w:val="20"/>
        </w:rPr>
        <w:t xml:space="preserve">v Republiki Sloveniji </w:t>
      </w:r>
      <w:r w:rsidR="007522E3" w:rsidRPr="002F30DF">
        <w:rPr>
          <w:rFonts w:cs="Arial"/>
          <w:sz w:val="20"/>
          <w:szCs w:val="20"/>
        </w:rPr>
        <w:t xml:space="preserve">zadostnih sredstev za plačilo naložene sankcije, lahko </w:t>
      </w:r>
      <w:r w:rsidR="00305E82"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ija brez nepotrebnega odlašanja zaprosi pristojni organ v državi članici, kjer ima to podjetje sedež ali premoženje, da od tega podjetja izterja </w:t>
      </w:r>
      <w:r w:rsidR="007522E3" w:rsidRPr="002F30DF">
        <w:rPr>
          <w:rFonts w:cs="Arial"/>
          <w:sz w:val="20"/>
          <w:szCs w:val="20"/>
        </w:rPr>
        <w:lastRenderedPageBreak/>
        <w:t xml:space="preserve">plačilo </w:t>
      </w:r>
      <w:r w:rsidR="00762031" w:rsidRPr="002F30DF">
        <w:rPr>
          <w:rFonts w:cs="Arial"/>
          <w:sz w:val="20"/>
          <w:szCs w:val="20"/>
        </w:rPr>
        <w:t xml:space="preserve">izrečene </w:t>
      </w:r>
      <w:r w:rsidR="007522E3" w:rsidRPr="002F30DF">
        <w:rPr>
          <w:rFonts w:cs="Arial"/>
          <w:sz w:val="20"/>
          <w:szCs w:val="20"/>
        </w:rPr>
        <w:t>administrativne sankcije ali periodične administrativne sankcije. S tem odstavkom se delno prenašata prvi in tretji odstavek 26. člena Direktive 2019/1.</w:t>
      </w:r>
    </w:p>
    <w:p w:rsidR="007522E3" w:rsidRPr="002F30DF" w:rsidRDefault="007522E3" w:rsidP="0025166A">
      <w:pPr>
        <w:suppressAutoHyphens/>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Ko </w:t>
      </w:r>
      <w:r w:rsidR="00305E82" w:rsidRPr="002F30DF">
        <w:rPr>
          <w:rFonts w:cs="Arial"/>
          <w:sz w:val="20"/>
          <w:szCs w:val="20"/>
        </w:rPr>
        <w:t>a</w:t>
      </w:r>
      <w:r w:rsidR="0045309B" w:rsidRPr="002F30DF">
        <w:rPr>
          <w:rFonts w:cs="Arial"/>
          <w:sz w:val="20"/>
          <w:szCs w:val="20"/>
        </w:rPr>
        <w:t>genc</w:t>
      </w:r>
      <w:r w:rsidRPr="002F30DF">
        <w:rPr>
          <w:rFonts w:cs="Arial"/>
          <w:sz w:val="20"/>
          <w:szCs w:val="20"/>
        </w:rPr>
        <w:t>ija zaprosi pristojen organ države članice, kjer ima podjetje, kateremu je s pravnomočno odločbo izrečena administrativna sankcija ali periodična administrativna sankcija</w:t>
      </w:r>
      <w:r w:rsidR="00B31B2B" w:rsidRPr="002F30DF">
        <w:rPr>
          <w:rFonts w:cs="Arial"/>
          <w:sz w:val="20"/>
          <w:szCs w:val="20"/>
        </w:rPr>
        <w:t>,</w:t>
      </w:r>
      <w:r w:rsidR="00762031" w:rsidRPr="002F30DF">
        <w:rPr>
          <w:rFonts w:cs="Arial"/>
          <w:sz w:val="20"/>
          <w:szCs w:val="20"/>
        </w:rPr>
        <w:t xml:space="preserve"> sedež ali premoženje</w:t>
      </w:r>
      <w:r w:rsidRPr="002F30DF">
        <w:rPr>
          <w:rFonts w:cs="Arial"/>
          <w:sz w:val="20"/>
          <w:szCs w:val="20"/>
        </w:rPr>
        <w:t xml:space="preserve">, </w:t>
      </w:r>
      <w:r w:rsidR="00305E82" w:rsidRPr="002F30DF">
        <w:rPr>
          <w:rFonts w:cs="Arial"/>
          <w:sz w:val="20"/>
          <w:szCs w:val="20"/>
        </w:rPr>
        <w:t>a</w:t>
      </w:r>
      <w:r w:rsidR="0045309B" w:rsidRPr="002F30DF">
        <w:rPr>
          <w:rFonts w:cs="Arial"/>
          <w:sz w:val="20"/>
          <w:szCs w:val="20"/>
        </w:rPr>
        <w:t>genc</w:t>
      </w:r>
      <w:r w:rsidRPr="002F30DF">
        <w:rPr>
          <w:rFonts w:cs="Arial"/>
          <w:sz w:val="20"/>
          <w:szCs w:val="20"/>
        </w:rPr>
        <w:t xml:space="preserve">ija v zaprosilu </w:t>
      </w:r>
      <w:r w:rsidR="002700E4" w:rsidRPr="002F30DF">
        <w:rPr>
          <w:rFonts w:cs="Arial"/>
          <w:sz w:val="20"/>
          <w:szCs w:val="20"/>
        </w:rPr>
        <w:t xml:space="preserve">za izvršitev pravnomočne odločbe </w:t>
      </w:r>
      <w:r w:rsidRPr="002F30DF">
        <w:rPr>
          <w:rFonts w:cs="Arial"/>
          <w:sz w:val="20"/>
          <w:szCs w:val="20"/>
        </w:rPr>
        <w:t xml:space="preserve">skladno s </w:t>
      </w:r>
      <w:r w:rsidRPr="002F30DF">
        <w:rPr>
          <w:rFonts w:cs="Arial"/>
          <w:sz w:val="20"/>
          <w:szCs w:val="20"/>
          <w:u w:val="single"/>
        </w:rPr>
        <w:t>četrtim odstavkom</w:t>
      </w:r>
      <w:r w:rsidRPr="002F30DF">
        <w:rPr>
          <w:rFonts w:cs="Arial"/>
          <w:sz w:val="20"/>
          <w:szCs w:val="20"/>
        </w:rPr>
        <w:t xml:space="preserve"> navede:  </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 xml:space="preserve">ime, znani naslov </w:t>
      </w:r>
      <w:r w:rsidR="00B31B2B" w:rsidRPr="002F30DF">
        <w:rPr>
          <w:rFonts w:cs="Arial"/>
          <w:sz w:val="20"/>
          <w:szCs w:val="20"/>
        </w:rPr>
        <w:t>podjetj</w:t>
      </w:r>
      <w:r w:rsidR="00305E82" w:rsidRPr="002F30DF">
        <w:rPr>
          <w:rFonts w:cs="Arial"/>
          <w:sz w:val="20"/>
          <w:szCs w:val="20"/>
        </w:rPr>
        <w:t>a</w:t>
      </w:r>
      <w:r w:rsidR="00B31B2B" w:rsidRPr="002F30DF">
        <w:rPr>
          <w:rFonts w:cs="Arial"/>
          <w:sz w:val="20"/>
          <w:szCs w:val="20"/>
        </w:rPr>
        <w:t xml:space="preserve"> </w:t>
      </w:r>
      <w:r w:rsidRPr="002F30DF">
        <w:rPr>
          <w:rFonts w:cs="Arial"/>
          <w:sz w:val="20"/>
          <w:szCs w:val="20"/>
        </w:rPr>
        <w:t xml:space="preserve">ter morebitne druge relevantne informacije za identifikacijo </w:t>
      </w:r>
      <w:r w:rsidR="00B31B2B" w:rsidRPr="002F30DF">
        <w:rPr>
          <w:rFonts w:cs="Arial"/>
          <w:sz w:val="20"/>
          <w:szCs w:val="20"/>
        </w:rPr>
        <w:t>podjetja</w:t>
      </w:r>
      <w:r w:rsidRPr="002F30DF">
        <w:rPr>
          <w:rFonts w:cs="Arial"/>
          <w:sz w:val="20"/>
          <w:szCs w:val="20"/>
        </w:rPr>
        <w:t>;</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kratek opis relevantnih dejstev in okoliščin;</w:t>
      </w:r>
    </w:p>
    <w:p w:rsidR="00320B17" w:rsidRPr="002F30DF" w:rsidRDefault="00320B17" w:rsidP="00431BAA">
      <w:pPr>
        <w:numPr>
          <w:ilvl w:val="0"/>
          <w:numId w:val="67"/>
        </w:numPr>
        <w:spacing w:line="260" w:lineRule="atLeast"/>
        <w:ind w:left="426"/>
        <w:rPr>
          <w:rFonts w:cs="Arial"/>
          <w:sz w:val="20"/>
          <w:szCs w:val="20"/>
        </w:rPr>
      </w:pPr>
      <w:r w:rsidRPr="002F30DF">
        <w:rPr>
          <w:rFonts w:cs="Arial"/>
          <w:sz w:val="20"/>
          <w:szCs w:val="20"/>
        </w:rPr>
        <w:t>kopijo akta, ki ga je treba izvršiti;</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povzetek priložene kopije akta, ki ga je treba izvršiti;</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naziv, naslov in druge kontaktne podatke zaprošenega organa;</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 xml:space="preserve">roke za izvršitev, kot so zakonski ali zastaralni roki; </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informacije o odločbi, na podlagi katere je dovoljena izvršitev v državi članici organa prosilca;</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datum</w:t>
      </w:r>
      <w:r w:rsidR="009C24C9" w:rsidRPr="002F30DF">
        <w:rPr>
          <w:rFonts w:cs="Arial"/>
          <w:sz w:val="20"/>
          <w:szCs w:val="20"/>
        </w:rPr>
        <w:t xml:space="preserve"> pravnomočnosti odločbe</w:t>
      </w:r>
      <w:r w:rsidRPr="002F30DF">
        <w:rPr>
          <w:rFonts w:cs="Arial"/>
          <w:sz w:val="20"/>
          <w:szCs w:val="20"/>
        </w:rPr>
        <w:t>;</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znesek administrativne sankcije ali periodične administrativne sankcije ter</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 xml:space="preserve">informacije o tem, kako je </w:t>
      </w:r>
      <w:r w:rsidR="009C24C9" w:rsidRPr="002F30DF">
        <w:rPr>
          <w:rFonts w:cs="Arial"/>
          <w:sz w:val="20"/>
          <w:szCs w:val="20"/>
        </w:rPr>
        <w:t>a</w:t>
      </w:r>
      <w:r w:rsidR="00320B17" w:rsidRPr="002F30DF">
        <w:rPr>
          <w:rFonts w:cs="Arial"/>
          <w:sz w:val="20"/>
          <w:szCs w:val="20"/>
        </w:rPr>
        <w:t>gencija</w:t>
      </w:r>
      <w:r w:rsidRPr="002F30DF">
        <w:rPr>
          <w:rFonts w:cs="Arial"/>
          <w:sz w:val="20"/>
          <w:szCs w:val="20"/>
        </w:rPr>
        <w:t xml:space="preserve"> v razumnih mejah skušal</w:t>
      </w:r>
      <w:r w:rsidR="00320B17" w:rsidRPr="002F30DF">
        <w:rPr>
          <w:rFonts w:cs="Arial"/>
          <w:sz w:val="20"/>
          <w:szCs w:val="20"/>
        </w:rPr>
        <w:t>a</w:t>
      </w:r>
      <w:r w:rsidRPr="002F30DF">
        <w:rPr>
          <w:rFonts w:cs="Arial"/>
          <w:sz w:val="20"/>
          <w:szCs w:val="20"/>
        </w:rPr>
        <w:t xml:space="preserve"> izvršiti odločbo</w:t>
      </w:r>
      <w:r w:rsidR="00320B17" w:rsidRPr="002F30DF">
        <w:rPr>
          <w:rFonts w:cs="Arial"/>
          <w:sz w:val="20"/>
          <w:szCs w:val="20"/>
        </w:rPr>
        <w:t xml:space="preserve"> v Republiki Sloveniji</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imajo države članice različne uradne jezike, so v </w:t>
      </w:r>
      <w:r w:rsidRPr="002F30DF">
        <w:rPr>
          <w:rFonts w:cs="Arial"/>
          <w:sz w:val="20"/>
          <w:szCs w:val="20"/>
          <w:u w:val="single"/>
        </w:rPr>
        <w:t>petem odstavku</w:t>
      </w:r>
      <w:r w:rsidRPr="002F30DF">
        <w:rPr>
          <w:rFonts w:cs="Arial"/>
          <w:sz w:val="20"/>
          <w:szCs w:val="20"/>
        </w:rPr>
        <w:t xml:space="preserve"> določena pravila glede jezika sodelovanja</w:t>
      </w:r>
      <w:r w:rsidR="00762031" w:rsidRPr="002F30DF">
        <w:rPr>
          <w:rFonts w:cs="Arial"/>
          <w:sz w:val="20"/>
          <w:szCs w:val="20"/>
        </w:rPr>
        <w:t>, na podlagi katerih</w:t>
      </w:r>
      <w:r w:rsidRPr="002F30DF">
        <w:rPr>
          <w:rFonts w:cs="Arial"/>
          <w:sz w:val="20"/>
          <w:szCs w:val="20"/>
        </w:rPr>
        <w:t xml:space="preserve"> </w:t>
      </w:r>
      <w:r w:rsidR="009C24C9" w:rsidRPr="002F30DF">
        <w:rPr>
          <w:rFonts w:cs="Arial"/>
          <w:sz w:val="20"/>
          <w:szCs w:val="20"/>
        </w:rPr>
        <w:t>a</w:t>
      </w:r>
      <w:r w:rsidR="0045309B" w:rsidRPr="002F30DF">
        <w:rPr>
          <w:rFonts w:cs="Arial"/>
          <w:sz w:val="20"/>
          <w:szCs w:val="20"/>
        </w:rPr>
        <w:t>genc</w:t>
      </w:r>
      <w:r w:rsidRPr="002F30DF">
        <w:rPr>
          <w:rFonts w:cs="Arial"/>
          <w:sz w:val="20"/>
          <w:szCs w:val="20"/>
        </w:rPr>
        <w:t xml:space="preserve">ija načeloma posreduje zaprosilo pristojnemu organu, v uradnem jeziku zaprošenega organa. </w:t>
      </w:r>
      <w:r w:rsidR="009C24C9" w:rsidRPr="002F30DF">
        <w:rPr>
          <w:rFonts w:cs="Arial"/>
          <w:sz w:val="20"/>
          <w:szCs w:val="20"/>
        </w:rPr>
        <w:t>Ne glede na to, se lahko</w:t>
      </w:r>
      <w:r w:rsidRPr="002F30DF">
        <w:rPr>
          <w:rFonts w:cs="Arial"/>
          <w:sz w:val="20"/>
          <w:szCs w:val="20"/>
        </w:rPr>
        <w:t xml:space="preserve"> </w:t>
      </w:r>
      <w:r w:rsidR="009C24C9" w:rsidRPr="002F30DF">
        <w:rPr>
          <w:rFonts w:cs="Arial"/>
          <w:sz w:val="20"/>
          <w:szCs w:val="20"/>
        </w:rPr>
        <w:t>a</w:t>
      </w:r>
      <w:r w:rsidR="0045309B" w:rsidRPr="002F30DF">
        <w:rPr>
          <w:rFonts w:cs="Arial"/>
          <w:sz w:val="20"/>
          <w:szCs w:val="20"/>
        </w:rPr>
        <w:t>genc</w:t>
      </w:r>
      <w:r w:rsidRPr="002F30DF">
        <w:rPr>
          <w:rFonts w:cs="Arial"/>
          <w:sz w:val="20"/>
          <w:szCs w:val="20"/>
        </w:rPr>
        <w:t>ija in zaprošeni pristojni organ dogovorita, da bosta komunicirala v drugem jeziku. Ker je zaradi uveljavljanja pravic podjetij pomembno v katerem jeziku se glasijo odločbe ali drugi akti, je določeno, da če pravo države članice zaprošenega organa določa, da morajo biti odločbe ali drugi akti predložen</w:t>
      </w:r>
      <w:r w:rsidR="00762031" w:rsidRPr="002F30DF">
        <w:rPr>
          <w:rFonts w:cs="Arial"/>
          <w:sz w:val="20"/>
          <w:szCs w:val="20"/>
        </w:rPr>
        <w:t>i</w:t>
      </w:r>
      <w:r w:rsidRPr="002F30DF">
        <w:rPr>
          <w:rFonts w:cs="Arial"/>
          <w:sz w:val="20"/>
          <w:szCs w:val="20"/>
        </w:rPr>
        <w:t xml:space="preserve"> v uradnem jeziku te države, mora </w:t>
      </w:r>
      <w:r w:rsidR="009C24C9" w:rsidRPr="002F30DF">
        <w:rPr>
          <w:rFonts w:cs="Arial"/>
          <w:sz w:val="20"/>
          <w:szCs w:val="20"/>
        </w:rPr>
        <w:t>a</w:t>
      </w:r>
      <w:r w:rsidR="0045309B" w:rsidRPr="002F30DF">
        <w:rPr>
          <w:rFonts w:cs="Arial"/>
          <w:sz w:val="20"/>
          <w:szCs w:val="20"/>
        </w:rPr>
        <w:t>genc</w:t>
      </w:r>
      <w:r w:rsidRPr="002F30DF">
        <w:rPr>
          <w:rFonts w:cs="Arial"/>
          <w:sz w:val="20"/>
          <w:szCs w:val="20"/>
        </w:rPr>
        <w:t xml:space="preserve">ija zaprosilu priložiti uradni prevod akta, ki ga je treba vročiti, ali odločbe, na podlagi katere je dovoljena izvršitev administrativne sankcije ali periodične administrativne sankcije, razen če se </w:t>
      </w:r>
      <w:r w:rsidR="009C24C9" w:rsidRPr="002F30DF">
        <w:rPr>
          <w:rFonts w:cs="Arial"/>
          <w:sz w:val="20"/>
          <w:szCs w:val="20"/>
        </w:rPr>
        <w:t>a</w:t>
      </w:r>
      <w:r w:rsidR="0045309B" w:rsidRPr="002F30DF">
        <w:rPr>
          <w:rFonts w:cs="Arial"/>
          <w:sz w:val="20"/>
          <w:szCs w:val="20"/>
        </w:rPr>
        <w:t>genc</w:t>
      </w:r>
      <w:r w:rsidRPr="002F30DF">
        <w:rPr>
          <w:rFonts w:cs="Arial"/>
          <w:sz w:val="20"/>
          <w:szCs w:val="20"/>
        </w:rPr>
        <w:t>ija in zaprošeni organ dogovorita drugače. S tem odstavkom se prenaša peti odstavek 27. člena Direktive 2019/1.</w:t>
      </w:r>
    </w:p>
    <w:p w:rsidR="007522E3" w:rsidRPr="002F30DF" w:rsidRDefault="007522E3" w:rsidP="0025166A">
      <w:pPr>
        <w:spacing w:line="260" w:lineRule="atLeast"/>
        <w:rPr>
          <w:rFonts w:cs="Arial"/>
          <w:sz w:val="20"/>
          <w:szCs w:val="20"/>
        </w:rPr>
      </w:pPr>
    </w:p>
    <w:p w:rsidR="007522E3" w:rsidRPr="002F30DF" w:rsidRDefault="00762031" w:rsidP="0025166A">
      <w:pPr>
        <w:spacing w:line="260" w:lineRule="atLeast"/>
        <w:rPr>
          <w:rFonts w:cs="Arial"/>
          <w:sz w:val="20"/>
          <w:szCs w:val="20"/>
        </w:rPr>
      </w:pPr>
      <w:r w:rsidRPr="002F30DF">
        <w:rPr>
          <w:rFonts w:cs="Arial"/>
          <w:sz w:val="20"/>
          <w:szCs w:val="20"/>
        </w:rPr>
        <w:lastRenderedPageBreak/>
        <w:t xml:space="preserve">Namen </w:t>
      </w:r>
      <w:r w:rsidR="007522E3" w:rsidRPr="002F30DF">
        <w:rPr>
          <w:rFonts w:cs="Arial"/>
          <w:sz w:val="20"/>
          <w:szCs w:val="20"/>
          <w:u w:val="single"/>
        </w:rPr>
        <w:t>šest</w:t>
      </w:r>
      <w:r w:rsidRPr="002F30DF">
        <w:rPr>
          <w:rFonts w:cs="Arial"/>
          <w:sz w:val="20"/>
          <w:szCs w:val="20"/>
          <w:u w:val="single"/>
        </w:rPr>
        <w:t>ega</w:t>
      </w:r>
      <w:r w:rsidR="007522E3" w:rsidRPr="002F30DF">
        <w:rPr>
          <w:rFonts w:cs="Arial"/>
          <w:sz w:val="20"/>
          <w:szCs w:val="20"/>
          <w:u w:val="single"/>
        </w:rPr>
        <w:t xml:space="preserve"> odstavk</w:t>
      </w:r>
      <w:r w:rsidRPr="002F30DF">
        <w:rPr>
          <w:rFonts w:cs="Arial"/>
          <w:sz w:val="20"/>
          <w:szCs w:val="20"/>
          <w:u w:val="single"/>
        </w:rPr>
        <w:t xml:space="preserve">a </w:t>
      </w:r>
      <w:r w:rsidRPr="002F30DF">
        <w:rPr>
          <w:rFonts w:cs="Arial"/>
          <w:sz w:val="20"/>
          <w:szCs w:val="20"/>
        </w:rPr>
        <w:t>je preprečiti dvojno izterjavo administrativne sankcije ali peri</w:t>
      </w:r>
      <w:r w:rsidR="00AA39D7" w:rsidRPr="002F30DF">
        <w:rPr>
          <w:rFonts w:cs="Arial"/>
          <w:sz w:val="20"/>
          <w:szCs w:val="20"/>
        </w:rPr>
        <w:t xml:space="preserve">odične administrativne sankcije. V primeru, da </w:t>
      </w:r>
      <w:r w:rsidR="007522E3" w:rsidRPr="002F30DF">
        <w:rPr>
          <w:rFonts w:cs="Arial"/>
          <w:sz w:val="20"/>
          <w:szCs w:val="20"/>
        </w:rPr>
        <w:t xml:space="preserve">podjetje administrativno sankcijo ali periodično administrativno sankcijo </w:t>
      </w:r>
      <w:r w:rsidR="00AA39D7" w:rsidRPr="002F30DF">
        <w:rPr>
          <w:rFonts w:cs="Arial"/>
          <w:sz w:val="20"/>
          <w:szCs w:val="20"/>
        </w:rPr>
        <w:t xml:space="preserve">prostovoljno </w:t>
      </w:r>
      <w:r w:rsidR="007522E3" w:rsidRPr="002F30DF">
        <w:rPr>
          <w:rFonts w:cs="Arial"/>
          <w:sz w:val="20"/>
          <w:szCs w:val="20"/>
        </w:rPr>
        <w:t xml:space="preserve">plača, ali </w:t>
      </w:r>
      <w:r w:rsidR="00AA39D7" w:rsidRPr="002F30DF">
        <w:rPr>
          <w:rFonts w:cs="Arial"/>
          <w:sz w:val="20"/>
          <w:szCs w:val="20"/>
        </w:rPr>
        <w:t>če</w:t>
      </w:r>
      <w:r w:rsidR="007522E3" w:rsidRPr="002F30DF">
        <w:rPr>
          <w:rFonts w:cs="Arial"/>
          <w:sz w:val="20"/>
          <w:szCs w:val="20"/>
        </w:rPr>
        <w:t xml:space="preserve"> je bila </w:t>
      </w:r>
      <w:r w:rsidR="00AA39D7" w:rsidRPr="002F30DF">
        <w:rPr>
          <w:rFonts w:cs="Arial"/>
          <w:sz w:val="20"/>
          <w:szCs w:val="20"/>
        </w:rPr>
        <w:t xml:space="preserve">izrečena sankcija ali njena izvršljivost </w:t>
      </w:r>
      <w:r w:rsidR="007522E3" w:rsidRPr="002F30DF">
        <w:rPr>
          <w:rFonts w:cs="Arial"/>
          <w:sz w:val="20"/>
          <w:szCs w:val="20"/>
        </w:rPr>
        <w:t xml:space="preserve">naknadno razveljavljena, spremenjena ali </w:t>
      </w:r>
      <w:r w:rsidR="00AA39D7" w:rsidRPr="002F30DF">
        <w:rPr>
          <w:rFonts w:cs="Arial"/>
          <w:sz w:val="20"/>
          <w:szCs w:val="20"/>
        </w:rPr>
        <w:t xml:space="preserve">če </w:t>
      </w:r>
      <w:r w:rsidR="007522E3" w:rsidRPr="002F30DF">
        <w:rPr>
          <w:rFonts w:cs="Arial"/>
          <w:sz w:val="20"/>
          <w:szCs w:val="20"/>
        </w:rPr>
        <w:t>je bil znesek administrativne sankcije zmanjšan, ali se izvršitve zaradi drugih razlogov ne zahteva več</w:t>
      </w:r>
      <w:r w:rsidR="00AA39D7" w:rsidRPr="002F30DF">
        <w:rPr>
          <w:rFonts w:cs="Arial"/>
          <w:sz w:val="20"/>
          <w:szCs w:val="20"/>
        </w:rPr>
        <w:t xml:space="preserve">, mora </w:t>
      </w:r>
      <w:r w:rsidR="009C24C9" w:rsidRPr="002F30DF">
        <w:rPr>
          <w:rFonts w:cs="Arial"/>
          <w:sz w:val="20"/>
          <w:szCs w:val="20"/>
        </w:rPr>
        <w:t>a</w:t>
      </w:r>
      <w:r w:rsidR="00AA39D7" w:rsidRPr="002F30DF">
        <w:rPr>
          <w:rFonts w:cs="Arial"/>
          <w:sz w:val="20"/>
          <w:szCs w:val="20"/>
        </w:rPr>
        <w:t>gencija nemudoma obvestiti zaprošeni organ, ki postopek izvršbe prekine</w:t>
      </w:r>
      <w:r w:rsidR="007522E3"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pa je lahko izterjava v tujini neuspešna, se v </w:t>
      </w:r>
      <w:r w:rsidRPr="002F30DF">
        <w:rPr>
          <w:rFonts w:cs="Arial"/>
          <w:sz w:val="20"/>
          <w:szCs w:val="20"/>
          <w:u w:val="single"/>
        </w:rPr>
        <w:t>sedmem odstavku</w:t>
      </w:r>
      <w:r w:rsidRPr="002F30DF">
        <w:rPr>
          <w:rFonts w:cs="Arial"/>
          <w:sz w:val="20"/>
          <w:szCs w:val="20"/>
        </w:rPr>
        <w:t xml:space="preserve"> dopušča nadaljevanje izvršbe v Republiki Sloveniji v treh primerih in sicer:</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 xml:space="preserve">potem, ko je bila </w:t>
      </w:r>
      <w:r w:rsidR="009C24C9" w:rsidRPr="002F30DF">
        <w:rPr>
          <w:rFonts w:cs="Arial"/>
          <w:sz w:val="20"/>
          <w:szCs w:val="20"/>
        </w:rPr>
        <w:t>a</w:t>
      </w:r>
      <w:r w:rsidR="0045309B" w:rsidRPr="002F30DF">
        <w:rPr>
          <w:rFonts w:cs="Arial"/>
          <w:sz w:val="20"/>
          <w:szCs w:val="20"/>
        </w:rPr>
        <w:t>genc</w:t>
      </w:r>
      <w:r w:rsidRPr="002F30DF">
        <w:rPr>
          <w:rFonts w:cs="Arial"/>
          <w:sz w:val="20"/>
          <w:szCs w:val="20"/>
        </w:rPr>
        <w:t>ija obveščena, da se izvrševanje ne zahteva več,</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če izvrševanje v državi izvršitve zaradi neizterljivosti ni mogoče, ali</w:t>
      </w:r>
    </w:p>
    <w:p w:rsidR="007522E3" w:rsidRPr="002F30DF" w:rsidRDefault="007522E3" w:rsidP="00431BAA">
      <w:pPr>
        <w:numPr>
          <w:ilvl w:val="0"/>
          <w:numId w:val="67"/>
        </w:numPr>
        <w:spacing w:line="260" w:lineRule="atLeast"/>
        <w:ind w:left="426"/>
        <w:rPr>
          <w:rFonts w:cs="Arial"/>
          <w:sz w:val="20"/>
          <w:szCs w:val="20"/>
        </w:rPr>
      </w:pPr>
      <w:r w:rsidRPr="002F30DF">
        <w:rPr>
          <w:rFonts w:cs="Arial"/>
          <w:sz w:val="20"/>
          <w:szCs w:val="20"/>
        </w:rPr>
        <w:t>če država izvršitve zavrne izvrševanje.</w:t>
      </w:r>
    </w:p>
    <w:p w:rsidR="007522E3" w:rsidRPr="002F30DF" w:rsidRDefault="007522E3" w:rsidP="0025166A">
      <w:pPr>
        <w:spacing w:line="260" w:lineRule="atLeast"/>
        <w:rPr>
          <w:rFonts w:cs="Arial"/>
          <w:sz w:val="20"/>
          <w:szCs w:val="20"/>
        </w:rPr>
      </w:pPr>
    </w:p>
    <w:p w:rsidR="002069DA" w:rsidRPr="002F30DF" w:rsidRDefault="002069DA" w:rsidP="0025166A">
      <w:pPr>
        <w:spacing w:line="260" w:lineRule="atLeast"/>
        <w:rPr>
          <w:rFonts w:cs="Arial"/>
          <w:sz w:val="20"/>
          <w:szCs w:val="20"/>
        </w:rPr>
      </w:pPr>
      <w:r w:rsidRPr="002F30DF">
        <w:rPr>
          <w:rFonts w:cs="Arial"/>
          <w:sz w:val="20"/>
          <w:szCs w:val="20"/>
        </w:rPr>
        <w:t xml:space="preserve">Z </w:t>
      </w:r>
      <w:r w:rsidRPr="002F30DF">
        <w:rPr>
          <w:rFonts w:cs="Arial"/>
          <w:sz w:val="20"/>
          <w:szCs w:val="20"/>
          <w:u w:val="single"/>
        </w:rPr>
        <w:t>osmim odstavkom</w:t>
      </w:r>
      <w:r w:rsidRPr="002F30DF">
        <w:rPr>
          <w:rFonts w:cs="Arial"/>
          <w:sz w:val="20"/>
          <w:szCs w:val="20"/>
        </w:rPr>
        <w:t xml:space="preserve"> se ureja plačilo stroškov, ki nastanejo z vročitvijo oziroma izvršitvijo aktov </w:t>
      </w:r>
      <w:r w:rsidR="009C24C9" w:rsidRPr="002F30DF">
        <w:rPr>
          <w:rFonts w:cs="Arial"/>
          <w:sz w:val="20"/>
          <w:szCs w:val="20"/>
        </w:rPr>
        <w:t>a</w:t>
      </w:r>
      <w:r w:rsidRPr="002F30DF">
        <w:rPr>
          <w:rFonts w:cs="Arial"/>
          <w:sz w:val="20"/>
          <w:szCs w:val="20"/>
        </w:rPr>
        <w:t>gencije. S tem odstavkom se tako prenaša osmi odstavek 27. člena Direktive 2019/1, ki državam članicam nalaga, da organ prosilec na zaprosilo zaprošenega organa v celoti krije vse razumne dodatne stroške, vključno s stroški prevoda, dela in upravnimi stroški, povezane z ukrepi, sprejetimi na podlagi 24. ali 25. člena.</w:t>
      </w:r>
    </w:p>
    <w:p w:rsidR="002069DA" w:rsidRPr="002F30DF" w:rsidRDefault="002069DA"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10</w:t>
      </w:r>
      <w:r w:rsidR="005122E7" w:rsidRPr="002F30DF">
        <w:rPr>
          <w:rFonts w:cs="Arial"/>
          <w:b/>
          <w:sz w:val="20"/>
          <w:szCs w:val="20"/>
        </w:rPr>
        <w:t>0</w:t>
      </w:r>
      <w:r w:rsidRPr="002F30DF">
        <w:rPr>
          <w:rFonts w:cs="Arial"/>
          <w:b/>
          <w:sz w:val="20"/>
          <w:szCs w:val="20"/>
        </w:rPr>
        <w:t>. členu (vročitev in izvršitev aktov organov, pristojnih za varstvo konkurence drugih držav članic)</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2019/1 v 25. in 26. členu nalaga državam članicam, da vzpostavijo sistem za pomoč pri vročitvi aktov in pri izvršitvi odločb, ki jih izdajo organi, pristojni za varstvo konkurence druge države članice.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 namenom prenosa 25. člena Direktive 2019/1 se v </w:t>
      </w:r>
      <w:r w:rsidRPr="002F30DF">
        <w:rPr>
          <w:rFonts w:cs="Arial"/>
          <w:sz w:val="20"/>
          <w:szCs w:val="20"/>
          <w:u w:val="single"/>
        </w:rPr>
        <w:t>prvem odstavku</w:t>
      </w:r>
      <w:r w:rsidRPr="002F30DF">
        <w:rPr>
          <w:rFonts w:cs="Arial"/>
          <w:sz w:val="20"/>
          <w:szCs w:val="20"/>
        </w:rPr>
        <w:t xml:space="preserve"> določi pristojnost </w:t>
      </w:r>
      <w:r w:rsidR="009C24C9" w:rsidRPr="002F30DF">
        <w:rPr>
          <w:rFonts w:cs="Arial"/>
          <w:sz w:val="20"/>
          <w:szCs w:val="20"/>
        </w:rPr>
        <w:t>a</w:t>
      </w:r>
      <w:r w:rsidR="0045309B" w:rsidRPr="002F30DF">
        <w:rPr>
          <w:rFonts w:cs="Arial"/>
          <w:sz w:val="20"/>
          <w:szCs w:val="20"/>
        </w:rPr>
        <w:t>genc</w:t>
      </w:r>
      <w:r w:rsidRPr="002F30DF">
        <w:rPr>
          <w:rFonts w:cs="Arial"/>
          <w:sz w:val="20"/>
          <w:szCs w:val="20"/>
        </w:rPr>
        <w:t>ije za vročitev predhodnih ugotovitev o domnevni kršitvi 101. ali 102. člena P</w:t>
      </w:r>
      <w:r w:rsidR="00FF4428" w:rsidRPr="002F30DF">
        <w:rPr>
          <w:rFonts w:cs="Arial"/>
          <w:sz w:val="20"/>
          <w:szCs w:val="20"/>
        </w:rPr>
        <w:t>DEU</w:t>
      </w:r>
      <w:r w:rsidRPr="002F30DF">
        <w:rPr>
          <w:rFonts w:cs="Arial"/>
          <w:sz w:val="20"/>
          <w:szCs w:val="20"/>
        </w:rPr>
        <w:t xml:space="preserve"> ter odločb, s katerimi se uporabita navedena člena, drugih procesnih aktov, sprejetih v okviru postopkov za uveljavljanje pravil konkurence, ki bi moral</w:t>
      </w:r>
      <w:r w:rsidR="00FF4428" w:rsidRPr="002F30DF">
        <w:rPr>
          <w:rFonts w:cs="Arial"/>
          <w:sz w:val="20"/>
          <w:szCs w:val="20"/>
        </w:rPr>
        <w:t>i</w:t>
      </w:r>
      <w:r w:rsidRPr="002F30DF">
        <w:rPr>
          <w:rFonts w:cs="Arial"/>
          <w:sz w:val="20"/>
          <w:szCs w:val="20"/>
        </w:rPr>
        <w:t xml:space="preserve"> biti v skladu z nacionalnim pravom vročen</w:t>
      </w:r>
      <w:r w:rsidR="00FF4428" w:rsidRPr="002F30DF">
        <w:rPr>
          <w:rFonts w:cs="Arial"/>
          <w:sz w:val="20"/>
          <w:szCs w:val="20"/>
        </w:rPr>
        <w:t>i</w:t>
      </w:r>
      <w:r w:rsidRPr="002F30DF">
        <w:rPr>
          <w:rFonts w:cs="Arial"/>
          <w:sz w:val="20"/>
          <w:szCs w:val="20"/>
        </w:rPr>
        <w:t>, ter drugih ustrezn</w:t>
      </w:r>
      <w:r w:rsidR="00434718" w:rsidRPr="002F30DF">
        <w:rPr>
          <w:rFonts w:cs="Arial"/>
          <w:sz w:val="20"/>
          <w:szCs w:val="20"/>
        </w:rPr>
        <w:t>ih</w:t>
      </w:r>
      <w:r w:rsidRPr="002F30DF">
        <w:rPr>
          <w:rFonts w:cs="Arial"/>
          <w:sz w:val="20"/>
          <w:szCs w:val="20"/>
        </w:rPr>
        <w:t xml:space="preserve"> dokument</w:t>
      </w:r>
      <w:r w:rsidR="00434718" w:rsidRPr="002F30DF">
        <w:rPr>
          <w:rFonts w:cs="Arial"/>
          <w:sz w:val="20"/>
          <w:szCs w:val="20"/>
        </w:rPr>
        <w:t>ov</w:t>
      </w:r>
      <w:r w:rsidRPr="002F30DF">
        <w:rPr>
          <w:rFonts w:cs="Arial"/>
          <w:sz w:val="20"/>
          <w:szCs w:val="20"/>
        </w:rPr>
        <w:t xml:space="preserve"> v zvezi z uporabo 101. ali 102. člena P</w:t>
      </w:r>
      <w:r w:rsidR="00FF4428" w:rsidRPr="002F30DF">
        <w:rPr>
          <w:rFonts w:cs="Arial"/>
          <w:sz w:val="20"/>
          <w:szCs w:val="20"/>
        </w:rPr>
        <w:t>DEU</w:t>
      </w:r>
      <w:r w:rsidRPr="002F30DF">
        <w:rPr>
          <w:rFonts w:cs="Arial"/>
          <w:sz w:val="20"/>
          <w:szCs w:val="20"/>
        </w:rPr>
        <w:t>, med drugim tudi dokumente, ki se nanašajo na izvršitev odločb o izreku denarnih kazni ali periodičnih denarnih kazni, ki jih izdajo organi, pristojni za varstvo konkurence druge države članice. Pri vročitvi teh dokumentov se smiselno upravljajo določbe ZUP (</w:t>
      </w:r>
      <w:r w:rsidRPr="002F30DF">
        <w:rPr>
          <w:rFonts w:cs="Arial"/>
          <w:sz w:val="20"/>
          <w:szCs w:val="20"/>
          <w:u w:val="single"/>
        </w:rPr>
        <w:t>drugi odstavek</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ureja primere, ko </w:t>
      </w:r>
      <w:r w:rsidR="00434718" w:rsidRPr="002F30DF">
        <w:rPr>
          <w:rFonts w:cs="Arial"/>
          <w:sz w:val="20"/>
          <w:szCs w:val="20"/>
        </w:rPr>
        <w:t xml:space="preserve">je </w:t>
      </w:r>
      <w:r w:rsidRPr="002F30DF">
        <w:rPr>
          <w:rFonts w:cs="Arial"/>
          <w:sz w:val="20"/>
          <w:szCs w:val="20"/>
        </w:rPr>
        <w:t>organ prosilec na svojem ozemlj</w:t>
      </w:r>
      <w:r w:rsidR="006F4CA7" w:rsidRPr="002F30DF">
        <w:rPr>
          <w:rFonts w:cs="Arial"/>
          <w:sz w:val="20"/>
          <w:szCs w:val="20"/>
        </w:rPr>
        <w:t>u</w:t>
      </w:r>
      <w:r w:rsidRPr="002F30DF">
        <w:rPr>
          <w:rFonts w:cs="Arial"/>
          <w:sz w:val="20"/>
          <w:szCs w:val="20"/>
        </w:rPr>
        <w:t xml:space="preserve"> neuspešen pri izterjavi izrečene denarne sankcije ali periodične denarne sankcije. V primeru, če se je organ prosilec na svojem ozemlju v razumnih mejah skušal prepričati, da podjetje, kateremu je izrekel denarno sankcijo ali periodično denarno sankcijo, nima sredstev v državi organa prosilca, ki bi zadostovala, da bi bilo mogoče izterjati izrečeno denarno sankcijo ali periodično denarno sankcijo in če zaprosilo organa prosilca vsebuje vse sestavine iz drugega in četrtega odstavka </w:t>
      </w:r>
      <w:r w:rsidR="00384FE5" w:rsidRPr="002F30DF">
        <w:rPr>
          <w:rFonts w:cs="Arial"/>
          <w:sz w:val="20"/>
          <w:szCs w:val="20"/>
        </w:rPr>
        <w:t>10</w:t>
      </w:r>
      <w:r w:rsidR="005122E7" w:rsidRPr="002F30DF">
        <w:rPr>
          <w:rFonts w:cs="Arial"/>
          <w:sz w:val="20"/>
          <w:szCs w:val="20"/>
        </w:rPr>
        <w:t>0</w:t>
      </w:r>
      <w:r w:rsidRPr="002F30DF">
        <w:rPr>
          <w:rFonts w:cs="Arial"/>
          <w:sz w:val="20"/>
          <w:szCs w:val="20"/>
        </w:rPr>
        <w:t xml:space="preserve">. člena tega zakona, </w:t>
      </w:r>
      <w:r w:rsidR="009C24C9" w:rsidRPr="002F30DF">
        <w:rPr>
          <w:rFonts w:cs="Arial"/>
          <w:sz w:val="20"/>
          <w:szCs w:val="20"/>
        </w:rPr>
        <w:t>a</w:t>
      </w:r>
      <w:r w:rsidR="0045309B" w:rsidRPr="002F30DF">
        <w:rPr>
          <w:rFonts w:cs="Arial"/>
          <w:sz w:val="20"/>
          <w:szCs w:val="20"/>
        </w:rPr>
        <w:t>genc</w:t>
      </w:r>
      <w:r w:rsidRPr="002F30DF">
        <w:rPr>
          <w:rFonts w:cs="Arial"/>
          <w:sz w:val="20"/>
          <w:szCs w:val="20"/>
        </w:rPr>
        <w:t xml:space="preserve">ija vloži predlog za izvršbo pri </w:t>
      </w:r>
      <w:r w:rsidR="00626C78" w:rsidRPr="002F30DF">
        <w:rPr>
          <w:rFonts w:cs="Arial"/>
          <w:sz w:val="20"/>
          <w:szCs w:val="20"/>
        </w:rPr>
        <w:t>pristojnemu davčnemu organu</w:t>
      </w:r>
      <w:r w:rsidRPr="002F30DF">
        <w:rPr>
          <w:rFonts w:cs="Arial"/>
          <w:sz w:val="20"/>
          <w:szCs w:val="20"/>
        </w:rPr>
        <w:t>.</w:t>
      </w:r>
      <w:r w:rsidR="006F4CA7" w:rsidRPr="002F30DF">
        <w:rPr>
          <w:rFonts w:cs="Arial"/>
          <w:sz w:val="20"/>
          <w:szCs w:val="20"/>
        </w:rPr>
        <w:t xml:space="preserve"> Organ prosilec mora </w:t>
      </w:r>
      <w:r w:rsidR="006E52EC" w:rsidRPr="002F30DF">
        <w:rPr>
          <w:rFonts w:cs="Arial"/>
          <w:sz w:val="20"/>
          <w:szCs w:val="20"/>
        </w:rPr>
        <w:t>zaprosilu</w:t>
      </w:r>
      <w:r w:rsidR="006F4CA7" w:rsidRPr="002F30DF">
        <w:rPr>
          <w:rFonts w:cs="Arial"/>
          <w:sz w:val="20"/>
          <w:szCs w:val="20"/>
        </w:rPr>
        <w:t xml:space="preserve"> priložiti tudi </w:t>
      </w:r>
      <w:r w:rsidR="006E52EC" w:rsidRPr="002F30DF">
        <w:rPr>
          <w:rFonts w:cs="Arial"/>
          <w:sz w:val="20"/>
          <w:szCs w:val="20"/>
        </w:rPr>
        <w:t>uraden slovenski</w:t>
      </w:r>
      <w:r w:rsidR="006F4CA7" w:rsidRPr="002F30DF">
        <w:rPr>
          <w:rFonts w:cs="Arial"/>
          <w:sz w:val="20"/>
          <w:szCs w:val="20"/>
        </w:rPr>
        <w:t xml:space="preserve"> prevod akta, ki se vroča.</w:t>
      </w:r>
      <w:r w:rsidRPr="002F30DF">
        <w:rPr>
          <w:rFonts w:cs="Arial"/>
          <w:sz w:val="20"/>
          <w:szCs w:val="20"/>
        </w:rPr>
        <w:t xml:space="preserve"> </w:t>
      </w:r>
      <w:r w:rsidR="00FF4428" w:rsidRPr="002F30DF">
        <w:rPr>
          <w:rFonts w:cs="Arial"/>
          <w:sz w:val="20"/>
          <w:szCs w:val="20"/>
        </w:rPr>
        <w:t xml:space="preserve">Pojem sredstva se ne nanaša zgolj na denarna sredstva na bančnem računu, ampak tudi na druga sredstva, kot na primer nepremičnine. </w:t>
      </w:r>
      <w:r w:rsidRPr="002F30DF">
        <w:rPr>
          <w:rFonts w:cs="Arial"/>
          <w:sz w:val="20"/>
          <w:szCs w:val="20"/>
        </w:rPr>
        <w:t>S tem odstavkom se delno prenašajo prvi in tretji odstavek 26. člena ter prvi odstavek 27. člena Direktive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ureja postopek po katerem organ, pristojen za davčno izvršbo, izvrši izterjavo denarne sankcije ali periodične denarne sankcije. </w:t>
      </w:r>
      <w:r w:rsidR="00FF4428" w:rsidRPr="002F30DF">
        <w:rPr>
          <w:rFonts w:cs="Arial"/>
          <w:sz w:val="20"/>
          <w:szCs w:val="20"/>
        </w:rPr>
        <w:t>D</w:t>
      </w:r>
      <w:r w:rsidRPr="002F30DF">
        <w:rPr>
          <w:rFonts w:cs="Arial"/>
          <w:sz w:val="20"/>
          <w:szCs w:val="20"/>
        </w:rPr>
        <w:t xml:space="preserve">avčni organ </w:t>
      </w:r>
      <w:r w:rsidR="00FF4428" w:rsidRPr="002F30DF">
        <w:rPr>
          <w:rFonts w:cs="Arial"/>
          <w:sz w:val="20"/>
          <w:szCs w:val="20"/>
        </w:rPr>
        <w:t xml:space="preserve">izvrši </w:t>
      </w:r>
      <w:r w:rsidRPr="002F30DF">
        <w:rPr>
          <w:rFonts w:cs="Arial"/>
          <w:sz w:val="20"/>
          <w:szCs w:val="20"/>
        </w:rPr>
        <w:t>izterjav</w:t>
      </w:r>
      <w:r w:rsidR="00FF4428" w:rsidRPr="002F30DF">
        <w:rPr>
          <w:rFonts w:cs="Arial"/>
          <w:sz w:val="20"/>
          <w:szCs w:val="20"/>
        </w:rPr>
        <w:t>o denarn</w:t>
      </w:r>
      <w:r w:rsidR="002700E4" w:rsidRPr="002F30DF">
        <w:rPr>
          <w:rFonts w:cs="Arial"/>
          <w:sz w:val="20"/>
          <w:szCs w:val="20"/>
        </w:rPr>
        <w:t>e</w:t>
      </w:r>
      <w:r w:rsidR="00FF4428" w:rsidRPr="002F30DF">
        <w:rPr>
          <w:rFonts w:cs="Arial"/>
          <w:sz w:val="20"/>
          <w:szCs w:val="20"/>
        </w:rPr>
        <w:t xml:space="preserve"> sankcij</w:t>
      </w:r>
      <w:r w:rsidR="002700E4" w:rsidRPr="002F30DF">
        <w:rPr>
          <w:rFonts w:cs="Arial"/>
          <w:sz w:val="20"/>
          <w:szCs w:val="20"/>
        </w:rPr>
        <w:t>e</w:t>
      </w:r>
      <w:r w:rsidR="00FF4428" w:rsidRPr="002F30DF">
        <w:rPr>
          <w:rFonts w:cs="Arial"/>
          <w:sz w:val="20"/>
          <w:szCs w:val="20"/>
        </w:rPr>
        <w:t xml:space="preserve"> ali periodičn</w:t>
      </w:r>
      <w:r w:rsidR="002700E4" w:rsidRPr="002F30DF">
        <w:rPr>
          <w:rFonts w:cs="Arial"/>
          <w:sz w:val="20"/>
          <w:szCs w:val="20"/>
        </w:rPr>
        <w:t>e</w:t>
      </w:r>
      <w:r w:rsidR="00FF4428" w:rsidRPr="002F30DF">
        <w:rPr>
          <w:rFonts w:cs="Arial"/>
          <w:sz w:val="20"/>
          <w:szCs w:val="20"/>
        </w:rPr>
        <w:t xml:space="preserve"> denarn</w:t>
      </w:r>
      <w:r w:rsidR="002700E4" w:rsidRPr="002F30DF">
        <w:rPr>
          <w:rFonts w:cs="Arial"/>
          <w:sz w:val="20"/>
          <w:szCs w:val="20"/>
        </w:rPr>
        <w:t>e</w:t>
      </w:r>
      <w:r w:rsidR="00FF4428" w:rsidRPr="002F30DF">
        <w:rPr>
          <w:rFonts w:cs="Arial"/>
          <w:sz w:val="20"/>
          <w:szCs w:val="20"/>
        </w:rPr>
        <w:t xml:space="preserve"> sankcij</w:t>
      </w:r>
      <w:r w:rsidR="002700E4" w:rsidRPr="002F30DF">
        <w:rPr>
          <w:rFonts w:cs="Arial"/>
          <w:sz w:val="20"/>
          <w:szCs w:val="20"/>
        </w:rPr>
        <w:t>e</w:t>
      </w:r>
      <w:r w:rsidR="00FF4428" w:rsidRPr="002F30DF">
        <w:rPr>
          <w:rFonts w:cs="Arial"/>
          <w:sz w:val="20"/>
          <w:szCs w:val="20"/>
        </w:rPr>
        <w:t xml:space="preserve"> skladno z</w:t>
      </w:r>
      <w:r w:rsidRPr="002F30DF">
        <w:rPr>
          <w:rFonts w:cs="Arial"/>
          <w:sz w:val="20"/>
          <w:szCs w:val="20"/>
        </w:rPr>
        <w:t xml:space="preserve"> zakon</w:t>
      </w:r>
      <w:r w:rsidR="00FF4428" w:rsidRPr="002F30DF">
        <w:rPr>
          <w:rFonts w:cs="Arial"/>
          <w:sz w:val="20"/>
          <w:szCs w:val="20"/>
        </w:rPr>
        <w:t>om</w:t>
      </w:r>
      <w:r w:rsidRPr="002F30DF">
        <w:rPr>
          <w:rFonts w:cs="Arial"/>
          <w:sz w:val="20"/>
          <w:szCs w:val="20"/>
        </w:rPr>
        <w:t>, ki ureja davčni postopek</w:t>
      </w:r>
      <w:r w:rsidR="00626C78" w:rsidRPr="002F30DF">
        <w:rPr>
          <w:rFonts w:cs="Arial"/>
          <w:sz w:val="20"/>
          <w:szCs w:val="20"/>
        </w:rPr>
        <w:t xml:space="preserve"> na predlog agencije</w:t>
      </w:r>
      <w:r w:rsidRPr="002F30DF">
        <w:rPr>
          <w:rFonts w:cs="Arial"/>
          <w:sz w:val="20"/>
          <w:szCs w:val="20"/>
        </w:rPr>
        <w:t>. Določitev tega postopka za izterjavo odločb organov, pristojnih za varstvo konkurence, je dopustna z vidika Direktive 2019/1, ki v prvem odstavku 27. člena določa, da države članice zagotovijo, da zaprošeni organ izvrši zaprosila iz 25</w:t>
      </w:r>
      <w:r w:rsidR="00FF4428" w:rsidRPr="002F30DF">
        <w:rPr>
          <w:rFonts w:cs="Arial"/>
          <w:sz w:val="20"/>
          <w:szCs w:val="20"/>
        </w:rPr>
        <w:t>.</w:t>
      </w:r>
      <w:r w:rsidRPr="002F30DF">
        <w:rPr>
          <w:rFonts w:cs="Arial"/>
          <w:sz w:val="20"/>
          <w:szCs w:val="20"/>
        </w:rPr>
        <w:t xml:space="preserve"> in 26</w:t>
      </w:r>
      <w:r w:rsidR="00FF4428" w:rsidRPr="002F30DF">
        <w:rPr>
          <w:rFonts w:cs="Arial"/>
          <w:sz w:val="20"/>
          <w:szCs w:val="20"/>
        </w:rPr>
        <w:t>. člena</w:t>
      </w:r>
      <w:r w:rsidRPr="002F30DF">
        <w:rPr>
          <w:rFonts w:cs="Arial"/>
          <w:sz w:val="20"/>
          <w:szCs w:val="20"/>
        </w:rPr>
        <w:t xml:space="preserve"> v skladu z nacionalnim pravom države članice zaprošenega organa.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 podlagi </w:t>
      </w:r>
      <w:r w:rsidRPr="002F30DF">
        <w:rPr>
          <w:rFonts w:cs="Arial"/>
          <w:sz w:val="20"/>
          <w:szCs w:val="20"/>
          <w:u w:val="single"/>
        </w:rPr>
        <w:t>petega odstavka</w:t>
      </w:r>
      <w:r w:rsidRPr="002F30DF">
        <w:rPr>
          <w:rFonts w:cs="Arial"/>
          <w:sz w:val="20"/>
          <w:szCs w:val="20"/>
        </w:rPr>
        <w:t xml:space="preserve"> se za izvršitev odločbe organa prosilca ne sme zahtevati nobenih listin o priznanjih, dopolnitv</w:t>
      </w:r>
      <w:r w:rsidR="006F4CA7" w:rsidRPr="002F30DF">
        <w:rPr>
          <w:rFonts w:cs="Arial"/>
          <w:sz w:val="20"/>
          <w:szCs w:val="20"/>
        </w:rPr>
        <w:t>ah ali</w:t>
      </w:r>
      <w:r w:rsidRPr="002F30DF">
        <w:rPr>
          <w:rFonts w:cs="Arial"/>
          <w:sz w:val="20"/>
          <w:szCs w:val="20"/>
        </w:rPr>
        <w:t xml:space="preserve"> nadomestitv</w:t>
      </w:r>
      <w:r w:rsidR="006F4CA7" w:rsidRPr="002F30DF">
        <w:rPr>
          <w:rFonts w:cs="Arial"/>
          <w:sz w:val="20"/>
          <w:szCs w:val="20"/>
        </w:rPr>
        <w:t>ah</w:t>
      </w:r>
      <w:r w:rsidRPr="002F30DF">
        <w:rPr>
          <w:rFonts w:cs="Arial"/>
          <w:sz w:val="20"/>
          <w:szCs w:val="20"/>
        </w:rPr>
        <w:t xml:space="preserve">, če zaprosilo vsebuje vse predpisane </w:t>
      </w:r>
      <w:r w:rsidR="006F4CA7" w:rsidRPr="002F30DF">
        <w:rPr>
          <w:rFonts w:cs="Arial"/>
          <w:sz w:val="20"/>
          <w:szCs w:val="20"/>
        </w:rPr>
        <w:t>podatke</w:t>
      </w:r>
      <w:r w:rsidRPr="002F30DF">
        <w:rPr>
          <w:rFonts w:cs="Arial"/>
          <w:sz w:val="20"/>
          <w:szCs w:val="20"/>
        </w:rPr>
        <w:t>. S tem odstavkom se prenaša četrti odstavek 27. člena Direktive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Šesti odstavek</w:t>
      </w:r>
      <w:r w:rsidRPr="002F30DF">
        <w:rPr>
          <w:rFonts w:cs="Arial"/>
          <w:sz w:val="20"/>
          <w:szCs w:val="20"/>
        </w:rPr>
        <w:t xml:space="preserve"> določa izjemo od tretjega odstavka. </w:t>
      </w:r>
      <w:r w:rsidR="0045309B" w:rsidRPr="002F30DF">
        <w:rPr>
          <w:rFonts w:cs="Arial"/>
          <w:sz w:val="20"/>
          <w:szCs w:val="20"/>
        </w:rPr>
        <w:t>Agenc</w:t>
      </w:r>
      <w:r w:rsidRPr="002F30DF">
        <w:rPr>
          <w:rFonts w:cs="Arial"/>
          <w:sz w:val="20"/>
          <w:szCs w:val="20"/>
        </w:rPr>
        <w:t>ija in davčni organ lahko izvršita izterjavo denarne sankcije ali periodične denarne sankcije, če podjetje nima sedeža v državi organa prosilca. Pogoj, ki mora biti izpolnjen je, dao</w:t>
      </w:r>
      <w:r w:rsidR="00626C78" w:rsidRPr="002F30DF">
        <w:rPr>
          <w:rFonts w:cs="Arial"/>
          <w:sz w:val="20"/>
          <w:szCs w:val="20"/>
        </w:rPr>
        <w:t>agencija</w:t>
      </w:r>
      <w:r w:rsidRPr="002F30DF">
        <w:rPr>
          <w:rFonts w:cs="Arial"/>
          <w:sz w:val="20"/>
          <w:szCs w:val="20"/>
        </w:rPr>
        <w:t xml:space="preserve"> zaprosi za izterjavo takšne odločbe ter da zaprosil</w:t>
      </w:r>
      <w:r w:rsidR="002700E4" w:rsidRPr="002F30DF">
        <w:rPr>
          <w:rFonts w:cs="Arial"/>
          <w:sz w:val="20"/>
          <w:szCs w:val="20"/>
        </w:rPr>
        <w:t>o</w:t>
      </w:r>
      <w:r w:rsidRPr="002F30DF">
        <w:rPr>
          <w:rFonts w:cs="Arial"/>
          <w:sz w:val="20"/>
          <w:szCs w:val="20"/>
        </w:rPr>
        <w:t xml:space="preserve"> vsebuje vse zahtevane podatke. V tem primeru organu prosilcu v zaprosilu ni treba navesti informacij</w:t>
      </w:r>
      <w:r w:rsidR="00434718" w:rsidRPr="002F30DF">
        <w:rPr>
          <w:rFonts w:cs="Arial"/>
          <w:sz w:val="20"/>
          <w:szCs w:val="20"/>
        </w:rPr>
        <w:t>o</w:t>
      </w:r>
      <w:r w:rsidRPr="002F30DF">
        <w:rPr>
          <w:rFonts w:cs="Arial"/>
          <w:sz w:val="20"/>
          <w:szCs w:val="20"/>
        </w:rPr>
        <w:t xml:space="preserve"> o tem, kako je v razumnih mejah skušal izvršiti odločbo na svojem ozemlju. S tem odstavkom se prenaša drugi odstavek 26. člena Direktive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lastRenderedPageBreak/>
        <w:t>Sedmi odstavek</w:t>
      </w:r>
      <w:r w:rsidRPr="002F30DF">
        <w:rPr>
          <w:rFonts w:cs="Arial"/>
          <w:sz w:val="20"/>
          <w:szCs w:val="20"/>
        </w:rPr>
        <w:t xml:space="preserve"> določa katero pravo se uporablja pri izterjavi odločb, s katerimi je izrečena denarna sankcija ali periodična denarna sankcija po tem členu. Skladno s četrtim odstavkom 26. člena Direktive je določeno, da se uporablja pravo države, kjer ima sedež organ prosilec.</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Ker niso vse države članice evro območj</w:t>
      </w:r>
      <w:r w:rsidR="001030B2" w:rsidRPr="002F30DF">
        <w:rPr>
          <w:rFonts w:cs="Arial"/>
          <w:sz w:val="20"/>
          <w:szCs w:val="20"/>
        </w:rPr>
        <w:t>a</w:t>
      </w:r>
      <w:r w:rsidRPr="002F30DF">
        <w:rPr>
          <w:rFonts w:cs="Arial"/>
          <w:sz w:val="20"/>
          <w:szCs w:val="20"/>
        </w:rPr>
        <w:t xml:space="preserve">, </w:t>
      </w:r>
      <w:r w:rsidR="00FF4428" w:rsidRPr="002F30DF">
        <w:rPr>
          <w:rFonts w:cs="Arial"/>
          <w:sz w:val="20"/>
          <w:szCs w:val="20"/>
        </w:rPr>
        <w:t xml:space="preserve">so lahko izrečene denarne sankcije ali periodične denarne sankcije </w:t>
      </w:r>
      <w:r w:rsidR="001030B2" w:rsidRPr="002F30DF">
        <w:rPr>
          <w:rFonts w:cs="Arial"/>
          <w:sz w:val="20"/>
          <w:szCs w:val="20"/>
        </w:rPr>
        <w:t xml:space="preserve">v drugi valuti. Zato </w:t>
      </w:r>
      <w:r w:rsidRPr="002F30DF">
        <w:rPr>
          <w:rFonts w:cs="Arial"/>
          <w:sz w:val="20"/>
          <w:szCs w:val="20"/>
        </w:rPr>
        <w:t xml:space="preserve">se v </w:t>
      </w:r>
      <w:r w:rsidRPr="002F30DF">
        <w:rPr>
          <w:rFonts w:cs="Arial"/>
          <w:sz w:val="20"/>
          <w:szCs w:val="20"/>
          <w:u w:val="single"/>
        </w:rPr>
        <w:t>osmem odstavku</w:t>
      </w:r>
      <w:r w:rsidRPr="002F30DF">
        <w:rPr>
          <w:rFonts w:cs="Arial"/>
          <w:sz w:val="20"/>
          <w:szCs w:val="20"/>
        </w:rPr>
        <w:t xml:space="preserve"> določa, da davčni organ izterja denarno sankcijo ali periodično denarno sankcijo v evrih. Če se denarna sankcija ali periodična denarna sankcija v odločbi, ki jo je izdal organ prosilec, glasi na znesek v drugi valuti, se znesek denarne sankcije ali periodične denarne sankcije iz tuje valute pretvori v evro po srednjem menjalnem tečaju Banke Slovenije, ki je veljal na dan, ko je bila denarna sankcija ali periodična denarna sankcija izrečena. S tem odstavkom se prenaša</w:t>
      </w:r>
      <w:r w:rsidR="002700E4" w:rsidRPr="002F30DF">
        <w:rPr>
          <w:rFonts w:cs="Arial"/>
          <w:sz w:val="20"/>
          <w:szCs w:val="20"/>
        </w:rPr>
        <w:t>ta</w:t>
      </w:r>
      <w:r w:rsidRPr="002F30DF">
        <w:rPr>
          <w:rFonts w:cs="Arial"/>
          <w:sz w:val="20"/>
          <w:szCs w:val="20"/>
        </w:rPr>
        <w:t xml:space="preserve"> drugi in tretji pododstavek osmega odstavka 27. člena Direktive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Deveti odstavek</w:t>
      </w:r>
      <w:r w:rsidRPr="002F30DF">
        <w:rPr>
          <w:rFonts w:cs="Arial"/>
          <w:sz w:val="20"/>
          <w:szCs w:val="20"/>
        </w:rPr>
        <w:t xml:space="preserve"> ureja izjemo od dolžnosti vročitve aktov iz prvega odstavka tega člena oziroma izvršitve pravnomočnih odločb, s katerimi je organ prosilec izrekel podjetju denarno sankcijo ali periodično denarno sankcijo zaradi kršitev 101. ali 102. člena PDEU. </w:t>
      </w:r>
      <w:r w:rsidR="0045309B" w:rsidRPr="002F30DF">
        <w:rPr>
          <w:rFonts w:cs="Arial"/>
          <w:sz w:val="20"/>
          <w:szCs w:val="20"/>
        </w:rPr>
        <w:t>Agenc</w:t>
      </w:r>
      <w:r w:rsidRPr="002F30DF">
        <w:rPr>
          <w:rFonts w:cs="Arial"/>
          <w:sz w:val="20"/>
          <w:szCs w:val="20"/>
        </w:rPr>
        <w:t>iji n</w:t>
      </w:r>
      <w:r w:rsidR="001030B2" w:rsidRPr="002F30DF">
        <w:rPr>
          <w:rFonts w:cs="Arial"/>
          <w:sz w:val="20"/>
          <w:szCs w:val="20"/>
        </w:rPr>
        <w:t>i</w:t>
      </w:r>
      <w:r w:rsidRPr="002F30DF">
        <w:rPr>
          <w:rFonts w:cs="Arial"/>
          <w:sz w:val="20"/>
          <w:szCs w:val="20"/>
        </w:rPr>
        <w:t xml:space="preserve"> treba vročiti aktov iz prvega odstavka tega člena</w:t>
      </w:r>
      <w:r w:rsidR="00626C78" w:rsidRPr="002F30DF">
        <w:rPr>
          <w:rFonts w:cs="Arial"/>
          <w:sz w:val="20"/>
          <w:szCs w:val="20"/>
        </w:rPr>
        <w:t xml:space="preserve"> in</w:t>
      </w:r>
      <w:r w:rsidRPr="002F30DF">
        <w:rPr>
          <w:rFonts w:cs="Arial"/>
          <w:sz w:val="20"/>
          <w:szCs w:val="20"/>
        </w:rPr>
        <w:t xml:space="preserve"> davčnemu organu </w:t>
      </w:r>
      <w:r w:rsidR="00626C78" w:rsidRPr="002F30DF">
        <w:rPr>
          <w:rFonts w:cs="Arial"/>
          <w:sz w:val="20"/>
          <w:szCs w:val="20"/>
        </w:rPr>
        <w:t xml:space="preserve">predložiti v izvršitev pravnomočne odločbe </w:t>
      </w:r>
      <w:r w:rsidRPr="002F30DF">
        <w:rPr>
          <w:rFonts w:cs="Arial"/>
          <w:sz w:val="20"/>
          <w:szCs w:val="20"/>
        </w:rPr>
        <w:t>, če zaprosilo ne vsebuje vseh sestavin iz drugega oziroma četrtega odstavka 10</w:t>
      </w:r>
      <w:r w:rsidR="005122E7" w:rsidRPr="002F30DF">
        <w:rPr>
          <w:rFonts w:cs="Arial"/>
          <w:sz w:val="20"/>
          <w:szCs w:val="20"/>
        </w:rPr>
        <w:t>4</w:t>
      </w:r>
      <w:r w:rsidRPr="002F30DF">
        <w:rPr>
          <w:rFonts w:cs="Arial"/>
          <w:sz w:val="20"/>
          <w:szCs w:val="20"/>
        </w:rPr>
        <w:t xml:space="preserve">. člena tega zakona, ali če lahko </w:t>
      </w:r>
      <w:r w:rsidR="009C24C9" w:rsidRPr="002F30DF">
        <w:rPr>
          <w:rFonts w:cs="Arial"/>
          <w:sz w:val="20"/>
          <w:szCs w:val="20"/>
        </w:rPr>
        <w:t>a</w:t>
      </w:r>
      <w:r w:rsidR="0045309B" w:rsidRPr="002F30DF">
        <w:rPr>
          <w:rFonts w:cs="Arial"/>
          <w:sz w:val="20"/>
          <w:szCs w:val="20"/>
        </w:rPr>
        <w:t>genc</w:t>
      </w:r>
      <w:r w:rsidRPr="002F30DF">
        <w:rPr>
          <w:rFonts w:cs="Arial"/>
          <w:sz w:val="20"/>
          <w:szCs w:val="20"/>
        </w:rPr>
        <w:t>ija dokaže</w:t>
      </w:r>
      <w:r w:rsidR="00C10A69" w:rsidRPr="002F30DF">
        <w:rPr>
          <w:rFonts w:cs="Arial"/>
          <w:sz w:val="20"/>
          <w:szCs w:val="20"/>
        </w:rPr>
        <w:t xml:space="preserve"> utemeljene razloge</w:t>
      </w:r>
      <w:r w:rsidRPr="002F30DF">
        <w:rPr>
          <w:rFonts w:cs="Arial"/>
          <w:sz w:val="20"/>
          <w:szCs w:val="20"/>
        </w:rPr>
        <w:t>, da bi bila taka izvršitev zaprosila očitno v nasprotju z javnim redom Republike Slovenije. S tem odstavkom se prenaša šesti odstavek 27. člena Direktive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w:t>
      </w:r>
      <w:r w:rsidR="009C24C9" w:rsidRPr="002F30DF">
        <w:rPr>
          <w:rFonts w:cs="Arial"/>
          <w:sz w:val="20"/>
          <w:szCs w:val="20"/>
        </w:rPr>
        <w:t>a</w:t>
      </w:r>
      <w:r w:rsidR="0045309B" w:rsidRPr="002F30DF">
        <w:rPr>
          <w:rFonts w:cs="Arial"/>
          <w:sz w:val="20"/>
          <w:szCs w:val="20"/>
        </w:rPr>
        <w:t>genc</w:t>
      </w:r>
      <w:r w:rsidRPr="002F30DF">
        <w:rPr>
          <w:rFonts w:cs="Arial"/>
          <w:sz w:val="20"/>
          <w:szCs w:val="20"/>
        </w:rPr>
        <w:t>ija</w:t>
      </w:r>
      <w:r w:rsidR="005122E7" w:rsidRPr="002F30DF">
        <w:rPr>
          <w:rFonts w:cs="Arial"/>
          <w:sz w:val="20"/>
          <w:szCs w:val="20"/>
        </w:rPr>
        <w:t xml:space="preserve"> </w:t>
      </w:r>
      <w:r w:rsidRPr="002F30DF">
        <w:rPr>
          <w:rFonts w:cs="Arial"/>
          <w:sz w:val="20"/>
          <w:szCs w:val="20"/>
        </w:rPr>
        <w:t>namerava zavrniti prošnjo organa prosilca, mor</w:t>
      </w:r>
      <w:r w:rsidR="00626C78" w:rsidRPr="002F30DF">
        <w:rPr>
          <w:rFonts w:cs="Arial"/>
          <w:sz w:val="20"/>
          <w:szCs w:val="20"/>
        </w:rPr>
        <w:t>a</w:t>
      </w:r>
      <w:r w:rsidRPr="002F30DF">
        <w:rPr>
          <w:rFonts w:cs="Arial"/>
          <w:sz w:val="20"/>
          <w:szCs w:val="20"/>
        </w:rPr>
        <w:t xml:space="preserve"> preden to stori zaprositi organ prosilca za dodatne informacije. S tem odstavkom se prenaša pododstavek šestega odstavka 27. člena Direktiv</w:t>
      </w:r>
      <w:r w:rsidR="001030B2" w:rsidRPr="002F30DF">
        <w:rPr>
          <w:rFonts w:cs="Arial"/>
          <w:sz w:val="20"/>
          <w:szCs w:val="20"/>
        </w:rPr>
        <w:t>e</w:t>
      </w:r>
      <w:r w:rsidRPr="002F30DF">
        <w:rPr>
          <w:rFonts w:cs="Arial"/>
          <w:sz w:val="20"/>
          <w:szCs w:val="20"/>
        </w:rPr>
        <w:t xml:space="preserve"> 2019/1.</w:t>
      </w:r>
    </w:p>
    <w:p w:rsidR="00194DA4" w:rsidRPr="002F30DF" w:rsidRDefault="00194DA4" w:rsidP="0025166A">
      <w:pPr>
        <w:spacing w:line="260" w:lineRule="atLeast"/>
        <w:rPr>
          <w:rFonts w:cs="Arial"/>
          <w:sz w:val="20"/>
          <w:szCs w:val="20"/>
        </w:rPr>
      </w:pPr>
    </w:p>
    <w:p w:rsidR="006E52EC" w:rsidRPr="002F30DF" w:rsidRDefault="006E52EC" w:rsidP="0025166A">
      <w:pPr>
        <w:spacing w:line="260" w:lineRule="atLeast"/>
        <w:rPr>
          <w:rFonts w:cs="Arial"/>
          <w:sz w:val="20"/>
          <w:szCs w:val="20"/>
        </w:rPr>
      </w:pPr>
      <w:r w:rsidRPr="002F30DF">
        <w:rPr>
          <w:rFonts w:cs="Arial"/>
          <w:sz w:val="20"/>
          <w:szCs w:val="20"/>
          <w:u w:val="single"/>
        </w:rPr>
        <w:t>Enajsti odstavek</w:t>
      </w:r>
      <w:r w:rsidRPr="002F30DF">
        <w:rPr>
          <w:rFonts w:cs="Arial"/>
          <w:sz w:val="20"/>
          <w:szCs w:val="20"/>
        </w:rPr>
        <w:t xml:space="preserve"> pa določa, da davčni organ nakaže izterjano denarno sankcijo, ki jo je izrekel organ prosilec, nakaže na račun organa prosilca.</w:t>
      </w:r>
    </w:p>
    <w:p w:rsidR="006E52EC" w:rsidRPr="002F30DF" w:rsidRDefault="006E52EC"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84FE5" w:rsidRPr="002F30DF">
        <w:rPr>
          <w:rFonts w:cs="Arial"/>
          <w:b/>
          <w:sz w:val="20"/>
          <w:szCs w:val="20"/>
        </w:rPr>
        <w:t>10</w:t>
      </w:r>
      <w:r w:rsidR="005122E7" w:rsidRPr="002F30DF">
        <w:rPr>
          <w:rFonts w:cs="Arial"/>
          <w:b/>
          <w:sz w:val="20"/>
          <w:szCs w:val="20"/>
        </w:rPr>
        <w:t>1</w:t>
      </w:r>
      <w:r w:rsidRPr="002F30DF">
        <w:rPr>
          <w:rFonts w:cs="Arial"/>
          <w:b/>
          <w:sz w:val="20"/>
          <w:szCs w:val="20"/>
        </w:rPr>
        <w:t>. členu (stroški)</w:t>
      </w:r>
    </w:p>
    <w:p w:rsidR="007522E3" w:rsidRPr="002F30DF" w:rsidRDefault="007522E3" w:rsidP="0025166A">
      <w:pPr>
        <w:spacing w:line="260" w:lineRule="atLeast"/>
        <w:rPr>
          <w:rFonts w:cs="Arial"/>
          <w:b/>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vloži izvršbo v imenu organa prosilca ter izterjano denarno sankcijo oziroma periodično denarno sankcijo nakaže na račun organa prosilca. Ker pa je </w:t>
      </w:r>
      <w:r w:rsidR="007522E3" w:rsidRPr="002F30DF">
        <w:rPr>
          <w:rFonts w:cs="Arial"/>
          <w:sz w:val="20"/>
          <w:szCs w:val="20"/>
        </w:rPr>
        <w:lastRenderedPageBreak/>
        <w:t xml:space="preserve">vročitev in izvršitev aktov organov prosilcev povezana s stroški, ki jih ima pri izvršitvi teh nalog, se v tem členu skladno z osmim odstavkom 27. člena Direktive 2019/1 ureja pravica do povrnitve stroškov. </w:t>
      </w:r>
    </w:p>
    <w:p w:rsidR="007522E3" w:rsidRPr="002F30DF" w:rsidRDefault="007522E3" w:rsidP="0025166A">
      <w:pPr>
        <w:spacing w:line="260" w:lineRule="atLeast"/>
        <w:rPr>
          <w:rFonts w:cs="Arial"/>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 xml:space="preserve">ija lahko zahteva od organa prosilca </w:t>
      </w:r>
      <w:r w:rsidR="00B36ACC" w:rsidRPr="002F30DF">
        <w:rPr>
          <w:rFonts w:cs="Arial"/>
          <w:sz w:val="20"/>
          <w:szCs w:val="20"/>
        </w:rPr>
        <w:t xml:space="preserve">povračilo </w:t>
      </w:r>
      <w:r w:rsidR="007522E3" w:rsidRPr="002F30DF">
        <w:rPr>
          <w:rFonts w:cs="Arial"/>
          <w:sz w:val="20"/>
          <w:szCs w:val="20"/>
        </w:rPr>
        <w:t xml:space="preserve">vseh razumnih dodatnih stroškov, vključno s stroški prevoda, dela in upravnimi stroški, povezanimi z ukrepi, sprejetimi za vročitev aktov iz prvega odstavka </w:t>
      </w:r>
      <w:r w:rsidR="00D82B16" w:rsidRPr="002F30DF">
        <w:rPr>
          <w:rFonts w:cs="Arial"/>
          <w:sz w:val="20"/>
          <w:szCs w:val="20"/>
        </w:rPr>
        <w:t>10</w:t>
      </w:r>
      <w:r w:rsidR="005122E7" w:rsidRPr="002F30DF">
        <w:rPr>
          <w:rFonts w:cs="Arial"/>
          <w:sz w:val="20"/>
          <w:szCs w:val="20"/>
        </w:rPr>
        <w:t>0</w:t>
      </w:r>
      <w:r w:rsidR="007522E3" w:rsidRPr="002F30DF">
        <w:rPr>
          <w:rFonts w:cs="Arial"/>
          <w:sz w:val="20"/>
          <w:szCs w:val="20"/>
        </w:rPr>
        <w:t xml:space="preserve">. člena tega zakona ter izvršitev aktov iz tretjega odstavka </w:t>
      </w:r>
      <w:r w:rsidR="00D82B16" w:rsidRPr="002F30DF">
        <w:rPr>
          <w:rFonts w:cs="Arial"/>
          <w:sz w:val="20"/>
          <w:szCs w:val="20"/>
        </w:rPr>
        <w:t>10</w:t>
      </w:r>
      <w:r w:rsidR="00E75C13" w:rsidRPr="002F30DF">
        <w:rPr>
          <w:rFonts w:cs="Arial"/>
          <w:sz w:val="20"/>
          <w:szCs w:val="20"/>
        </w:rPr>
        <w:t>0</w:t>
      </w:r>
      <w:r w:rsidR="007522E3" w:rsidRPr="002F30DF">
        <w:rPr>
          <w:rFonts w:cs="Arial"/>
          <w:sz w:val="20"/>
          <w:szCs w:val="20"/>
        </w:rPr>
        <w:t>. člena tega zakona.</w:t>
      </w:r>
      <w:r w:rsidR="006F4CA7" w:rsidRPr="002F30DF">
        <w:rPr>
          <w:rFonts w:cs="Arial"/>
          <w:sz w:val="20"/>
          <w:szCs w:val="20"/>
        </w:rPr>
        <w:t xml:space="preserve"> </w:t>
      </w:r>
      <w:r w:rsidR="00B36ACC" w:rsidRPr="002F30DF">
        <w:rPr>
          <w:rFonts w:cs="Arial"/>
          <w:sz w:val="20"/>
          <w:szCs w:val="20"/>
        </w:rPr>
        <w:t>Povračilo</w:t>
      </w:r>
      <w:r w:rsidR="006F4CA7" w:rsidRPr="002F30DF">
        <w:rPr>
          <w:rFonts w:cs="Arial"/>
          <w:sz w:val="20"/>
          <w:szCs w:val="20"/>
        </w:rPr>
        <w:t xml:space="preserve"> je prihodek Republike Slovenije.</w:t>
      </w:r>
      <w:r w:rsidR="007522E3" w:rsidRPr="002F30DF">
        <w:rPr>
          <w:rFonts w:cs="Arial"/>
          <w:sz w:val="20"/>
          <w:szCs w:val="20"/>
        </w:rPr>
        <w:t xml:space="preserve"> Za poplačilo vseh stroškov povezanih z </w:t>
      </w:r>
      <w:r w:rsidR="00B36ACC" w:rsidRPr="002F30DF">
        <w:rPr>
          <w:rFonts w:cs="Arial"/>
          <w:sz w:val="20"/>
          <w:szCs w:val="20"/>
        </w:rPr>
        <w:t>vročitvijo in izvršitvijo aktov organov, pristojnih za varstvo konkurence drugih držav članic</w:t>
      </w:r>
      <w:r w:rsidR="007522E3" w:rsidRPr="002F30DF">
        <w:rPr>
          <w:rFonts w:cs="Arial"/>
          <w:sz w:val="20"/>
          <w:szCs w:val="20"/>
        </w:rPr>
        <w:t xml:space="preserve">, lahko </w:t>
      </w:r>
      <w:r w:rsidR="009C24C9" w:rsidRPr="002F30DF">
        <w:rPr>
          <w:rFonts w:cs="Arial"/>
          <w:sz w:val="20"/>
          <w:szCs w:val="20"/>
        </w:rPr>
        <w:t>a</w:t>
      </w:r>
      <w:r w:rsidRPr="002F30DF">
        <w:rPr>
          <w:rFonts w:cs="Arial"/>
          <w:sz w:val="20"/>
          <w:szCs w:val="20"/>
        </w:rPr>
        <w:t>genc</w:t>
      </w:r>
      <w:r w:rsidR="007522E3" w:rsidRPr="002F30DF">
        <w:rPr>
          <w:rFonts w:cs="Arial"/>
          <w:sz w:val="20"/>
          <w:szCs w:val="20"/>
        </w:rPr>
        <w:t xml:space="preserve">ija ali davčni organ zadržita </w:t>
      </w:r>
      <w:r w:rsidR="00626C78" w:rsidRPr="002F30DF">
        <w:rPr>
          <w:rFonts w:cs="Arial"/>
          <w:sz w:val="20"/>
          <w:szCs w:val="20"/>
        </w:rPr>
        <w:t xml:space="preserve">ustrezen </w:t>
      </w:r>
      <w:r w:rsidR="007522E3" w:rsidRPr="002F30DF">
        <w:rPr>
          <w:rFonts w:cs="Arial"/>
          <w:sz w:val="20"/>
          <w:szCs w:val="20"/>
        </w:rPr>
        <w:t xml:space="preserve">del izterjane denarne sankcije ali periodične denarne sankcije, ki jo je </w:t>
      </w:r>
      <w:r w:rsidR="00626C78" w:rsidRPr="002F30DF">
        <w:rPr>
          <w:rFonts w:cs="Arial"/>
          <w:sz w:val="20"/>
          <w:szCs w:val="20"/>
        </w:rPr>
        <w:t xml:space="preserve">davčni organ na predlog agencije </w:t>
      </w:r>
      <w:r w:rsidR="007522E3" w:rsidRPr="002F30DF">
        <w:rPr>
          <w:rFonts w:cs="Arial"/>
          <w:sz w:val="20"/>
          <w:szCs w:val="20"/>
        </w:rPr>
        <w:t xml:space="preserve">izterjal v imenu organa prosilca. Če davčnemu organu ne uspe izterjati denarne kazni ali periodičnih denarnih kazni, lahko </w:t>
      </w:r>
      <w:r w:rsidR="009C24C9" w:rsidRPr="002F30DF">
        <w:rPr>
          <w:rFonts w:cs="Arial"/>
          <w:sz w:val="20"/>
          <w:szCs w:val="20"/>
        </w:rPr>
        <w:t>a</w:t>
      </w:r>
      <w:r w:rsidRPr="002F30DF">
        <w:rPr>
          <w:rFonts w:cs="Arial"/>
          <w:sz w:val="20"/>
          <w:szCs w:val="20"/>
        </w:rPr>
        <w:t>genc</w:t>
      </w:r>
      <w:r w:rsidR="007522E3" w:rsidRPr="002F30DF">
        <w:rPr>
          <w:rFonts w:cs="Arial"/>
          <w:sz w:val="20"/>
          <w:szCs w:val="20"/>
        </w:rPr>
        <w:t>ija od organa prosilca zahteva kritje nastalih stroškov.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Tretji odstavek dopušča </w:t>
      </w:r>
      <w:r w:rsidR="009C24C9" w:rsidRPr="002F30DF">
        <w:rPr>
          <w:rFonts w:cs="Arial"/>
          <w:sz w:val="20"/>
          <w:szCs w:val="20"/>
        </w:rPr>
        <w:t>a</w:t>
      </w:r>
      <w:r w:rsidR="0045309B" w:rsidRPr="002F30DF">
        <w:rPr>
          <w:rFonts w:cs="Arial"/>
          <w:sz w:val="20"/>
          <w:szCs w:val="20"/>
        </w:rPr>
        <w:t>genc</w:t>
      </w:r>
      <w:r w:rsidRPr="002F30DF">
        <w:rPr>
          <w:rFonts w:cs="Arial"/>
          <w:sz w:val="20"/>
          <w:szCs w:val="20"/>
        </w:rPr>
        <w:t xml:space="preserve">iji, da zahteva kritje stroškov, nastalih v zvezi z izvršitvijo </w:t>
      </w:r>
      <w:r w:rsidR="00626C78" w:rsidRPr="002F30DF">
        <w:rPr>
          <w:rFonts w:cs="Arial"/>
          <w:sz w:val="20"/>
          <w:szCs w:val="20"/>
        </w:rPr>
        <w:t>aktov organov, pristojnih za varstvo konkurence drugih držav članic</w:t>
      </w:r>
      <w:r w:rsidRPr="002F30DF">
        <w:rPr>
          <w:rFonts w:cs="Arial"/>
          <w:sz w:val="20"/>
          <w:szCs w:val="20"/>
        </w:rPr>
        <w:t>, tudi od podjetja, zoper katero je treba izvršiti denarno sankcije ali periodično denarno kazen.</w:t>
      </w:r>
      <w:r w:rsidR="00C10A69" w:rsidRPr="002F30DF">
        <w:rPr>
          <w:rFonts w:cs="Arial"/>
          <w:sz w:val="20"/>
          <w:szCs w:val="20"/>
        </w:rPr>
        <w:t xml:space="preserve"> Te stroške bo agencija zahtevala s sklepom o stroških postopka, ki ga bo izdala po uradni dolžnosti.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10</w:t>
      </w:r>
      <w:r w:rsidR="005122E7" w:rsidRPr="002F30DF">
        <w:rPr>
          <w:rFonts w:cs="Arial"/>
          <w:b/>
          <w:sz w:val="20"/>
          <w:szCs w:val="20"/>
        </w:rPr>
        <w:t>2</w:t>
      </w:r>
      <w:r w:rsidRPr="002F30DF">
        <w:rPr>
          <w:rFonts w:cs="Arial"/>
          <w:b/>
          <w:sz w:val="20"/>
          <w:szCs w:val="20"/>
        </w:rPr>
        <w:t>. členu (spori v zvezi z zaprosili za vročitev ali izvršitev odločb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določa pravo, ki se uporablja, v primeru sporov v zvezi z zaprosili za vročitev </w:t>
      </w:r>
      <w:r w:rsidR="0020080B" w:rsidRPr="002F30DF">
        <w:rPr>
          <w:rFonts w:cs="Arial"/>
          <w:sz w:val="20"/>
          <w:szCs w:val="20"/>
        </w:rPr>
        <w:t xml:space="preserve">aktov </w:t>
      </w:r>
      <w:r w:rsidRPr="002F30DF">
        <w:rPr>
          <w:rFonts w:cs="Arial"/>
          <w:sz w:val="20"/>
          <w:szCs w:val="20"/>
        </w:rPr>
        <w:t xml:space="preserve">ali izvršitev odločb ter </w:t>
      </w:r>
      <w:r w:rsidR="0020080B" w:rsidRPr="002F30DF">
        <w:rPr>
          <w:rFonts w:cs="Arial"/>
          <w:sz w:val="20"/>
          <w:szCs w:val="20"/>
        </w:rPr>
        <w:t>se</w:t>
      </w:r>
      <w:r w:rsidR="002700E4" w:rsidRPr="002F30DF">
        <w:rPr>
          <w:rFonts w:cs="Arial"/>
          <w:sz w:val="20"/>
          <w:szCs w:val="20"/>
        </w:rPr>
        <w:t xml:space="preserve"> zagotovi</w:t>
      </w:r>
      <w:r w:rsidR="0020080B" w:rsidRPr="002F30DF">
        <w:rPr>
          <w:rFonts w:cs="Arial"/>
          <w:sz w:val="20"/>
          <w:szCs w:val="20"/>
        </w:rPr>
        <w:t xml:space="preserve"> pren</w:t>
      </w:r>
      <w:r w:rsidR="002700E4" w:rsidRPr="002F30DF">
        <w:rPr>
          <w:rFonts w:cs="Arial"/>
          <w:sz w:val="20"/>
          <w:szCs w:val="20"/>
        </w:rPr>
        <w:t>os</w:t>
      </w:r>
      <w:r w:rsidRPr="002F30DF">
        <w:rPr>
          <w:rFonts w:cs="Arial"/>
          <w:sz w:val="20"/>
          <w:szCs w:val="20"/>
        </w:rPr>
        <w:t xml:space="preserve"> 28. člen</w:t>
      </w:r>
      <w:r w:rsidR="002700E4" w:rsidRPr="002F30DF">
        <w:rPr>
          <w:rFonts w:cs="Arial"/>
          <w:sz w:val="20"/>
          <w:szCs w:val="20"/>
        </w:rPr>
        <w:t>a</w:t>
      </w:r>
      <w:r w:rsidRPr="002F30DF">
        <w:rPr>
          <w:rFonts w:cs="Arial"/>
          <w:sz w:val="20"/>
          <w:szCs w:val="20"/>
        </w:rPr>
        <w:t xml:space="preserve"> Direktiv</w:t>
      </w:r>
      <w:r w:rsidR="007F24DF" w:rsidRPr="002F30DF">
        <w:rPr>
          <w:rFonts w:cs="Arial"/>
          <w:sz w:val="20"/>
          <w:szCs w:val="20"/>
        </w:rPr>
        <w:t>e</w:t>
      </w:r>
      <w:r w:rsidRPr="002F30DF">
        <w:rPr>
          <w:rFonts w:cs="Arial"/>
          <w:sz w:val="20"/>
          <w:szCs w:val="20"/>
        </w:rPr>
        <w:t xml:space="preserve"> 2019/1.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Prvi odstavek</w:t>
      </w:r>
      <w:r w:rsidRPr="002F30DF">
        <w:rPr>
          <w:rFonts w:cs="Arial"/>
          <w:sz w:val="20"/>
          <w:szCs w:val="20"/>
        </w:rPr>
        <w:t xml:space="preserve"> določa, da se  za spore glede zakonitosti akta, ki ga je treba vročiti, ali odločbe, ki jo je treba izvršiti in za spore glede zakonitosti zaprosila za </w:t>
      </w:r>
      <w:r w:rsidR="0020080B" w:rsidRPr="002F30DF">
        <w:rPr>
          <w:rFonts w:cs="Arial"/>
          <w:sz w:val="20"/>
          <w:szCs w:val="20"/>
        </w:rPr>
        <w:t xml:space="preserve">vročitev oziroma </w:t>
      </w:r>
      <w:r w:rsidRPr="002F30DF">
        <w:rPr>
          <w:rFonts w:cs="Arial"/>
          <w:sz w:val="20"/>
          <w:szCs w:val="20"/>
        </w:rPr>
        <w:t>izvršitev uporablja nacionalno pravo države članice, v kateri im</w:t>
      </w:r>
      <w:r w:rsidR="007F24DF" w:rsidRPr="002F30DF">
        <w:rPr>
          <w:rFonts w:cs="Arial"/>
          <w:sz w:val="20"/>
          <w:szCs w:val="20"/>
        </w:rPr>
        <w:t>a</w:t>
      </w:r>
      <w:r w:rsidRPr="002F30DF">
        <w:rPr>
          <w:rFonts w:cs="Arial"/>
          <w:sz w:val="20"/>
          <w:szCs w:val="20"/>
        </w:rPr>
        <w:t xml:space="preserve"> organ prosilec sedež.</w:t>
      </w:r>
    </w:p>
    <w:p w:rsidR="007522E3" w:rsidRPr="002F30DF" w:rsidRDefault="007522E3" w:rsidP="0025166A">
      <w:pPr>
        <w:spacing w:line="260" w:lineRule="atLeast"/>
        <w:rPr>
          <w:rFonts w:cs="Arial"/>
          <w:sz w:val="20"/>
          <w:szCs w:val="20"/>
        </w:rPr>
      </w:pPr>
    </w:p>
    <w:tbl>
      <w:tblPr>
        <w:tblW w:w="0" w:type="auto"/>
        <w:tblLook w:val="04A0" w:firstRow="1" w:lastRow="0" w:firstColumn="1" w:lastColumn="0" w:noHBand="0" w:noVBand="1"/>
      </w:tblPr>
      <w:tblGrid>
        <w:gridCol w:w="9071"/>
      </w:tblGrid>
      <w:tr w:rsidR="007522E3" w:rsidRPr="002F30DF" w:rsidTr="00D75FD0">
        <w:tc>
          <w:tcPr>
            <w:tcW w:w="9180" w:type="dxa"/>
            <w:shd w:val="clear" w:color="auto" w:fill="auto"/>
          </w:tcPr>
          <w:p w:rsidR="007522E3" w:rsidRPr="002F30DF" w:rsidRDefault="007522E3" w:rsidP="0025166A">
            <w:pPr>
              <w:spacing w:line="260" w:lineRule="atLeast"/>
              <w:rPr>
                <w:rFonts w:cs="Arial"/>
                <w:b/>
                <w:sz w:val="20"/>
                <w:szCs w:val="20"/>
              </w:rPr>
            </w:pPr>
            <w:r w:rsidRPr="002F30DF">
              <w:rPr>
                <w:rFonts w:cs="Arial"/>
                <w:sz w:val="20"/>
                <w:szCs w:val="20"/>
                <w:u w:val="single"/>
              </w:rPr>
              <w:t>Drugi odstavek</w:t>
            </w:r>
            <w:r w:rsidRPr="002F30DF">
              <w:rPr>
                <w:rFonts w:cs="Arial"/>
                <w:sz w:val="20"/>
                <w:szCs w:val="20"/>
              </w:rPr>
              <w:t xml:space="preserve"> določa, da se spori v zvezi z izvršilnimi ukrepi, sprejetimi v državi članici zaprošenega organa, ali spori v zvezi z veljavnostjo vročitve, ki jo je izvedel zaprošeni organ, presojajo skladno z nacionalnim pravom države članice, v kateri ima zaprošeni organ sedež.</w:t>
            </w:r>
          </w:p>
          <w:p w:rsidR="007522E3" w:rsidRPr="002F30DF" w:rsidRDefault="007522E3" w:rsidP="0025166A">
            <w:pPr>
              <w:spacing w:line="260" w:lineRule="atLeast"/>
              <w:rPr>
                <w:rFonts w:cs="Arial"/>
                <w:b/>
                <w:sz w:val="20"/>
                <w:szCs w:val="20"/>
              </w:rPr>
            </w:pPr>
          </w:p>
          <w:p w:rsidR="009C24C9" w:rsidRPr="002F30DF" w:rsidRDefault="009C24C9" w:rsidP="009C24C9">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10</w:t>
            </w:r>
            <w:r w:rsidR="005122E7" w:rsidRPr="002F30DF">
              <w:rPr>
                <w:rFonts w:cs="Arial"/>
                <w:b/>
                <w:sz w:val="20"/>
                <w:szCs w:val="20"/>
              </w:rPr>
              <w:t>3</w:t>
            </w:r>
            <w:r w:rsidRPr="002F30DF">
              <w:rPr>
                <w:rFonts w:cs="Arial"/>
                <w:b/>
                <w:sz w:val="20"/>
                <w:szCs w:val="20"/>
              </w:rPr>
              <w:t>. členu (prepoved)</w:t>
            </w:r>
          </w:p>
          <w:p w:rsidR="009C24C9" w:rsidRPr="002F30DF" w:rsidRDefault="009C24C9" w:rsidP="009C24C9">
            <w:pPr>
              <w:spacing w:line="260" w:lineRule="atLeast"/>
              <w:rPr>
                <w:rFonts w:cs="Arial"/>
                <w:sz w:val="20"/>
                <w:szCs w:val="20"/>
              </w:rPr>
            </w:pPr>
          </w:p>
          <w:p w:rsidR="009C24C9" w:rsidRPr="002F30DF" w:rsidRDefault="00194DA4" w:rsidP="009C24C9">
            <w:pPr>
              <w:spacing w:line="260" w:lineRule="atLeast"/>
              <w:rPr>
                <w:rFonts w:cs="Arial"/>
                <w:sz w:val="20"/>
                <w:szCs w:val="20"/>
              </w:rPr>
            </w:pPr>
            <w:r w:rsidRPr="002F30DF">
              <w:rPr>
                <w:rFonts w:cs="Arial"/>
                <w:sz w:val="20"/>
                <w:szCs w:val="20"/>
              </w:rPr>
              <w:t>Sedmi</w:t>
            </w:r>
            <w:r w:rsidR="009C24C9" w:rsidRPr="002F30DF">
              <w:rPr>
                <w:rFonts w:cs="Arial"/>
                <w:sz w:val="20"/>
                <w:szCs w:val="20"/>
              </w:rPr>
              <w:t xml:space="preserve"> del zakona obravnava omejevanje trga z oblastnimi akti in ravnanji, torej ko omejevanje konkurence povzročijo državni organi, organi lokalnih skupnosti in nosilci javnih pooblastil. </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rPr>
              <w:lastRenderedPageBreak/>
              <w:t xml:space="preserve">Prepoved omejevanja konkurence se nanaša tudi na vlado, državne organe, organe lokalnih skupnosti in nosilce javnih pooblastil. </w:t>
            </w:r>
            <w:r w:rsidRPr="002F30DF">
              <w:rPr>
                <w:rFonts w:cs="Arial"/>
                <w:sz w:val="20"/>
                <w:szCs w:val="20"/>
                <w:u w:val="single"/>
              </w:rPr>
              <w:t>Prvi odstavek</w:t>
            </w:r>
            <w:r w:rsidRPr="002F30DF">
              <w:rPr>
                <w:rFonts w:cs="Arial"/>
                <w:sz w:val="20"/>
                <w:szCs w:val="20"/>
              </w:rPr>
              <w:t xml:space="preserve"> torej nalaga organom, da s splošnimi in posamični akti in dejanji ne omejujejo konkurence. Za omejevanje prostega nastopanja podjetij na trgu s strani vlade, državnih organov, organov lokalnih skupnosti in nosilcev javnih pooblasti se štejejo splošni in posamični akti in dejanja, s katerimi se v nasprotju z ustavo in zakonom omejujejo svobodna menjava blaga in storitev, svoboden vstop na trg, svobodno nastopanje na trgu ali s katerimi se kako drugače preprečuje konkurenca </w:t>
            </w:r>
            <w:r w:rsidRPr="002F30DF">
              <w:rPr>
                <w:rFonts w:cs="Arial"/>
                <w:sz w:val="20"/>
                <w:szCs w:val="20"/>
                <w:u w:val="single"/>
              </w:rPr>
              <w:t>(drugi odstavek).</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10</w:t>
            </w:r>
            <w:r w:rsidR="005122E7" w:rsidRPr="002F30DF">
              <w:rPr>
                <w:rFonts w:cs="Arial"/>
                <w:b/>
                <w:sz w:val="20"/>
                <w:szCs w:val="20"/>
              </w:rPr>
              <w:t>4</w:t>
            </w:r>
            <w:r w:rsidRPr="002F30DF">
              <w:rPr>
                <w:rFonts w:cs="Arial"/>
                <w:b/>
                <w:sz w:val="20"/>
                <w:szCs w:val="20"/>
              </w:rPr>
              <w:t>. členu (omejevanje prostega nastopanja s predpisi)</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rPr>
              <w:t xml:space="preserve">Agencija ni pristojna presojati tovrstnih ravnanj in sprejemati ukrepov za njihovo odpravo, ampak je s </w:t>
            </w:r>
            <w:r w:rsidRPr="002F30DF">
              <w:rPr>
                <w:rFonts w:cs="Arial"/>
                <w:sz w:val="20"/>
                <w:szCs w:val="20"/>
                <w:u w:val="single"/>
              </w:rPr>
              <w:t>prvim odstavkom</w:t>
            </w:r>
            <w:r w:rsidRPr="002F30DF">
              <w:rPr>
                <w:rFonts w:cs="Arial"/>
                <w:sz w:val="20"/>
                <w:szCs w:val="20"/>
              </w:rPr>
              <w:t xml:space="preserve"> podjetjem zagotovljeno varstvo interesov v postopku presoje predpisov z ustavo in zakoni, če takšnega varstva ni mogoče zagotoviti v upravnem sporu. </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u w:val="single"/>
              </w:rPr>
              <w:t>Z drugim odstavkom</w:t>
            </w:r>
            <w:r w:rsidRPr="002F30DF">
              <w:rPr>
                <w:rFonts w:cs="Arial"/>
                <w:sz w:val="20"/>
                <w:szCs w:val="20"/>
              </w:rPr>
              <w:t xml:space="preserve"> se izvzema določene predpise iz splošne prepovedi. Pri sprejemanju predpisov na omenjenih področjih je </w:t>
            </w:r>
            <w:r w:rsidR="002700E4" w:rsidRPr="002F30DF">
              <w:rPr>
                <w:rFonts w:cs="Arial"/>
                <w:sz w:val="20"/>
                <w:szCs w:val="20"/>
              </w:rPr>
              <w:t xml:space="preserve">treba </w:t>
            </w:r>
            <w:r w:rsidRPr="002F30DF">
              <w:rPr>
                <w:rFonts w:cs="Arial"/>
                <w:sz w:val="20"/>
                <w:szCs w:val="20"/>
              </w:rPr>
              <w:t>upoštevati določena načela, in sicer legalitetno načelo ter načelo sorazmernosti. Svobodna gospodarska pobuda in konkurenca se lahko omejita le v korist drugih ustavno varovanih vrednot, le v tistem obsegu, ki je nujno potreben za varovanje teh vrednot, in le, če so omejitve nujno potrebne za varovanje teh vrednot.</w:t>
            </w:r>
          </w:p>
          <w:p w:rsidR="009C24C9" w:rsidRPr="002F30DF" w:rsidRDefault="009C24C9" w:rsidP="009C24C9">
            <w:pPr>
              <w:spacing w:line="260" w:lineRule="atLeast"/>
              <w:rPr>
                <w:rFonts w:cs="Arial"/>
                <w:b/>
                <w:sz w:val="20"/>
                <w:szCs w:val="20"/>
              </w:rPr>
            </w:pPr>
          </w:p>
          <w:p w:rsidR="009C24C9" w:rsidRPr="002F30DF" w:rsidRDefault="00596F8C" w:rsidP="009C24C9">
            <w:pPr>
              <w:spacing w:line="260" w:lineRule="atLeast"/>
              <w:rPr>
                <w:rFonts w:cs="Arial"/>
                <w:sz w:val="20"/>
                <w:szCs w:val="20"/>
              </w:rPr>
            </w:pPr>
            <w:r w:rsidRPr="002F30DF">
              <w:rPr>
                <w:rFonts w:cs="Arial"/>
                <w:b/>
                <w:sz w:val="20"/>
                <w:szCs w:val="20"/>
              </w:rPr>
              <w:t xml:space="preserve">K </w:t>
            </w:r>
            <w:r w:rsidR="00D82B16" w:rsidRPr="002F30DF">
              <w:rPr>
                <w:rFonts w:cs="Arial"/>
                <w:b/>
                <w:sz w:val="20"/>
                <w:szCs w:val="20"/>
              </w:rPr>
              <w:t>10</w:t>
            </w:r>
            <w:r w:rsidR="005122E7" w:rsidRPr="002F30DF">
              <w:rPr>
                <w:rFonts w:cs="Arial"/>
                <w:b/>
                <w:sz w:val="20"/>
                <w:szCs w:val="20"/>
              </w:rPr>
              <w:t>5</w:t>
            </w:r>
            <w:r w:rsidR="009C24C9" w:rsidRPr="002F30DF">
              <w:rPr>
                <w:rFonts w:cs="Arial"/>
                <w:b/>
                <w:sz w:val="20"/>
                <w:szCs w:val="20"/>
              </w:rPr>
              <w:t>. členu  (omejevanje prostega nastopanja s posamičnimi akti in dejanji)</w:t>
            </w:r>
          </w:p>
          <w:p w:rsidR="009C24C9" w:rsidRPr="002F30DF" w:rsidRDefault="009C24C9" w:rsidP="009C24C9">
            <w:pPr>
              <w:spacing w:line="260" w:lineRule="atLeast"/>
              <w:rPr>
                <w:rFonts w:cs="Arial"/>
                <w:b/>
                <w:sz w:val="20"/>
                <w:szCs w:val="20"/>
              </w:rPr>
            </w:pPr>
          </w:p>
          <w:p w:rsidR="009C24C9" w:rsidRPr="002F30DF" w:rsidRDefault="009C24C9" w:rsidP="009C24C9">
            <w:pPr>
              <w:spacing w:line="260" w:lineRule="atLeast"/>
              <w:rPr>
                <w:rFonts w:cs="Arial"/>
                <w:sz w:val="20"/>
                <w:szCs w:val="20"/>
              </w:rPr>
            </w:pPr>
            <w:r w:rsidRPr="002F30DF">
              <w:rPr>
                <w:rFonts w:cs="Arial"/>
                <w:sz w:val="20"/>
                <w:szCs w:val="20"/>
              </w:rPr>
              <w:t>V tem členu so primeroma našteti posamični akti in dejanja za katere se šteje, da omejujejo prosto nastopanje na trgu. Sem spadajo akti in dejanja, s katerimi se podjetju onemogoča opravljanje dejavnosti na kakšnem območju ali glede kakšne vrste dejavnosti, čeprav izpolnjuje z zakonom določene pogoje, ali s katerimi se neupravičeno zavlačuje postopek za izdajo dovoljenja za opravljanje dejavnosti ali kakšnega drugega dovoljenja, pomembnega za nastopanje podjetja na trgu, ali s katerimi se posredno ali neposredno ustvarja diskriminacija med podjetji glede na njihov sedež, ali s katerimi se prepoveduje promet z blagom in storitvami zunaj območja lokalne skupnosti ali s katerimi se določenemu podjetju neutemeljeno zagotavlja privilegiran položaj pri poslovanju na trgu.</w:t>
            </w:r>
          </w:p>
          <w:p w:rsidR="009C24C9" w:rsidRPr="002F30DF" w:rsidRDefault="009C24C9" w:rsidP="009C24C9">
            <w:pPr>
              <w:spacing w:line="260" w:lineRule="atLeast"/>
              <w:rPr>
                <w:rFonts w:cs="Arial"/>
                <w:b/>
                <w:sz w:val="20"/>
                <w:szCs w:val="20"/>
              </w:rPr>
            </w:pPr>
          </w:p>
          <w:p w:rsidR="009C24C9" w:rsidRPr="002F30DF" w:rsidRDefault="009C24C9" w:rsidP="009C24C9">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10</w:t>
            </w:r>
            <w:r w:rsidR="005122E7" w:rsidRPr="002F30DF">
              <w:rPr>
                <w:rFonts w:cs="Arial"/>
                <w:b/>
                <w:sz w:val="20"/>
                <w:szCs w:val="20"/>
              </w:rPr>
              <w:t>6</w:t>
            </w:r>
            <w:r w:rsidRPr="002F30DF">
              <w:rPr>
                <w:rFonts w:cs="Arial"/>
                <w:b/>
                <w:sz w:val="20"/>
                <w:szCs w:val="20"/>
              </w:rPr>
              <w:t xml:space="preserve">. do </w:t>
            </w:r>
            <w:r w:rsidR="00D82B16" w:rsidRPr="002F30DF">
              <w:rPr>
                <w:rFonts w:cs="Arial"/>
                <w:b/>
                <w:sz w:val="20"/>
                <w:szCs w:val="20"/>
              </w:rPr>
              <w:t>1</w:t>
            </w:r>
            <w:r w:rsidR="00DD24AE" w:rsidRPr="002F30DF">
              <w:rPr>
                <w:rFonts w:cs="Arial"/>
                <w:b/>
                <w:sz w:val="20"/>
                <w:szCs w:val="20"/>
              </w:rPr>
              <w:t>0</w:t>
            </w:r>
            <w:r w:rsidR="005122E7" w:rsidRPr="002F30DF">
              <w:rPr>
                <w:rFonts w:cs="Arial"/>
                <w:b/>
                <w:sz w:val="20"/>
                <w:szCs w:val="20"/>
              </w:rPr>
              <w:t>8</w:t>
            </w:r>
            <w:r w:rsidRPr="002F30DF">
              <w:rPr>
                <w:rFonts w:cs="Arial"/>
                <w:b/>
                <w:sz w:val="20"/>
                <w:szCs w:val="20"/>
              </w:rPr>
              <w:t>. členu (izjemoma dovoljene omejitve, pogoj za uporabo izjemoma dovoljenih omejitev in ukrepi izjemoma dovoljenih omejitev)</w:t>
            </w:r>
          </w:p>
          <w:p w:rsidR="009C24C9" w:rsidRPr="002F30DF" w:rsidRDefault="009C24C9" w:rsidP="009C24C9">
            <w:pPr>
              <w:spacing w:line="260" w:lineRule="atLeast"/>
              <w:rPr>
                <w:rFonts w:cs="Arial"/>
                <w:b/>
                <w:sz w:val="20"/>
                <w:szCs w:val="20"/>
              </w:rPr>
            </w:pPr>
          </w:p>
          <w:p w:rsidR="009C24C9" w:rsidRPr="002F30DF" w:rsidRDefault="009C24C9" w:rsidP="009C24C9">
            <w:pPr>
              <w:spacing w:line="260" w:lineRule="atLeast"/>
              <w:rPr>
                <w:rFonts w:cs="Arial"/>
                <w:sz w:val="20"/>
                <w:szCs w:val="20"/>
              </w:rPr>
            </w:pPr>
            <w:r w:rsidRPr="002F30DF">
              <w:rPr>
                <w:rFonts w:cs="Arial"/>
                <w:sz w:val="20"/>
                <w:szCs w:val="20"/>
              </w:rPr>
              <w:t>V posebej utemeljenih razmerah lahko vlada predpiše nujno potrebne omejitve na trgu ob upoštevanju načela sorazmernosti. Pristojni državni organi morajo poskrbeti, da omilijo škodo podjetjem zaradi izjemnih omejitev. Tako lahko vlada predpiše omejitve na trgu, če nastanejo ali utegnejo nastati zaradi naravne nesreče, epidemij, izrednih razmer in podobnih razlogov občutne motnje na trgu in pri preskrbi prebivalstva ali motnje na drugih področjih, če ogrožajo varno in zdravo življenje prebivalcev ali če nastanejo ali utegnejo nastati občutne motnje na trgu zaradi pomanjkanja dobrin, nujno potrebnih za proizvodnjo ali predelavo ali za življenje prebivalcev, ali v primeru če je treba zadovoljiti potrebe po izdelkih, surovinah in reprodukcijskem materialu, ki so posebno ali strateško pomembni za obrambo Republike Slovenije.</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rPr>
              <w:t>Vendar vlada te ukrepe lahko predpiše le, če razlogov ne bo mogoče odpraviti z ukrepi v podjetjih, ali z uvozom ali z ukrepi tekoče gospodarske politike.</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rPr>
              <w:t>Pod pogojem izpolnitve navedenih pogojev vlada lahko prepove promet z določenim blagom, omeji promet s posameznim blagom glede količine ali kakovosti, določi posebne pogoje za promet s posameznim blagom ali vrstami blaga. Vlada lahko tudi pre</w:t>
            </w:r>
            <w:r w:rsidR="002700E4" w:rsidRPr="002F30DF">
              <w:rPr>
                <w:rFonts w:cs="Arial"/>
                <w:sz w:val="20"/>
                <w:szCs w:val="20"/>
              </w:rPr>
              <w:t>d</w:t>
            </w:r>
            <w:r w:rsidRPr="002F30DF">
              <w:rPr>
                <w:rFonts w:cs="Arial"/>
                <w:sz w:val="20"/>
                <w:szCs w:val="20"/>
              </w:rPr>
              <w:t>piše obveznost določenim podjetjem, da morajo dati v promet določene količine ali vrste blaga in da ga morajo dati na razpolago ali dobaviti določenim uporabnikom ali uporabnikom po določenem vrstnem redu ter predpiše obveznost določenim podjetjem, da si morajo ustvariti rezerve in v njih hraniti določene količine in vrste blaga. Smiselno enake prepovedi ali obveznosti se lahko predpišejo za storitve.</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rPr>
              <w:t>Te omejitve vlada razveljavi takoj, ko prenehajo razlogi zaradi katerih je bila omejitev predpisana, ali ko je mogoče stanje popraviti z drugačnimi ukrepi. Če tega ne stori v šestih mesecih po sprejemu, mora o ukrepih obvestiti državni zbor in mu poročati o njihovih učinkih.</w:t>
            </w:r>
          </w:p>
          <w:p w:rsidR="009C24C9" w:rsidRPr="002F30DF" w:rsidRDefault="009C24C9" w:rsidP="0025166A">
            <w:pPr>
              <w:spacing w:line="260" w:lineRule="atLeast"/>
              <w:rPr>
                <w:rFonts w:cs="Arial"/>
                <w:b/>
                <w:sz w:val="20"/>
                <w:szCs w:val="20"/>
              </w:rPr>
            </w:pPr>
          </w:p>
          <w:p w:rsidR="009C24C9" w:rsidRPr="002F30DF" w:rsidRDefault="009C24C9" w:rsidP="009C24C9">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w:t>
            </w:r>
            <w:r w:rsidR="005122E7" w:rsidRPr="002F30DF">
              <w:rPr>
                <w:rFonts w:cs="Arial"/>
                <w:b/>
                <w:sz w:val="20"/>
                <w:szCs w:val="20"/>
              </w:rPr>
              <w:t>09</w:t>
            </w:r>
            <w:r w:rsidRPr="002F30DF">
              <w:rPr>
                <w:rFonts w:cs="Arial"/>
                <w:b/>
                <w:sz w:val="20"/>
                <w:szCs w:val="20"/>
              </w:rPr>
              <w:t>. členu (omilitev škode zaradi izjemnih omejitev)</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b/>
                <w:sz w:val="20"/>
                <w:szCs w:val="20"/>
              </w:rPr>
            </w:pPr>
            <w:r w:rsidRPr="002F30DF">
              <w:rPr>
                <w:rFonts w:cs="Arial"/>
                <w:sz w:val="20"/>
                <w:szCs w:val="20"/>
              </w:rPr>
              <w:t>V primeru omejevanja prostega nastopanja podjetij s predpisi, se varstvo interesov podjetij zagotavlja v postopku za presojo skladnosti predpisov z ustavo in zakoni, če takšnega varstva ni mogoče zagotoviti v upravnem sporu. Pri omejevanju s posamičnimi akti in dejanji zakon kot pravno sredstvo določa upravni spor.</w:t>
            </w:r>
          </w:p>
          <w:p w:rsidR="005C5672" w:rsidRPr="002F30DF" w:rsidRDefault="005C5672" w:rsidP="009C24C9">
            <w:pPr>
              <w:spacing w:line="260" w:lineRule="atLeast"/>
              <w:rPr>
                <w:rFonts w:cs="Arial"/>
                <w:b/>
                <w:sz w:val="20"/>
                <w:szCs w:val="20"/>
              </w:rPr>
            </w:pPr>
          </w:p>
          <w:p w:rsidR="009C24C9" w:rsidRPr="002F30DF" w:rsidRDefault="009C24C9" w:rsidP="009C24C9">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11</w:t>
            </w:r>
            <w:r w:rsidR="00DD24AE" w:rsidRPr="002F30DF">
              <w:rPr>
                <w:rFonts w:cs="Arial"/>
                <w:b/>
                <w:sz w:val="20"/>
                <w:szCs w:val="20"/>
              </w:rPr>
              <w:t>1</w:t>
            </w:r>
            <w:r w:rsidRPr="002F30DF">
              <w:rPr>
                <w:rFonts w:cs="Arial"/>
                <w:b/>
                <w:sz w:val="20"/>
                <w:szCs w:val="20"/>
              </w:rPr>
              <w:t xml:space="preserve">. členu (mnenja </w:t>
            </w:r>
            <w:r w:rsidR="0023701A" w:rsidRPr="002F30DF">
              <w:rPr>
                <w:rFonts w:cs="Arial"/>
                <w:b/>
                <w:sz w:val="20"/>
                <w:szCs w:val="20"/>
              </w:rPr>
              <w:t>a</w:t>
            </w:r>
            <w:r w:rsidRPr="002F30DF">
              <w:rPr>
                <w:rFonts w:cs="Arial"/>
                <w:b/>
                <w:sz w:val="20"/>
                <w:szCs w:val="20"/>
              </w:rPr>
              <w:t>gencije)</w:t>
            </w:r>
          </w:p>
          <w:p w:rsidR="009C24C9" w:rsidRPr="002F30DF" w:rsidRDefault="009C24C9" w:rsidP="009C24C9">
            <w:pPr>
              <w:spacing w:line="260" w:lineRule="atLeast"/>
              <w:rPr>
                <w:rFonts w:cs="Arial"/>
                <w:sz w:val="20"/>
                <w:szCs w:val="20"/>
              </w:rPr>
            </w:pPr>
          </w:p>
          <w:p w:rsidR="009C24C9" w:rsidRPr="002F30DF" w:rsidRDefault="009C24C9" w:rsidP="009C24C9">
            <w:pPr>
              <w:spacing w:line="260" w:lineRule="atLeast"/>
              <w:rPr>
                <w:rFonts w:cs="Arial"/>
                <w:sz w:val="20"/>
                <w:szCs w:val="20"/>
              </w:rPr>
            </w:pPr>
            <w:r w:rsidRPr="002F30DF">
              <w:rPr>
                <w:rFonts w:cs="Arial"/>
                <w:sz w:val="20"/>
                <w:szCs w:val="20"/>
              </w:rPr>
              <w:t xml:space="preserve">Kadar </w:t>
            </w:r>
            <w:r w:rsidR="0023701A" w:rsidRPr="002F30DF">
              <w:rPr>
                <w:rFonts w:cs="Arial"/>
                <w:sz w:val="20"/>
                <w:szCs w:val="20"/>
              </w:rPr>
              <w:t>a</w:t>
            </w:r>
            <w:r w:rsidRPr="002F30DF">
              <w:rPr>
                <w:rFonts w:cs="Arial"/>
                <w:sz w:val="20"/>
                <w:szCs w:val="20"/>
              </w:rPr>
              <w:t xml:space="preserve">gencija ugotovi, da določila zakona ali drugega predpisa povzročajo omejevanje konkurence ali pravilno delovanje trga in tega ne upravičuje splošni interes ter v primerih oblastnega omejevanja iz </w:t>
            </w:r>
            <w:r w:rsidR="00690AFD" w:rsidRPr="002F30DF">
              <w:rPr>
                <w:rFonts w:cs="Arial"/>
                <w:sz w:val="20"/>
                <w:szCs w:val="20"/>
              </w:rPr>
              <w:t>9</w:t>
            </w:r>
            <w:r w:rsidR="00602AB1" w:rsidRPr="002F30DF">
              <w:rPr>
                <w:rFonts w:cs="Arial"/>
                <w:sz w:val="20"/>
                <w:szCs w:val="20"/>
              </w:rPr>
              <w:t>0</w:t>
            </w:r>
            <w:r w:rsidRPr="002F30DF">
              <w:rPr>
                <w:rFonts w:cs="Arial"/>
                <w:sz w:val="20"/>
                <w:szCs w:val="20"/>
              </w:rPr>
              <w:t xml:space="preserve">. člena zakona, posreduje mnenje pristojnim organom, kako bi se omejevanje konkurence odpravilo  ali preprečilo. Mnenja, ki jih je podala, </w:t>
            </w:r>
            <w:r w:rsidR="0023701A" w:rsidRPr="002F30DF">
              <w:rPr>
                <w:rFonts w:cs="Arial"/>
                <w:sz w:val="20"/>
                <w:szCs w:val="20"/>
              </w:rPr>
              <w:t>a</w:t>
            </w:r>
            <w:r w:rsidRPr="002F30DF">
              <w:rPr>
                <w:rFonts w:cs="Arial"/>
                <w:sz w:val="20"/>
                <w:szCs w:val="20"/>
              </w:rPr>
              <w:t xml:space="preserve">gencija lahko objavi. </w:t>
            </w:r>
          </w:p>
          <w:p w:rsidR="009C24C9" w:rsidRPr="002F30DF" w:rsidRDefault="009C24C9" w:rsidP="009C24C9">
            <w:pPr>
              <w:spacing w:line="260" w:lineRule="atLeast"/>
              <w:rPr>
                <w:rFonts w:cs="Arial"/>
                <w:b/>
                <w:sz w:val="20"/>
                <w:szCs w:val="20"/>
              </w:rPr>
            </w:pPr>
          </w:p>
          <w:p w:rsidR="009C24C9" w:rsidRPr="002F30DF" w:rsidRDefault="009C24C9" w:rsidP="009C24C9">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11</w:t>
            </w:r>
            <w:r w:rsidR="00277453">
              <w:rPr>
                <w:rFonts w:cs="Arial"/>
                <w:b/>
                <w:sz w:val="20"/>
                <w:szCs w:val="20"/>
              </w:rPr>
              <w:t>0</w:t>
            </w:r>
            <w:r w:rsidRPr="002F30DF">
              <w:rPr>
                <w:rFonts w:cs="Arial"/>
                <w:b/>
                <w:sz w:val="20"/>
                <w:szCs w:val="20"/>
              </w:rPr>
              <w:t>. členu (posvetovanje)</w:t>
            </w:r>
          </w:p>
          <w:p w:rsidR="009C24C9" w:rsidRPr="002F30DF" w:rsidRDefault="009C24C9" w:rsidP="009C24C9">
            <w:pPr>
              <w:spacing w:line="260" w:lineRule="atLeast"/>
              <w:rPr>
                <w:rFonts w:cs="Arial"/>
                <w:b/>
                <w:sz w:val="20"/>
                <w:szCs w:val="20"/>
              </w:rPr>
            </w:pPr>
          </w:p>
          <w:p w:rsidR="009C24C9" w:rsidRPr="002F30DF" w:rsidRDefault="009C24C9" w:rsidP="009C24C9">
            <w:pPr>
              <w:spacing w:line="260" w:lineRule="atLeast"/>
              <w:rPr>
                <w:rFonts w:cs="Arial"/>
                <w:sz w:val="20"/>
                <w:szCs w:val="20"/>
              </w:rPr>
            </w:pPr>
            <w:r w:rsidRPr="002F30DF">
              <w:rPr>
                <w:rFonts w:cs="Arial"/>
                <w:sz w:val="20"/>
                <w:szCs w:val="20"/>
              </w:rPr>
              <w:t xml:space="preserve">Agencija v postopku sprejemanja zakona ali uredbe poda svoje mnenje k predlaganemu besedilu predpisa z vidika omejevanja konkurence. To mnenje lahko poda, četudi v medresorskem usklajevanju ni bil pozvana, da ga poda. Predsednik vlade ali posamezni ministri lahko od </w:t>
            </w:r>
            <w:r w:rsidR="0023701A" w:rsidRPr="002F30DF">
              <w:rPr>
                <w:rFonts w:cs="Arial"/>
                <w:sz w:val="20"/>
                <w:szCs w:val="20"/>
              </w:rPr>
              <w:t>a</w:t>
            </w:r>
            <w:r w:rsidRPr="002F30DF">
              <w:rPr>
                <w:rFonts w:cs="Arial"/>
                <w:sz w:val="20"/>
                <w:szCs w:val="20"/>
              </w:rPr>
              <w:t>gencije zahtevajo mnenje o predlogu zakona ali uredbe, ki bi določala količinske omejitve, izključne pravice na določenih gospodarskih področjih ali splošne pogoje poslovanja.</w:t>
            </w:r>
          </w:p>
          <w:p w:rsidR="009C24C9" w:rsidRPr="002F30DF" w:rsidRDefault="009C24C9" w:rsidP="0025166A">
            <w:pPr>
              <w:spacing w:line="260" w:lineRule="atLeast"/>
              <w:rPr>
                <w:rFonts w:cs="Arial"/>
                <w:b/>
                <w:sz w:val="20"/>
                <w:szCs w:val="20"/>
              </w:rPr>
            </w:pPr>
          </w:p>
          <w:p w:rsidR="007522E3" w:rsidRPr="002F30DF" w:rsidRDefault="00925BCB" w:rsidP="0025166A">
            <w:pPr>
              <w:spacing w:line="260" w:lineRule="atLeast"/>
              <w:rPr>
                <w:rFonts w:cs="Arial"/>
                <w:b/>
                <w:sz w:val="20"/>
                <w:szCs w:val="20"/>
              </w:rPr>
            </w:pPr>
            <w:r w:rsidRPr="002F30DF">
              <w:rPr>
                <w:rFonts w:cs="Arial"/>
                <w:b/>
                <w:sz w:val="20"/>
                <w:szCs w:val="20"/>
              </w:rPr>
              <w:t xml:space="preserve">K </w:t>
            </w:r>
            <w:r w:rsidR="00D82B16" w:rsidRPr="002F30DF">
              <w:rPr>
                <w:rFonts w:cs="Arial"/>
                <w:b/>
                <w:sz w:val="20"/>
                <w:szCs w:val="20"/>
              </w:rPr>
              <w:t>11</w:t>
            </w:r>
            <w:r w:rsidR="005122E7" w:rsidRPr="002F30DF">
              <w:rPr>
                <w:rFonts w:cs="Arial"/>
                <w:b/>
                <w:sz w:val="20"/>
                <w:szCs w:val="20"/>
              </w:rPr>
              <w:t>2</w:t>
            </w:r>
            <w:r w:rsidR="0023701A" w:rsidRPr="002F30DF">
              <w:rPr>
                <w:rFonts w:cs="Arial"/>
                <w:b/>
                <w:sz w:val="20"/>
                <w:szCs w:val="20"/>
              </w:rPr>
              <w:t>.</w:t>
            </w:r>
            <w:r w:rsidR="007522E3" w:rsidRPr="002F30DF">
              <w:rPr>
                <w:rFonts w:cs="Arial"/>
                <w:b/>
                <w:sz w:val="20"/>
                <w:szCs w:val="20"/>
              </w:rPr>
              <w:t xml:space="preserve"> členu (povrnitev škode zaradi kršitev konkurenčnega prava)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Prvi odstavek 3. člena Direktive 2014/104 zahteva, da </w:t>
            </w:r>
            <w:r w:rsidRPr="002F30DF">
              <w:rPr>
                <w:rFonts w:cs="Arial"/>
                <w:i/>
                <w:sz w:val="20"/>
                <w:szCs w:val="20"/>
              </w:rPr>
              <w:t>države članice zagotovijo, da lahko fizične ali pravne osebe, ki so utrpele škodo zaradi kršitev konkurenčnega prava, zahtevajo in dobijo popolno odškodnino za takšno škodo.</w:t>
            </w:r>
            <w:r w:rsidRPr="002F30DF">
              <w:rPr>
                <w:rFonts w:cs="Arial"/>
                <w:sz w:val="20"/>
                <w:szCs w:val="20"/>
              </w:rPr>
              <w:t xml:space="preserve"> Direktiva 2014/104 v 13. uvodni </w:t>
            </w:r>
            <w:r w:rsidR="00721AA6" w:rsidRPr="002F30DF">
              <w:rPr>
                <w:rFonts w:cs="Arial"/>
                <w:sz w:val="20"/>
                <w:szCs w:val="20"/>
              </w:rPr>
              <w:t>izjavi</w:t>
            </w:r>
            <w:r w:rsidRPr="002F30DF">
              <w:rPr>
                <w:rFonts w:cs="Arial"/>
                <w:sz w:val="20"/>
                <w:szCs w:val="20"/>
              </w:rPr>
              <w:t xml:space="preserve"> pojasnjuje, da </w:t>
            </w:r>
            <w:r w:rsidRPr="002F30DF">
              <w:rPr>
                <w:rFonts w:cs="Arial"/>
                <w:i/>
                <w:sz w:val="20"/>
                <w:szCs w:val="20"/>
              </w:rPr>
              <w:t>se pravica do odškodnine prizna vsaki fizični ali pravni osebi (npr. potrošniku, podjetju, javnemu organu) ne glede na obstoj neposrednega pogodbenega razmerja s kršiteljem in ne glede na to, ali je kršitev konkurenčnega prava pred tem že ugotovil organ, pristojen za varstvo konkurence.</w:t>
            </w:r>
            <w:r w:rsidRPr="002F30DF">
              <w:rPr>
                <w:rFonts w:cs="Arial"/>
                <w:sz w:val="20"/>
                <w:szCs w:val="20"/>
              </w:rPr>
              <w:t xml:space="preserve"> Pravico do odškodnine za škodo zaradi kršitev konkurenčnega prava je Sodišče EU že večkrat potrdilo (Sodba C-455/99, z dne 20. 9. 2001, Courage in Crehan, EU:C:2001:465, združene zadeve C-295 – 298/01, z dne 13. 7. 2006, Manfredi, EU:C:2006:461, Sodba C-360/09, z dne 14. 6. 2011, Pfleiderer, EU:C:2011:389).</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Zaradi zagotavljanja učinkovitosti uveljavljanja pravice do popolne odškodnine prvi odstavek 12. člena Direktive 2014/104 nalaga državam članicam, da </w:t>
            </w:r>
            <w:r w:rsidRPr="002F30DF">
              <w:rPr>
                <w:rFonts w:cs="Arial"/>
                <w:i/>
                <w:sz w:val="20"/>
                <w:szCs w:val="20"/>
              </w:rPr>
              <w:t>lahko odškodnino za škodo v skladu s pravili iz IV. poglavja Direktive 2014/104 zahteva vsakdo, ki je utrpel škodo, ne glede na to, ali je neposredni ali posredni kupec kršitelja, ter da je treba preprečiti odškodnine, ki presegajo škodo, povzročeno tožniku s kršitvijo konkurenčnega prava, in kršiteljevo zavračanje odgovornosti.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Ker je podlaga za odškodninsko odgovornost v slovenski zakonodaji ustrezno urejena v veljavnem</w:t>
            </w:r>
            <w:r w:rsidR="007F24DF" w:rsidRPr="002F30DF">
              <w:rPr>
                <w:rFonts w:cs="Arial"/>
                <w:sz w:val="20"/>
                <w:szCs w:val="20"/>
              </w:rPr>
              <w:t xml:space="preserve"> </w:t>
            </w:r>
            <w:r w:rsidRPr="002F30DF">
              <w:rPr>
                <w:rFonts w:cs="Arial"/>
                <w:sz w:val="20"/>
                <w:szCs w:val="20"/>
              </w:rPr>
              <w:t>OZ, se s predlogom tega člena določa, da ima oškodovanec, torej oseba, ki je utrpela škodo, povzročeno s kršitvijo konkurenčnega prava, pravico do povrnitve škode po splošnih pravilih OZ, če ni s tem zakonom drugače določeno. Podlaga za odškodninsko odgovornost je urejena v prvem odstavku 131. člena OZ, ki določa, da kdor povzroči drugemu škodo, jo je dolžan povrniti, če ne dokaže, da je škoda nastala brez njegove krivde. Oškodovanec, ki bo zahteval povračilo škode, bo moral dokazati, da je kršitelj kršil konkurenčno pravo, da je sam zaradi tega oškodovan ter da sta kršitev in škoda vzročno povezani. Kršitelj bo podvržen domnevi o krivdi in kot tožena stranka bo moral dokazati, da ni ravnal namerno ali malomarno.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Drugi odstavek 3. člena Direktive 2014/104 določa, da se s popolno odškodnino za oškodovanca vzpostavi stanje, v katerem bi bil, če do kršitve konkurenčnega prava ne bi prišlo, ter opredeljuje, da popolna odškodnina zajema nadomestilo za navadno škodo, izgubljeni dobiček in obresti. Navadna škoda bo praviloma predstavljala tisto škodo, ki jo utrpi kupec, ki preveč drago kupuje blago ali storitev na trgu, medtem ko bo izgubljeni dobiček predstavljal škodo, ki jo zaradi omejevalnega ravnanja praviloma utrpijo kršiteljevi konkurenti ali pa kupci v dobavni verigi, ki blago za nadaljnjo uporabo kupujejo na trgu, ki je prizadet zaradi omejevalnega ravnanja.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OZ v 132. členu določa, da je škoda zmanjšanje premoženja (navadna škoda), preprečitev povečanja premoženja (izgubljeni dobiček), pa tudi povzročitev telesnih ali duševnih bolečin ali strahu drugemu ter okrnitev ugleda pravne osebe (nepremoženjska škoda). V 164. členu pa OZ določa, da je </w:t>
            </w:r>
            <w:r w:rsidRPr="002F30DF">
              <w:rPr>
                <w:rFonts w:cs="Arial"/>
                <w:sz w:val="20"/>
                <w:szCs w:val="20"/>
              </w:rPr>
              <w:lastRenderedPageBreak/>
              <w:t xml:space="preserve">odgovorna oseba dolžna vzpostaviti stanje, ki je bilo, preden je škoda nastala. Kadar vzpostavitev prejšnjega stanja ni mogoča ali kadar je sodišče mnenja, da ni nujno, da bi to storila odgovorna oseba, odloči, da mora ta izplačati ustrezno denarno odškodnino. Nadalje OZ v 168. členu določa, da ima oškodovanec pravico tako do povrnitve navadne škode kot tudi do povrnitve izgubljenega dobička, kar ustreza zahtevi drugega odstavka 3. člena Direktive 2014/104.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skladu z Direktivo 2014/104 je oškodovanec upravičen tudi do obresti, pri čemer tek in višino obresti prepušča ureditvi v nacionalni zakonodaji. Pri tem je treba upoštevati 12. uvodno </w:t>
            </w:r>
            <w:r w:rsidR="00721AA6" w:rsidRPr="002F30DF">
              <w:rPr>
                <w:rFonts w:cs="Arial"/>
                <w:sz w:val="20"/>
                <w:szCs w:val="20"/>
              </w:rPr>
              <w:t>izjavo</w:t>
            </w:r>
            <w:r w:rsidRPr="002F30DF">
              <w:rPr>
                <w:rFonts w:cs="Arial"/>
                <w:sz w:val="20"/>
                <w:szCs w:val="20"/>
              </w:rPr>
              <w:t xml:space="preserve"> Direktive 2014/104, ki pojasnjuje, da je plačilo obresti bistveni del odškodnine za povrnitev nastale škode, ob upoštevanju pretečenega časa, pri čemer bi jih bilo treba plačati od nastanka škode do dejanskega plačila odškodnine brez poseganja v njihovo opredelitev kot izravnalne ali zamudne obresti in v vprašanje, ali se pretečeni čas upošteva kot ločena kategorija obresti ali kot sestavni del dejanske izgube ali izgubljenega dobička.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Glede zamudnih obresti OZ določa, da dolguje dolžnik, ki je v zamudi z izpolnitvijo denarne obveznosti, poleg glavnice še zamudne obresti. Določba 165. člena OZ določa, da se odškodninska obveznost šteje za zapadlo od trenutka nastanka škode. Dolžnik pa v skladu z 299. členom OZ pride v zamudo, če ne izpolni obveznosti v roku, ki je določen za izpolnitev. Če rok za izpolnitev ni določen, pride dolžnik v zamudo, ko upnik ustno ali pisno, z izvensodnim opominom ali z začetkom kakšnega postopka, katerega namen je doseči izpolnitev obveznosti, zahteva od njega, naj izpolni svojo obveznost. Na podlagi veljavne zakonodaje v praksi sodišča prisodijo tožeči stranki zamudne obresti šele od dne, ko je bila toženi stranki znana višina škode, torej praviloma z vložitvijo tožbenega zahtevka.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Predlagatelj meni, da ureditev teka zamudnih obresti v OZ ne sledi ureditvi Direktive 2014/104, kot je podrobneje pojasnjena v njeni </w:t>
            </w:r>
            <w:r w:rsidR="00721AA6" w:rsidRPr="002F30DF">
              <w:rPr>
                <w:rFonts w:cs="Arial"/>
                <w:sz w:val="20"/>
                <w:szCs w:val="20"/>
              </w:rPr>
              <w:t>uvodni izjavi</w:t>
            </w:r>
            <w:r w:rsidRPr="002F30DF">
              <w:rPr>
                <w:rFonts w:cs="Arial"/>
                <w:sz w:val="20"/>
                <w:szCs w:val="20"/>
              </w:rPr>
              <w:t xml:space="preserve">, zaradi česar se s predlogom </w:t>
            </w:r>
            <w:r w:rsidRPr="002F30DF">
              <w:rPr>
                <w:rFonts w:cs="Arial"/>
                <w:sz w:val="20"/>
                <w:szCs w:val="20"/>
                <w:u w:val="single"/>
              </w:rPr>
              <w:t>drugega odstavka</w:t>
            </w:r>
            <w:r w:rsidRPr="002F30DF">
              <w:rPr>
                <w:rFonts w:cs="Arial"/>
                <w:sz w:val="20"/>
                <w:szCs w:val="20"/>
              </w:rPr>
              <w:t xml:space="preserve"> predlaga izjema od splošnega pravila OZ tako, da se določi, da je oškodovanec upravičen do zamudnih obresti, ki tečejo od dne nastanka škode do plačila, ne glede na to, kdaj je oškodovanec vložil zahtevek za povrnitev škode.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Ker je kršitelj dolžan plačati nadomestilo za dejansko izgubo, izgubljeni dobiček ter pripadajoče obresti, predstavlja takšna odškodnina le reparacijsko oziroma izravnalno funkcijo in ne dvojne oziroma kaznovalne odškodnine. Takšna odškodnina je v skladu s tretjim odstavkom 3. člena Direktive 2014/104, ki določa, da popolna odškodnina ne pomeni čezmernih odškodnin, bodisi kazenskih odškodnin bodisi večkratnih zneskov ali drugih vrst odškodnin.</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b/>
                <w:sz w:val="20"/>
                <w:szCs w:val="20"/>
              </w:rPr>
              <w:t xml:space="preserve">K </w:t>
            </w:r>
            <w:r w:rsidR="00D82B16" w:rsidRPr="002F30DF">
              <w:rPr>
                <w:rFonts w:cs="Arial"/>
                <w:b/>
                <w:sz w:val="20"/>
                <w:szCs w:val="20"/>
              </w:rPr>
              <w:t>11</w:t>
            </w:r>
            <w:r w:rsidR="005122E7" w:rsidRPr="002F30DF">
              <w:rPr>
                <w:rFonts w:cs="Arial"/>
                <w:b/>
                <w:sz w:val="20"/>
                <w:szCs w:val="20"/>
              </w:rPr>
              <w:t>3</w:t>
            </w:r>
            <w:r w:rsidRPr="002F30DF">
              <w:rPr>
                <w:rFonts w:cs="Arial"/>
                <w:b/>
                <w:sz w:val="20"/>
                <w:szCs w:val="20"/>
              </w:rPr>
              <w:t>. členu (razkritje dokazov oziroma podatkov)</w:t>
            </w:r>
          </w:p>
          <w:p w:rsidR="007522E3" w:rsidRPr="002F30DF" w:rsidRDefault="007522E3" w:rsidP="0025166A">
            <w:pPr>
              <w:spacing w:line="260" w:lineRule="atLeast"/>
              <w:rPr>
                <w:rFonts w:cs="Arial"/>
                <w:i/>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006C0632" w:rsidRPr="002F30DF">
              <w:rPr>
                <w:rFonts w:cs="Arial"/>
                <w:sz w:val="20"/>
                <w:szCs w:val="20"/>
              </w:rPr>
              <w:t>tem</w:t>
            </w:r>
            <w:r w:rsidRPr="002F30DF">
              <w:rPr>
                <w:rFonts w:cs="Arial"/>
                <w:sz w:val="20"/>
                <w:szCs w:val="20"/>
              </w:rPr>
              <w:t xml:space="preserve"> člen</w:t>
            </w:r>
            <w:r w:rsidR="00497B33" w:rsidRPr="002F30DF">
              <w:rPr>
                <w:rFonts w:cs="Arial"/>
                <w:sz w:val="20"/>
                <w:szCs w:val="20"/>
              </w:rPr>
              <w:t>u</w:t>
            </w:r>
            <w:r w:rsidRPr="002F30DF">
              <w:rPr>
                <w:rFonts w:cs="Arial"/>
                <w:sz w:val="20"/>
                <w:szCs w:val="20"/>
              </w:rPr>
              <w:t xml:space="preserve"> se ohranja materialnopravna podlaga za razkritje dokazov, na podlagi katere lahko oškodovanec ali kršitelj zahteva razkritje dokazov pod pogoji iz tega člena od nasprotne stranke (tj. oškodovanca ali kršitelja) ali tretje osebe. </w:t>
            </w:r>
            <w:r w:rsidR="00651B51" w:rsidRPr="002F30DF">
              <w:rPr>
                <w:rFonts w:cs="Arial"/>
                <w:sz w:val="20"/>
                <w:szCs w:val="20"/>
              </w:rPr>
              <w:t>Ta</w:t>
            </w:r>
            <w:r w:rsidRPr="002F30DF">
              <w:rPr>
                <w:rFonts w:cs="Arial"/>
                <w:sz w:val="20"/>
                <w:szCs w:val="20"/>
              </w:rPr>
              <w:t xml:space="preserve"> člen ureja pravico in pogoje za razkritje dokazov oziroma podatkov tako za dokaze iz spisa organa</w:t>
            </w:r>
            <w:r w:rsidR="00497B13" w:rsidRPr="002F30DF">
              <w:rPr>
                <w:rFonts w:cs="Arial"/>
                <w:sz w:val="20"/>
                <w:szCs w:val="20"/>
              </w:rPr>
              <w:t>, pristojnega</w:t>
            </w:r>
            <w:r w:rsidRPr="002F30DF">
              <w:rPr>
                <w:rFonts w:cs="Arial"/>
                <w:sz w:val="20"/>
                <w:szCs w:val="20"/>
              </w:rPr>
              <w:t xml:space="preserve"> za varstvo konkurence</w:t>
            </w:r>
            <w:r w:rsidR="00497B13" w:rsidRPr="002F30DF">
              <w:rPr>
                <w:rFonts w:cs="Arial"/>
                <w:sz w:val="20"/>
                <w:szCs w:val="20"/>
              </w:rPr>
              <w:t>,</w:t>
            </w:r>
            <w:r w:rsidRPr="002F30DF">
              <w:rPr>
                <w:rFonts w:cs="Arial"/>
                <w:sz w:val="20"/>
                <w:szCs w:val="20"/>
              </w:rPr>
              <w:t xml:space="preserve"> kot tudi za vse druge dokaze. Zaradi tega so v </w:t>
            </w:r>
            <w:r w:rsidR="00A263FA" w:rsidRPr="002F30DF">
              <w:rPr>
                <w:rFonts w:cs="Arial"/>
                <w:sz w:val="20"/>
                <w:szCs w:val="20"/>
              </w:rPr>
              <w:t>predlogu tega člena</w:t>
            </w:r>
            <w:r w:rsidRPr="002F30DF">
              <w:rPr>
                <w:rFonts w:cs="Arial"/>
                <w:sz w:val="20"/>
                <w:szCs w:val="20"/>
              </w:rPr>
              <w:t xml:space="preserve"> združeni pogoji, ki so določeni v 5. in 6. členu Direktive 2014/104, v </w:t>
            </w:r>
            <w:r w:rsidR="00690AFD" w:rsidRPr="002F30DF">
              <w:rPr>
                <w:rFonts w:cs="Arial"/>
                <w:sz w:val="20"/>
                <w:szCs w:val="20"/>
              </w:rPr>
              <w:t>10</w:t>
            </w:r>
            <w:r w:rsidR="00DD24AE" w:rsidRPr="002F30DF">
              <w:rPr>
                <w:rFonts w:cs="Arial"/>
                <w:sz w:val="20"/>
                <w:szCs w:val="20"/>
              </w:rPr>
              <w:t>1</w:t>
            </w:r>
            <w:r w:rsidR="00690AFD" w:rsidRPr="002F30DF">
              <w:rPr>
                <w:rFonts w:cs="Arial"/>
                <w:sz w:val="20"/>
                <w:szCs w:val="20"/>
              </w:rPr>
              <w:t>.</w:t>
            </w:r>
            <w:r w:rsidRPr="002F30DF">
              <w:rPr>
                <w:rFonts w:cs="Arial"/>
                <w:sz w:val="20"/>
                <w:szCs w:val="20"/>
              </w:rPr>
              <w:t xml:space="preserve"> členu predloga zakona pa so urejene določbe, ki se nanašajo na pravdni postopek, če o zahtevku ali predlogu za razkritje dokazov oziroma podatkov odloča sodišče. Če kršitelj ali tretja oseba noče prostovoljno razkriti dokazov oziroma podatkov, lahko oškodovanec po sodni poti uveljavlja razkritje dokazov oziroma podatkov, pri čemer ima na izbiro, da pri sodišču vloži:</w:t>
            </w:r>
          </w:p>
          <w:p w:rsidR="007522E3" w:rsidRPr="002F30DF" w:rsidRDefault="007522E3" w:rsidP="0025166A">
            <w:pPr>
              <w:spacing w:line="260" w:lineRule="atLeast"/>
              <w:rPr>
                <w:rFonts w:cs="Arial"/>
                <w:sz w:val="20"/>
                <w:szCs w:val="20"/>
              </w:rPr>
            </w:pPr>
            <w:r w:rsidRPr="002F30DF">
              <w:rPr>
                <w:rFonts w:cs="Arial"/>
                <w:sz w:val="20"/>
                <w:szCs w:val="20"/>
              </w:rPr>
              <w:t xml:space="preserve">1. zahtevek na razkritje dokazov oziroma podatkov po </w:t>
            </w:r>
            <w:r w:rsidR="00690AFD" w:rsidRPr="002F30DF">
              <w:rPr>
                <w:rFonts w:cs="Arial"/>
                <w:sz w:val="20"/>
                <w:szCs w:val="20"/>
              </w:rPr>
              <w:t>9</w:t>
            </w:r>
            <w:r w:rsidR="008F3E3C" w:rsidRPr="002F30DF">
              <w:rPr>
                <w:rFonts w:cs="Arial"/>
                <w:sz w:val="20"/>
                <w:szCs w:val="20"/>
              </w:rPr>
              <w:t>8</w:t>
            </w:r>
            <w:r w:rsidRPr="002F30DF">
              <w:rPr>
                <w:rFonts w:cs="Arial"/>
                <w:sz w:val="20"/>
                <w:szCs w:val="20"/>
              </w:rPr>
              <w:t>. členu tega zakona, če tožnik hkrati postavi zahtevek za povračilo škode (objektivna kumulacija zahtevkov),</w:t>
            </w:r>
          </w:p>
          <w:p w:rsidR="007522E3" w:rsidRPr="002F30DF" w:rsidRDefault="007522E3" w:rsidP="0025166A">
            <w:pPr>
              <w:spacing w:line="260" w:lineRule="atLeast"/>
              <w:rPr>
                <w:rFonts w:cs="Arial"/>
                <w:sz w:val="20"/>
                <w:szCs w:val="20"/>
              </w:rPr>
            </w:pPr>
            <w:r w:rsidRPr="002F30DF">
              <w:rPr>
                <w:rFonts w:cs="Arial"/>
                <w:sz w:val="20"/>
                <w:szCs w:val="20"/>
              </w:rPr>
              <w:t>2. zahtevek na razkritje dokazov oziroma pod</w:t>
            </w:r>
            <w:r w:rsidR="00D361A0" w:rsidRPr="002F30DF">
              <w:rPr>
                <w:rFonts w:cs="Arial"/>
                <w:sz w:val="20"/>
                <w:szCs w:val="20"/>
              </w:rPr>
              <w:t xml:space="preserve">atkov s »stopničasto tožbo« po </w:t>
            </w:r>
            <w:r w:rsidRPr="002F30DF">
              <w:rPr>
                <w:rFonts w:cs="Arial"/>
                <w:sz w:val="20"/>
                <w:szCs w:val="20"/>
              </w:rPr>
              <w:t>182.a člena ZPP,</w:t>
            </w:r>
          </w:p>
          <w:p w:rsidR="007522E3" w:rsidRPr="002F30DF" w:rsidRDefault="007522E3" w:rsidP="0025166A">
            <w:pPr>
              <w:spacing w:line="260" w:lineRule="atLeast"/>
              <w:rPr>
                <w:rFonts w:cs="Arial"/>
                <w:sz w:val="20"/>
                <w:szCs w:val="20"/>
              </w:rPr>
            </w:pPr>
            <w:r w:rsidRPr="002F30DF">
              <w:rPr>
                <w:rFonts w:cs="Arial"/>
                <w:sz w:val="20"/>
                <w:szCs w:val="20"/>
              </w:rPr>
              <w:t>3. predlog na predložitev listine po veljavnem 227. in 228. členu ZPP,</w:t>
            </w:r>
          </w:p>
          <w:p w:rsidR="007522E3" w:rsidRPr="002F30DF" w:rsidRDefault="007522E3" w:rsidP="0025166A">
            <w:pPr>
              <w:spacing w:line="260" w:lineRule="atLeast"/>
              <w:rPr>
                <w:rFonts w:cs="Arial"/>
                <w:sz w:val="20"/>
                <w:szCs w:val="20"/>
              </w:rPr>
            </w:pPr>
            <w:r w:rsidRPr="002F30DF">
              <w:rPr>
                <w:rFonts w:cs="Arial"/>
                <w:sz w:val="20"/>
                <w:szCs w:val="20"/>
              </w:rPr>
              <w:t xml:space="preserve">4. predlog na razkrije podatkov, ki so poslovna skrivnost, po predlogu 219.b člena ZPP.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u w:val="single"/>
              </w:rPr>
            </w:pPr>
            <w:r w:rsidRPr="002F30DF">
              <w:rPr>
                <w:rFonts w:cs="Arial"/>
                <w:i/>
                <w:sz w:val="20"/>
                <w:szCs w:val="20"/>
                <w:u w:val="single"/>
              </w:rPr>
              <w:t>Prvi in drugi odstavek</w:t>
            </w:r>
          </w:p>
          <w:p w:rsidR="007522E3" w:rsidRPr="002F30DF" w:rsidRDefault="006C0FAA" w:rsidP="0025166A">
            <w:pPr>
              <w:spacing w:line="260" w:lineRule="atLeast"/>
              <w:rPr>
                <w:rFonts w:cs="Arial"/>
                <w:sz w:val="20"/>
                <w:szCs w:val="20"/>
              </w:rPr>
            </w:pPr>
            <w:r w:rsidRPr="002F30DF">
              <w:rPr>
                <w:rFonts w:cs="Arial"/>
                <w:sz w:val="20"/>
                <w:szCs w:val="20"/>
              </w:rPr>
              <w:t>P</w:t>
            </w:r>
            <w:r w:rsidR="007522E3" w:rsidRPr="002F30DF">
              <w:rPr>
                <w:rFonts w:cs="Arial"/>
                <w:sz w:val="20"/>
                <w:szCs w:val="20"/>
              </w:rPr>
              <w:t xml:space="preserve">ododstavek prvega odstavka 5. člena Direktive 2014/104 določa, da </w:t>
            </w:r>
            <w:r w:rsidR="007522E3" w:rsidRPr="002F30DF">
              <w:rPr>
                <w:rFonts w:cs="Arial"/>
                <w:i/>
                <w:sz w:val="20"/>
                <w:szCs w:val="20"/>
              </w:rPr>
              <w:t>morajo države članice zagotoviti, da lahko nacionalna sodišča v postopkih v zvezi z odškodninsko tožbo v EU na zahtevo tožnika, ki predloži utemeljeno obrazložitev z dejstvi in dokazi, ki so mu znani (angl. available) pod razumnimi pogoji in zadostno podpirajo verjetnost (angl. plausibility) odškodninskega zahtevka, tožencu ali tretji osebi odredijo razkritje upoštevnih (angl. relevant) dokazov, s katerimi razpolagajo, v skladu s pogoji iz drugega poglavja te direktive. Razkritje dokazov lahko zahteva tudi nasprotna stranka, torej toženec.</w:t>
            </w:r>
            <w:r w:rsidR="007522E3" w:rsidRPr="002F30DF">
              <w:rPr>
                <w:rFonts w:cs="Arial"/>
                <w:sz w:val="20"/>
                <w:szCs w:val="20"/>
              </w:rPr>
              <w:t xml:space="preserve"> Drugi </w:t>
            </w:r>
            <w:r w:rsidR="007522E3" w:rsidRPr="002F30DF">
              <w:rPr>
                <w:rFonts w:cs="Arial"/>
                <w:sz w:val="20"/>
                <w:szCs w:val="20"/>
              </w:rPr>
              <w:lastRenderedPageBreak/>
              <w:t xml:space="preserve">odstavek 5. člena Direktive 2014/104 določa, da </w:t>
            </w:r>
            <w:r w:rsidR="007522E3" w:rsidRPr="002F30DF">
              <w:rPr>
                <w:rFonts w:cs="Arial"/>
                <w:i/>
                <w:sz w:val="20"/>
                <w:szCs w:val="20"/>
              </w:rPr>
              <w:t>države članice zagotovijo, da lahko nacionalna sodišča odredijo razkritje določenih dokazov ali relevantnih kategorij dokazov, ki so v obrazložitvi karseda natančno in podrobno opisani na podlagi dejstev, dostopnih pod razumnimi pogoji. Predlagatelj lahko zahteva razkritje katerih</w:t>
            </w:r>
            <w:r w:rsidRPr="002F30DF">
              <w:rPr>
                <w:rFonts w:cs="Arial"/>
                <w:i/>
                <w:sz w:val="20"/>
                <w:szCs w:val="20"/>
              </w:rPr>
              <w:t xml:space="preserve"> </w:t>
            </w:r>
            <w:r w:rsidR="007522E3" w:rsidRPr="002F30DF">
              <w:rPr>
                <w:rFonts w:cs="Arial"/>
                <w:i/>
                <w:sz w:val="20"/>
                <w:szCs w:val="20"/>
              </w:rPr>
              <w:t>koli dokazov oziroma podatkov, tudi zaupnih.</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prvem odstavku je določena materialnopravna pravica oškodovanca, ki je vložil odškodninski zahtevek zoper kršitelja, da lahko zahteva razkritje dokazov oziroma podatkov od njega ali od tretje osebe, ki razpolaga z dokazi oziroma podatki, potrebnimi za utemeljitev odškodninskega zahtevka. Tudi kršitelj, zoper katerega je vložen odškodninski zahtevek, lahko zahteva razkritje dokazov oziroma podatkov od oškodovanca ali tretje osebe, ki razpolaga z dokazi oziroma podatki, potrebnimi za ugovarjanje zoper odškodninski zahtevek.</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Pravico zahtevati razkritje dokazov oziroma podatkov imata tako oškodovanec kot tudi kršitelj, dolžnost razkritja dokazov oziroma podatkov pa velja tako za oškodovanca, kršitelja oziroma tretje osebe. Tretja oseba je v 9. točki drugega odstavka 3. člena tega zakona opredeljena kot fizična oseba, podjetje, državni organ ali nosilec javnega pooblastila, ne pa sodišče. Torej je zahtevek lahko naslovljen tudi na </w:t>
            </w:r>
            <w:r w:rsidR="00497B33" w:rsidRPr="002F30DF">
              <w:rPr>
                <w:rFonts w:cs="Arial"/>
                <w:sz w:val="20"/>
                <w:szCs w:val="20"/>
              </w:rPr>
              <w:t>a</w:t>
            </w:r>
            <w:r w:rsidR="0045309B" w:rsidRPr="002F30DF">
              <w:rPr>
                <w:rFonts w:cs="Arial"/>
                <w:sz w:val="20"/>
                <w:szCs w:val="20"/>
              </w:rPr>
              <w:t>genc</w:t>
            </w:r>
            <w:r w:rsidRPr="002F30DF">
              <w:rPr>
                <w:rFonts w:cs="Arial"/>
                <w:sz w:val="20"/>
                <w:szCs w:val="20"/>
              </w:rPr>
              <w:t>ijo. Oseba, ki zahteva razkritje dokazov ali podatkov, mora tudi izkazati, da naslovnik zahteve razpolaga z dokazi oziroma podatki, četudi jih nima v neposredni posesti (npr. elektronska hramba dokumentov v oblaku).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drugem odstavku so določeni pogoji, pod katerimi se lahko zahteva razkritje dokazov oziroma podatkov, in sicer če:</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je glede na razpoložljiva dejstva in dokaze v zadostni meri izkazano, da obstaja odškodninska terjatev zaradi kršitev konkurenčnega prava, oziroma da ta ne obstaja ali da ne obstaja v zatrjevani višini,</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so dokazi oziroma podatki relevantni zaradi dodatnega navajanja dejstev oziroma dokazovanja obstoja ali neobstoja odškodninske terjatve oziroma njene višine, in </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so dokazi oziroma podatki, za katere se zahteva razkritje, karseda določno in podrobno opisani na podlagi dejstev in dokazov, ki so osebi, ki zahteva razkritje dokazov oziroma podatkov, znani pod razumnimi pogoji.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Stranka, ki zahteva razkritje dokazov oziroma podatkov, mora v zadostni meri izkazati, da obstaja oziroma da ne obstaja odškodninska terjatev. Ta pogoj je oblikovan glede na prvi odstavek 5. člena Direktive 2014/104, ki določa, da </w:t>
            </w:r>
            <w:r w:rsidRPr="002F30DF">
              <w:rPr>
                <w:rFonts w:cs="Arial"/>
                <w:i/>
                <w:sz w:val="20"/>
                <w:szCs w:val="20"/>
              </w:rPr>
              <w:t>mora biti odškodninski zahtevek v določeni meri izkazan</w:t>
            </w:r>
            <w:r w:rsidRPr="002F30DF">
              <w:rPr>
                <w:rFonts w:cs="Arial"/>
                <w:sz w:val="20"/>
                <w:szCs w:val="20"/>
              </w:rPr>
              <w:t xml:space="preserve"> (</w:t>
            </w:r>
            <w:r w:rsidRPr="002F30DF">
              <w:rPr>
                <w:rFonts w:cs="Arial"/>
                <w:i/>
                <w:sz w:val="20"/>
                <w:szCs w:val="20"/>
              </w:rPr>
              <w:t>angl.</w:t>
            </w:r>
            <w:r w:rsidRPr="002F30DF">
              <w:rPr>
                <w:rFonts w:cs="Arial"/>
                <w:sz w:val="20"/>
                <w:szCs w:val="20"/>
              </w:rPr>
              <w:t xml:space="preserve"> </w:t>
            </w:r>
            <w:r w:rsidRPr="002F30DF">
              <w:rPr>
                <w:rFonts w:cs="Arial"/>
                <w:i/>
                <w:sz w:val="20"/>
                <w:szCs w:val="20"/>
              </w:rPr>
              <w:t>plausibility of its claim for damages</w:t>
            </w:r>
            <w:r w:rsidRPr="002F30DF">
              <w:rPr>
                <w:rFonts w:cs="Arial"/>
                <w:sz w:val="20"/>
                <w:szCs w:val="20"/>
              </w:rPr>
              <w:t>). Z ZPOmK-1 je bil urejen nov standard, ki se ga ne sme uporabljati prestrogo, upoštevaje značilno asimetrijo informacij v konkurenčnopravnih sporih. Iz vloženega tožbenega zahtevka mora glede na navedena dejstva in priložene dokaze vsaj na prvi pogled izhajati, da odškodninska terjatev obstaja. Na drugi strani pa niso upravičene tiste zahteve za razkritje dokazov oziroma podatkov, kjer je že na prvi pogled očitno, da stranka nima odškodninske terjatve zoper nasprotno stranko in da ima stranka namen predvsem pridobiti njene podatke</w:t>
            </w:r>
            <w:r w:rsidRPr="002F30DF">
              <w:rPr>
                <w:rFonts w:cs="Arial"/>
                <w:i/>
                <w:sz w:val="20"/>
                <w:szCs w:val="20"/>
              </w:rPr>
              <w:t xml:space="preserve"> (fishing expedition)</w:t>
            </w:r>
            <w:r w:rsidRPr="002F30DF">
              <w:rPr>
                <w:rFonts w:cs="Arial"/>
                <w:sz w:val="20"/>
                <w:szCs w:val="20"/>
              </w:rPr>
              <w:t>. Predlog te določbe ohranja dokazni standard, ki je določen nižje kot standard »verjetnosti obstoja terjatve«, kot je določen v 270. členu ZIZ, ki določa pogoje za začasno odredbo.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Dokazi in podatki, katerih razkritje se predlaga, morajo biti relevantni glede na vložen odškodninski zahtevek oziroma ugovor zoper njega. Dokazi oziroma podatki pa morajo biti opisani karseda določno in podrobno na podlagi dejstev in dokazov, ki so osebi, ki zahteva razkritje dokazov oziroma podatkov, znani pod razumnimi pogoji. Tudi s tem zakonom se ohranja drugačna ureditev kot v ZPP glede kako natančno je treba opisati dokaze oziroma podatke, katerih razkritje se predlaga. Takšna ureditev izhaja iz 5. člena Direktive 2014/104 in pojasnil 14. ter 15. uvodne </w:t>
            </w:r>
            <w:r w:rsidR="00721AA6" w:rsidRPr="002F30DF">
              <w:rPr>
                <w:rFonts w:cs="Arial"/>
                <w:sz w:val="20"/>
                <w:szCs w:val="20"/>
              </w:rPr>
              <w:t>izjave</w:t>
            </w:r>
            <w:r w:rsidRPr="002F30DF">
              <w:rPr>
                <w:rFonts w:cs="Arial"/>
                <w:sz w:val="20"/>
                <w:szCs w:val="20"/>
              </w:rPr>
              <w:t xml:space="preserve"> Direktive 2014/104, kjer je določeno, da stroge pravne zahteve po natančni in določni opredelitvi posameznih dokazov neupravičeno ovirajo učinkovito izvajanje pravice do odškodnine, ki jo zagotavlja PDEU.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Oškodovanec ali kršitelj lahko predlaga razkritje posameznega dokaza oziroma podatka ali več dokazov oziroma podatkov. Pojem »dokaz« je opredeljen v 8. točki drugega odstavka 3. člena tega zakona in pomeni vsa sredstva in predmete, s katerimi je dopustno dokazovati dejstva v skladu z zakonom, ki ureja pravdni postopek, kot na primer listine in drugi nosilci podatkov, na katerih so podatki shranjeni. Pojem </w:t>
            </w:r>
            <w:r w:rsidR="006C0FAA" w:rsidRPr="002F30DF">
              <w:rPr>
                <w:rFonts w:cs="Arial"/>
                <w:sz w:val="20"/>
                <w:szCs w:val="20"/>
              </w:rPr>
              <w:t>»</w:t>
            </w:r>
            <w:r w:rsidRPr="002F30DF">
              <w:rPr>
                <w:rFonts w:cs="Arial"/>
                <w:sz w:val="20"/>
                <w:szCs w:val="20"/>
              </w:rPr>
              <w:t>podatki</w:t>
            </w:r>
            <w:r w:rsidR="006C0FAA" w:rsidRPr="002F30DF">
              <w:rPr>
                <w:rFonts w:cs="Arial"/>
                <w:sz w:val="20"/>
                <w:szCs w:val="20"/>
              </w:rPr>
              <w:t>«</w:t>
            </w:r>
            <w:r w:rsidRPr="002F30DF">
              <w:rPr>
                <w:rFonts w:cs="Arial"/>
                <w:sz w:val="20"/>
                <w:szCs w:val="20"/>
              </w:rPr>
              <w:t xml:space="preserve"> pa je opredeljen v 15. točki prvega odstavka 3. člena tega zakona kot vsi podatki, vključno z zaupnimi podatki, ne glede na nosilec, na katerem so zapisani oziroma shranjeni. Direktiva 2014/104 uporablja tudi izraz »skupine dokazov«, pri čemer razlikuje med dokazi in »skupinami dokazov« samo v delu, ki določa, kako natančno je treba opisati dokaze ali »skupine </w:t>
            </w:r>
            <w:r w:rsidRPr="002F30DF">
              <w:rPr>
                <w:rFonts w:cs="Arial"/>
                <w:sz w:val="20"/>
                <w:szCs w:val="20"/>
              </w:rPr>
              <w:lastRenderedPageBreak/>
              <w:t xml:space="preserve">dokazov« v predlogu oziroma zahtevku za razkritje dokazov. Predlog zakona za obe kategoriji določa standard, ki ga Direktiva 2014/104 določa samo za »skupine dokazov«, kar je tudi skladno z načelom minimalne harmonizacije iz osmega odstavka 5. člena Direktive 2014/104. Zaradi poenotenega standarda ni potrebno, da se v predlogu zakona uvede pojem »skupine dokazov«.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u w:val="single"/>
              </w:rPr>
            </w:pPr>
            <w:r w:rsidRPr="002F30DF">
              <w:rPr>
                <w:rFonts w:cs="Arial"/>
                <w:i/>
                <w:sz w:val="20"/>
                <w:szCs w:val="20"/>
                <w:u w:val="single"/>
              </w:rPr>
              <w:t>Tretji do peti odstavek</w:t>
            </w:r>
          </w:p>
          <w:p w:rsidR="007522E3" w:rsidRPr="002F30DF" w:rsidRDefault="007522E3" w:rsidP="0025166A">
            <w:pPr>
              <w:spacing w:line="260" w:lineRule="atLeast"/>
              <w:rPr>
                <w:rFonts w:cs="Arial"/>
                <w:i/>
                <w:sz w:val="20"/>
                <w:szCs w:val="20"/>
              </w:rPr>
            </w:pPr>
            <w:r w:rsidRPr="002F30DF">
              <w:rPr>
                <w:rFonts w:cs="Arial"/>
                <w:sz w:val="20"/>
                <w:szCs w:val="20"/>
              </w:rPr>
              <w:t xml:space="preserve">Tretji odstavek 5. člena Direktive 2014/104 določa, da </w:t>
            </w:r>
            <w:r w:rsidRPr="002F30DF">
              <w:rPr>
                <w:rFonts w:cs="Arial"/>
                <w:i/>
                <w:sz w:val="20"/>
                <w:szCs w:val="20"/>
              </w:rPr>
              <w:t>države članice zagotovijo, da nacionalna sodišča omejijo razkritje dokazov na tisto, kar je sorazmerno (test sorazmernosti), pri čemer mora sodišče pri odločitvi o razkritju upoštevati vse relevantne okoliščine primera in tehtati nasprotujoče si interese zadevnih oseb. Direktiva primeroma našteva, katere okoliščine mora sodišče upoštevati v testu sorazmernosti, in sicer:</w:t>
            </w:r>
          </w:p>
          <w:p w:rsidR="007522E3" w:rsidRPr="002F30DF" w:rsidRDefault="007522E3" w:rsidP="00431BAA">
            <w:pPr>
              <w:numPr>
                <w:ilvl w:val="0"/>
                <w:numId w:val="64"/>
              </w:numPr>
              <w:overflowPunct/>
              <w:autoSpaceDE/>
              <w:autoSpaceDN/>
              <w:adjustRightInd/>
              <w:spacing w:line="260" w:lineRule="atLeast"/>
              <w:ind w:left="284" w:hanging="283"/>
              <w:textAlignment w:val="auto"/>
              <w:rPr>
                <w:rFonts w:cs="Arial"/>
                <w:i/>
                <w:sz w:val="20"/>
                <w:szCs w:val="20"/>
              </w:rPr>
            </w:pPr>
            <w:r w:rsidRPr="002F30DF">
              <w:rPr>
                <w:rFonts w:cs="Arial"/>
                <w:i/>
                <w:sz w:val="20"/>
                <w:szCs w:val="20"/>
              </w:rPr>
              <w:t>koliko je zahtevek podprt z razpoložljivimi dejstvi in dokazi, ki utemeljujejo zahtevo za predložitev dokazov,</w:t>
            </w:r>
          </w:p>
          <w:p w:rsidR="007522E3" w:rsidRPr="002F30DF" w:rsidRDefault="007522E3" w:rsidP="00431BAA">
            <w:pPr>
              <w:numPr>
                <w:ilvl w:val="0"/>
                <w:numId w:val="64"/>
              </w:numPr>
              <w:overflowPunct/>
              <w:autoSpaceDE/>
              <w:autoSpaceDN/>
              <w:adjustRightInd/>
              <w:spacing w:line="260" w:lineRule="atLeast"/>
              <w:ind w:left="284" w:hanging="283"/>
              <w:textAlignment w:val="auto"/>
              <w:rPr>
                <w:rFonts w:cs="Arial"/>
                <w:i/>
                <w:sz w:val="20"/>
                <w:szCs w:val="20"/>
              </w:rPr>
            </w:pPr>
            <w:r w:rsidRPr="002F30DF">
              <w:rPr>
                <w:rFonts w:cs="Arial"/>
                <w:i/>
                <w:sz w:val="20"/>
                <w:szCs w:val="20"/>
              </w:rPr>
              <w:t xml:space="preserve">obseg in stroške za predložitev, zlasti za zadevne tretje osebe, vključno s preprečitvijo vsesplošnega iskanja informacij, ki po vsej verjetnosti niti niso pomembne za stranke postopka, </w:t>
            </w:r>
          </w:p>
          <w:p w:rsidR="007522E3" w:rsidRPr="002F30DF" w:rsidRDefault="007522E3" w:rsidP="00431BAA">
            <w:pPr>
              <w:numPr>
                <w:ilvl w:val="0"/>
                <w:numId w:val="64"/>
              </w:numPr>
              <w:overflowPunct/>
              <w:autoSpaceDE/>
              <w:autoSpaceDN/>
              <w:adjustRightInd/>
              <w:spacing w:line="260" w:lineRule="atLeast"/>
              <w:ind w:left="284" w:hanging="283"/>
              <w:textAlignment w:val="auto"/>
              <w:rPr>
                <w:rFonts w:cs="Arial"/>
                <w:i/>
                <w:sz w:val="20"/>
                <w:szCs w:val="20"/>
              </w:rPr>
            </w:pPr>
            <w:r w:rsidRPr="002F30DF">
              <w:rPr>
                <w:rFonts w:cs="Arial"/>
                <w:i/>
                <w:sz w:val="20"/>
                <w:szCs w:val="20"/>
              </w:rPr>
              <w:t>ali dokazi, katerih predložitev se zahteva, vsebujejo zaupne informacije, zlasti v zvezi s tretjimi osebami, in kateri ukrepi so potrebni za varovanje zaupnih informacij.</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V četrtem odstavku 6. člena Direktive 2014/104 so </w:t>
            </w:r>
            <w:r w:rsidRPr="002F30DF">
              <w:rPr>
                <w:rFonts w:cs="Arial"/>
                <w:i/>
                <w:sz w:val="20"/>
                <w:szCs w:val="20"/>
              </w:rPr>
              <w:t>določene okoliščine, ki jih je treba upoštevati pri zagotavljanju sorazmernosti, kadar se zahtevek za razkritje nanaša na dokaze iz spisa organa</w:t>
            </w:r>
            <w:r w:rsidR="00952343" w:rsidRPr="002F30DF">
              <w:rPr>
                <w:rFonts w:cs="Arial"/>
                <w:i/>
                <w:sz w:val="20"/>
                <w:szCs w:val="20"/>
              </w:rPr>
              <w:t>, pristojnega</w:t>
            </w:r>
            <w:r w:rsidRPr="002F30DF">
              <w:rPr>
                <w:rFonts w:cs="Arial"/>
                <w:i/>
                <w:sz w:val="20"/>
                <w:szCs w:val="20"/>
              </w:rPr>
              <w:t xml:space="preserve"> za varstvo konkurence:</w:t>
            </w:r>
          </w:p>
          <w:p w:rsidR="007522E3" w:rsidRPr="002F30DF" w:rsidRDefault="007522E3" w:rsidP="00431BAA">
            <w:pPr>
              <w:numPr>
                <w:ilvl w:val="0"/>
                <w:numId w:val="63"/>
              </w:numPr>
              <w:overflowPunct/>
              <w:autoSpaceDE/>
              <w:autoSpaceDN/>
              <w:adjustRightInd/>
              <w:spacing w:line="260" w:lineRule="atLeast"/>
              <w:ind w:left="284" w:hanging="283"/>
              <w:textAlignment w:val="auto"/>
              <w:rPr>
                <w:rFonts w:cs="Arial"/>
                <w:i/>
                <w:sz w:val="20"/>
                <w:szCs w:val="20"/>
              </w:rPr>
            </w:pPr>
            <w:r w:rsidRPr="002F30DF">
              <w:rPr>
                <w:rFonts w:cs="Arial"/>
                <w:i/>
                <w:sz w:val="20"/>
                <w:szCs w:val="20"/>
              </w:rPr>
              <w:t>ali zahteva vsebuje podrobnosti o naravi, predmetu ali vsebini dokumentov, ki se nahajajo pri organu</w:t>
            </w:r>
            <w:r w:rsidR="00952343" w:rsidRPr="002F30DF">
              <w:rPr>
                <w:rFonts w:cs="Arial"/>
                <w:i/>
                <w:sz w:val="20"/>
                <w:szCs w:val="20"/>
              </w:rPr>
              <w:t>, pristojnem</w:t>
            </w:r>
            <w:r w:rsidRPr="002F30DF">
              <w:rPr>
                <w:rFonts w:cs="Arial"/>
                <w:i/>
                <w:sz w:val="20"/>
                <w:szCs w:val="20"/>
              </w:rPr>
              <w:t xml:space="preserve"> za varstvo konkurence; ali je dokumentacija del spisa organa</w:t>
            </w:r>
            <w:r w:rsidR="00952343" w:rsidRPr="002F30DF">
              <w:rPr>
                <w:rFonts w:cs="Arial"/>
                <w:i/>
                <w:sz w:val="20"/>
                <w:szCs w:val="20"/>
              </w:rPr>
              <w:t>, pristojnega</w:t>
            </w:r>
            <w:r w:rsidRPr="002F30DF">
              <w:rPr>
                <w:rFonts w:cs="Arial"/>
                <w:i/>
                <w:sz w:val="20"/>
                <w:szCs w:val="20"/>
              </w:rPr>
              <w:t xml:space="preserve"> za varstvo konkurence; ali pa je bila podana splošna in abstraktna zahteva za razkritje vseh dokumentov, ki se nahajajo v spisu organa</w:t>
            </w:r>
            <w:r w:rsidR="00952343" w:rsidRPr="002F30DF">
              <w:rPr>
                <w:rFonts w:cs="Arial"/>
                <w:i/>
                <w:sz w:val="20"/>
                <w:szCs w:val="20"/>
              </w:rPr>
              <w:t>, pristojnega</w:t>
            </w:r>
            <w:r w:rsidRPr="002F30DF">
              <w:rPr>
                <w:rFonts w:cs="Arial"/>
                <w:i/>
                <w:sz w:val="20"/>
                <w:szCs w:val="20"/>
              </w:rPr>
              <w:t xml:space="preserve"> za varstvo konkurence,</w:t>
            </w:r>
          </w:p>
          <w:p w:rsidR="007522E3" w:rsidRPr="002F30DF" w:rsidRDefault="007522E3" w:rsidP="00431BAA">
            <w:pPr>
              <w:numPr>
                <w:ilvl w:val="0"/>
                <w:numId w:val="63"/>
              </w:numPr>
              <w:overflowPunct/>
              <w:autoSpaceDE/>
              <w:autoSpaceDN/>
              <w:adjustRightInd/>
              <w:spacing w:line="260" w:lineRule="atLeast"/>
              <w:ind w:left="284" w:hanging="283"/>
              <w:textAlignment w:val="auto"/>
              <w:rPr>
                <w:rFonts w:cs="Arial"/>
                <w:i/>
                <w:sz w:val="20"/>
                <w:szCs w:val="20"/>
              </w:rPr>
            </w:pPr>
            <w:r w:rsidRPr="002F30DF">
              <w:rPr>
                <w:rFonts w:cs="Arial"/>
                <w:i/>
                <w:sz w:val="20"/>
                <w:szCs w:val="20"/>
              </w:rPr>
              <w:t>ali stranka zahteva razkritje v zvezi z odškodninsko tožbo pred nacionalnim sodiščem,</w:t>
            </w:r>
          </w:p>
          <w:p w:rsidR="007522E3" w:rsidRPr="002F30DF" w:rsidRDefault="007522E3" w:rsidP="00431BAA">
            <w:pPr>
              <w:numPr>
                <w:ilvl w:val="0"/>
                <w:numId w:val="63"/>
              </w:numPr>
              <w:overflowPunct/>
              <w:autoSpaceDE/>
              <w:autoSpaceDN/>
              <w:adjustRightInd/>
              <w:spacing w:line="260" w:lineRule="atLeast"/>
              <w:ind w:left="284" w:hanging="283"/>
              <w:textAlignment w:val="auto"/>
              <w:rPr>
                <w:rFonts w:cs="Arial"/>
                <w:i/>
                <w:sz w:val="20"/>
                <w:szCs w:val="20"/>
              </w:rPr>
            </w:pPr>
            <w:r w:rsidRPr="002F30DF">
              <w:rPr>
                <w:rFonts w:cs="Arial"/>
                <w:i/>
                <w:sz w:val="20"/>
                <w:szCs w:val="20"/>
              </w:rPr>
              <w:t>ali se zahteva razkritje dokazov, za katere velja varstvo razkritja pred končanim postopkom javnopravnega izvajanja konkurenčnega prava v skladu s petim odstavkom 6. člena Direktive 2014/104; ali lahko stranka sama doseže razkritje pri nasprotni stranki ali tretji osebi, ki ni organ</w:t>
            </w:r>
            <w:r w:rsidR="00952343" w:rsidRPr="002F30DF">
              <w:rPr>
                <w:rFonts w:cs="Arial"/>
                <w:i/>
                <w:sz w:val="20"/>
                <w:szCs w:val="20"/>
              </w:rPr>
              <w:t xml:space="preserve">, pristojen </w:t>
            </w:r>
            <w:r w:rsidRPr="002F30DF">
              <w:rPr>
                <w:rFonts w:cs="Arial"/>
                <w:i/>
                <w:sz w:val="20"/>
                <w:szCs w:val="20"/>
              </w:rPr>
              <w:t>za varstvo konkurence; ali pretehta javni interes varovanja dokumentov zaradi zagotavljanja učinkovitosti javnopravnega izvajanja konkurenčnega prava v primeru, ko organ</w:t>
            </w:r>
            <w:r w:rsidR="00952343" w:rsidRPr="002F30DF">
              <w:rPr>
                <w:rFonts w:cs="Arial"/>
                <w:i/>
                <w:sz w:val="20"/>
                <w:szCs w:val="20"/>
              </w:rPr>
              <w:t>, pristojen</w:t>
            </w:r>
            <w:r w:rsidRPr="002F30DF">
              <w:rPr>
                <w:rFonts w:cs="Arial"/>
                <w:i/>
                <w:sz w:val="20"/>
                <w:szCs w:val="20"/>
              </w:rPr>
              <w:t xml:space="preserve"> za varstvo konkurence</w:t>
            </w:r>
            <w:r w:rsidR="00952343" w:rsidRPr="002F30DF">
              <w:rPr>
                <w:rFonts w:cs="Arial"/>
                <w:i/>
                <w:sz w:val="20"/>
                <w:szCs w:val="20"/>
              </w:rPr>
              <w:t>,</w:t>
            </w:r>
            <w:r w:rsidRPr="002F30DF">
              <w:rPr>
                <w:rFonts w:cs="Arial"/>
                <w:i/>
                <w:sz w:val="20"/>
                <w:szCs w:val="20"/>
              </w:rPr>
              <w:t xml:space="preserve"> v skladu z enajstim odstavkom 6. člena Direktive 2014/104 poda mnenje glede sorazmernosti.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tretjem odstavku so navedene okoliščine iz tretjega odstavka 5. člena Direktive 2014/104, ki jih je treba upoštevati pri odločanju o zahtevi za razkritje, da se zagotovi sorazmernost</w:t>
            </w:r>
            <w:r w:rsidR="00952343" w:rsidRPr="002F30DF">
              <w:rPr>
                <w:rFonts w:cs="Arial"/>
                <w:sz w:val="20"/>
                <w:szCs w:val="20"/>
              </w:rPr>
              <w:t>, in sicer</w:t>
            </w:r>
            <w:r w:rsidRPr="002F30DF">
              <w:rPr>
                <w:rFonts w:cs="Arial"/>
                <w:sz w:val="20"/>
                <w:szCs w:val="20"/>
              </w:rPr>
              <w:t>:</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ali je utemeljitev obstoja ali neobstoja obveznosti povrnitve škode dovolj podprta z razpoložljivimi dejstvi in dokazi, </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ali gre za vsesplošno iskanje podatkov, ki verjetno niso pomembni za odločitev o obstoju oziroma neobstoju odškodninske terjatve,</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obseg in stroške za razkritje dokazov oziroma podatkov, zlasti za tretje osebe, </w:t>
            </w:r>
          </w:p>
          <w:p w:rsidR="007522E3" w:rsidRPr="002F30DF" w:rsidRDefault="007522E3" w:rsidP="00431BAA">
            <w:pPr>
              <w:numPr>
                <w:ilvl w:val="0"/>
                <w:numId w:val="69"/>
              </w:numPr>
              <w:overflowPunct/>
              <w:autoSpaceDE/>
              <w:autoSpaceDN/>
              <w:adjustRightInd/>
              <w:spacing w:line="260" w:lineRule="atLeast"/>
              <w:ind w:left="426"/>
              <w:textAlignment w:val="auto"/>
              <w:rPr>
                <w:rFonts w:cs="Arial"/>
                <w:sz w:val="20"/>
                <w:szCs w:val="20"/>
              </w:rPr>
            </w:pPr>
            <w:r w:rsidRPr="002F30DF">
              <w:rPr>
                <w:rFonts w:cs="Arial"/>
                <w:sz w:val="20"/>
                <w:szCs w:val="20"/>
              </w:rPr>
              <w:t>ali dokazi, katerih razkritje se predlaga, vsebujejo zaupne podatke, zlasti v zvezi s tretjimi osebami, in kateri so možni ukrepi za zavarovanje zaupnih podatkov.</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četrtem odstavku so navedene okoliščine iz četrtega odstavka 6. člena Direktive 2014/104 glede razkritja dokazov in podatkov iz spisa organa, pristojnega za varstvo konkurence, ki se jih upošteva pri testu sorazmernosti poleg okoliščin iz tretjega odstavka</w:t>
            </w:r>
            <w:r w:rsidR="00952343" w:rsidRPr="002F30DF">
              <w:rPr>
                <w:rFonts w:cs="Arial"/>
                <w:sz w:val="20"/>
                <w:szCs w:val="20"/>
              </w:rPr>
              <w:t>. Te okoliščine so</w:t>
            </w:r>
            <w:r w:rsidRPr="002F30DF">
              <w:rPr>
                <w:rFonts w:cs="Arial"/>
                <w:sz w:val="20"/>
                <w:szCs w:val="20"/>
              </w:rPr>
              <w:t>:</w:t>
            </w:r>
          </w:p>
          <w:p w:rsidR="007522E3" w:rsidRPr="002F30DF" w:rsidRDefault="007522E3" w:rsidP="00431BAA">
            <w:pPr>
              <w:numPr>
                <w:ilvl w:val="0"/>
                <w:numId w:val="70"/>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opredelitev narave, predmeta ali vsebine dokazov oziroma podatkov, </w:t>
            </w:r>
          </w:p>
          <w:p w:rsidR="007522E3" w:rsidRPr="002F30DF" w:rsidRDefault="007522E3" w:rsidP="00431BAA">
            <w:pPr>
              <w:numPr>
                <w:ilvl w:val="0"/>
                <w:numId w:val="70"/>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ali je dokaz oziroma podatek relevanten za utemeljitev odškodninske terjatve, </w:t>
            </w:r>
          </w:p>
          <w:p w:rsidR="007522E3" w:rsidRPr="002F30DF" w:rsidRDefault="007522E3" w:rsidP="00431BAA">
            <w:pPr>
              <w:numPr>
                <w:ilvl w:val="0"/>
                <w:numId w:val="70"/>
              </w:numPr>
              <w:overflowPunct/>
              <w:autoSpaceDE/>
              <w:autoSpaceDN/>
              <w:adjustRightInd/>
              <w:spacing w:line="260" w:lineRule="atLeast"/>
              <w:ind w:left="426"/>
              <w:textAlignment w:val="auto"/>
              <w:rPr>
                <w:rFonts w:cs="Arial"/>
                <w:sz w:val="20"/>
                <w:szCs w:val="20"/>
              </w:rPr>
            </w:pPr>
            <w:r w:rsidRPr="002F30DF">
              <w:rPr>
                <w:rFonts w:cs="Arial"/>
                <w:sz w:val="20"/>
                <w:szCs w:val="20"/>
              </w:rPr>
              <w:t>ali zaradi učinkovitega izvajanja konkurenčnega prava pretehta javni interes varovanja dokazov oziroma podatkov iz spisa organa, pristojnega za varstvo konkurence, v zvezi z razkritjem dokazov ali podatkov iz osmega odstavka tega člena,</w:t>
            </w:r>
          </w:p>
          <w:p w:rsidR="007522E3" w:rsidRPr="002F30DF" w:rsidRDefault="007522E3" w:rsidP="00431BAA">
            <w:pPr>
              <w:numPr>
                <w:ilvl w:val="0"/>
                <w:numId w:val="70"/>
              </w:numPr>
              <w:overflowPunct/>
              <w:autoSpaceDE/>
              <w:autoSpaceDN/>
              <w:adjustRightInd/>
              <w:spacing w:line="260" w:lineRule="atLeast"/>
              <w:ind w:left="426"/>
              <w:textAlignment w:val="auto"/>
              <w:rPr>
                <w:rFonts w:cs="Arial"/>
                <w:sz w:val="20"/>
                <w:szCs w:val="20"/>
              </w:rPr>
            </w:pPr>
            <w:r w:rsidRPr="002F30DF">
              <w:rPr>
                <w:rFonts w:cs="Arial"/>
                <w:sz w:val="20"/>
                <w:szCs w:val="20"/>
              </w:rPr>
              <w:t>ali zaradi učinkovitega izvajanja konkurenčnega prava pretehta javni interes varovanja dokazov oziroma podatkov iz spisa organa, pristojnega za varstvo konkurence, ker lahko stranka sama doseže razkritje dokazov oziroma podatkov pri osebi iz prvega odstavka tega člena, ki ni organ, pristojen za varstvo konkurence, in</w:t>
            </w:r>
          </w:p>
          <w:p w:rsidR="007522E3" w:rsidRPr="002F30DF" w:rsidRDefault="007522E3" w:rsidP="00431BAA">
            <w:pPr>
              <w:numPr>
                <w:ilvl w:val="0"/>
                <w:numId w:val="70"/>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ali zaradi učinkovitega izvajanja konkurenčnega prava pretehta javni interes varovanja dokazov oziroma podatkov iz spisa organa, pristojnega za varstvo konkurence, glede na mnenje organa, </w:t>
            </w:r>
            <w:r w:rsidRPr="002F30DF">
              <w:rPr>
                <w:rFonts w:cs="Arial"/>
                <w:sz w:val="20"/>
                <w:szCs w:val="20"/>
              </w:rPr>
              <w:lastRenderedPageBreak/>
              <w:t xml:space="preserve">pristojnega za varstvo konkurence, o sorazmernosti zahtevka za razkritje dokazov oziroma podatkov v skladu s tretjim odstavkom </w:t>
            </w:r>
            <w:r w:rsidR="00FA2BD7" w:rsidRPr="002F30DF">
              <w:rPr>
                <w:rFonts w:cs="Arial"/>
                <w:sz w:val="20"/>
                <w:szCs w:val="20"/>
              </w:rPr>
              <w:t>1</w:t>
            </w:r>
            <w:r w:rsidR="008F3E3C" w:rsidRPr="002F30DF">
              <w:rPr>
                <w:rFonts w:cs="Arial"/>
                <w:sz w:val="20"/>
                <w:szCs w:val="20"/>
              </w:rPr>
              <w:t>1</w:t>
            </w:r>
            <w:r w:rsidR="005122E7" w:rsidRPr="002F30DF">
              <w:rPr>
                <w:rFonts w:cs="Arial"/>
                <w:sz w:val="20"/>
                <w:szCs w:val="20"/>
              </w:rPr>
              <w:t>6</w:t>
            </w:r>
            <w:r w:rsidRPr="002F30DF">
              <w:rPr>
                <w:rFonts w:cs="Arial"/>
                <w:sz w:val="20"/>
                <w:szCs w:val="20"/>
              </w:rPr>
              <w:t>. člena tega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Glede okoliščine, da je treba upoštevati opredelitev narave, predmeta ali vsebine dokazov oziroma podatkov, velja, da ni upravičeno zavrniti zahteve za razkritje dokazov, če listina ni natančno in določno opisana. Direktiva 2014/104 ne zahteva, da se določno in konkretno opiše posamezni dokument, na katerega se sklicuje, saj naj bi take zahteve po natančni in določni opredelitvi posameznih dokazov neupravičeno ovirale učinkovito izvajanje pravice do odškodnine, ki jo zagotavlja PDEU. Na drugi strani pa Direktiva 2014/104 zavrača možnost vsesplošnega iskanja podatkov </w:t>
            </w:r>
            <w:r w:rsidRPr="002F30DF">
              <w:rPr>
                <w:rFonts w:cs="Arial"/>
                <w:i/>
                <w:sz w:val="20"/>
                <w:szCs w:val="20"/>
              </w:rPr>
              <w:t>(fishing expedition)</w:t>
            </w:r>
            <w:r w:rsidRPr="002F30DF">
              <w:rPr>
                <w:rFonts w:cs="Arial"/>
                <w:sz w:val="20"/>
                <w:szCs w:val="20"/>
              </w:rPr>
              <w:t xml:space="preserve">. To izhaja že iz zahteve drugega odstavka 5. člena Direktive 2014/104, da mora predlagatelj kar se da natančno opisati dokaze ali posamezno vrsto dokazov, kot tudi iz a) točke četrtega odstavka 6. člena Direktive 2014/104 pa tudi iz 23. uvodne </w:t>
            </w:r>
            <w:r w:rsidR="00721AA6" w:rsidRPr="002F30DF">
              <w:rPr>
                <w:rFonts w:cs="Arial"/>
                <w:sz w:val="20"/>
                <w:szCs w:val="20"/>
              </w:rPr>
              <w:t>izjave</w:t>
            </w:r>
            <w:r w:rsidRPr="002F30DF">
              <w:rPr>
                <w:rFonts w:cs="Arial"/>
                <w:sz w:val="20"/>
                <w:szCs w:val="20"/>
              </w:rPr>
              <w:t xml:space="preserve"> Direktive 2014/104, iz katere izhaja, da je treba preprečiti možnost vsesplošnega iskanja ali preširokega iskanja informacij, ki lahko sploh niso pomembne za stranke v postopku. Glede splošne zahteve za razkritje vseh dokumentov iz spisa organa</w:t>
            </w:r>
            <w:r w:rsidR="00651B51" w:rsidRPr="002F30DF">
              <w:rPr>
                <w:rFonts w:cs="Arial"/>
                <w:sz w:val="20"/>
                <w:szCs w:val="20"/>
              </w:rPr>
              <w:t>, pristojnega</w:t>
            </w:r>
            <w:r w:rsidRPr="002F30DF">
              <w:rPr>
                <w:rFonts w:cs="Arial"/>
                <w:sz w:val="20"/>
                <w:szCs w:val="20"/>
              </w:rPr>
              <w:t xml:space="preserve"> za varstvo konkurence je Sodišče EU v Sodbi EnBW, EU:C:2014:112, odločilo, da lahko Evropska </w:t>
            </w:r>
            <w:r w:rsidR="003976AA" w:rsidRPr="002F30DF">
              <w:rPr>
                <w:rFonts w:cs="Arial"/>
                <w:sz w:val="20"/>
                <w:szCs w:val="20"/>
              </w:rPr>
              <w:t>komisija</w:t>
            </w:r>
            <w:r w:rsidRPr="002F30DF">
              <w:rPr>
                <w:rFonts w:cs="Arial"/>
                <w:sz w:val="20"/>
                <w:szCs w:val="20"/>
              </w:rPr>
              <w:t xml:space="preserve"> že na podlagi splošne domneve o varstvu poslovnih interesov in učinkovitosti javnopravnih postopkov izvajanja konkurenčnega prava zavrne prošnjo prosilca, ne da bi morala opraviti konkreten in posamičen preizkus vsakega dokumenta iz spisa (točki 31 in 32).</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Sodišče EU je odločalo tudi o okoliščini, da je treba upoštevati, iz katerega razloga je vložen zahtevek za razkritje. V sodbi Donau Chemie, EU:C:2013:366, je Sodišče EU poudarilo, da če oškodovanci nimajo možnosti za pridobitev dokazov, pravica do odškodnine izgubi vsak koristni učinek in s tem svoj namen (točki 31 in 32). Na drugi strani pa domnevnemu oškodovancu ni treba zagotoviti pravice dostopa do dokumentacije zgolj zato, ker ta namerava vložiti odškodninsko tožbo. Direktiva 2014/104 tudi ne zahteva, da se ugodi razkritje vseh dokumentov iz spisa organa</w:t>
            </w:r>
            <w:r w:rsidR="00952343" w:rsidRPr="002F30DF">
              <w:rPr>
                <w:rFonts w:cs="Arial"/>
                <w:sz w:val="20"/>
                <w:szCs w:val="20"/>
              </w:rPr>
              <w:t>, pristojnega</w:t>
            </w:r>
            <w:r w:rsidRPr="002F30DF">
              <w:rPr>
                <w:rFonts w:cs="Arial"/>
                <w:sz w:val="20"/>
                <w:szCs w:val="20"/>
              </w:rPr>
              <w:t xml:space="preserve"> za varstvo konkurence, saj je malo verjetno, da so vsi dokazi potrebni za utemeljitev tožbenega zahtevka (točka 33; 22. uvodna </w:t>
            </w:r>
            <w:r w:rsidR="00721AA6" w:rsidRPr="002F30DF">
              <w:rPr>
                <w:rFonts w:cs="Arial"/>
                <w:sz w:val="20"/>
                <w:szCs w:val="20"/>
              </w:rPr>
              <w:t>izjava</w:t>
            </w:r>
            <w:r w:rsidRPr="002F30DF">
              <w:rPr>
                <w:rFonts w:cs="Arial"/>
                <w:sz w:val="20"/>
                <w:szCs w:val="20"/>
              </w:rPr>
              <w:t xml:space="preserve"> Direktive 2014/104).</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 zagotavljanju sorazmernosti se ne upošteva navedba podjetja, da bi mu z razkritjem nastala premoženjska škoda zaradi odškodninske odgovornosti zaradi kršitev konkurenčnega prava. </w:t>
            </w:r>
          </w:p>
          <w:p w:rsidR="007522E3" w:rsidRPr="002F30DF" w:rsidRDefault="007522E3" w:rsidP="0025166A">
            <w:pPr>
              <w:spacing w:line="260" w:lineRule="atLeast"/>
              <w:rPr>
                <w:rFonts w:cs="Arial"/>
                <w:b/>
                <w:sz w:val="20"/>
                <w:szCs w:val="20"/>
                <w:u w:val="single"/>
              </w:rPr>
            </w:pPr>
          </w:p>
          <w:p w:rsidR="007522E3" w:rsidRPr="002F30DF" w:rsidRDefault="007522E3" w:rsidP="0025166A">
            <w:pPr>
              <w:spacing w:line="260" w:lineRule="atLeast"/>
              <w:rPr>
                <w:rFonts w:cs="Arial"/>
                <w:i/>
                <w:sz w:val="20"/>
                <w:szCs w:val="20"/>
                <w:u w:val="single"/>
              </w:rPr>
            </w:pPr>
            <w:r w:rsidRPr="002F30DF">
              <w:rPr>
                <w:rFonts w:cs="Arial"/>
                <w:i/>
                <w:sz w:val="20"/>
                <w:szCs w:val="20"/>
                <w:u w:val="single"/>
              </w:rPr>
              <w:t>Šesti odstavek</w:t>
            </w:r>
          </w:p>
          <w:p w:rsidR="007522E3" w:rsidRPr="002F30DF" w:rsidRDefault="007522E3" w:rsidP="0025166A">
            <w:pPr>
              <w:spacing w:line="260" w:lineRule="atLeast"/>
              <w:rPr>
                <w:rFonts w:cs="Arial"/>
                <w:i/>
                <w:sz w:val="20"/>
                <w:szCs w:val="20"/>
              </w:rPr>
            </w:pPr>
            <w:r w:rsidRPr="002F30DF">
              <w:rPr>
                <w:rFonts w:cs="Arial"/>
                <w:sz w:val="20"/>
                <w:szCs w:val="20"/>
              </w:rPr>
              <w:t xml:space="preserve">Četrti odstavek 5. člena Direktive 2014/104 določa, da </w:t>
            </w:r>
            <w:r w:rsidRPr="002F30DF">
              <w:rPr>
                <w:rFonts w:cs="Arial"/>
                <w:i/>
                <w:sz w:val="20"/>
                <w:szCs w:val="20"/>
              </w:rPr>
              <w:t>države članice zagotovijo, da imajo nacionalna sodišča pristojnost, da odredijo razkritje tudi tistih dokumentov, ki vsebujejo zaupne podatke, če so pomembni za odškodninsko tožbo, na drugi strani pa morajo države članice zagotoviti učinkovite ukrepe za varstvo takšnih informacij.</w:t>
            </w:r>
            <w:r w:rsidRPr="002F30DF">
              <w:rPr>
                <w:rFonts w:cs="Arial"/>
                <w:i/>
                <w:sz w:val="20"/>
                <w:szCs w:val="20"/>
                <w:vertAlign w:val="superscript"/>
              </w:rPr>
              <w:footnoteReference w:id="31"/>
            </w:r>
            <w:r w:rsidRPr="002F30DF">
              <w:rPr>
                <w:rFonts w:cs="Arial"/>
                <w:i/>
                <w:sz w:val="20"/>
                <w:szCs w:val="20"/>
              </w:rPr>
              <w:t xml:space="preserve"> </w:t>
            </w:r>
            <w:r w:rsidR="00952343" w:rsidRPr="002F30DF">
              <w:rPr>
                <w:rFonts w:cs="Arial"/>
                <w:i/>
                <w:sz w:val="20"/>
                <w:szCs w:val="20"/>
              </w:rPr>
              <w:t>Direktiva 2014/104 v 18. u</w:t>
            </w:r>
            <w:r w:rsidRPr="002F30DF">
              <w:rPr>
                <w:rFonts w:cs="Arial"/>
                <w:i/>
                <w:sz w:val="20"/>
                <w:szCs w:val="20"/>
              </w:rPr>
              <w:t>vodn</w:t>
            </w:r>
            <w:r w:rsidR="00952343" w:rsidRPr="002F30DF">
              <w:rPr>
                <w:rFonts w:cs="Arial"/>
                <w:i/>
                <w:sz w:val="20"/>
                <w:szCs w:val="20"/>
              </w:rPr>
              <w:t>i</w:t>
            </w:r>
            <w:r w:rsidRPr="002F30DF">
              <w:rPr>
                <w:rFonts w:cs="Arial"/>
                <w:i/>
                <w:sz w:val="20"/>
                <w:szCs w:val="20"/>
              </w:rPr>
              <w:t xml:space="preserve"> </w:t>
            </w:r>
            <w:r w:rsidR="00721AA6" w:rsidRPr="002F30DF">
              <w:rPr>
                <w:rFonts w:cs="Arial"/>
                <w:i/>
                <w:sz w:val="20"/>
                <w:szCs w:val="20"/>
              </w:rPr>
              <w:t>izjavi</w:t>
            </w:r>
            <w:r w:rsidRPr="002F30DF">
              <w:rPr>
                <w:rFonts w:cs="Arial"/>
                <w:i/>
                <w:sz w:val="20"/>
                <w:szCs w:val="20"/>
              </w:rPr>
              <w:t xml:space="preserve"> pojasnjuje te ukrepe: </w:t>
            </w:r>
          </w:p>
          <w:p w:rsidR="007522E3" w:rsidRPr="002F30DF" w:rsidRDefault="007522E3" w:rsidP="00431BAA">
            <w:pPr>
              <w:numPr>
                <w:ilvl w:val="0"/>
                <w:numId w:val="71"/>
              </w:numPr>
              <w:overflowPunct/>
              <w:autoSpaceDE/>
              <w:autoSpaceDN/>
              <w:adjustRightInd/>
              <w:spacing w:line="260" w:lineRule="atLeast"/>
              <w:ind w:left="426"/>
              <w:jc w:val="left"/>
              <w:textAlignment w:val="auto"/>
              <w:rPr>
                <w:rFonts w:cs="Arial"/>
                <w:i/>
                <w:sz w:val="20"/>
                <w:szCs w:val="20"/>
              </w:rPr>
            </w:pPr>
            <w:r w:rsidRPr="002F30DF">
              <w:rPr>
                <w:rFonts w:cs="Arial"/>
                <w:i/>
                <w:sz w:val="20"/>
                <w:szCs w:val="20"/>
              </w:rPr>
              <w:t xml:space="preserve">možnost prikritja občutljivih delov dokumentov, </w:t>
            </w:r>
          </w:p>
          <w:p w:rsidR="007522E3" w:rsidRPr="002F30DF" w:rsidRDefault="007522E3" w:rsidP="00431BAA">
            <w:pPr>
              <w:numPr>
                <w:ilvl w:val="0"/>
                <w:numId w:val="71"/>
              </w:numPr>
              <w:overflowPunct/>
              <w:autoSpaceDE/>
              <w:autoSpaceDN/>
              <w:adjustRightInd/>
              <w:spacing w:line="260" w:lineRule="atLeast"/>
              <w:ind w:left="426"/>
              <w:jc w:val="left"/>
              <w:textAlignment w:val="auto"/>
              <w:rPr>
                <w:rFonts w:cs="Arial"/>
                <w:i/>
                <w:sz w:val="20"/>
                <w:szCs w:val="20"/>
              </w:rPr>
            </w:pPr>
            <w:r w:rsidRPr="002F30DF">
              <w:rPr>
                <w:rFonts w:cs="Arial"/>
                <w:i/>
                <w:sz w:val="20"/>
                <w:szCs w:val="20"/>
              </w:rPr>
              <w:t>razkritje dokazov v prostorih organa</w:t>
            </w:r>
            <w:r w:rsidR="00952343" w:rsidRPr="002F30DF">
              <w:rPr>
                <w:rFonts w:cs="Arial"/>
                <w:i/>
                <w:sz w:val="20"/>
                <w:szCs w:val="20"/>
              </w:rPr>
              <w:t>, pristojnega</w:t>
            </w:r>
            <w:r w:rsidRPr="002F30DF">
              <w:rPr>
                <w:rFonts w:cs="Arial"/>
                <w:i/>
                <w:sz w:val="20"/>
                <w:szCs w:val="20"/>
              </w:rPr>
              <w:t xml:space="preserve"> za varstvo konkurence, ki omejuje krog oseb, ki so upravičene prisostvovati razkritju dokazov, in </w:t>
            </w:r>
          </w:p>
          <w:p w:rsidR="007522E3" w:rsidRPr="002F30DF" w:rsidRDefault="007522E3" w:rsidP="00431BAA">
            <w:pPr>
              <w:numPr>
                <w:ilvl w:val="0"/>
                <w:numId w:val="71"/>
              </w:numPr>
              <w:overflowPunct/>
              <w:autoSpaceDE/>
              <w:autoSpaceDN/>
              <w:adjustRightInd/>
              <w:spacing w:line="260" w:lineRule="atLeast"/>
              <w:ind w:left="426"/>
              <w:jc w:val="left"/>
              <w:textAlignment w:val="auto"/>
              <w:rPr>
                <w:rFonts w:cs="Arial"/>
                <w:i/>
                <w:sz w:val="20"/>
                <w:szCs w:val="20"/>
              </w:rPr>
            </w:pPr>
            <w:r w:rsidRPr="002F30DF">
              <w:rPr>
                <w:rFonts w:cs="Arial"/>
                <w:i/>
                <w:sz w:val="20"/>
                <w:szCs w:val="20"/>
              </w:rPr>
              <w:t xml:space="preserve">pritegnitev izvedenca, ki pripravi povzetek informacij v strnjeni ali nezaupni obliki.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Ti zaščitni ukrepi za varstvo poslovnih skrivnosti in drugih zaupnih podatkov ne bi smeli ovirati uveljavljanja pravice do odškodnine.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skladu s šestim odstavkom lahko oškodovanec, kršitelj oziroma tretja oseba določijo pod kakšnimi pogoji in na kakšen način se razkrijejo zaupni podatki. Zaupni podatki niso opredeljeni v Direktivi 2014/104, je pa na tem področju nastala bogata sodna praksa Sodišča EU, v kateri so opredeljeni trije pogoji, ki morajo biti izpolnjeni kumulativno, da podatek velja za zaupnega:</w:t>
            </w:r>
          </w:p>
          <w:p w:rsidR="007522E3" w:rsidRPr="002F30DF" w:rsidRDefault="007522E3" w:rsidP="00431BAA">
            <w:pPr>
              <w:numPr>
                <w:ilvl w:val="0"/>
                <w:numId w:val="72"/>
              </w:numPr>
              <w:overflowPunct/>
              <w:autoSpaceDE/>
              <w:autoSpaceDN/>
              <w:adjustRightInd/>
              <w:spacing w:line="260" w:lineRule="atLeast"/>
              <w:ind w:left="426"/>
              <w:jc w:val="left"/>
              <w:textAlignment w:val="auto"/>
              <w:rPr>
                <w:rFonts w:cs="Arial"/>
                <w:sz w:val="20"/>
                <w:szCs w:val="20"/>
              </w:rPr>
            </w:pPr>
            <w:r w:rsidRPr="002F30DF">
              <w:rPr>
                <w:rFonts w:cs="Arial"/>
                <w:sz w:val="20"/>
                <w:szCs w:val="20"/>
              </w:rPr>
              <w:t xml:space="preserve">z informacijami je seznanjeno omejeno število ljudi, </w:t>
            </w:r>
          </w:p>
          <w:p w:rsidR="007522E3" w:rsidRPr="002F30DF" w:rsidRDefault="007522E3" w:rsidP="00431BAA">
            <w:pPr>
              <w:numPr>
                <w:ilvl w:val="0"/>
                <w:numId w:val="72"/>
              </w:numPr>
              <w:overflowPunct/>
              <w:autoSpaceDE/>
              <w:autoSpaceDN/>
              <w:adjustRightInd/>
              <w:spacing w:line="260" w:lineRule="atLeast"/>
              <w:ind w:left="426"/>
              <w:jc w:val="left"/>
              <w:textAlignment w:val="auto"/>
              <w:rPr>
                <w:rFonts w:cs="Arial"/>
                <w:sz w:val="20"/>
                <w:szCs w:val="20"/>
              </w:rPr>
            </w:pPr>
            <w:r w:rsidRPr="002F30DF">
              <w:rPr>
                <w:rFonts w:cs="Arial"/>
                <w:sz w:val="20"/>
                <w:szCs w:val="20"/>
              </w:rPr>
              <w:t xml:space="preserve">razkritje informacij lahko resno škodi osebi, ki jih da na voljo, ali tretjim, in </w:t>
            </w:r>
          </w:p>
          <w:p w:rsidR="007522E3" w:rsidRPr="002F30DF" w:rsidRDefault="007522E3" w:rsidP="00431BAA">
            <w:pPr>
              <w:numPr>
                <w:ilvl w:val="0"/>
                <w:numId w:val="72"/>
              </w:numPr>
              <w:overflowPunct/>
              <w:autoSpaceDE/>
              <w:autoSpaceDN/>
              <w:adjustRightInd/>
              <w:spacing w:line="260" w:lineRule="atLeast"/>
              <w:ind w:left="426"/>
              <w:jc w:val="left"/>
              <w:textAlignment w:val="auto"/>
              <w:rPr>
                <w:rFonts w:cs="Arial"/>
                <w:sz w:val="20"/>
                <w:szCs w:val="20"/>
              </w:rPr>
            </w:pPr>
            <w:r w:rsidRPr="002F30DF">
              <w:rPr>
                <w:rFonts w:cs="Arial"/>
                <w:sz w:val="20"/>
                <w:szCs w:val="20"/>
              </w:rPr>
              <w:t>interesi, ki so z razkritjem informacij lahko prizadeti, so objektivno vredni zaščite.</w:t>
            </w:r>
            <w:r w:rsidRPr="002F30DF">
              <w:rPr>
                <w:rFonts w:cs="Arial"/>
                <w:sz w:val="20"/>
                <w:szCs w:val="20"/>
                <w:vertAlign w:val="superscript"/>
              </w:rPr>
              <w:footnoteReference w:id="32"/>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Pojem </w:t>
            </w:r>
            <w:r w:rsidR="006C0FAA" w:rsidRPr="002F30DF">
              <w:rPr>
                <w:rFonts w:cs="Arial"/>
                <w:sz w:val="20"/>
                <w:szCs w:val="20"/>
              </w:rPr>
              <w:t>»</w:t>
            </w:r>
            <w:r w:rsidRPr="002F30DF">
              <w:rPr>
                <w:rFonts w:cs="Arial"/>
                <w:sz w:val="20"/>
                <w:szCs w:val="20"/>
              </w:rPr>
              <w:t>zaupni podatki</w:t>
            </w:r>
            <w:r w:rsidR="006C0FAA" w:rsidRPr="002F30DF">
              <w:rPr>
                <w:rFonts w:cs="Arial"/>
                <w:sz w:val="20"/>
                <w:szCs w:val="20"/>
              </w:rPr>
              <w:t>«</w:t>
            </w:r>
            <w:r w:rsidRPr="002F30DF">
              <w:rPr>
                <w:rFonts w:cs="Arial"/>
                <w:sz w:val="20"/>
                <w:szCs w:val="20"/>
              </w:rPr>
              <w:t xml:space="preserve">, ki vključuje tudi poslovno skrivnost je opredeljen v  tem zakonu , in sicer v </w:t>
            </w:r>
            <w:r w:rsidR="00827936" w:rsidRPr="002F30DF">
              <w:rPr>
                <w:rFonts w:cs="Arial"/>
                <w:sz w:val="20"/>
                <w:szCs w:val="20"/>
              </w:rPr>
              <w:t>17</w:t>
            </w:r>
            <w:r w:rsidRPr="002F30DF">
              <w:rPr>
                <w:rFonts w:cs="Arial"/>
                <w:sz w:val="20"/>
                <w:szCs w:val="20"/>
              </w:rPr>
              <w:t>. točki prvega odstavka 3. člena.</w:t>
            </w:r>
            <w:r w:rsidRPr="002F30DF" w:rsidDel="00CB2D86">
              <w:rPr>
                <w:rFonts w:cs="Arial"/>
                <w:sz w:val="20"/>
                <w:szCs w:val="20"/>
              </w:rPr>
              <w:t xml:space="preserve"> </w:t>
            </w:r>
          </w:p>
          <w:p w:rsidR="00952343" w:rsidRPr="002F30DF" w:rsidRDefault="0095234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šestem odstavku so primeroma določeni ukrepi za zaščito zaupnih podatkov in sicer:</w:t>
            </w:r>
          </w:p>
          <w:p w:rsidR="007522E3" w:rsidRPr="002F30DF" w:rsidRDefault="007522E3" w:rsidP="00431BAA">
            <w:pPr>
              <w:numPr>
                <w:ilvl w:val="0"/>
                <w:numId w:val="73"/>
              </w:numPr>
              <w:overflowPunct/>
              <w:autoSpaceDE/>
              <w:autoSpaceDN/>
              <w:adjustRightInd/>
              <w:spacing w:line="260" w:lineRule="atLeast"/>
              <w:ind w:left="284" w:hanging="284"/>
              <w:textAlignment w:val="auto"/>
              <w:rPr>
                <w:rFonts w:cs="Arial"/>
                <w:sz w:val="20"/>
                <w:szCs w:val="20"/>
              </w:rPr>
            </w:pPr>
            <w:r w:rsidRPr="002F30DF">
              <w:rPr>
                <w:rFonts w:cs="Arial"/>
                <w:sz w:val="20"/>
                <w:szCs w:val="20"/>
              </w:rPr>
              <w:t>da se v določenem roku zagotovi nezaupno različico dokazov, v kateri so zaupni deli besedila izbrisani, oziroma se zagotovi kratek in jedrnat opis vsakega izbrisanega podatka,</w:t>
            </w:r>
          </w:p>
          <w:p w:rsidR="007522E3" w:rsidRPr="002F30DF" w:rsidRDefault="007522E3" w:rsidP="00431BAA">
            <w:pPr>
              <w:numPr>
                <w:ilvl w:val="0"/>
                <w:numId w:val="73"/>
              </w:numPr>
              <w:overflowPunct/>
              <w:autoSpaceDE/>
              <w:autoSpaceDN/>
              <w:adjustRightInd/>
              <w:spacing w:line="260" w:lineRule="atLeast"/>
              <w:ind w:left="284" w:hanging="284"/>
              <w:textAlignment w:val="auto"/>
              <w:rPr>
                <w:rFonts w:cs="Arial"/>
                <w:sz w:val="20"/>
                <w:szCs w:val="20"/>
              </w:rPr>
            </w:pPr>
            <w:r w:rsidRPr="002F30DF">
              <w:rPr>
                <w:rFonts w:cs="Arial"/>
                <w:sz w:val="20"/>
                <w:szCs w:val="20"/>
              </w:rPr>
              <w:t>da se dovoli vpogled v dokaz, ki vsebuje zaupne podatke, samo v prostorih osebe, od katere se zahteva razkritje dokazov,</w:t>
            </w:r>
          </w:p>
          <w:p w:rsidR="007522E3" w:rsidRPr="002F30DF" w:rsidRDefault="007522E3" w:rsidP="00431BAA">
            <w:pPr>
              <w:numPr>
                <w:ilvl w:val="0"/>
                <w:numId w:val="73"/>
              </w:numPr>
              <w:overflowPunct/>
              <w:autoSpaceDE/>
              <w:autoSpaceDN/>
              <w:adjustRightInd/>
              <w:spacing w:line="260" w:lineRule="atLeast"/>
              <w:ind w:left="284" w:hanging="284"/>
              <w:textAlignment w:val="auto"/>
              <w:rPr>
                <w:rFonts w:cs="Arial"/>
                <w:sz w:val="20"/>
                <w:szCs w:val="20"/>
              </w:rPr>
            </w:pPr>
            <w:r w:rsidRPr="002F30DF">
              <w:rPr>
                <w:rFonts w:cs="Arial"/>
                <w:sz w:val="20"/>
                <w:szCs w:val="20"/>
              </w:rPr>
              <w:t>da se dovoli pregled, prepis ali preslikavo zaupnih podatkov zgolj izvedencu, revizorju, odvetniku predlagatelja, predlagateljevemu zunanjemu strokovnemu pomočniku ali izvedeni priči, pri čemer se določi, da so osebe, ki jim je dovoljen pregled, prepis ali preslikava teh podatkov, dolžne varovati te podatke in jih ne smejo razkriti strankam postopka oziroma tretjim osebam, smejo pa jih uporabiti za svoje analize ter se nanje lahko sklicujejo v svojih vlogah na tak način, da zaupni podatki niso razkriti njihovim strankam ali tretjim osebam. Ob takšnem sklepu je odvetnik prost zaveze razkritja zaupnih podatkov svoji stranki, stranka pa takega razkritja ne sme zahtevati.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contextualSpacing/>
              <w:rPr>
                <w:rFonts w:cs="Arial"/>
                <w:sz w:val="20"/>
                <w:szCs w:val="20"/>
              </w:rPr>
            </w:pPr>
            <w:r w:rsidRPr="002F30DF">
              <w:rPr>
                <w:rFonts w:cs="Arial"/>
                <w:sz w:val="20"/>
                <w:szCs w:val="20"/>
              </w:rPr>
              <w:t>Navedene ukrepe lahko oškodovanec, kršitelj oziroma tretja oseba določijo, če je to potrebno zaradi varstva interesov oseb, na katere se ti podatki nanašajo.</w:t>
            </w:r>
          </w:p>
          <w:p w:rsidR="007522E3" w:rsidRPr="002F30DF" w:rsidRDefault="007522E3" w:rsidP="0025166A">
            <w:pPr>
              <w:spacing w:line="260" w:lineRule="atLeast"/>
              <w:contextualSpacing/>
              <w:rPr>
                <w:rFonts w:cs="Arial"/>
                <w:sz w:val="20"/>
                <w:szCs w:val="20"/>
              </w:rPr>
            </w:pPr>
          </w:p>
          <w:p w:rsidR="007522E3" w:rsidRPr="002F30DF" w:rsidRDefault="007522E3" w:rsidP="0025166A">
            <w:pPr>
              <w:spacing w:line="260" w:lineRule="atLeast"/>
              <w:contextualSpacing/>
              <w:rPr>
                <w:rFonts w:cs="Arial"/>
                <w:sz w:val="20"/>
                <w:szCs w:val="20"/>
              </w:rPr>
            </w:pPr>
            <w:r w:rsidRPr="002F30DF">
              <w:rPr>
                <w:rFonts w:cs="Arial"/>
                <w:sz w:val="20"/>
                <w:szCs w:val="20"/>
              </w:rPr>
              <w:t xml:space="preserve">Varstvo zaupnih podatkov je urejeno tudi v KZ-1, ki v 236. členu kot kaznivi dejanji opredeljuje izdajo in neupravičeno pridobitev poslovne skrivnosti.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u w:val="single"/>
              </w:rPr>
            </w:pPr>
            <w:r w:rsidRPr="002F30DF">
              <w:rPr>
                <w:rFonts w:cs="Arial"/>
                <w:sz w:val="20"/>
                <w:szCs w:val="20"/>
                <w:u w:val="single"/>
              </w:rPr>
              <w:t>Sedmi odstavek</w:t>
            </w:r>
          </w:p>
          <w:p w:rsidR="007522E3" w:rsidRPr="002F30DF" w:rsidRDefault="007522E3" w:rsidP="0025166A">
            <w:pPr>
              <w:spacing w:line="260" w:lineRule="atLeast"/>
              <w:rPr>
                <w:rFonts w:cs="Arial"/>
                <w:i/>
                <w:sz w:val="20"/>
                <w:szCs w:val="20"/>
              </w:rPr>
            </w:pPr>
            <w:r w:rsidRPr="002F30DF">
              <w:rPr>
                <w:rFonts w:cs="Arial"/>
                <w:sz w:val="20"/>
                <w:szCs w:val="20"/>
              </w:rPr>
              <w:t xml:space="preserve">Šesti odstavek 5. člena Direktive 2014/104 določa, da </w:t>
            </w:r>
            <w:r w:rsidRPr="002F30DF">
              <w:rPr>
                <w:rFonts w:cs="Arial"/>
                <w:i/>
                <w:sz w:val="20"/>
                <w:szCs w:val="20"/>
              </w:rPr>
              <w:t>države članice zagotovijo, da nacionalna sodišča pri odredbah o razkritju dokazov uveljavljajo polni učinek varovanja poklicne skrivnosti odvetnikov v skladu s pravom EU ali nacionalnim pravom.</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Pojem zaupne oziroma privilegirane komunikacije zakonodajni akti EU ne opredeljujejo. Sodišče EU je poudarilo nujnost enotne razlage in uporabe načela zaupnosti komunikacij med odvetniki in strankami na ravni EU, in sicer zato, da bi se preiskave Evropske komisije v postopkih zaradi kršitev konkurenčnega prava izvajale v pogojih enakega obravnavanja. V nasprotnem primeru bi uporaba pravnih pravil ali načel nacionalnega prava neke države članice ovirala enotnost prava EU.</w:t>
            </w:r>
            <w:r w:rsidRPr="002F30DF">
              <w:rPr>
                <w:rFonts w:cs="Arial"/>
                <w:sz w:val="20"/>
                <w:szCs w:val="20"/>
                <w:vertAlign w:val="superscript"/>
              </w:rPr>
              <w:footnoteReference w:id="33"/>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Sodišče EU je oblikovalo definicijo »privilegirane komunikacije«, v kateri sta določena dva pogoja, ki morata biti izpolnjena kumulativno: </w:t>
            </w:r>
          </w:p>
          <w:p w:rsidR="007522E3" w:rsidRPr="002F30DF" w:rsidRDefault="007522E3" w:rsidP="00431BAA">
            <w:pPr>
              <w:numPr>
                <w:ilvl w:val="0"/>
                <w:numId w:val="75"/>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komunikacija z odvetnikom mora biti povezana z izvrševanjem strankine pravice do obrambe, in </w:t>
            </w:r>
          </w:p>
          <w:p w:rsidR="007522E3" w:rsidRPr="002F30DF" w:rsidRDefault="007522E3" w:rsidP="00431BAA">
            <w:pPr>
              <w:numPr>
                <w:ilvl w:val="0"/>
                <w:numId w:val="75"/>
              </w:numPr>
              <w:overflowPunct/>
              <w:autoSpaceDE/>
              <w:autoSpaceDN/>
              <w:adjustRightInd/>
              <w:spacing w:line="260" w:lineRule="atLeast"/>
              <w:ind w:left="426"/>
              <w:textAlignment w:val="auto"/>
              <w:rPr>
                <w:rFonts w:cs="Arial"/>
                <w:sz w:val="20"/>
                <w:szCs w:val="20"/>
              </w:rPr>
            </w:pPr>
            <w:r w:rsidRPr="002F30DF">
              <w:rPr>
                <w:rFonts w:cs="Arial"/>
                <w:sz w:val="20"/>
                <w:szCs w:val="20"/>
              </w:rPr>
              <w:t>komunikacija mora izvirati od neodvisnega odvetnika to je odvetnika, ki na stranko ni vezan z delovnim razmerjem, zato komunikacija z notranjimi pravnimi službami ni del privilegirane komunikacije.</w:t>
            </w:r>
            <w:r w:rsidRPr="002F30DF">
              <w:rPr>
                <w:rFonts w:cs="Arial"/>
                <w:sz w:val="20"/>
                <w:szCs w:val="20"/>
                <w:vertAlign w:val="superscript"/>
              </w:rPr>
              <w:footnoteReference w:id="34"/>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skladu s sodno prakso Sodišča EU je bila oblikovana določba</w:t>
            </w:r>
            <w:r w:rsidR="006C0FAA" w:rsidRPr="002F30DF">
              <w:rPr>
                <w:rFonts w:cs="Arial"/>
                <w:sz w:val="20"/>
                <w:szCs w:val="20"/>
              </w:rPr>
              <w:t xml:space="preserve"> </w:t>
            </w:r>
            <w:r w:rsidRPr="002F30DF">
              <w:rPr>
                <w:rFonts w:cs="Arial"/>
                <w:sz w:val="20"/>
                <w:szCs w:val="20"/>
              </w:rPr>
              <w:t>6</w:t>
            </w:r>
            <w:r w:rsidR="00651B51" w:rsidRPr="002F30DF">
              <w:rPr>
                <w:rFonts w:cs="Arial"/>
                <w:sz w:val="20"/>
                <w:szCs w:val="20"/>
              </w:rPr>
              <w:t>0</w:t>
            </w:r>
            <w:r w:rsidRPr="002F30DF">
              <w:rPr>
                <w:rFonts w:cs="Arial"/>
                <w:sz w:val="20"/>
                <w:szCs w:val="20"/>
              </w:rPr>
              <w:t>. člena tega zakona, ki določa dva pogoja za privilegirano komunikacijo, ki morata biti izpolnjena kumulativno</w:t>
            </w:r>
            <w:r w:rsidR="00BD0259" w:rsidRPr="002F30DF">
              <w:rPr>
                <w:rFonts w:cs="Arial"/>
                <w:sz w:val="20"/>
                <w:szCs w:val="20"/>
              </w:rPr>
              <w:t>, in sicer</w:t>
            </w:r>
            <w:r w:rsidRPr="002F30DF">
              <w:rPr>
                <w:rFonts w:cs="Arial"/>
                <w:sz w:val="20"/>
                <w:szCs w:val="20"/>
              </w:rPr>
              <w:t xml:space="preserve"> da korespondenca poteka med podjetjem, zoper katerega se izvaja preiskava, in njegovim odvetnikom, in da se korespondenca nanaša na postopek ugotavljanja kršitev konkurenčnega prava.</w:t>
            </w:r>
          </w:p>
          <w:p w:rsidR="007522E3" w:rsidRPr="002F30DF" w:rsidRDefault="007522E3" w:rsidP="0025166A">
            <w:pPr>
              <w:spacing w:line="260" w:lineRule="atLeast"/>
              <w:rPr>
                <w:rFonts w:cs="Arial"/>
                <w:sz w:val="20"/>
                <w:szCs w:val="20"/>
              </w:rPr>
            </w:pPr>
          </w:p>
          <w:p w:rsidR="007522E3" w:rsidRPr="002F30DF" w:rsidRDefault="00E15943" w:rsidP="0025166A">
            <w:pPr>
              <w:spacing w:line="260" w:lineRule="atLeast"/>
              <w:rPr>
                <w:rFonts w:cs="Arial"/>
                <w:sz w:val="20"/>
                <w:szCs w:val="20"/>
              </w:rPr>
            </w:pPr>
            <w:r w:rsidRPr="002F30DF">
              <w:rPr>
                <w:rFonts w:cs="Arial"/>
                <w:sz w:val="20"/>
                <w:szCs w:val="20"/>
              </w:rPr>
              <w:t xml:space="preserve">V sedmem odstavku </w:t>
            </w:r>
            <w:r w:rsidR="00FD2324" w:rsidRPr="002F30DF">
              <w:rPr>
                <w:rFonts w:cs="Arial"/>
                <w:sz w:val="20"/>
                <w:szCs w:val="20"/>
              </w:rPr>
              <w:t>11</w:t>
            </w:r>
            <w:r w:rsidR="005122E7" w:rsidRPr="002F30DF">
              <w:rPr>
                <w:rFonts w:cs="Arial"/>
                <w:sz w:val="20"/>
                <w:szCs w:val="20"/>
              </w:rPr>
              <w:t>3</w:t>
            </w:r>
            <w:r w:rsidR="007522E3" w:rsidRPr="002F30DF">
              <w:rPr>
                <w:rFonts w:cs="Arial"/>
                <w:sz w:val="20"/>
                <w:szCs w:val="20"/>
              </w:rPr>
              <w:t xml:space="preserve">. člena je določeno, da se lahko stranka ali tretja oseba upre dolžnosti razkritja dokazov oziroma podatkov, če se ta nanaša na privilegirano komunikacijo. Ta določba je urejena, ker se določba </w:t>
            </w:r>
            <w:r w:rsidR="00905B73" w:rsidRPr="002F30DF">
              <w:rPr>
                <w:rFonts w:cs="Arial"/>
                <w:sz w:val="20"/>
                <w:szCs w:val="20"/>
              </w:rPr>
              <w:t>43</w:t>
            </w:r>
            <w:r w:rsidR="007522E3" w:rsidRPr="002F30DF">
              <w:rPr>
                <w:rFonts w:cs="Arial"/>
                <w:sz w:val="20"/>
                <w:szCs w:val="20"/>
              </w:rPr>
              <w:t xml:space="preserve">. člena tega zakona, ki določa pojem privilegirane komunikacije, navezuje na preiskovalni postopek pred </w:t>
            </w:r>
            <w:r w:rsidRPr="002F30DF">
              <w:rPr>
                <w:rFonts w:cs="Arial"/>
                <w:sz w:val="20"/>
                <w:szCs w:val="20"/>
              </w:rPr>
              <w:t>a</w:t>
            </w:r>
            <w:r w:rsidR="0045309B" w:rsidRPr="002F30DF">
              <w:rPr>
                <w:rFonts w:cs="Arial"/>
                <w:sz w:val="20"/>
                <w:szCs w:val="20"/>
              </w:rPr>
              <w:t>genc</w:t>
            </w:r>
            <w:r w:rsidR="007522E3" w:rsidRPr="002F30DF">
              <w:rPr>
                <w:rFonts w:cs="Arial"/>
                <w:sz w:val="20"/>
                <w:szCs w:val="20"/>
              </w:rPr>
              <w:t xml:space="preserve">ijo, ne pa tudi na pravdni postopek, ureditev varstva poklicne skrivnosti po določbah 231. in 232. člena ZPP pa prav tako ni ustrezna glede na zahteve Direktive 2014/104. Pojem privilegirane komunikacije, kot je opredeljen v prvem odstavku </w:t>
            </w:r>
            <w:r w:rsidR="006433A8" w:rsidRPr="002F30DF">
              <w:rPr>
                <w:rFonts w:cs="Arial"/>
                <w:sz w:val="20"/>
                <w:szCs w:val="20"/>
              </w:rPr>
              <w:t>60</w:t>
            </w:r>
            <w:r w:rsidR="007522E3" w:rsidRPr="002F30DF">
              <w:rPr>
                <w:rFonts w:cs="Arial"/>
                <w:sz w:val="20"/>
                <w:szCs w:val="20"/>
              </w:rPr>
              <w:t xml:space="preserve">. člena tega zakona, </w:t>
            </w:r>
            <w:r w:rsidR="007522E3" w:rsidRPr="002F30DF">
              <w:rPr>
                <w:rFonts w:cs="Arial"/>
                <w:sz w:val="20"/>
                <w:szCs w:val="20"/>
              </w:rPr>
              <w:lastRenderedPageBreak/>
              <w:t xml:space="preserve">namreč krije celotno pisno korespondenco, ki je izmenjana po začetku postopka ugotavljanja kršitev konkurenčnega prava oziroma tudi pred začetkom, če je komunikacija povezana s predmetnim postopkom pred nadzornim organom. Torej se lahko podjetje sklicuje na institut privilegirane komunikacije samo v obsegu, ki se nanaša na predmetni postopek, za razliko od obsega varovanja poklicne tajnosti po ZPP, ki take omejitve ne pozna. Poleg tega se na privilegirano komunikacijo po </w:t>
            </w:r>
            <w:r w:rsidR="006433A8" w:rsidRPr="002F30DF">
              <w:rPr>
                <w:rFonts w:cs="Arial"/>
                <w:sz w:val="20"/>
                <w:szCs w:val="20"/>
              </w:rPr>
              <w:t>60</w:t>
            </w:r>
            <w:r w:rsidR="007522E3" w:rsidRPr="002F30DF">
              <w:rPr>
                <w:rFonts w:cs="Arial"/>
                <w:sz w:val="20"/>
                <w:szCs w:val="20"/>
              </w:rPr>
              <w:t xml:space="preserve">. členu tega zakona lahko sklicuje stranka, in ne gre za odločitev odvetnika oziroma pooblaščenca, kot je to določeno v ZPP.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O utemeljenosti oziroma neutemeljenosti sklicevanja na obstoj privilegirane komunikacije v skladu s </w:t>
            </w:r>
            <w:r w:rsidR="006C0FAA" w:rsidRPr="002F30DF">
              <w:rPr>
                <w:rFonts w:cs="Arial"/>
                <w:sz w:val="20"/>
                <w:szCs w:val="20"/>
              </w:rPr>
              <w:t xml:space="preserve">petim </w:t>
            </w:r>
            <w:r w:rsidRPr="002F30DF">
              <w:rPr>
                <w:rFonts w:cs="Arial"/>
                <w:sz w:val="20"/>
                <w:szCs w:val="20"/>
              </w:rPr>
              <w:t xml:space="preserve">odstavkom </w:t>
            </w:r>
            <w:r w:rsidR="006433A8" w:rsidRPr="002F30DF">
              <w:rPr>
                <w:rFonts w:cs="Arial"/>
                <w:sz w:val="20"/>
                <w:szCs w:val="20"/>
              </w:rPr>
              <w:t>11</w:t>
            </w:r>
            <w:r w:rsidR="00DD24AE" w:rsidRPr="002F30DF">
              <w:rPr>
                <w:rFonts w:cs="Arial"/>
                <w:sz w:val="20"/>
                <w:szCs w:val="20"/>
              </w:rPr>
              <w:t>7</w:t>
            </w:r>
            <w:r w:rsidRPr="002F30DF">
              <w:rPr>
                <w:rFonts w:cs="Arial"/>
                <w:sz w:val="20"/>
                <w:szCs w:val="20"/>
              </w:rPr>
              <w:t>. člena odloči sodišče, ki odloča o predlogu za razkritje dokazov.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u w:val="single"/>
              </w:rPr>
            </w:pPr>
            <w:r w:rsidRPr="002F30DF">
              <w:rPr>
                <w:rFonts w:cs="Arial"/>
                <w:i/>
                <w:sz w:val="20"/>
                <w:szCs w:val="20"/>
                <w:u w:val="single"/>
              </w:rPr>
              <w:t>Osmi in deveti odstavek</w:t>
            </w:r>
          </w:p>
          <w:p w:rsidR="007522E3" w:rsidRPr="002F30DF" w:rsidRDefault="007522E3" w:rsidP="0025166A">
            <w:pPr>
              <w:spacing w:line="260" w:lineRule="atLeast"/>
              <w:rPr>
                <w:rFonts w:cs="Arial"/>
                <w:sz w:val="20"/>
                <w:szCs w:val="20"/>
              </w:rPr>
            </w:pPr>
            <w:r w:rsidRPr="002F30DF">
              <w:rPr>
                <w:rFonts w:cs="Arial"/>
                <w:sz w:val="20"/>
                <w:szCs w:val="20"/>
              </w:rPr>
              <w:t>Direktiva 2014/104 določa v šestem odstavku 6. člena tako imenovano črno listo dokumentov, ki uživajo absolutno varstvo pred razkritjem, v petem odstavku 6. člena Direktive 2014/104 tako imenovano sivo listo dokumentov, katere varstvo je pogojno, in v tretjem odstavku 6. člena dokaze, ki se nanašajo na interne dokumente organov</w:t>
            </w:r>
            <w:r w:rsidR="00BD0259" w:rsidRPr="002F30DF">
              <w:rPr>
                <w:rFonts w:cs="Arial"/>
                <w:sz w:val="20"/>
                <w:szCs w:val="20"/>
              </w:rPr>
              <w:t>, pristojnih</w:t>
            </w:r>
            <w:r w:rsidRPr="002F30DF">
              <w:rPr>
                <w:rFonts w:cs="Arial"/>
                <w:sz w:val="20"/>
                <w:szCs w:val="20"/>
              </w:rPr>
              <w:t xml:space="preserve"> za varstvo konkurence, katerih varstvo je prepuščeno državam članicam.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skladu s petim odstavkom 6. člena Direktive 2014/104 osmi odstavek </w:t>
            </w:r>
            <w:r w:rsidR="00885684" w:rsidRPr="002F30DF">
              <w:rPr>
                <w:rFonts w:cs="Arial"/>
                <w:sz w:val="20"/>
                <w:szCs w:val="20"/>
              </w:rPr>
              <w:t>tega</w:t>
            </w:r>
            <w:r w:rsidRPr="002F30DF">
              <w:rPr>
                <w:rFonts w:cs="Arial"/>
                <w:sz w:val="20"/>
                <w:szCs w:val="20"/>
              </w:rPr>
              <w:t xml:space="preserve"> člena določa, da dokler se postopek pred organom</w:t>
            </w:r>
            <w:r w:rsidR="00E52E78" w:rsidRPr="002F30DF">
              <w:rPr>
                <w:rFonts w:cs="Arial"/>
                <w:sz w:val="20"/>
                <w:szCs w:val="20"/>
              </w:rPr>
              <w:t>, pristojnim</w:t>
            </w:r>
            <w:r w:rsidRPr="002F30DF">
              <w:rPr>
                <w:rFonts w:cs="Arial"/>
                <w:sz w:val="20"/>
                <w:szCs w:val="20"/>
              </w:rPr>
              <w:t xml:space="preserve"> za varstvo konkurence</w:t>
            </w:r>
            <w:r w:rsidR="0021650B" w:rsidRPr="002F30DF">
              <w:rPr>
                <w:rFonts w:cs="Arial"/>
                <w:sz w:val="20"/>
                <w:szCs w:val="20"/>
              </w:rPr>
              <w:t>,</w:t>
            </w:r>
            <w:r w:rsidRPr="002F30DF">
              <w:rPr>
                <w:rFonts w:cs="Arial"/>
                <w:sz w:val="20"/>
                <w:szCs w:val="20"/>
              </w:rPr>
              <w:t xml:space="preserve"> ne konča, ni dovoljeno razkriti dokazov ali podatkov, ki se nanašajo na: </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podatke, pripravljene posebej za postopek organa, pristojnega za varstvo konkurence, </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podatke, ki jih je med postopkom sestavil organ, pristojen za varstvo konkurence, in jih poslal strankam, ali</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vloge za poravnavo, ki so bile umaknjene.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Iz določbe petega odstavka 6. člena Direktive 2014/104 ni jasno razvidno, ali se varstvo navedenih dokumentov zagotavlja tudi po tem, ko je odločba že izdana, ni pa še pravnomočna. Določba osmega odstavka tega zakona zagotavlja varstvo prej navedenih podatkov do trenutka, ko se postopek pred organom</w:t>
            </w:r>
            <w:r w:rsidR="0021650B" w:rsidRPr="002F30DF">
              <w:rPr>
                <w:rFonts w:cs="Arial"/>
                <w:sz w:val="20"/>
                <w:szCs w:val="20"/>
              </w:rPr>
              <w:t>, pristojnim</w:t>
            </w:r>
            <w:r w:rsidRPr="002F30DF">
              <w:rPr>
                <w:rFonts w:cs="Arial"/>
                <w:sz w:val="20"/>
                <w:szCs w:val="20"/>
              </w:rPr>
              <w:t xml:space="preserve"> za varstvo konkurence</w:t>
            </w:r>
            <w:r w:rsidR="0021650B" w:rsidRPr="002F30DF">
              <w:rPr>
                <w:rFonts w:cs="Arial"/>
                <w:sz w:val="20"/>
                <w:szCs w:val="20"/>
              </w:rPr>
              <w:t>,</w:t>
            </w:r>
            <w:r w:rsidRPr="002F30DF">
              <w:rPr>
                <w:rFonts w:cs="Arial"/>
                <w:sz w:val="20"/>
                <w:szCs w:val="20"/>
              </w:rPr>
              <w:t xml:space="preserve"> konča, četudi odločba, s katero se je postopek končal, še ni postala pravnomočna. Kdaj se šteje, da je postopek pred organom</w:t>
            </w:r>
            <w:r w:rsidR="0021650B" w:rsidRPr="002F30DF">
              <w:rPr>
                <w:rFonts w:cs="Arial"/>
                <w:sz w:val="20"/>
                <w:szCs w:val="20"/>
              </w:rPr>
              <w:t>, pristojnim</w:t>
            </w:r>
            <w:r w:rsidRPr="002F30DF">
              <w:rPr>
                <w:rFonts w:cs="Arial"/>
                <w:sz w:val="20"/>
                <w:szCs w:val="20"/>
              </w:rPr>
              <w:t xml:space="preserve"> za varstvo konkurence</w:t>
            </w:r>
            <w:r w:rsidR="0021650B" w:rsidRPr="002F30DF">
              <w:rPr>
                <w:rFonts w:cs="Arial"/>
                <w:sz w:val="20"/>
                <w:szCs w:val="20"/>
              </w:rPr>
              <w:t>,</w:t>
            </w:r>
            <w:r w:rsidRPr="002F30DF">
              <w:rPr>
                <w:rFonts w:cs="Arial"/>
                <w:sz w:val="20"/>
                <w:szCs w:val="20"/>
              </w:rPr>
              <w:t xml:space="preserve"> končan, je odvisno od ureditve postopka pred organi</w:t>
            </w:r>
            <w:r w:rsidR="0021650B" w:rsidRPr="002F30DF">
              <w:rPr>
                <w:rFonts w:cs="Arial"/>
                <w:sz w:val="20"/>
                <w:szCs w:val="20"/>
              </w:rPr>
              <w:t>, pristojnimi</w:t>
            </w:r>
            <w:r w:rsidRPr="002F30DF">
              <w:rPr>
                <w:rFonts w:cs="Arial"/>
                <w:sz w:val="20"/>
                <w:szCs w:val="20"/>
              </w:rPr>
              <w:t xml:space="preserve"> za varstvo konkurence</w:t>
            </w:r>
            <w:r w:rsidR="0021650B" w:rsidRPr="002F30DF">
              <w:rPr>
                <w:rFonts w:cs="Arial"/>
                <w:sz w:val="20"/>
                <w:szCs w:val="20"/>
              </w:rPr>
              <w:t>,</w:t>
            </w:r>
            <w:r w:rsidRPr="002F30DF">
              <w:rPr>
                <w:rFonts w:cs="Arial"/>
                <w:sz w:val="20"/>
                <w:szCs w:val="20"/>
              </w:rPr>
              <w:t xml:space="preserve"> v posamezni državi članici. V Sloveniji se postopek pred </w:t>
            </w:r>
            <w:r w:rsidR="00A87B67" w:rsidRPr="002F30DF">
              <w:rPr>
                <w:rFonts w:cs="Arial"/>
                <w:sz w:val="20"/>
                <w:szCs w:val="20"/>
              </w:rPr>
              <w:t>a</w:t>
            </w:r>
            <w:r w:rsidR="0045309B" w:rsidRPr="002F30DF">
              <w:rPr>
                <w:rFonts w:cs="Arial"/>
                <w:sz w:val="20"/>
                <w:szCs w:val="20"/>
              </w:rPr>
              <w:t>genc</w:t>
            </w:r>
            <w:r w:rsidRPr="002F30DF">
              <w:rPr>
                <w:rFonts w:cs="Arial"/>
                <w:sz w:val="20"/>
                <w:szCs w:val="20"/>
              </w:rPr>
              <w:t xml:space="preserve">ijo konča, ko </w:t>
            </w:r>
            <w:r w:rsidR="00A87B67" w:rsidRPr="002F30DF">
              <w:rPr>
                <w:rFonts w:cs="Arial"/>
                <w:sz w:val="20"/>
                <w:szCs w:val="20"/>
              </w:rPr>
              <w:t>a</w:t>
            </w:r>
            <w:r w:rsidR="0045309B" w:rsidRPr="002F30DF">
              <w:rPr>
                <w:rFonts w:cs="Arial"/>
                <w:sz w:val="20"/>
                <w:szCs w:val="20"/>
              </w:rPr>
              <w:t>genc</w:t>
            </w:r>
            <w:r w:rsidRPr="002F30DF">
              <w:rPr>
                <w:rFonts w:cs="Arial"/>
                <w:sz w:val="20"/>
                <w:szCs w:val="20"/>
              </w:rPr>
              <w:t xml:space="preserve">ija izda odločbo o obstoju ugotovitve kršitve konkurenčnega prava, z zavezami, ali s sklepom o ustavitvi postopka, če </w:t>
            </w:r>
            <w:r w:rsidR="00A87B67" w:rsidRPr="002F30DF">
              <w:rPr>
                <w:rFonts w:cs="Arial"/>
                <w:sz w:val="20"/>
                <w:szCs w:val="20"/>
              </w:rPr>
              <w:t>a</w:t>
            </w:r>
            <w:r w:rsidR="0045309B" w:rsidRPr="002F30DF">
              <w:rPr>
                <w:rFonts w:cs="Arial"/>
                <w:sz w:val="20"/>
                <w:szCs w:val="20"/>
              </w:rPr>
              <w:t>genc</w:t>
            </w:r>
            <w:r w:rsidRPr="002F30DF">
              <w:rPr>
                <w:rFonts w:cs="Arial"/>
                <w:sz w:val="20"/>
                <w:szCs w:val="20"/>
              </w:rPr>
              <w:t>ija v postopku ne ugotovi kršitve. Po preteku varovanega obdobja pa mora sodišče v skladu z veljavno ureditvijo odločiti, ali je razkritje dokazov možno ali ne.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skladu s tretjim in šestim odstavkom 6. člena Direkt</w:t>
            </w:r>
            <w:r w:rsidR="00A87B67" w:rsidRPr="002F30DF">
              <w:rPr>
                <w:rFonts w:cs="Arial"/>
                <w:sz w:val="20"/>
                <w:szCs w:val="20"/>
              </w:rPr>
              <w:t xml:space="preserve">ive 2014/104 deveti odstavek </w:t>
            </w:r>
            <w:r w:rsidR="00ED1151" w:rsidRPr="002F30DF">
              <w:rPr>
                <w:rFonts w:cs="Arial"/>
                <w:sz w:val="20"/>
                <w:szCs w:val="20"/>
              </w:rPr>
              <w:t>tega člena</w:t>
            </w:r>
            <w:r w:rsidRPr="002F30DF">
              <w:rPr>
                <w:rFonts w:cs="Arial"/>
                <w:sz w:val="20"/>
                <w:szCs w:val="20"/>
              </w:rPr>
              <w:t xml:space="preserve"> določa, da ni dovoljeno razkriti dokazov oziroma podatkov iz spisa organa</w:t>
            </w:r>
            <w:r w:rsidR="0021650B" w:rsidRPr="002F30DF">
              <w:rPr>
                <w:rFonts w:cs="Arial"/>
                <w:sz w:val="20"/>
                <w:szCs w:val="20"/>
              </w:rPr>
              <w:t>, pristojnega</w:t>
            </w:r>
            <w:r w:rsidRPr="002F30DF">
              <w:rPr>
                <w:rFonts w:cs="Arial"/>
                <w:sz w:val="20"/>
                <w:szCs w:val="20"/>
              </w:rPr>
              <w:t xml:space="preserve"> za varstvo konkurence, ki se nanašajo na:</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dokaze iz prve, tretje, četrte in pete alineje petega odstavka </w:t>
            </w:r>
            <w:r w:rsidR="00905B73" w:rsidRPr="002F30DF">
              <w:rPr>
                <w:rFonts w:cs="Arial"/>
                <w:sz w:val="20"/>
                <w:szCs w:val="20"/>
              </w:rPr>
              <w:t>25</w:t>
            </w:r>
            <w:r w:rsidRPr="002F30DF">
              <w:rPr>
                <w:rFonts w:cs="Arial"/>
                <w:sz w:val="20"/>
                <w:szCs w:val="20"/>
              </w:rPr>
              <w:t>. člena tega zakona,</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izjavo zaradi prizanesljivosti, ali </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vlogo za poravnavo.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 te dokaze in podatke predlog zakona določa absolutno varstvo, ki pa ni časovno omejeno. Varstvo je zagotovljeno za izjavo zaradi prizanesljivosti in vlogo za poravnavo ter tudi za dobesedne navedbe iz izjave ali vloge, ne pa tudi za spremljajoče dokaze (npr. priložene pogodbe), četudi so del izjave ali vloge (predhodne informacije).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Dokazi iz </w:t>
            </w:r>
            <w:r w:rsidR="006C0FAA" w:rsidRPr="002F30DF">
              <w:rPr>
                <w:rFonts w:cs="Arial"/>
                <w:sz w:val="20"/>
                <w:szCs w:val="20"/>
              </w:rPr>
              <w:t>prve alineje</w:t>
            </w:r>
            <w:r w:rsidRPr="002F30DF">
              <w:rPr>
                <w:rFonts w:cs="Arial"/>
                <w:sz w:val="20"/>
                <w:szCs w:val="20"/>
              </w:rPr>
              <w:t xml:space="preserve"> devetega odstavka </w:t>
            </w:r>
            <w:r w:rsidR="00ED1151" w:rsidRPr="002F30DF">
              <w:rPr>
                <w:rFonts w:cs="Arial"/>
                <w:sz w:val="20"/>
                <w:szCs w:val="20"/>
              </w:rPr>
              <w:t>tega</w:t>
            </w:r>
            <w:r w:rsidRPr="002F30DF">
              <w:rPr>
                <w:rFonts w:cs="Arial"/>
                <w:sz w:val="20"/>
                <w:szCs w:val="20"/>
              </w:rPr>
              <w:t xml:space="preserve"> čle</w:t>
            </w:r>
            <w:r w:rsidR="00A87B67" w:rsidRPr="002F30DF">
              <w:rPr>
                <w:rFonts w:cs="Arial"/>
                <w:sz w:val="20"/>
                <w:szCs w:val="20"/>
              </w:rPr>
              <w:t xml:space="preserve">na v skladu s petim odstavkom </w:t>
            </w:r>
            <w:r w:rsidR="006433A8" w:rsidRPr="002F30DF">
              <w:rPr>
                <w:rFonts w:cs="Arial"/>
                <w:sz w:val="20"/>
                <w:szCs w:val="20"/>
              </w:rPr>
              <w:t>42</w:t>
            </w:r>
            <w:r w:rsidRPr="002F30DF">
              <w:rPr>
                <w:rFonts w:cs="Arial"/>
                <w:sz w:val="20"/>
                <w:szCs w:val="20"/>
              </w:rPr>
              <w:t xml:space="preserve">. člena tega zakona pomenijo: </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interne dokumente </w:t>
            </w:r>
            <w:r w:rsidR="00A87B67" w:rsidRPr="002F30DF">
              <w:rPr>
                <w:rFonts w:cs="Arial"/>
                <w:sz w:val="20"/>
                <w:szCs w:val="20"/>
              </w:rPr>
              <w:t>a</w:t>
            </w:r>
            <w:r w:rsidR="0045309B" w:rsidRPr="002F30DF">
              <w:rPr>
                <w:rFonts w:cs="Arial"/>
                <w:sz w:val="20"/>
                <w:szCs w:val="20"/>
              </w:rPr>
              <w:t>genc</w:t>
            </w:r>
            <w:r w:rsidRPr="002F30DF">
              <w:rPr>
                <w:rFonts w:cs="Arial"/>
                <w:sz w:val="20"/>
                <w:szCs w:val="20"/>
              </w:rPr>
              <w:t xml:space="preserve">ije v zadevi, vključno s korespondenco med </w:t>
            </w:r>
            <w:r w:rsidR="00A87B67" w:rsidRPr="002F30DF">
              <w:rPr>
                <w:rFonts w:cs="Arial"/>
                <w:sz w:val="20"/>
                <w:szCs w:val="20"/>
              </w:rPr>
              <w:t>a</w:t>
            </w:r>
            <w:r w:rsidR="0045309B" w:rsidRPr="002F30DF">
              <w:rPr>
                <w:rFonts w:cs="Arial"/>
                <w:sz w:val="20"/>
                <w:szCs w:val="20"/>
              </w:rPr>
              <w:t>genc</w:t>
            </w:r>
            <w:r w:rsidRPr="002F30DF">
              <w:rPr>
                <w:rFonts w:cs="Arial"/>
                <w:sz w:val="20"/>
                <w:szCs w:val="20"/>
              </w:rPr>
              <w:t>ijo in Evropsko komisijo ali organi</w:t>
            </w:r>
            <w:r w:rsidR="0021650B" w:rsidRPr="002F30DF">
              <w:rPr>
                <w:rFonts w:cs="Arial"/>
                <w:sz w:val="20"/>
                <w:szCs w:val="20"/>
              </w:rPr>
              <w:t>, pristojnimi</w:t>
            </w:r>
            <w:r w:rsidRPr="002F30DF">
              <w:rPr>
                <w:rFonts w:cs="Arial"/>
                <w:sz w:val="20"/>
                <w:szCs w:val="20"/>
              </w:rPr>
              <w:t xml:space="preserve"> za varstvo konkurence drugih držav članic Evropske unije,</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podatke, ki se nanašajo na tajnost vira,</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zapisnik o posvetovanju in glasovanju, in</w:t>
            </w:r>
          </w:p>
          <w:p w:rsidR="007522E3" w:rsidRPr="002F30DF" w:rsidRDefault="007522E3" w:rsidP="00431BAA">
            <w:pPr>
              <w:numPr>
                <w:ilvl w:val="0"/>
                <w:numId w:val="74"/>
              </w:numPr>
              <w:overflowPunct/>
              <w:autoSpaceDE/>
              <w:autoSpaceDN/>
              <w:adjustRightInd/>
              <w:spacing w:line="260" w:lineRule="atLeast"/>
              <w:ind w:left="426"/>
              <w:textAlignment w:val="auto"/>
              <w:rPr>
                <w:rFonts w:cs="Arial"/>
                <w:sz w:val="20"/>
                <w:szCs w:val="20"/>
              </w:rPr>
            </w:pPr>
            <w:r w:rsidRPr="002F30DF">
              <w:rPr>
                <w:rFonts w:cs="Arial"/>
                <w:sz w:val="20"/>
                <w:szCs w:val="20"/>
              </w:rPr>
              <w:t xml:space="preserve">osnutke odločb. </w:t>
            </w:r>
          </w:p>
          <w:p w:rsidR="007522E3" w:rsidRPr="002F30DF" w:rsidRDefault="007522E3" w:rsidP="0025166A">
            <w:pPr>
              <w:spacing w:line="260" w:lineRule="atLeast"/>
              <w:rPr>
                <w:rFonts w:cs="Arial"/>
                <w:i/>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0D0879" w:rsidRPr="002F30DF">
              <w:rPr>
                <w:rFonts w:cs="Arial"/>
                <w:b/>
                <w:sz w:val="20"/>
                <w:szCs w:val="20"/>
              </w:rPr>
              <w:t>11</w:t>
            </w:r>
            <w:r w:rsidR="005122E7" w:rsidRPr="002F30DF">
              <w:rPr>
                <w:rFonts w:cs="Arial"/>
                <w:b/>
                <w:sz w:val="20"/>
                <w:szCs w:val="20"/>
              </w:rPr>
              <w:t>4</w:t>
            </w:r>
            <w:r w:rsidRPr="002F30DF">
              <w:rPr>
                <w:rFonts w:cs="Arial"/>
                <w:b/>
                <w:sz w:val="20"/>
                <w:szCs w:val="20"/>
              </w:rPr>
              <w:t>. členu (odločanje o odškodninskem zahtevku)</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Ta določba določa splošno pravilo, da če sodišče v pravdi odloča o odškodninskem zahtevku, se uporablja ZPP, razen če ta zakon ne določa drugače.</w:t>
            </w:r>
          </w:p>
          <w:p w:rsidR="006414E5" w:rsidRPr="002F30DF" w:rsidRDefault="006414E5"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0D0879" w:rsidRPr="002F30DF">
              <w:rPr>
                <w:rFonts w:cs="Arial"/>
                <w:b/>
                <w:sz w:val="20"/>
                <w:szCs w:val="20"/>
              </w:rPr>
              <w:t>11</w:t>
            </w:r>
            <w:r w:rsidR="005122E7" w:rsidRPr="002F30DF">
              <w:rPr>
                <w:rFonts w:cs="Arial"/>
                <w:b/>
                <w:sz w:val="20"/>
                <w:szCs w:val="20"/>
              </w:rPr>
              <w:t>5</w:t>
            </w:r>
            <w:r w:rsidR="00651B51" w:rsidRPr="002F30DF">
              <w:rPr>
                <w:rFonts w:cs="Arial"/>
                <w:b/>
                <w:sz w:val="20"/>
                <w:szCs w:val="20"/>
              </w:rPr>
              <w:t>.</w:t>
            </w:r>
            <w:r w:rsidRPr="002F30DF">
              <w:rPr>
                <w:rFonts w:cs="Arial"/>
                <w:b/>
                <w:sz w:val="20"/>
                <w:szCs w:val="20"/>
              </w:rPr>
              <w:t xml:space="preserve"> členu (združitev pravdnih postopkov)</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Namen Direktive 2014/104 je zagotoviti, da je vsak, ki je utrpel škodo zaradi kršitev konkurenčnega prava, upravičen do popolne odškodnine. Zato drugi odstavek 12. člena Direktive 2014/104 nalaga državam članicam, da zagotovijo ustrezna postopkovna pravila, s katerimi se zagotovi, da odškodnina za dejansko izgubo na kateri koli stopnji dobavne verige ne presega povečanih stroškov škode, povzročene na tej stopnji.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Slovenska veljavna zakonodaja v 300. členu ZPP ureja možnost, da senat sodišča s sklepom združi več pravd med istimi osebami ali več pravd, v katerih je ista oseba nasprotnik raznih tožnikov ali tožencev, kadar tečejo postopki pred istim sodiščem, če se s tem pospeši obravnavanje ali zmanjšajo stroški. Torej dopušča združitev, če te pravde tečejo pred istim sodiščem. Pri kršitvi konkurenčnega prava pa je treba upoštevati, da so razmerja med kršiteljem in oškodovanci kompleksna ter lahko ista kršitev konkurenčnega prava povzroči škodo tako neposrednim in posrednim kupcem kot dobaviteljem. Zato je mogoče ugotovitev popolne odškodnine različnim oškodovancem na različnih stopnjah dobavne verige, ki je nastala zaradi iste kršitve konkurenčnega prava, doseči le tako, da se v pravdi zajame vse osebe, ki so škodo utrpele zaradi iste kršitve konkurenčnega prava. Predlog zakona dopušča združitev tudi v primerih, ko tožnik ne uveljavlja tožbenega zahtevka na temelju odškodninske odgovornosti, pa njegova terjatev izvira iz iste kršitve konkurenčnega prava. Vrhovno sodišče Republike Slovenije lahko združi postopke tožnikov oziroma tožencev, če bo ocenilo, da se bo s tem pospešilo obravnavanje ali zmanjšali stroški. O vseh združenih pravdah bo sodišče lahko izdalo skupno sodbo. </w:t>
            </w:r>
          </w:p>
          <w:p w:rsidR="00ED1151" w:rsidRPr="002F30DF" w:rsidRDefault="00ED1151"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0D0879" w:rsidRPr="002F30DF">
              <w:rPr>
                <w:rFonts w:cs="Arial"/>
                <w:b/>
                <w:sz w:val="20"/>
                <w:szCs w:val="20"/>
              </w:rPr>
              <w:t>11</w:t>
            </w:r>
            <w:r w:rsidR="005122E7" w:rsidRPr="002F30DF">
              <w:rPr>
                <w:rFonts w:cs="Arial"/>
                <w:b/>
                <w:sz w:val="20"/>
                <w:szCs w:val="20"/>
              </w:rPr>
              <w:t>6</w:t>
            </w:r>
            <w:r w:rsidRPr="002F30DF">
              <w:rPr>
                <w:rFonts w:cs="Arial"/>
                <w:b/>
                <w:sz w:val="20"/>
                <w:szCs w:val="20"/>
              </w:rPr>
              <w:t>. členu (razkritje dokazov oziroma podatkov v pravdnem postopku)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Upoštevajoč materialnopravno podlago za razkritje dokazov oziroma podatkov iz </w:t>
            </w:r>
            <w:r w:rsidR="006433A8" w:rsidRPr="002F30DF">
              <w:rPr>
                <w:rFonts w:cs="Arial"/>
                <w:sz w:val="20"/>
                <w:szCs w:val="20"/>
              </w:rPr>
              <w:t>11</w:t>
            </w:r>
            <w:r w:rsidR="005122E7" w:rsidRPr="002F30DF">
              <w:rPr>
                <w:rFonts w:cs="Arial"/>
                <w:sz w:val="20"/>
                <w:szCs w:val="20"/>
              </w:rPr>
              <w:t>3</w:t>
            </w:r>
            <w:r w:rsidRPr="002F30DF">
              <w:rPr>
                <w:rFonts w:cs="Arial"/>
                <w:sz w:val="20"/>
                <w:szCs w:val="20"/>
              </w:rPr>
              <w:t xml:space="preserve">. člena </w:t>
            </w:r>
            <w:r w:rsidR="00A87B67" w:rsidRPr="002F30DF">
              <w:rPr>
                <w:rFonts w:cs="Arial"/>
                <w:sz w:val="20"/>
                <w:szCs w:val="20"/>
              </w:rPr>
              <w:t xml:space="preserve">tega </w:t>
            </w:r>
            <w:r w:rsidRPr="002F30DF">
              <w:rPr>
                <w:rFonts w:cs="Arial"/>
                <w:sz w:val="20"/>
                <w:szCs w:val="20"/>
              </w:rPr>
              <w:t xml:space="preserve">zakona lahko oškodovanec, ki mu kršitelj ali tretja oseba noče prostovoljno razkriti dokazov oziroma podatkov, na sodišču predlaga oziroma zahteva razkritje dokazov oziroma podatkov od nasprotne stranke ali tretje osebe.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tem členu so določena posamezna pravila, če o razkritju dokazov oziroma podatkov odloča sodišče v pravdnem postopku.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tega člena je določeno, da če oškodovanec ali kršitelj (v nadaljnjem besedilu: stranka) v pravdnem postopku, v katerem uveljavlja odškodninski zahtevek zaradi kršitev konkurenčnega prava, predlaga, da sodišče nasprotni stranki ali tretji osebi naloži predložitev listin oziroma razkritje podatkov, ki so poslovna skrivnost, sodišče ugodi predlogu pod pogoji iz </w:t>
            </w:r>
            <w:r w:rsidR="006433A8" w:rsidRPr="002F30DF">
              <w:rPr>
                <w:rFonts w:cs="Arial"/>
                <w:sz w:val="20"/>
                <w:szCs w:val="20"/>
              </w:rPr>
              <w:t>11</w:t>
            </w:r>
            <w:r w:rsidR="005122E7" w:rsidRPr="002F30DF">
              <w:rPr>
                <w:rFonts w:cs="Arial"/>
                <w:sz w:val="20"/>
                <w:szCs w:val="20"/>
              </w:rPr>
              <w:t>3</w:t>
            </w:r>
            <w:r w:rsidRPr="002F30DF">
              <w:rPr>
                <w:rFonts w:cs="Arial"/>
                <w:sz w:val="20"/>
                <w:szCs w:val="20"/>
              </w:rPr>
              <w:t>. tega člena. To je določba pedagoške narave, katere namen je pojasniti, da se tudi ob vložitvi procesnega predloga za razkritje dokazov uporabi</w:t>
            </w:r>
            <w:r w:rsidR="00D361A0" w:rsidRPr="002F30DF">
              <w:rPr>
                <w:rFonts w:cs="Arial"/>
                <w:sz w:val="20"/>
                <w:szCs w:val="20"/>
              </w:rPr>
              <w:t>ta</w:t>
            </w:r>
            <w:r w:rsidRPr="002F30DF">
              <w:rPr>
                <w:rFonts w:cs="Arial"/>
                <w:sz w:val="20"/>
                <w:szCs w:val="20"/>
              </w:rPr>
              <w:t xml:space="preserve"> določb</w:t>
            </w:r>
            <w:r w:rsidR="00D361A0" w:rsidRPr="002F30DF">
              <w:rPr>
                <w:rFonts w:cs="Arial"/>
                <w:sz w:val="20"/>
                <w:szCs w:val="20"/>
              </w:rPr>
              <w:t>i</w:t>
            </w:r>
            <w:r w:rsidRPr="002F30DF">
              <w:rPr>
                <w:rFonts w:cs="Arial"/>
                <w:sz w:val="20"/>
                <w:szCs w:val="20"/>
              </w:rPr>
              <w:t xml:space="preserve"> </w:t>
            </w:r>
            <w:r w:rsidR="006433A8" w:rsidRPr="002F30DF">
              <w:rPr>
                <w:rFonts w:cs="Arial"/>
                <w:sz w:val="20"/>
                <w:szCs w:val="20"/>
              </w:rPr>
              <w:t>11</w:t>
            </w:r>
            <w:r w:rsidR="005122E7" w:rsidRPr="002F30DF">
              <w:rPr>
                <w:rFonts w:cs="Arial"/>
                <w:sz w:val="20"/>
                <w:szCs w:val="20"/>
              </w:rPr>
              <w:t>3</w:t>
            </w:r>
            <w:r w:rsidRPr="002F30DF">
              <w:rPr>
                <w:rFonts w:cs="Arial"/>
                <w:sz w:val="20"/>
                <w:szCs w:val="20"/>
              </w:rPr>
              <w:t xml:space="preserve">. </w:t>
            </w:r>
            <w:r w:rsidR="00A2435C" w:rsidRPr="002F30DF">
              <w:rPr>
                <w:rFonts w:cs="Arial"/>
                <w:sz w:val="20"/>
                <w:szCs w:val="20"/>
              </w:rPr>
              <w:t>tega</w:t>
            </w:r>
            <w:r w:rsidRPr="002F30DF">
              <w:rPr>
                <w:rFonts w:cs="Arial"/>
                <w:sz w:val="20"/>
                <w:szCs w:val="20"/>
              </w:rPr>
              <w:t xml:space="preserve"> člena tega zakona.</w:t>
            </w:r>
          </w:p>
          <w:p w:rsidR="007522E3" w:rsidRPr="002F30DF" w:rsidRDefault="007522E3" w:rsidP="0025166A">
            <w:pPr>
              <w:spacing w:line="260" w:lineRule="atLeast"/>
              <w:rPr>
                <w:rFonts w:cs="Arial"/>
                <w:sz w:val="20"/>
                <w:szCs w:val="20"/>
              </w:rPr>
            </w:pPr>
            <w:r w:rsidRPr="002F30DF">
              <w:rPr>
                <w:rFonts w:cs="Arial"/>
                <w:sz w:val="20"/>
                <w:szCs w:val="20"/>
              </w:rPr>
              <w:t xml:space="preserve"> </w:t>
            </w:r>
          </w:p>
          <w:p w:rsidR="007522E3" w:rsidRPr="002F30DF" w:rsidRDefault="007522E3" w:rsidP="0025166A">
            <w:pPr>
              <w:spacing w:line="260" w:lineRule="atLeast"/>
              <w:rPr>
                <w:rFonts w:cs="Arial"/>
                <w:sz w:val="20"/>
                <w:szCs w:val="20"/>
              </w:rPr>
            </w:pPr>
            <w:r w:rsidRPr="002F30DF">
              <w:rPr>
                <w:rFonts w:cs="Arial"/>
                <w:sz w:val="20"/>
                <w:szCs w:val="20"/>
              </w:rPr>
              <w:t xml:space="preserve">Pravico vložiti zahtevo ali predlog za razkritje dokazov oziroma podatkov imata tako oškodovanec kot tudi kršitelj, dolžnost razkritja dokazov oziroma podatkov pa velja tako za oškodovanca oziroma kršitelja kot tudi za tretje osebe, tudi za organe, pristojne za varstvo konkurence. Če namerava nacionalno sodišče odrediti razkritje dokazov oziroma podatkov Evropski komisiji, mora uporabiti določbo 15. člena Uredbe 1/2003, ki ureja sodelovanje Evropske komisije z nacionalnimi sodišči. Kadar nacionalna sodišča odredijo razkritje dokazov oziroma podatkov drugim javnim organom, pa je treba uporabiti drugo relevantno nacionalno ali evropsko zakonodajo, na primer Uredbo Sveta (ES) št. 1206/2001 z dne 28. maja 2001 o sodelovanju med sodišči držav članic pri pridobivanju dokazov v civilnih ali gospodarskih zadevah, ki se uporabi, kadar sodišče ene države članice zahteva od pristojnega sodišča druge države članice, da pridobi dokaze, ali zahteva, da se dokazi neposredno pridobijo v drugi državi članici.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Da ne bi bili organi, pristojni za varstvo konkurence, preobremenjeni s postopki razkritja dokazov oziroma podatkov, </w:t>
            </w:r>
            <w:r w:rsidRPr="002F30DF">
              <w:rPr>
                <w:rFonts w:cs="Arial"/>
                <w:sz w:val="20"/>
                <w:szCs w:val="20"/>
                <w:u w:val="single"/>
              </w:rPr>
              <w:t>drugi odstavek</w:t>
            </w:r>
            <w:r w:rsidRPr="002F30DF">
              <w:rPr>
                <w:rFonts w:cs="Arial"/>
                <w:sz w:val="20"/>
                <w:szCs w:val="20"/>
              </w:rPr>
              <w:t xml:space="preserve"> določa, da sodišče ugodi zahtevi oziroma predlogu stranke, da dokaze oziroma podatke razkrije organ, pristojen za varstvo konkurence, samo, če jih stranka iz razumnih razlogov ne more pridobiti pri nasprotni stranki ali tretji osebi. V skladu z navedenim pravilom naj bi sodišče naložilo organu, pristojnemu za varstvo konkurence, predložitev dokazov oziroma </w:t>
            </w:r>
            <w:r w:rsidRPr="002F30DF">
              <w:rPr>
                <w:rFonts w:cs="Arial"/>
                <w:sz w:val="20"/>
                <w:szCs w:val="20"/>
              </w:rPr>
              <w:lastRenderedPageBreak/>
              <w:t>podatkov v primeru, če predlagatelj ne uspe z zahtevo ali predlogom za razkritje dokazov oziroma podatkov pri nasprotni stranki ali tretji osebi, ker je, na primer, nasprotna stranka uspela dokazati, da z njimi ne razpolaga. Določba ustreza desetemu odstavku 6. člena Direktive 2014/104, ki določa, da lahko nacionalno sodišče zahteva od organa, pristojnega za varstvo konkurence, razkritje samo, če teh dokumentov prosilec ne more pod razumnimi pogoji doseči pri nasprotni stranki ali tretji osebi.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če stranka zahteva oziroma predlaga razkritje dokazov oziroma podatkov iz spisa organa, pristojnega za varstvo konkurence, sodišče obvesti organ, pristojen za varstvo konkurence, ki razpolaga s temi dokazi, ta pa lahko poda mnenje glede sorazmernosti, zlasti v zvezi z upoštevanjem javnega interesa varovanja učinkovitosti javnopravnega izvajanja konkurenčnega prava. Namen določbe je zagotoviti varstvo javnopravnih postopkov pred organi</w:t>
            </w:r>
            <w:r w:rsidR="0058268F" w:rsidRPr="002F30DF">
              <w:rPr>
                <w:rFonts w:cs="Arial"/>
                <w:sz w:val="20"/>
                <w:szCs w:val="20"/>
              </w:rPr>
              <w:t>, pristojnimi</w:t>
            </w:r>
            <w:r w:rsidRPr="002F30DF">
              <w:rPr>
                <w:rFonts w:cs="Arial"/>
                <w:sz w:val="20"/>
                <w:szCs w:val="20"/>
              </w:rPr>
              <w:t xml:space="preserve"> za varstvo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Sodišče, ki odloča o zahtevku ali predlogu za razkritje dokazov oziroma podatkov, lahko upoštevajoč interese strank in tretjih oseb v odločbi določi, komu se smejo razkriti dokazi oziroma podatki, ki vsebujejo zaupne podatke, in na kakšen način se zagotovi varstvo zaupnih podatkov, zlasti z uporabo ukrepov iz šestega odstavka </w:t>
            </w:r>
            <w:r w:rsidR="00827936" w:rsidRPr="002F30DF">
              <w:rPr>
                <w:rFonts w:cs="Arial"/>
                <w:sz w:val="20"/>
                <w:szCs w:val="20"/>
              </w:rPr>
              <w:t>98</w:t>
            </w:r>
            <w:r w:rsidRPr="002F30DF">
              <w:rPr>
                <w:rFonts w:cs="Arial"/>
                <w:sz w:val="20"/>
                <w:szCs w:val="20"/>
              </w:rPr>
              <w:t xml:space="preserve">. člena predloga zakona. Če sodišče oceni, da pravica do sodnega varstva ene stranke v celoti prevlada nad interesi nasprotne stranke po varovanju zaupnih podatkov, sodišče ne odredi ukrepov za varstvo zaupnih podatkov. V odločbi sodišče v skladu s </w:t>
            </w:r>
            <w:r w:rsidRPr="002F30DF">
              <w:rPr>
                <w:rFonts w:cs="Arial"/>
                <w:sz w:val="20"/>
                <w:szCs w:val="20"/>
                <w:u w:val="single"/>
              </w:rPr>
              <w:t>četrtim odstavkom</w:t>
            </w:r>
            <w:r w:rsidRPr="002F30DF">
              <w:rPr>
                <w:rFonts w:cs="Arial"/>
                <w:sz w:val="20"/>
                <w:szCs w:val="20"/>
              </w:rPr>
              <w:t xml:space="preserve"> </w:t>
            </w:r>
            <w:r w:rsidR="0058268F" w:rsidRPr="002F30DF">
              <w:rPr>
                <w:rFonts w:cs="Arial"/>
                <w:sz w:val="20"/>
                <w:szCs w:val="20"/>
              </w:rPr>
              <w:t xml:space="preserve">tega </w:t>
            </w:r>
            <w:r w:rsidR="006433A8" w:rsidRPr="002F30DF">
              <w:rPr>
                <w:rFonts w:cs="Arial"/>
                <w:sz w:val="20"/>
                <w:szCs w:val="20"/>
              </w:rPr>
              <w:t xml:space="preserve">člena </w:t>
            </w:r>
            <w:r w:rsidRPr="002F30DF">
              <w:rPr>
                <w:rFonts w:cs="Arial"/>
                <w:sz w:val="20"/>
                <w:szCs w:val="20"/>
              </w:rPr>
              <w:t xml:space="preserve">pouči stranko in osebo iz </w:t>
            </w:r>
            <w:r w:rsidR="0058268F" w:rsidRPr="002F30DF">
              <w:rPr>
                <w:rFonts w:cs="Arial"/>
                <w:sz w:val="20"/>
                <w:szCs w:val="20"/>
              </w:rPr>
              <w:t>tretje alineje</w:t>
            </w:r>
            <w:r w:rsidRPr="002F30DF">
              <w:rPr>
                <w:rFonts w:cs="Arial"/>
                <w:sz w:val="20"/>
                <w:szCs w:val="20"/>
              </w:rPr>
              <w:t xml:space="preserve"> šestega odstavka </w:t>
            </w:r>
            <w:r w:rsidR="006433A8" w:rsidRPr="002F30DF">
              <w:rPr>
                <w:rFonts w:cs="Arial"/>
                <w:sz w:val="20"/>
                <w:szCs w:val="20"/>
              </w:rPr>
              <w:t>11</w:t>
            </w:r>
            <w:r w:rsidR="005122E7" w:rsidRPr="002F30DF">
              <w:rPr>
                <w:rFonts w:cs="Arial"/>
                <w:sz w:val="20"/>
                <w:szCs w:val="20"/>
              </w:rPr>
              <w:t>3</w:t>
            </w:r>
            <w:r w:rsidRPr="002F30DF">
              <w:rPr>
                <w:rFonts w:cs="Arial"/>
                <w:sz w:val="20"/>
                <w:szCs w:val="20"/>
              </w:rPr>
              <w:t xml:space="preserve">. člena tega zakona, ki so ji zaupni podatki razkriti, na denarno kazen iz prvega odstavka </w:t>
            </w:r>
            <w:r w:rsidR="005122E7" w:rsidRPr="002F30DF">
              <w:rPr>
                <w:rFonts w:cs="Arial"/>
                <w:sz w:val="20"/>
                <w:szCs w:val="20"/>
              </w:rPr>
              <w:t>99</w:t>
            </w:r>
            <w:r w:rsidRPr="002F30DF">
              <w:rPr>
                <w:rFonts w:cs="Arial"/>
                <w:sz w:val="20"/>
                <w:szCs w:val="20"/>
              </w:rPr>
              <w:t xml:space="preserve">. člena tega zakona in da sta izdaja in neupravičena pridobitev poslovne skrivnosti kaznivi dejanji. </w:t>
            </w:r>
          </w:p>
          <w:p w:rsidR="007522E3" w:rsidRPr="002F30DF" w:rsidRDefault="007522E3" w:rsidP="0025166A">
            <w:pPr>
              <w:spacing w:line="260" w:lineRule="atLeast"/>
              <w:rPr>
                <w:rFonts w:cs="Arial"/>
                <w:sz w:val="20"/>
                <w:szCs w:val="20"/>
              </w:rPr>
            </w:pPr>
          </w:p>
          <w:p w:rsidR="007522E3" w:rsidRPr="002F30DF" w:rsidRDefault="006433A8" w:rsidP="0025166A">
            <w:pPr>
              <w:spacing w:line="260" w:lineRule="atLeast"/>
              <w:rPr>
                <w:rFonts w:cs="Arial"/>
                <w:sz w:val="20"/>
                <w:szCs w:val="20"/>
              </w:rPr>
            </w:pPr>
            <w:r w:rsidRPr="002F30DF">
              <w:rPr>
                <w:rFonts w:cs="Arial"/>
                <w:sz w:val="20"/>
                <w:szCs w:val="20"/>
              </w:rPr>
              <w:t>Z</w:t>
            </w:r>
            <w:r w:rsidR="007522E3" w:rsidRPr="002F30DF">
              <w:rPr>
                <w:rFonts w:cs="Arial"/>
                <w:sz w:val="20"/>
                <w:szCs w:val="20"/>
              </w:rPr>
              <w:t xml:space="preserve">akon v </w:t>
            </w:r>
            <w:r w:rsidR="006C0FAA" w:rsidRPr="002F30DF">
              <w:rPr>
                <w:rFonts w:cs="Arial"/>
                <w:sz w:val="20"/>
                <w:szCs w:val="20"/>
              </w:rPr>
              <w:t xml:space="preserve">četrtem </w:t>
            </w:r>
            <w:r w:rsidR="007522E3" w:rsidRPr="002F30DF">
              <w:rPr>
                <w:rFonts w:cs="Arial"/>
                <w:sz w:val="20"/>
                <w:szCs w:val="20"/>
              </w:rPr>
              <w:t xml:space="preserve">odstavku </w:t>
            </w:r>
            <w:r w:rsidR="0058268F" w:rsidRPr="002F30DF">
              <w:rPr>
                <w:rFonts w:cs="Arial"/>
                <w:sz w:val="20"/>
                <w:szCs w:val="20"/>
              </w:rPr>
              <w:t>tega</w:t>
            </w:r>
            <w:r w:rsidR="007522E3" w:rsidRPr="002F30DF">
              <w:rPr>
                <w:rFonts w:cs="Arial"/>
                <w:sz w:val="20"/>
                <w:szCs w:val="20"/>
              </w:rPr>
              <w:t xml:space="preserve"> člena omogoča tudi varstvo zaupnih podatkov stranke iz zahteve ali predloga za razkritje dokazov oziroma podatkov. Sodišče na predlog stranke, ki zahteva ali predlaga razkritje dokazov oziroma podatkov, lahko izda sklep o zagotovitvi zaščite njenih zaupnih podatkov iz zahteve ali predloga za razkritje dokazov oziroma podatkov s smiselno uporabo šestega odstavka </w:t>
            </w:r>
            <w:r w:rsidR="00A2435C" w:rsidRPr="002F30DF">
              <w:rPr>
                <w:rFonts w:cs="Arial"/>
                <w:sz w:val="20"/>
                <w:szCs w:val="20"/>
              </w:rPr>
              <w:t>9</w:t>
            </w:r>
            <w:r w:rsidR="005122E7" w:rsidRPr="002F30DF">
              <w:rPr>
                <w:rFonts w:cs="Arial"/>
                <w:sz w:val="20"/>
                <w:szCs w:val="20"/>
              </w:rPr>
              <w:t>85</w:t>
            </w:r>
            <w:r w:rsidR="007522E3" w:rsidRPr="002F30DF">
              <w:rPr>
                <w:rFonts w:cs="Arial"/>
                <w:sz w:val="20"/>
                <w:szCs w:val="20"/>
              </w:rPr>
              <w:t>. člena ob upoštevanju interesov oseb, na katere se dokazi oziroma podatki nanašajo.</w:t>
            </w:r>
          </w:p>
          <w:p w:rsidR="007522E3" w:rsidRPr="002F30DF" w:rsidRDefault="007522E3" w:rsidP="0025166A">
            <w:pPr>
              <w:spacing w:line="260" w:lineRule="atLeast"/>
              <w:rPr>
                <w:rFonts w:cs="Arial"/>
                <w:sz w:val="20"/>
                <w:szCs w:val="20"/>
              </w:rPr>
            </w:pPr>
          </w:p>
          <w:p w:rsidR="007522E3" w:rsidRPr="002F30DF" w:rsidRDefault="00310DF2" w:rsidP="0025166A">
            <w:pPr>
              <w:spacing w:line="260" w:lineRule="atLeast"/>
              <w:rPr>
                <w:rFonts w:cs="Arial"/>
                <w:sz w:val="20"/>
                <w:szCs w:val="20"/>
              </w:rPr>
            </w:pPr>
            <w:r w:rsidRPr="002F30DF">
              <w:rPr>
                <w:rFonts w:cs="Arial"/>
                <w:sz w:val="20"/>
                <w:szCs w:val="20"/>
                <w:u w:val="single"/>
              </w:rPr>
              <w:t xml:space="preserve">Peti </w:t>
            </w:r>
            <w:r w:rsidR="007522E3" w:rsidRPr="002F30DF">
              <w:rPr>
                <w:rFonts w:cs="Arial"/>
                <w:sz w:val="20"/>
                <w:szCs w:val="20"/>
                <w:u w:val="single"/>
              </w:rPr>
              <w:t>odstavek</w:t>
            </w:r>
            <w:r w:rsidR="007522E3" w:rsidRPr="002F30DF">
              <w:rPr>
                <w:rFonts w:cs="Arial"/>
                <w:sz w:val="20"/>
                <w:szCs w:val="20"/>
              </w:rPr>
              <w:t xml:space="preserve"> se nanaša na privilegirano komu</w:t>
            </w:r>
            <w:r w:rsidR="00A87B67" w:rsidRPr="002F30DF">
              <w:rPr>
                <w:rFonts w:cs="Arial"/>
                <w:sz w:val="20"/>
                <w:szCs w:val="20"/>
              </w:rPr>
              <w:t xml:space="preserve">nikacijo iz sedmega odstavka </w:t>
            </w:r>
            <w:r w:rsidR="00827936" w:rsidRPr="002F30DF">
              <w:rPr>
                <w:rFonts w:cs="Arial"/>
                <w:sz w:val="20"/>
                <w:szCs w:val="20"/>
              </w:rPr>
              <w:t>9</w:t>
            </w:r>
            <w:r w:rsidR="005122E7" w:rsidRPr="002F30DF">
              <w:rPr>
                <w:rFonts w:cs="Arial"/>
                <w:sz w:val="20"/>
                <w:szCs w:val="20"/>
              </w:rPr>
              <w:t>6</w:t>
            </w:r>
            <w:r w:rsidR="007522E3" w:rsidRPr="002F30DF">
              <w:rPr>
                <w:rFonts w:cs="Arial"/>
                <w:sz w:val="20"/>
                <w:szCs w:val="20"/>
              </w:rPr>
              <w:t xml:space="preserve">. člena in določa, da če stranka ali tretja oseba ugovarja razkritju oziroma predložitvi dokazov oziroma podatkov zaradi privilegirane komunikacije, sodišče preveri, ali je ugovarjanje stranke upravičeno. </w:t>
            </w:r>
          </w:p>
          <w:p w:rsidR="007522E3" w:rsidRPr="002F30DF" w:rsidRDefault="007522E3" w:rsidP="0025166A">
            <w:pPr>
              <w:spacing w:line="260" w:lineRule="atLeast"/>
              <w:rPr>
                <w:rFonts w:cs="Arial"/>
                <w:sz w:val="20"/>
                <w:szCs w:val="20"/>
              </w:rPr>
            </w:pPr>
          </w:p>
          <w:p w:rsidR="007522E3" w:rsidRPr="002F30DF" w:rsidRDefault="00310DF2" w:rsidP="0025166A">
            <w:pPr>
              <w:spacing w:line="260" w:lineRule="atLeast"/>
              <w:rPr>
                <w:rFonts w:cs="Arial"/>
                <w:sz w:val="20"/>
                <w:szCs w:val="20"/>
              </w:rPr>
            </w:pPr>
            <w:r w:rsidRPr="002F30DF">
              <w:rPr>
                <w:rFonts w:cs="Arial"/>
                <w:sz w:val="20"/>
                <w:szCs w:val="20"/>
                <w:u w:val="single"/>
              </w:rPr>
              <w:t xml:space="preserve">Šesti </w:t>
            </w:r>
            <w:r w:rsidR="007522E3" w:rsidRPr="002F30DF">
              <w:rPr>
                <w:rFonts w:cs="Arial"/>
                <w:sz w:val="20"/>
                <w:szCs w:val="20"/>
                <w:u w:val="single"/>
              </w:rPr>
              <w:t>odstavek</w:t>
            </w:r>
            <w:r w:rsidR="007522E3" w:rsidRPr="002F30DF">
              <w:rPr>
                <w:rFonts w:cs="Arial"/>
                <w:sz w:val="20"/>
                <w:szCs w:val="20"/>
              </w:rPr>
              <w:t xml:space="preserve"> določa, da predlagatelj lahko zahteva od sodišča, da ta preveri, če vsebina izjave zaradi prizanesljivosti ali vloge za poravnavo ustreza njuni opredelitvi definicije. Določba ustreza sedmemu odstavku 6. člena Direktive 2014/104, ki določa, da tožnik lahko na sodišče vloži obrazloženo zahtevo, da nacionalno sodišče preveri, če vsebina dokazov iz šestega odstavka 6. člena Direktive 2014/104 izpolnjuje opredelitve iz 16. (izjava zaradi prizanesljivosti) ali 18. točke (vloga za poravnavo) 2. člena Direktive 2014/104. Tožnik mora svojo zahtevo obrazložiti in tudi nosi trditveno in dokazno breme. Sodišče lahko za mnenje zaprosi organ, pristojen za varstvo konkurence, pri katerem se takšen dokaz nahaja. V skladu z načelom delitve oblasti pa mnenje organa, pristojnega za varstvo konkurence, za sodišče ne sme biti zavezujoče. Sodišče o predlogu predlagatelja obvesti osebo, ki je podala izjavo zaradi prizanesljivosti ali vlogo za poravnavo, ta pa ima pravico, da se opredeli do predloga. V nobenem primeru pa ne sme sodišče dovoliti dostopa do teh dokumentov nasprotnim strankam ali tretjim osebam oziroma dopustiti, da se seznanijo z njihovo vsebino.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Sedmi odstavek 5. člena Direktive 2014/104 določa, da države članice zagotovijo, da imajo osebe, od katerih se zahteva razkritje, možnost, da so zaslišane, preden nacionalno sodišče odredi razkritje dokazov. To je posebej pomembno ob upoštevanju, da mora sodišče upoštevati legitimne interese obeh oseb, ki pa so v večini primerov nasprotujoči, ker se z razkritjem poseže v njihove interese. Ustrezno pravilo je določeno v 5. in 228. členu ZPP, zato posebna določba v predlogu zakona ni potrebna. </w:t>
            </w:r>
          </w:p>
          <w:p w:rsidR="007522E3" w:rsidRPr="002F30DF" w:rsidRDefault="007522E3" w:rsidP="0025166A">
            <w:pPr>
              <w:spacing w:line="260" w:lineRule="atLeast"/>
              <w:rPr>
                <w:rFonts w:cs="Arial"/>
                <w:sz w:val="20"/>
                <w:szCs w:val="20"/>
              </w:rPr>
            </w:pPr>
          </w:p>
          <w:p w:rsidR="007522E3" w:rsidRPr="002F30DF" w:rsidRDefault="00310DF2" w:rsidP="0025166A">
            <w:pPr>
              <w:spacing w:line="260" w:lineRule="atLeast"/>
              <w:rPr>
                <w:rFonts w:cs="Arial"/>
                <w:sz w:val="20"/>
                <w:szCs w:val="20"/>
              </w:rPr>
            </w:pPr>
            <w:r w:rsidRPr="002F30DF">
              <w:rPr>
                <w:rFonts w:cs="Arial"/>
                <w:sz w:val="20"/>
                <w:szCs w:val="20"/>
                <w:u w:val="single"/>
              </w:rPr>
              <w:t xml:space="preserve">Sedmi </w:t>
            </w:r>
            <w:r w:rsidR="007522E3" w:rsidRPr="002F30DF">
              <w:rPr>
                <w:rFonts w:cs="Arial"/>
                <w:sz w:val="20"/>
                <w:szCs w:val="20"/>
                <w:u w:val="single"/>
              </w:rPr>
              <w:t>odstavek</w:t>
            </w:r>
            <w:r w:rsidR="007522E3" w:rsidRPr="002F30DF">
              <w:rPr>
                <w:rFonts w:cs="Arial"/>
                <w:sz w:val="20"/>
                <w:szCs w:val="20"/>
              </w:rPr>
              <w:t xml:space="preserve"> določa, da če se zahteva za razkritje dokazov oziroma podatkov samo v delu nanaša na podatke, za katere zakon določa, da se lahko razkrijejo, sodišče pod pogoji iz </w:t>
            </w:r>
            <w:r w:rsidR="006433A8" w:rsidRPr="002F30DF">
              <w:rPr>
                <w:rFonts w:cs="Arial"/>
                <w:sz w:val="20"/>
                <w:szCs w:val="20"/>
              </w:rPr>
              <w:t>11</w:t>
            </w:r>
            <w:r w:rsidR="005122E7" w:rsidRPr="002F30DF">
              <w:rPr>
                <w:rFonts w:cs="Arial"/>
                <w:sz w:val="20"/>
                <w:szCs w:val="20"/>
              </w:rPr>
              <w:t>3</w:t>
            </w:r>
            <w:r w:rsidR="007522E3" w:rsidRPr="002F30DF">
              <w:rPr>
                <w:rFonts w:cs="Arial"/>
                <w:sz w:val="20"/>
                <w:szCs w:val="20"/>
              </w:rPr>
              <w:t xml:space="preserve">. člena lahko ugodi zahtevi v tem delu. Treba je upoštevati, da Direktiva 2014/104 in </w:t>
            </w:r>
            <w:r w:rsidRPr="002F30DF">
              <w:rPr>
                <w:rFonts w:cs="Arial"/>
                <w:sz w:val="20"/>
                <w:szCs w:val="20"/>
              </w:rPr>
              <w:t>ta</w:t>
            </w:r>
            <w:r w:rsidR="007522E3" w:rsidRPr="002F30DF">
              <w:rPr>
                <w:rFonts w:cs="Arial"/>
                <w:sz w:val="20"/>
                <w:szCs w:val="20"/>
              </w:rPr>
              <w:t xml:space="preserve"> zakon ne varujeta vseh podatkov iz izjave zaradi prizanesljivosti in vloge za poravnavo. Brezpogojno varstvo pred razkritjem je zagotovljeno za izjavo zaradi prizanesljivosti, v kateri je oseba navedla podatke o kartelu in svojo vlogo v njem, ter za vlogo za poravnavo, v kateri je oseba priznala, da je sodelovala pri kršitvi konkurenčnega prava. Varstvo obsega tudi dobesedne navedbe iz izjave zaradi prizanesljivosti ali </w:t>
            </w:r>
            <w:r w:rsidR="007522E3" w:rsidRPr="002F30DF">
              <w:rPr>
                <w:rFonts w:cs="Arial"/>
                <w:sz w:val="20"/>
                <w:szCs w:val="20"/>
              </w:rPr>
              <w:lastRenderedPageBreak/>
              <w:t>vloge za poravnavo v drugih dokumentih. Zaščite pa ne uživajo vsi drugi podatki in dokumenti oziroma tako imenovane predhodne informacije, ki obstajajo neodvisno od postopka organa za varstvo konkurence, četudi so del izjave zaradi prizanesljivosti ali vloge za poravnavo (npr. pogodbe priložene k izjavi zaradi prizanesljivosti).</w:t>
            </w:r>
          </w:p>
          <w:p w:rsidR="007522E3" w:rsidRPr="002F30DF" w:rsidRDefault="007522E3" w:rsidP="0025166A">
            <w:pPr>
              <w:spacing w:line="260" w:lineRule="atLeast"/>
              <w:rPr>
                <w:rFonts w:cs="Arial"/>
                <w:sz w:val="20"/>
                <w:szCs w:val="20"/>
              </w:rPr>
            </w:pPr>
          </w:p>
          <w:p w:rsidR="007B36F5" w:rsidRPr="002F30DF" w:rsidRDefault="007522E3" w:rsidP="0025166A">
            <w:pPr>
              <w:spacing w:line="260" w:lineRule="atLeast"/>
              <w:rPr>
                <w:rFonts w:cs="Arial"/>
                <w:sz w:val="20"/>
                <w:szCs w:val="20"/>
              </w:rPr>
            </w:pPr>
            <w:r w:rsidRPr="002F30DF">
              <w:rPr>
                <w:rFonts w:cs="Arial"/>
                <w:sz w:val="20"/>
                <w:szCs w:val="20"/>
              </w:rPr>
              <w:t xml:space="preserve">V </w:t>
            </w:r>
            <w:r w:rsidR="00310DF2" w:rsidRPr="002F30DF">
              <w:rPr>
                <w:rFonts w:cs="Arial"/>
                <w:sz w:val="20"/>
                <w:szCs w:val="20"/>
                <w:u w:val="single"/>
              </w:rPr>
              <w:t xml:space="preserve">osmem </w:t>
            </w:r>
            <w:r w:rsidRPr="002F30DF">
              <w:rPr>
                <w:rFonts w:cs="Arial"/>
                <w:sz w:val="20"/>
                <w:szCs w:val="20"/>
                <w:u w:val="single"/>
              </w:rPr>
              <w:t>odstavku</w:t>
            </w:r>
            <w:r w:rsidRPr="002F30DF">
              <w:rPr>
                <w:rFonts w:cs="Arial"/>
                <w:sz w:val="20"/>
                <w:szCs w:val="20"/>
              </w:rPr>
              <w:t xml:space="preserve"> je določeno pravilo o stroških postopka za razkritje dokazov oziroma podatkov. Stroške postopka za razkritje dokazov oziroma podatkov krije najprej stranka, ki je zahtevala razkritje. Povrniti mora tudi stroške nasprotni stranki. Povrnitev stroškov postopka za razkritje dokazov oziroma podatkov lahko pozneje zahteva kot del pravdnih stroškov v odškodninskem postopku glede na uspeh v pravdi.</w:t>
            </w:r>
            <w:bookmarkStart w:id="2" w:name="_Toc444111095"/>
          </w:p>
          <w:p w:rsidR="007B36F5" w:rsidRPr="002F30DF" w:rsidRDefault="007B36F5"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b/>
                <w:sz w:val="20"/>
                <w:szCs w:val="20"/>
              </w:rPr>
              <w:t xml:space="preserve">K </w:t>
            </w:r>
            <w:r w:rsidR="006433A8" w:rsidRPr="002F30DF">
              <w:rPr>
                <w:rFonts w:cs="Arial"/>
                <w:b/>
                <w:sz w:val="20"/>
                <w:szCs w:val="20"/>
              </w:rPr>
              <w:t>11</w:t>
            </w:r>
            <w:r w:rsidR="005122E7" w:rsidRPr="002F30DF">
              <w:rPr>
                <w:rFonts w:cs="Arial"/>
                <w:b/>
                <w:sz w:val="20"/>
                <w:szCs w:val="20"/>
              </w:rPr>
              <w:t>7</w:t>
            </w:r>
            <w:r w:rsidRPr="002F30DF">
              <w:rPr>
                <w:rFonts w:cs="Arial"/>
                <w:b/>
                <w:sz w:val="20"/>
                <w:szCs w:val="20"/>
              </w:rPr>
              <w:t>. členu</w:t>
            </w:r>
            <w:bookmarkEnd w:id="2"/>
            <w:r w:rsidRPr="002F30DF">
              <w:rPr>
                <w:rFonts w:cs="Arial"/>
                <w:b/>
                <w:sz w:val="20"/>
                <w:szCs w:val="20"/>
              </w:rPr>
              <w:t xml:space="preserve"> (omejitve uporabe dokazov</w:t>
            </w:r>
            <w:r w:rsidR="00310DF2" w:rsidRPr="002F30DF">
              <w:rPr>
                <w:rFonts w:cs="Arial"/>
                <w:b/>
                <w:sz w:val="20"/>
                <w:szCs w:val="20"/>
              </w:rPr>
              <w:t xml:space="preserve"> oziroma podatkov</w:t>
            </w:r>
            <w:r w:rsidRPr="002F30DF">
              <w:rPr>
                <w:rFonts w:cs="Arial"/>
                <w:b/>
                <w:sz w:val="20"/>
                <w:szCs w:val="20"/>
              </w:rPr>
              <w:t>, pridobljenih izključno z dostopom do spisa organa za varstvo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V 7. členu Direktive 2014/104 so navedene omejitve uporabe dokumentov iz spisa organa</w:t>
            </w:r>
            <w:r w:rsidR="00651B51" w:rsidRPr="002F30DF">
              <w:rPr>
                <w:rFonts w:cs="Arial"/>
                <w:sz w:val="20"/>
                <w:szCs w:val="20"/>
              </w:rPr>
              <w:t>, pristojnega</w:t>
            </w:r>
            <w:r w:rsidRPr="002F30DF">
              <w:rPr>
                <w:rFonts w:cs="Arial"/>
                <w:sz w:val="20"/>
                <w:szCs w:val="20"/>
              </w:rPr>
              <w:t xml:space="preserve"> za varstvo konkurence. Da se zagotovi spoštovanje omejitev razkritja iz Direktive 2014/104, je treba omejiti tudi uporabo dokumentov, ki izhajajo iz izjav zaradi prizanesljivosti, vlog za poravnavo ali dokumentov iz petega odstavka 6. člena Direktive 2014/104, ki so dostopni šele po končanem postopku pred organom</w:t>
            </w:r>
            <w:r w:rsidR="0058268F" w:rsidRPr="002F30DF">
              <w:rPr>
                <w:rFonts w:cs="Arial"/>
                <w:sz w:val="20"/>
                <w:szCs w:val="20"/>
              </w:rPr>
              <w:t>, pristojnim</w:t>
            </w:r>
            <w:r w:rsidRPr="002F30DF">
              <w:rPr>
                <w:rFonts w:cs="Arial"/>
                <w:sz w:val="20"/>
                <w:szCs w:val="20"/>
              </w:rPr>
              <w:t xml:space="preserve"> za varstvo konkurence. Omejiti jih je treba tako, da se ti dokumenti štejejo za nedopusten dokaz v odškodninskih tožbah ali kako drugače.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Prvi odstavek 7. člena Direktive 2014/104 določa, da države članice zagotovijo, da izjave zaradi prizanesljivosti in vloge za poravnavo iz šestega odstavka 6. člena Direktive 2014/104, ki jih pridobi fizična ali pravna oseba izključno z dostopom do spisa organa</w:t>
            </w:r>
            <w:r w:rsidR="0058268F" w:rsidRPr="002F30DF">
              <w:rPr>
                <w:rFonts w:cs="Arial"/>
                <w:sz w:val="20"/>
                <w:szCs w:val="20"/>
              </w:rPr>
              <w:t>, pristojnega</w:t>
            </w:r>
            <w:r w:rsidRPr="002F30DF">
              <w:rPr>
                <w:rFonts w:cs="Arial"/>
                <w:sz w:val="20"/>
                <w:szCs w:val="20"/>
              </w:rPr>
              <w:t xml:space="preserve"> za varstvo konkurence, veljajo za nedopustne dokaze v primeru odškodninskih tožb oziroma se zaščitijo na drug način v skladu z veljavnimi nacionalnimi pravili.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Ista posledica je določena tudi za dokumente iz petega odstavka 6. člena (časovno pogojeno varstvo dokumentov), vse dokler organ</w:t>
            </w:r>
            <w:r w:rsidR="0058268F" w:rsidRPr="002F30DF">
              <w:rPr>
                <w:rFonts w:cs="Arial"/>
                <w:sz w:val="20"/>
                <w:szCs w:val="20"/>
              </w:rPr>
              <w:t>, pristojen</w:t>
            </w:r>
            <w:r w:rsidRPr="002F30DF">
              <w:rPr>
                <w:rFonts w:cs="Arial"/>
                <w:sz w:val="20"/>
                <w:szCs w:val="20"/>
              </w:rPr>
              <w:t xml:space="preserve"> za varstvo konkurence</w:t>
            </w:r>
            <w:r w:rsidR="0058268F" w:rsidRPr="002F30DF">
              <w:rPr>
                <w:rFonts w:cs="Arial"/>
                <w:sz w:val="20"/>
                <w:szCs w:val="20"/>
              </w:rPr>
              <w:t>,</w:t>
            </w:r>
            <w:r w:rsidRPr="002F30DF">
              <w:rPr>
                <w:rFonts w:cs="Arial"/>
                <w:sz w:val="20"/>
                <w:szCs w:val="20"/>
              </w:rPr>
              <w:t xml:space="preserve"> ne konča postopka z izdajo odločbe ali kako drugače (drugi odstavek 7. člena Direktive 2014/104).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Poleg tega dokumenti, pridobljeni od organa, pristojnega za varstvo konkurence, ne bi smeli postati predmet pravnega prometa. Zato tretji odstavek 7. člena Direktive 2014/104 določa, da države članice zagotovijo, da lahko dokumente, ki jih pridobi fizična ali pravna oseba izključno z dostopom do spisa organa, pristojnega za varstvo konkurence in za katere ne veljata prej navedena odstavka, ob morebitni odškodninski tožbi uporabi le naslovnik odredbe za razkritje oziroma fizična ali pravna oseba, ki je pravni naslednik njenih pravic, vključno z osebo, ki je prevzela njen zahtevek. Kadar je dokument pridobila pravna oseba iz skupine podjeti</w:t>
            </w:r>
            <w:r w:rsidR="00D361A0" w:rsidRPr="002F30DF">
              <w:rPr>
                <w:rFonts w:cs="Arial"/>
                <w:sz w:val="20"/>
                <w:szCs w:val="20"/>
              </w:rPr>
              <w:t xml:space="preserve">j, ki za namene uporabe 101. </w:t>
            </w:r>
            <w:r w:rsidR="00E448E3" w:rsidRPr="002F30DF">
              <w:rPr>
                <w:rFonts w:cs="Arial"/>
                <w:sz w:val="20"/>
                <w:szCs w:val="20"/>
              </w:rPr>
              <w:t>i</w:t>
            </w:r>
            <w:r w:rsidR="00D361A0" w:rsidRPr="002F30DF">
              <w:rPr>
                <w:rFonts w:cs="Arial"/>
                <w:sz w:val="20"/>
                <w:szCs w:val="20"/>
              </w:rPr>
              <w:t xml:space="preserve">n </w:t>
            </w:r>
            <w:r w:rsidRPr="002F30DF">
              <w:rPr>
                <w:rFonts w:cs="Arial"/>
                <w:sz w:val="20"/>
                <w:szCs w:val="20"/>
              </w:rPr>
              <w:t xml:space="preserve">102. </w:t>
            </w:r>
            <w:r w:rsidR="00D361A0" w:rsidRPr="002F30DF">
              <w:rPr>
                <w:rFonts w:cs="Arial"/>
                <w:sz w:val="20"/>
                <w:szCs w:val="20"/>
              </w:rPr>
              <w:t>č</w:t>
            </w:r>
            <w:r w:rsidRPr="002F30DF">
              <w:rPr>
                <w:rFonts w:cs="Arial"/>
                <w:sz w:val="20"/>
                <w:szCs w:val="20"/>
              </w:rPr>
              <w:t>lena</w:t>
            </w:r>
            <w:r w:rsidR="00D361A0" w:rsidRPr="002F30DF">
              <w:rPr>
                <w:rFonts w:cs="Arial"/>
                <w:sz w:val="20"/>
                <w:szCs w:val="20"/>
              </w:rPr>
              <w:t xml:space="preserve"> </w:t>
            </w:r>
            <w:r w:rsidRPr="002F30DF">
              <w:rPr>
                <w:rFonts w:cs="Arial"/>
                <w:sz w:val="20"/>
                <w:szCs w:val="20"/>
              </w:rPr>
              <w:t>PDEU pomeni eno podjetje, se uporaba takšnega dokumenta dovoli tudi drugim pravnim osebam iz iste skupine podjetij.</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 podlagi navedenega </w:t>
            </w:r>
            <w:r w:rsidRPr="002F30DF">
              <w:rPr>
                <w:rFonts w:cs="Arial"/>
                <w:sz w:val="20"/>
                <w:szCs w:val="20"/>
                <w:u w:val="single"/>
              </w:rPr>
              <w:t>prvi odstavek</w:t>
            </w:r>
            <w:r w:rsidRPr="002F30DF">
              <w:rPr>
                <w:rFonts w:cs="Arial"/>
                <w:sz w:val="20"/>
                <w:szCs w:val="20"/>
              </w:rPr>
              <w:t xml:space="preserve"> določa, kateri podatek je kot dokaz v pravdnem postopku nedopusten, in sicer sta to prijava za prizanesljivost ali vloga za poravnavo, pridobljeni izključno z dostopom do spisa organa, pristojnega za varstvo konkurence. Teh podatkov ni dopustno predložiti kot dokaz v tožbi za povrnitev škode. Prav tako ni dopustno v vlogah navajati dejstev, ki izhajajo iz vloge za poravnavo ali prijave za prizanesljivost. Prepoved predložitve dokazov se ne nanaša na prijave za prizanesljivost ali vloge za poravnave, ki so pridobljene na drug način kot z dostopom do spisa organa, pristojnega za varstvo konkurence.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drugem odstavku</w:t>
            </w:r>
            <w:r w:rsidRPr="002F30DF">
              <w:rPr>
                <w:rFonts w:cs="Arial"/>
                <w:sz w:val="20"/>
                <w:szCs w:val="20"/>
              </w:rPr>
              <w:t xml:space="preserve"> je določena omejitev uporabe dokumentov iz osmega odstavka </w:t>
            </w:r>
            <w:r w:rsidR="006433A8" w:rsidRPr="002F30DF">
              <w:rPr>
                <w:rFonts w:cs="Arial"/>
                <w:sz w:val="20"/>
                <w:szCs w:val="20"/>
              </w:rPr>
              <w:t>11</w:t>
            </w:r>
            <w:r w:rsidR="005122E7" w:rsidRPr="002F30DF">
              <w:rPr>
                <w:rFonts w:cs="Arial"/>
                <w:sz w:val="20"/>
                <w:szCs w:val="20"/>
              </w:rPr>
              <w:t>3</w:t>
            </w:r>
            <w:r w:rsidRPr="002F30DF">
              <w:rPr>
                <w:rFonts w:cs="Arial"/>
                <w:sz w:val="20"/>
                <w:szCs w:val="20"/>
              </w:rPr>
              <w:t>. člena (časovno pogojeno varstvo dokumentov), vse dokler organ, pristojen za varstvo konkurence, ne konča postopka.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Dodatno omejitev pri uporabi dokazov oziroma podatkov, ki se pridobijo iz spisa organa, pristojnega za varstvo konkurence, določa </w:t>
            </w:r>
            <w:r w:rsidRPr="002F30DF">
              <w:rPr>
                <w:rFonts w:cs="Arial"/>
                <w:sz w:val="20"/>
                <w:szCs w:val="20"/>
                <w:u w:val="single"/>
              </w:rPr>
              <w:t>tretji odstavek</w:t>
            </w:r>
            <w:r w:rsidRPr="002F30DF">
              <w:rPr>
                <w:rFonts w:cs="Arial"/>
                <w:sz w:val="20"/>
                <w:szCs w:val="20"/>
              </w:rPr>
              <w:t>. Če je stranka pridobila dokaze iz spisa organa, pristojnega za varstvo konkurence, jih lahko v tožbi za povrnitev škode</w:t>
            </w:r>
            <w:r w:rsidRPr="002F30DF" w:rsidDel="0078479E">
              <w:rPr>
                <w:rFonts w:cs="Arial"/>
                <w:sz w:val="20"/>
                <w:szCs w:val="20"/>
              </w:rPr>
              <w:t xml:space="preserve"> </w:t>
            </w:r>
            <w:r w:rsidRPr="002F30DF">
              <w:rPr>
                <w:rFonts w:cs="Arial"/>
                <w:sz w:val="20"/>
                <w:szCs w:val="20"/>
              </w:rPr>
              <w:t xml:space="preserve">uporabita samo ona in njen pravni naslednik, vključno z osebo, na katero je bil prenesen odškodninski zahtevek. </w:t>
            </w:r>
          </w:p>
          <w:p w:rsidR="007522E3" w:rsidRPr="002F30DF" w:rsidRDefault="007522E3" w:rsidP="0025166A">
            <w:pPr>
              <w:spacing w:line="260" w:lineRule="atLeast"/>
              <w:rPr>
                <w:rFonts w:cs="Arial"/>
                <w:b/>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6433A8" w:rsidRPr="002F30DF">
              <w:rPr>
                <w:rFonts w:cs="Arial"/>
                <w:b/>
                <w:sz w:val="20"/>
                <w:szCs w:val="20"/>
              </w:rPr>
              <w:t>1</w:t>
            </w:r>
            <w:r w:rsidR="005A32E8" w:rsidRPr="002F30DF">
              <w:rPr>
                <w:rFonts w:cs="Arial"/>
                <w:b/>
                <w:sz w:val="20"/>
                <w:szCs w:val="20"/>
              </w:rPr>
              <w:t>1</w:t>
            </w:r>
            <w:r w:rsidR="005122E7" w:rsidRPr="002F30DF">
              <w:rPr>
                <w:rFonts w:cs="Arial"/>
                <w:b/>
                <w:sz w:val="20"/>
                <w:szCs w:val="20"/>
              </w:rPr>
              <w:t>8</w:t>
            </w:r>
            <w:r w:rsidRPr="002F30DF">
              <w:rPr>
                <w:rFonts w:cs="Arial"/>
                <w:b/>
                <w:sz w:val="20"/>
                <w:szCs w:val="20"/>
              </w:rPr>
              <w:t>. členu (posledice neizpolnitve odločbe o razkritju dokazov oziroma podatkov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Zaradi vložitve odškodninskega zahtevka in možnosti plačila odškodnine obstaja tveganje, da zadevne osebe ne bodo izpolnile odločitve sodišča o razkritju dokazov oziroma podatkov ali pa da bodo uničile ali skrile dokaze, ki jih oškodovanec potrebuje za utemeljitev svojega odškodninskega zahtevka. Da bi preprečili uničenje in skrivanje relevantnih dokumentov ter da bi zagotovili izvrševanje sodnih odločb o razkritju, morajo države članice določiti sankcije, ki odvračajo nasprotno stranko in tretje osebe od tovrstnega početja.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Prvi odstavek 8. člena Direktive 2014/104 določa, da </w:t>
            </w:r>
            <w:r w:rsidRPr="002F30DF">
              <w:rPr>
                <w:rFonts w:cs="Arial"/>
                <w:i/>
                <w:sz w:val="20"/>
                <w:szCs w:val="20"/>
              </w:rPr>
              <w:t>države članice zagotovijo, da imajo nacionalna sodišča možnost strankam, tretjim osebam in njihovim pravnim zastopnikom naložiti kazni, če:</w:t>
            </w:r>
          </w:p>
          <w:p w:rsidR="007522E3" w:rsidRPr="002F30DF" w:rsidRDefault="007522E3" w:rsidP="00431BAA">
            <w:pPr>
              <w:numPr>
                <w:ilvl w:val="0"/>
                <w:numId w:val="65"/>
              </w:numPr>
              <w:overflowPunct/>
              <w:autoSpaceDE/>
              <w:autoSpaceDN/>
              <w:adjustRightInd/>
              <w:spacing w:line="260" w:lineRule="atLeast"/>
              <w:ind w:left="567" w:hanging="283"/>
              <w:jc w:val="left"/>
              <w:textAlignment w:val="auto"/>
              <w:rPr>
                <w:rFonts w:cs="Arial"/>
                <w:i/>
                <w:sz w:val="20"/>
                <w:szCs w:val="20"/>
              </w:rPr>
            </w:pPr>
            <w:r w:rsidRPr="002F30DF">
              <w:rPr>
                <w:rFonts w:cs="Arial"/>
                <w:i/>
                <w:sz w:val="20"/>
                <w:szCs w:val="20"/>
              </w:rPr>
              <w:t>ne izpolnijo odredbe za razkritje, ki jo izda nacionalno sodišče, ali zavrnejo njeno izpolnitev,</w:t>
            </w:r>
          </w:p>
          <w:p w:rsidR="007522E3" w:rsidRPr="002F30DF" w:rsidRDefault="007522E3" w:rsidP="00431BAA">
            <w:pPr>
              <w:numPr>
                <w:ilvl w:val="0"/>
                <w:numId w:val="65"/>
              </w:numPr>
              <w:overflowPunct/>
              <w:autoSpaceDE/>
              <w:autoSpaceDN/>
              <w:adjustRightInd/>
              <w:spacing w:line="260" w:lineRule="atLeast"/>
              <w:ind w:left="567" w:hanging="283"/>
              <w:jc w:val="left"/>
              <w:textAlignment w:val="auto"/>
              <w:rPr>
                <w:rFonts w:cs="Arial"/>
                <w:i/>
                <w:sz w:val="20"/>
                <w:szCs w:val="20"/>
              </w:rPr>
            </w:pPr>
            <w:r w:rsidRPr="002F30DF">
              <w:rPr>
                <w:rFonts w:cs="Arial"/>
                <w:i/>
                <w:sz w:val="20"/>
                <w:szCs w:val="20"/>
              </w:rPr>
              <w:t>uničijo relevantne dokaze,</w:t>
            </w:r>
          </w:p>
          <w:p w:rsidR="007522E3" w:rsidRPr="002F30DF" w:rsidRDefault="007522E3" w:rsidP="00431BAA">
            <w:pPr>
              <w:numPr>
                <w:ilvl w:val="0"/>
                <w:numId w:val="65"/>
              </w:numPr>
              <w:overflowPunct/>
              <w:autoSpaceDE/>
              <w:autoSpaceDN/>
              <w:adjustRightInd/>
              <w:spacing w:line="260" w:lineRule="atLeast"/>
              <w:ind w:left="567" w:hanging="283"/>
              <w:jc w:val="left"/>
              <w:textAlignment w:val="auto"/>
              <w:rPr>
                <w:rFonts w:cs="Arial"/>
                <w:i/>
                <w:sz w:val="20"/>
                <w:szCs w:val="20"/>
              </w:rPr>
            </w:pPr>
            <w:r w:rsidRPr="002F30DF">
              <w:rPr>
                <w:rFonts w:cs="Arial"/>
                <w:i/>
                <w:sz w:val="20"/>
                <w:szCs w:val="20"/>
              </w:rPr>
              <w:t>ne izpolnijo obveznosti, naložene z odredbo nacionalnega sodišča za varstvo zaupnih informacij, ali zavrnejo njihovo izpolnitev, ali</w:t>
            </w:r>
          </w:p>
          <w:p w:rsidR="007522E3" w:rsidRPr="002F30DF" w:rsidRDefault="007522E3" w:rsidP="00431BAA">
            <w:pPr>
              <w:numPr>
                <w:ilvl w:val="0"/>
                <w:numId w:val="65"/>
              </w:numPr>
              <w:overflowPunct/>
              <w:autoSpaceDE/>
              <w:autoSpaceDN/>
              <w:adjustRightInd/>
              <w:spacing w:line="260" w:lineRule="atLeast"/>
              <w:ind w:left="567" w:hanging="283"/>
              <w:jc w:val="left"/>
              <w:textAlignment w:val="auto"/>
              <w:rPr>
                <w:rFonts w:cs="Arial"/>
                <w:i/>
                <w:sz w:val="20"/>
                <w:szCs w:val="20"/>
              </w:rPr>
            </w:pPr>
            <w:r w:rsidRPr="002F30DF">
              <w:rPr>
                <w:rFonts w:cs="Arial"/>
                <w:i/>
                <w:sz w:val="20"/>
                <w:szCs w:val="20"/>
              </w:rPr>
              <w:t>kršijo omejitve uporabe dokazov iz tega poglavja.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2014/104 ne določa sankcij zaradi nespoštovanja odločbe sodišča, temveč to prepušča državi članici, morajo pa biti sankcije učinkovite, sorazmerne in odvračilne (drugi odstavek 8. člena Direktive 2014/104). V drugem odstavku 8. člena Direktiva 2014/104 določa, da je </w:t>
            </w:r>
            <w:r w:rsidRPr="002F30DF">
              <w:rPr>
                <w:rFonts w:cs="Arial"/>
                <w:i/>
                <w:sz w:val="20"/>
                <w:szCs w:val="20"/>
              </w:rPr>
              <w:t xml:space="preserve">za nasprotno stranko, ki ne upošteva odločbe o razkritju dokazov, primerna kazen, da se domneva, da je relevantno vprašanje dokazano ter možnost odreditve plačila stroškov.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Posledice neizpolnitve sklepa sodišča o razkritju dokazov oziroma podatkov, uničenja ali skrivanja dokazov oziroma podatkov, kršitve določenih ukrepov za zavarovanje zaupnih podatkov in kršitve omejitve uporabe dokazov iz </w:t>
            </w:r>
            <w:r w:rsidR="006433A8" w:rsidRPr="002F30DF">
              <w:rPr>
                <w:rFonts w:cs="Arial"/>
                <w:sz w:val="20"/>
                <w:szCs w:val="20"/>
              </w:rPr>
              <w:t>11</w:t>
            </w:r>
            <w:r w:rsidR="005122E7" w:rsidRPr="002F30DF">
              <w:rPr>
                <w:rFonts w:cs="Arial"/>
                <w:sz w:val="20"/>
                <w:szCs w:val="20"/>
              </w:rPr>
              <w:t>7</w:t>
            </w:r>
            <w:r w:rsidR="00E448E3" w:rsidRPr="002F30DF">
              <w:rPr>
                <w:rFonts w:cs="Arial"/>
                <w:sz w:val="20"/>
                <w:szCs w:val="20"/>
              </w:rPr>
              <w:t>.</w:t>
            </w:r>
            <w:r w:rsidRPr="002F30DF">
              <w:rPr>
                <w:rFonts w:cs="Arial"/>
                <w:sz w:val="20"/>
                <w:szCs w:val="20"/>
              </w:rPr>
              <w:t xml:space="preserve"> člena tega zakona so določene v veljavni </w:t>
            </w:r>
            <w:r w:rsidR="00E448E3" w:rsidRPr="002F30DF">
              <w:rPr>
                <w:rFonts w:cs="Arial"/>
                <w:sz w:val="20"/>
                <w:szCs w:val="20"/>
              </w:rPr>
              <w:t>zakonodaji in v tem členu ter</w:t>
            </w:r>
            <w:r w:rsidR="00A2435C" w:rsidRPr="002F30DF">
              <w:rPr>
                <w:rFonts w:cs="Arial"/>
                <w:sz w:val="20"/>
                <w:szCs w:val="20"/>
              </w:rPr>
              <w:t xml:space="preserve"> </w:t>
            </w:r>
            <w:r w:rsidR="006433A8" w:rsidRPr="002F30DF">
              <w:rPr>
                <w:rFonts w:cs="Arial"/>
                <w:sz w:val="20"/>
                <w:szCs w:val="20"/>
              </w:rPr>
              <w:t>1</w:t>
            </w:r>
            <w:r w:rsidR="005122E7" w:rsidRPr="002F30DF">
              <w:rPr>
                <w:rFonts w:cs="Arial"/>
                <w:sz w:val="20"/>
                <w:szCs w:val="20"/>
              </w:rPr>
              <w:t>19</w:t>
            </w:r>
            <w:r w:rsidRPr="002F30DF">
              <w:rPr>
                <w:rFonts w:cs="Arial"/>
                <w:sz w:val="20"/>
                <w:szCs w:val="20"/>
              </w:rPr>
              <w:t>. členu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Sankcije, če nasprotna stranka ali tretja oseba ne ugodi odločbi sodišča o razkritju dokazov oziroma podatkov, so določene v ZPP in ZIZ, kot je to pojasnjeno v nadaljevanju. Če sodišče izda sodbo o razkritju dokazov oziroma podatkov na podlagi materialnopravnega zahtevka za razkritje dokazov oziroma podatkov, je taka sodba izvršljiva, in če tožena stranka ne ugodi sodbi sodišča, lahko tožnik po preteku paricijskega roka prisilno izterja razkritje dokazov oziroma podatkov pod pogoji iz 226. člena ZIZ (denarna kazen za dejanje, ki ga lahko stori le dolžnik) ali prek instituta sodnih penalov po 212. členu ZIZ.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sodišče izda procesni sklep o predložitvi listin na podlagi 227. ali 228. člena ZPP, se posledice razlikujejo glede na to, ali je naslovnik sklepa nasprotna stranka ali tretja oseba. Če je predložitev listin naložena nasprotni stranki, tak sklep ni izvršljiv, in če nasprotna stranka ne izvrši ali zavrne izpolnitev pravnomočnega sklepa za predložitev listin, se za posledice takšnega ravnanja uporabi določba ZPP o posledicah neizpolnitve sklepa za predložitev listin iz petega odstavka 227. člena ZPP. Ta določa, da če stranka, ki ima listino, ne izpolni sklepa o predložitvi listin, se šteje dejstvo, ki ga je želela stranka z listino dokazati, za dokazano.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oseba, ki ni stranka odškodninskega postopka, ne ugodi pravnomočnemu sklepu za razkritje dokazov oziroma podatkov, sodišče ne more uporabiti istih sankcij, kot če sklepa o razkritju dokazov oziroma podatkov ne izpolni nasprotna stranka. Pravnomočni sklep o razkritju dokazov oziroma podatkov, ki se glasi na tretje osebe, je izvršljive narave in ga sodišče izvrši po pravilih izvršilnega postopka, </w:t>
            </w:r>
            <w:r w:rsidR="003167C8" w:rsidRPr="002F30DF">
              <w:rPr>
                <w:rFonts w:cs="Arial"/>
                <w:sz w:val="20"/>
                <w:szCs w:val="20"/>
              </w:rPr>
              <w:t>kot je določeno v tem zakonu</w:t>
            </w:r>
            <w:r w:rsidRPr="002F30DF">
              <w:rPr>
                <w:rFonts w:cs="Arial"/>
                <w:sz w:val="20"/>
                <w:szCs w:val="20"/>
              </w:rPr>
              <w:t>. V tem primeru je predvidena ista posledica, kot če sodišče izda sodbo o razkritju dokazov na podlagi materialnopravne določbe. Stranka razkritje dokazov oziroma podatkov prisilno lahko izterja pod pogoji iz 226. člena ZIZ (denarna kazen za dejanje, ki ga lahko stori le dolžnik) ali prek instituta sodnih penalov po 212. členu ZIZ.</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Navedena posledica se lahko uporabi tudi, če stranka ali tretja oseba uniči dokaze po izdaji odločbe o razkritju dokazov ali podatkov, ker pri tem stranka ali tretja oseba ne bo mogla ugoditi odločbi sodišča o razkritju dokazov oziroma podatkov.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je zaradi nespoštovanja odločbe sodišča o razkritju dokazov oziroma podatkov ali uničenja dokazov določena posledica, da pri tem sodišče odloči o stroških odškodninskega postopka po prostem preudarku.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Sankcija za uničenje in skrivanje dokazov ali podatkov je urejena tudi v KZ-1 in ZPP. V 235. členu KZ-1 je določeno, da kdor v poslovne knjige, spise ali druge poslovne listine in evidence, ki jih mora voditi po zakonu ali na podlagi drugih predpisov, izdanih na podlagi zakona, in so pomembne za poslovni promet z drugimi pravnimi ali fizičnimi osebami ali so namenjene za odločitve v zvezi z gospodarsko ali finančno dejavnostjo ali kot podlaga za davčni nadzor, vpiše lažne podatke ali ne vpiše kakšnega pomembnega podatka ali s svojim podpisom potrdi tako knjigo, listino ali spis z lažno vsebino ali omogoči sestavo knjige, listine ali spisa z lažno vsebino, se kaznuje z zaporom do dveh let. Enako se kaznuje, kdor lažno poslovno knjigo, listino ali spis uporabi kot resnično ali kdor uniči, skrije, precej poškoduje ali kako drugače napravi neuporabne poslovne knjige, listine ali spise iz prejšnjega odstavka. Že sam poskus izvedbe navedenih dejanj je kazniv.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Poleg tega bi sodišče zaradi uničenja ali skrivanja dokazov ali podatkov po izdaji izvršljive odločbe o razkritju dokazov oziroma podatkov lahko dolžnika denarno kaznovalo v skladu s prvo alinejo prvega odstavka 33. člena ZIZ, ki določa, da sodišče lahko fizični osebi izreče denarno kazen do 10.000 evrov, pravni osebi in podjetniku pa do 100.000 evrov, ki v nasprotju z odločitvijo sodišča skriva, poškoduje ali uničuje svoje premoženje.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Kršitev ukrepa za varstvo zaupnih informacij iz šestega odstavka </w:t>
            </w:r>
            <w:r w:rsidR="003167C8" w:rsidRPr="002F30DF">
              <w:rPr>
                <w:rFonts w:cs="Arial"/>
                <w:sz w:val="20"/>
                <w:szCs w:val="20"/>
              </w:rPr>
              <w:t>11</w:t>
            </w:r>
            <w:r w:rsidRPr="002F30DF">
              <w:rPr>
                <w:rFonts w:cs="Arial"/>
                <w:sz w:val="20"/>
                <w:szCs w:val="20"/>
              </w:rPr>
              <w:t xml:space="preserve">. člena in kršitev omejitve uporabe dokazov oziroma podatkov iz </w:t>
            </w:r>
            <w:r w:rsidR="003167C8" w:rsidRPr="002F30DF">
              <w:rPr>
                <w:rFonts w:cs="Arial"/>
                <w:sz w:val="20"/>
                <w:szCs w:val="20"/>
              </w:rPr>
              <w:t>11</w:t>
            </w:r>
            <w:r w:rsidR="00343172" w:rsidRPr="002F30DF">
              <w:rPr>
                <w:rFonts w:cs="Arial"/>
                <w:sz w:val="20"/>
                <w:szCs w:val="20"/>
              </w:rPr>
              <w:t>7</w:t>
            </w:r>
            <w:r w:rsidRPr="002F30DF">
              <w:rPr>
                <w:rFonts w:cs="Arial"/>
                <w:sz w:val="20"/>
                <w:szCs w:val="20"/>
              </w:rPr>
              <w:t xml:space="preserve">. člena tega zakona se lahko sankcionira na podlagi ustrezne določbe KZ-1 oziroma denarne kazni iz </w:t>
            </w:r>
            <w:r w:rsidR="003167C8" w:rsidRPr="002F30DF">
              <w:rPr>
                <w:rFonts w:cs="Arial"/>
                <w:sz w:val="20"/>
                <w:szCs w:val="20"/>
              </w:rPr>
              <w:t>1</w:t>
            </w:r>
            <w:r w:rsidR="00343172" w:rsidRPr="002F30DF">
              <w:rPr>
                <w:rFonts w:cs="Arial"/>
                <w:sz w:val="20"/>
                <w:szCs w:val="20"/>
              </w:rPr>
              <w:t>19</w:t>
            </w:r>
            <w:r w:rsidRPr="002F30DF">
              <w:rPr>
                <w:rFonts w:cs="Arial"/>
                <w:sz w:val="20"/>
                <w:szCs w:val="20"/>
              </w:rPr>
              <w:t xml:space="preserve">. člena tega zakona.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w:t>
            </w:r>
            <w:r w:rsidR="00343172" w:rsidRPr="002F30DF">
              <w:rPr>
                <w:rFonts w:cs="Arial"/>
                <w:b/>
                <w:sz w:val="20"/>
                <w:szCs w:val="20"/>
              </w:rPr>
              <w:t>19</w:t>
            </w:r>
            <w:r w:rsidRPr="002F30DF">
              <w:rPr>
                <w:rFonts w:cs="Arial"/>
                <w:b/>
                <w:sz w:val="20"/>
                <w:szCs w:val="20"/>
              </w:rPr>
              <w:t>. členu (denarn</w:t>
            </w:r>
            <w:r w:rsidR="00651B51" w:rsidRPr="002F30DF">
              <w:rPr>
                <w:rFonts w:cs="Arial"/>
                <w:b/>
                <w:sz w:val="20"/>
                <w:szCs w:val="20"/>
              </w:rPr>
              <w:t>a</w:t>
            </w:r>
            <w:r w:rsidRPr="002F30DF">
              <w:rPr>
                <w:rFonts w:cs="Arial"/>
                <w:b/>
                <w:sz w:val="20"/>
                <w:szCs w:val="20"/>
              </w:rPr>
              <w:t xml:space="preserve"> kaz</w:t>
            </w:r>
            <w:r w:rsidR="00651B51" w:rsidRPr="002F30DF">
              <w:rPr>
                <w:rFonts w:cs="Arial"/>
                <w:b/>
                <w:sz w:val="20"/>
                <w:szCs w:val="20"/>
              </w:rPr>
              <w:t>e</w:t>
            </w:r>
            <w:r w:rsidRPr="002F30DF">
              <w:rPr>
                <w:rFonts w:cs="Arial"/>
                <w:b/>
                <w:sz w:val="20"/>
                <w:szCs w:val="20"/>
              </w:rPr>
              <w:t>n)</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Sankciji za kršitev ukrepa za varstvo zaupnih in</w:t>
            </w:r>
            <w:r w:rsidR="00E448E3" w:rsidRPr="002F30DF">
              <w:rPr>
                <w:rFonts w:cs="Arial"/>
                <w:sz w:val="20"/>
                <w:szCs w:val="20"/>
              </w:rPr>
              <w:t xml:space="preserve">formacij iz šestega odstavka </w:t>
            </w:r>
            <w:r w:rsidR="003167C8" w:rsidRPr="002F30DF">
              <w:rPr>
                <w:rFonts w:cs="Arial"/>
                <w:sz w:val="20"/>
                <w:szCs w:val="20"/>
              </w:rPr>
              <w:t>11</w:t>
            </w:r>
            <w:r w:rsidR="00343172" w:rsidRPr="002F30DF">
              <w:rPr>
                <w:rFonts w:cs="Arial"/>
                <w:sz w:val="20"/>
                <w:szCs w:val="20"/>
              </w:rPr>
              <w:t>3</w:t>
            </w:r>
            <w:r w:rsidRPr="002F30DF">
              <w:rPr>
                <w:rFonts w:cs="Arial"/>
                <w:sz w:val="20"/>
                <w:szCs w:val="20"/>
              </w:rPr>
              <w:t xml:space="preserve">. člena tega zakona in kršitev omejitve uporabe dokazov oziroma podatkov iz </w:t>
            </w:r>
            <w:r w:rsidR="003167C8" w:rsidRPr="002F30DF">
              <w:rPr>
                <w:rFonts w:cs="Arial"/>
                <w:sz w:val="20"/>
                <w:szCs w:val="20"/>
              </w:rPr>
              <w:t>11</w:t>
            </w:r>
            <w:r w:rsidR="005A32E8" w:rsidRPr="002F30DF">
              <w:rPr>
                <w:rFonts w:cs="Arial"/>
                <w:sz w:val="20"/>
                <w:szCs w:val="20"/>
              </w:rPr>
              <w:t>8</w:t>
            </w:r>
            <w:r w:rsidRPr="002F30DF">
              <w:rPr>
                <w:rFonts w:cs="Arial"/>
                <w:sz w:val="20"/>
                <w:szCs w:val="20"/>
              </w:rPr>
              <w:t>. člena tega zakona sta določeni v KZ-1 in tem členu.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je določena denarna kazen za kršitev ukrepa za varstvo zaupnih podatkov, ki ga izda sodišče, ki odloča tudi o odškodninskem zahtevku, izreče pa jo lahko samo, dokler odškodninski postopek pred sodiščem ni končan. Sodišče izreče denarno kazen fizični osebi v znesku do 5.000 evrov, pravni osebi, samostojnemu podjetniku posamezniku, odvetniku oziroma odvetniškemu kandidatu pa v znesku od 5.000 do 100.000 evrov.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Izrek denarne kazni po prvem odstavku tega člena ni ovira za izrek kazni zaradi kaznivega dejanja po 236. členu KZ-1. Če se zgodi kršitev ukrepa za varstvo poslovnih skrivnosti po končanem odškodninskem postopku, je kaznovanje po KZ-1 tudi edina možna sankcija.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Izdaja in neupravičena pridobitev poslovne skrivnosti je opredeljena tudi kot kaznivo dejanje v 236. členu KZ-1, ki določa, da kdor neupravičeno v nasprotju s svojimi dolžnostmi glede varovanja poslovne skrivnosti sporoči ali izroči komu podatke, ki so poslovna skrivnost, ali mu kako drugače omogoči, da pride do njih, ali jih zbira z namenom, da jih izroči nepoklicani osebi, se kaznuje z zaporom do treh let. Enako se kaznuje, kdor z namenom, da jih neupravičeno uporabi, protipravno pride do podatkov, ki so varovani kot poslovna skrivnost. Če so podatki iz prvega ali drugega odstavka tega člena posebno pomembni, če kdo izroči take podatke zato, da jih kdo odnese v tujino, ali je dejanje storjeno iz koristoljubnosti, se storilec kaznuje z zaporom do petih let. Če je dejanje storjeno iz malomarnosti, se storilec kaznuje z zaporom do enega leta. </w:t>
            </w:r>
          </w:p>
          <w:p w:rsidR="007C054D" w:rsidRPr="002F30DF" w:rsidRDefault="007C054D"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drugem odstavku</w:t>
            </w:r>
            <w:r w:rsidRPr="002F30DF">
              <w:rPr>
                <w:rFonts w:cs="Arial"/>
                <w:sz w:val="20"/>
                <w:szCs w:val="20"/>
              </w:rPr>
              <w:t xml:space="preserve"> je določeno, da če stranka ali tretja oseba uniči ali skrije relevantne dokaze oziroma podatke v času od vložitve zahteve ali predloga za razkritje dokazov oziroma podatkov do odločbe sodišča o razkritju, ji lahko sodišče, ki odloča o odškodninskem zahtevku, izreče denarno kazen v višini do 5.000 evrov.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tretjem odstavku</w:t>
            </w:r>
            <w:r w:rsidRPr="002F30DF">
              <w:rPr>
                <w:rFonts w:cs="Arial"/>
                <w:sz w:val="20"/>
                <w:szCs w:val="20"/>
              </w:rPr>
              <w:t xml:space="preserve"> je določena denarna kazen, če stranka ali njen zakoniti zastopnik ravna v nasprotju s </w:t>
            </w:r>
            <w:r w:rsidR="003167C8" w:rsidRPr="002F30DF">
              <w:rPr>
                <w:rFonts w:cs="Arial"/>
                <w:sz w:val="20"/>
                <w:szCs w:val="20"/>
              </w:rPr>
              <w:t>11</w:t>
            </w:r>
            <w:r w:rsidR="00343172" w:rsidRPr="002F30DF">
              <w:rPr>
                <w:rFonts w:cs="Arial"/>
                <w:sz w:val="20"/>
                <w:szCs w:val="20"/>
              </w:rPr>
              <w:t>7</w:t>
            </w:r>
            <w:r w:rsidRPr="002F30DF">
              <w:rPr>
                <w:rFonts w:cs="Arial"/>
                <w:sz w:val="20"/>
                <w:szCs w:val="20"/>
              </w:rPr>
              <w:t>. členom – sodišče zaradi tega lahko izreče denarno kazen fizični osebi v znesku do 500 evrov, pravni osebi, samostojnemu podjetniku posamezniku ali odvetniku oziroma odvetniškemu kandidatu pa v znesku do 5.000 evrov.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Denarno kazen po prvem in drugem odstavku tega člena izreče s sklepom sodnik ali senat, ki odloča o predlogu za razkritje. V sklepu določi rok, v katerem je treba določeni znesek plačati. Ta ne sme biti krajši od 15 dni in ne daljši od treh mesecev</w:t>
            </w:r>
            <w:r w:rsidR="00310DF2" w:rsidRPr="002F30DF">
              <w:rPr>
                <w:rFonts w:cs="Arial"/>
                <w:sz w:val="20"/>
                <w:szCs w:val="20"/>
              </w:rPr>
              <w:t xml:space="preserve"> (</w:t>
            </w:r>
            <w:r w:rsidR="00310DF2" w:rsidRPr="002F30DF">
              <w:rPr>
                <w:rFonts w:cs="Arial"/>
                <w:sz w:val="20"/>
                <w:szCs w:val="20"/>
                <w:u w:val="single"/>
              </w:rPr>
              <w:t>četrti odstavek</w:t>
            </w:r>
            <w:r w:rsidR="00310DF2" w:rsidRPr="002F30DF">
              <w:rPr>
                <w:rFonts w:cs="Arial"/>
                <w:sz w:val="20"/>
                <w:szCs w:val="20"/>
              </w:rPr>
              <w:t>)</w:t>
            </w:r>
            <w:r w:rsidRPr="002F30DF">
              <w:rPr>
                <w:rFonts w:cs="Arial"/>
                <w:sz w:val="20"/>
                <w:szCs w:val="20"/>
              </w:rPr>
              <w:t xml:space="preserve">. Zoper sklep o izreku sankcije je v skladu </w:t>
            </w:r>
            <w:r w:rsidRPr="002F30DF">
              <w:rPr>
                <w:rFonts w:cs="Arial"/>
                <w:sz w:val="20"/>
                <w:szCs w:val="20"/>
              </w:rPr>
              <w:lastRenderedPageBreak/>
              <w:t xml:space="preserve">s </w:t>
            </w:r>
            <w:r w:rsidR="00310DF2" w:rsidRPr="002F30DF">
              <w:rPr>
                <w:rFonts w:cs="Arial"/>
                <w:sz w:val="20"/>
                <w:szCs w:val="20"/>
                <w:u w:val="single"/>
              </w:rPr>
              <w:t xml:space="preserve">petim </w:t>
            </w:r>
            <w:r w:rsidRPr="002F30DF">
              <w:rPr>
                <w:rFonts w:cs="Arial"/>
                <w:sz w:val="20"/>
                <w:szCs w:val="20"/>
                <w:u w:val="single"/>
              </w:rPr>
              <w:t>odstavkom</w:t>
            </w:r>
            <w:r w:rsidRPr="002F30DF">
              <w:rPr>
                <w:rFonts w:cs="Arial"/>
                <w:sz w:val="20"/>
                <w:szCs w:val="20"/>
              </w:rPr>
              <w:t xml:space="preserve"> tega člena dovoljena pritožba. Če je bila izrečena denarna sankcija odvetniku ali odvetniškemu kandidatu, se o tem obvesti odvetniško zbornico</w:t>
            </w:r>
            <w:r w:rsidR="00310DF2" w:rsidRPr="002F30DF">
              <w:rPr>
                <w:rFonts w:cs="Arial"/>
                <w:sz w:val="20"/>
                <w:szCs w:val="20"/>
              </w:rPr>
              <w:t xml:space="preserve"> (</w:t>
            </w:r>
            <w:r w:rsidR="00310DF2" w:rsidRPr="002F30DF">
              <w:rPr>
                <w:rFonts w:cs="Arial"/>
                <w:sz w:val="20"/>
                <w:szCs w:val="20"/>
                <w:u w:val="single"/>
              </w:rPr>
              <w:t>šesti odstavek</w:t>
            </w:r>
            <w:r w:rsidR="00310DF2" w:rsidRPr="002F30DF">
              <w:rPr>
                <w:rFonts w:cs="Arial"/>
                <w:sz w:val="20"/>
                <w:szCs w:val="20"/>
              </w:rPr>
              <w:t>)</w:t>
            </w:r>
            <w:r w:rsidRPr="002F30DF">
              <w:rPr>
                <w:rFonts w:cs="Arial"/>
                <w:sz w:val="20"/>
                <w:szCs w:val="20"/>
              </w:rPr>
              <w:t>.</w:t>
            </w:r>
          </w:p>
          <w:p w:rsidR="007522E3" w:rsidRPr="002F30DF" w:rsidRDefault="007522E3" w:rsidP="0025166A">
            <w:pPr>
              <w:spacing w:line="260" w:lineRule="atLeast"/>
              <w:rPr>
                <w:rFonts w:cs="Arial"/>
                <w:b/>
                <w:i/>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0</w:t>
            </w:r>
            <w:r w:rsidRPr="002F30DF">
              <w:rPr>
                <w:rFonts w:cs="Arial"/>
                <w:b/>
                <w:sz w:val="20"/>
                <w:szCs w:val="20"/>
              </w:rPr>
              <w:t>. členu (učinek odločbe organa, pristojnega za varstvo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Odškodninske tožbe zaradi kršitev konkurenčnega prava so lahko samostojne (</w:t>
            </w:r>
            <w:r w:rsidRPr="002F30DF">
              <w:rPr>
                <w:rFonts w:cs="Arial"/>
                <w:i/>
                <w:sz w:val="20"/>
                <w:szCs w:val="20"/>
              </w:rPr>
              <w:t>stand-alone</w:t>
            </w:r>
            <w:r w:rsidRPr="002F30DF">
              <w:rPr>
                <w:rFonts w:cs="Arial"/>
                <w:sz w:val="20"/>
                <w:szCs w:val="20"/>
              </w:rPr>
              <w:t>), kar pomeni, da so vložene, ko pristojni organ, pristojen za varstvo konkurence, še ni izdal pravnomočne odločbe o ugotovitvi kršitve, ali nadaljevalne (</w:t>
            </w:r>
            <w:r w:rsidRPr="002F30DF">
              <w:rPr>
                <w:rFonts w:cs="Arial"/>
                <w:i/>
                <w:sz w:val="20"/>
                <w:szCs w:val="20"/>
              </w:rPr>
              <w:t>follow-on</w:t>
            </w:r>
            <w:r w:rsidRPr="002F30DF">
              <w:rPr>
                <w:rFonts w:cs="Arial"/>
                <w:sz w:val="20"/>
                <w:szCs w:val="20"/>
              </w:rPr>
              <w:t>), ki so vložene po tem, ko je pristojni organ, pristojen za varstvo konkurence, že izdal pravnomočno odločbo o kršitvi. V slednjem primeru zaradi vezanosti nacionalnega sodišča na odločitev organa, pristojnega za varstvo konkurence, tožniku ni treba dokazovati protipravnosti, temveč stranki dokazujeta le (ne)obstoj preostalih elementov odškodninske odgovornosti.</w:t>
            </w:r>
            <w:r w:rsidRPr="002F30DF">
              <w:rPr>
                <w:rFonts w:cs="Arial"/>
                <w:sz w:val="20"/>
                <w:szCs w:val="20"/>
                <w:vertAlign w:val="superscript"/>
              </w:rPr>
              <w:footnoteReference w:id="35"/>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Direktiva 2014/104 v prvem odstavku 9. člena določa, da </w:t>
            </w:r>
            <w:r w:rsidRPr="002F30DF">
              <w:rPr>
                <w:rFonts w:cs="Arial"/>
                <w:i/>
                <w:sz w:val="20"/>
                <w:szCs w:val="20"/>
              </w:rPr>
              <w:t>države članice zagotovijo, da kršitev konkurenčnega prava, ki je bila ugotovljena s pravnomočno odločbo nacionalnega organa ali pritožbenega sodišča, velja za neovrgljivo dokazano v odškodninskih postopkih zaradi kršitev 101. ali 102. člena PDEU ali kršitev nacionalnega konkurenčnega prava.</w:t>
            </w:r>
            <w:r w:rsidRPr="002F30DF">
              <w:rPr>
                <w:rFonts w:cs="Arial"/>
                <w:sz w:val="20"/>
                <w:szCs w:val="20"/>
              </w:rPr>
              <w:t xml:space="preserve"> Direktiva je dopolnila ureditev iz prvega odstavka 16. člena Uredbe 1/2003, ki ureja zgolj vezanost na odločbo Evropske komisije. Drugi odstavek 9. člena Direktive 2014/104</w:t>
            </w:r>
            <w:r w:rsidRPr="002F30DF">
              <w:rPr>
                <w:rFonts w:cs="Arial"/>
                <w:i/>
                <w:sz w:val="20"/>
                <w:szCs w:val="20"/>
              </w:rPr>
              <w:t xml:space="preserve"> ne zagotavlja samodejnega priznanja odločb organov</w:t>
            </w:r>
            <w:r w:rsidR="005E2BA4" w:rsidRPr="002F30DF">
              <w:rPr>
                <w:rFonts w:cs="Arial"/>
                <w:i/>
                <w:sz w:val="20"/>
                <w:szCs w:val="20"/>
              </w:rPr>
              <w:t>, pristojnih</w:t>
            </w:r>
            <w:r w:rsidRPr="002F30DF">
              <w:rPr>
                <w:rFonts w:cs="Arial"/>
                <w:i/>
                <w:sz w:val="20"/>
                <w:szCs w:val="20"/>
              </w:rPr>
              <w:t xml:space="preserve"> za varstvo konkurence drugih držav članic EU, temveč določa, da morajo države članice zagotoviti, da se lahko pravnomočna odločba, izdana v drugi državi članici, v skladu z njihovim zadevnim nacionalnim pravom predloži pred nacionalnim sodiščem vsaj kot dokaz prima facie, da je bilo kršeno konkurenčno pravo.</w:t>
            </w:r>
            <w:r w:rsidRPr="002F30DF">
              <w:rPr>
                <w:rFonts w:cs="Arial"/>
                <w:sz w:val="20"/>
                <w:szCs w:val="20"/>
              </w:rPr>
              <w:t xml:space="preserve"> Tretji odstavek 9. člena Direktive 2014/104 dodaja, da </w:t>
            </w:r>
            <w:r w:rsidRPr="002F30DF">
              <w:rPr>
                <w:rFonts w:cs="Arial"/>
                <w:i/>
                <w:sz w:val="20"/>
                <w:szCs w:val="20"/>
              </w:rPr>
              <w:t>ta člen ne posega v pravice in obveznosti nacionalnih sodišč iz 267. člena PDEU.</w:t>
            </w:r>
            <w:r w:rsidRPr="002F30DF">
              <w:rPr>
                <w:rFonts w:cs="Arial"/>
                <w:i/>
                <w:sz w:val="20"/>
                <w:szCs w:val="20"/>
                <w:vertAlign w:val="superscript"/>
              </w:rPr>
              <w:footnoteReference w:id="36"/>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tem členu je določen učinek odločbe organa, pristojnega za varstvo konkurence. V </w:t>
            </w:r>
            <w:r w:rsidRPr="002F30DF">
              <w:rPr>
                <w:rFonts w:cs="Arial"/>
                <w:sz w:val="20"/>
                <w:szCs w:val="20"/>
                <w:u w:val="single"/>
              </w:rPr>
              <w:t>prvem odstavku</w:t>
            </w:r>
            <w:r w:rsidRPr="002F30DF">
              <w:rPr>
                <w:rFonts w:cs="Arial"/>
                <w:sz w:val="20"/>
                <w:szCs w:val="20"/>
              </w:rPr>
              <w:t xml:space="preserve"> je določeno, da je sodišče vezano na pravnomočno odločbo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ije o kršitvi konkurenčnega prava ali pravnomočno odločbo o kršitvi, izdano v postopku sodnega varstva zoper odločbo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ije, torej Upravnega sodišča Republike Slovenije. </w:t>
            </w:r>
          </w:p>
          <w:p w:rsidR="00310DF2" w:rsidRPr="002F30DF" w:rsidRDefault="00310DF2"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Drugi odstavek</w:t>
            </w:r>
            <w:r w:rsidRPr="002F30DF">
              <w:rPr>
                <w:rFonts w:cs="Arial"/>
                <w:sz w:val="20"/>
                <w:szCs w:val="20"/>
              </w:rPr>
              <w:t xml:space="preserve"> določa učinke odločb organov, pristojnih za varstvo konkurence drugih držav članic. Če je bil obstoj kršitve konkurenčnega prava pravnomočno ugotovljen s pravnomočno odločbo organa, pristojnega za varstvo konkurence druge države članice, ali pravnomočno odločbo sodišča druge države članice, ki je na podlagi rednega pravnega sredstva pristojno za presojo odločb organa, pristojnega za varstvo konkurence druge države članice, se domneva, da so kršitelji, določeni v odločbi organa, pristojnega za varstvo konkurence druge države članice, ravnali protipravno. Predlog določbe tako ne določa samodejnega priznanja odločbe organa, pristojnega za varstvo konkurence druge države članice, lahko pa tožnik odločbo druge države članice EU predloži kot dokaz o kršitvi. S tem odstavkom se ohranja dosedanja domneva, da so kršitelji, določeni v odločbi o kršitvi konkurenčnega prava, ravnali protipravno, razen če nasprotna stranka dokaže nasprotno. Dokazno breme o protipravnosti se s tem prenese na toženo stranko.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obveznost iz prvega in </w:t>
            </w:r>
            <w:r w:rsidR="00A106CC" w:rsidRPr="002F30DF">
              <w:rPr>
                <w:rFonts w:cs="Arial"/>
                <w:sz w:val="20"/>
                <w:szCs w:val="20"/>
              </w:rPr>
              <w:t xml:space="preserve">drugega </w:t>
            </w:r>
            <w:r w:rsidRPr="002F30DF">
              <w:rPr>
                <w:rFonts w:cs="Arial"/>
                <w:sz w:val="20"/>
                <w:szCs w:val="20"/>
              </w:rPr>
              <w:t>odstavka tega člena ne posega v pravice in obveznosti na podlagi 267. člena PDEU.</w:t>
            </w:r>
            <w:r w:rsidRPr="002F30DF" w:rsidDel="009E7FD9">
              <w:rPr>
                <w:rFonts w:cs="Arial"/>
                <w:sz w:val="20"/>
                <w:szCs w:val="20"/>
              </w:rPr>
              <w:t xml:space="preserve">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1</w:t>
            </w:r>
            <w:r w:rsidRPr="002F30DF">
              <w:rPr>
                <w:rFonts w:cs="Arial"/>
                <w:b/>
                <w:sz w:val="20"/>
                <w:szCs w:val="20"/>
              </w:rPr>
              <w:t>. členu (posebna pravila glede solidarne odgovornosti za mala in srednja podjetja)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2014/104 </w:t>
            </w:r>
            <w:r w:rsidR="00651B51" w:rsidRPr="002F30DF">
              <w:rPr>
                <w:rFonts w:cs="Arial"/>
                <w:sz w:val="20"/>
                <w:szCs w:val="20"/>
              </w:rPr>
              <w:t xml:space="preserve">je </w:t>
            </w:r>
            <w:r w:rsidRPr="002F30DF">
              <w:rPr>
                <w:rFonts w:cs="Arial"/>
                <w:sz w:val="20"/>
                <w:szCs w:val="20"/>
              </w:rPr>
              <w:t>na novo ure</w:t>
            </w:r>
            <w:r w:rsidR="00651B51" w:rsidRPr="002F30DF">
              <w:rPr>
                <w:rFonts w:cs="Arial"/>
                <w:sz w:val="20"/>
                <w:szCs w:val="20"/>
              </w:rPr>
              <w:t>dila</w:t>
            </w:r>
            <w:r w:rsidRPr="002F30DF">
              <w:rPr>
                <w:rFonts w:cs="Arial"/>
                <w:sz w:val="20"/>
                <w:szCs w:val="20"/>
              </w:rPr>
              <w:t xml:space="preserve"> solidarno odgovornost kršiteljev konkurenčnega prava. V prvem odstavku 11. člena je določeno, da morajo države članice zagotoviti, da so podjetja, ki so s skupnim ravnanjem kršila konkurenčno pravo, solidarno odgovorna za škodo, povzročeno s to kršitvijo, kar pomeni, da mora vsako podjetj</w:t>
            </w:r>
            <w:r w:rsidR="00651B51" w:rsidRPr="002F30DF">
              <w:rPr>
                <w:rFonts w:cs="Arial"/>
                <w:sz w:val="20"/>
                <w:szCs w:val="20"/>
              </w:rPr>
              <w:t>e</w:t>
            </w:r>
            <w:r w:rsidRPr="002F30DF">
              <w:rPr>
                <w:rFonts w:cs="Arial"/>
                <w:sz w:val="20"/>
                <w:szCs w:val="20"/>
              </w:rPr>
              <w:t xml:space="preserve"> plačati oškodovancu, ki to zahteva, celotno škodo, oškodovanec pa lahko od kateregakoli od podjetij zahteva popolno odškodnino, dokler ni v celoti poplačan. Iz </w:t>
            </w:r>
            <w:r w:rsidRPr="002F30DF">
              <w:rPr>
                <w:rFonts w:cs="Arial"/>
                <w:sz w:val="20"/>
                <w:szCs w:val="20"/>
              </w:rPr>
              <w:lastRenderedPageBreak/>
              <w:t xml:space="preserve">pojasnila 37. uvodne </w:t>
            </w:r>
            <w:r w:rsidR="00721AA6" w:rsidRPr="002F30DF">
              <w:rPr>
                <w:rFonts w:cs="Arial"/>
                <w:sz w:val="20"/>
                <w:szCs w:val="20"/>
              </w:rPr>
              <w:t>izjave</w:t>
            </w:r>
            <w:r w:rsidRPr="002F30DF">
              <w:rPr>
                <w:rFonts w:cs="Arial"/>
                <w:sz w:val="20"/>
                <w:szCs w:val="20"/>
              </w:rPr>
              <w:t xml:space="preserve"> Direktive 2014/104 izhaja, da bi moral imeti sokršitelj, ki plača več, kot znaša njegov delež v škodi, pravico zahtevati, da mu drugi sokršitelji povrnejo tisto, kar je plačal zanje. Določitve deleža Direktiva 2014/104 ne določa in ga prepušča nacionalni zakonodaji, iz iste uvodne </w:t>
            </w:r>
            <w:r w:rsidR="00721AA6" w:rsidRPr="002F30DF">
              <w:rPr>
                <w:rFonts w:cs="Arial"/>
                <w:sz w:val="20"/>
                <w:szCs w:val="20"/>
              </w:rPr>
              <w:t>izjave</w:t>
            </w:r>
            <w:r w:rsidR="00651B51" w:rsidRPr="002F30DF">
              <w:rPr>
                <w:rFonts w:cs="Arial"/>
                <w:sz w:val="20"/>
                <w:szCs w:val="20"/>
              </w:rPr>
              <w:t xml:space="preserve"> </w:t>
            </w:r>
            <w:r w:rsidRPr="002F30DF">
              <w:rPr>
                <w:rFonts w:cs="Arial"/>
                <w:sz w:val="20"/>
                <w:szCs w:val="20"/>
              </w:rPr>
              <w:t>pa izhaja, da pri določitvi deleža velja upoštevati relevantne okoliščine, kot so prihodki podjetja, tržni delež ali vloga v kartelu.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Odstop od zgornjega pravila ureja drugi odstavek 11. člena Direktive 2014/104, po katerem je kršitelj, ki je majhno ali srednje podjetje (v nadaljnjem besedilu: MSP) v smislu Priporočila Evropske </w:t>
            </w:r>
            <w:r w:rsidR="003976AA" w:rsidRPr="002F30DF">
              <w:rPr>
                <w:rFonts w:cs="Arial"/>
                <w:sz w:val="20"/>
                <w:szCs w:val="20"/>
              </w:rPr>
              <w:t>komisije</w:t>
            </w:r>
            <w:r w:rsidRPr="002F30DF">
              <w:rPr>
                <w:rFonts w:cs="Arial"/>
                <w:sz w:val="20"/>
                <w:szCs w:val="20"/>
              </w:rPr>
              <w:t xml:space="preserve"> z dne 6. maja 2003 o definiciji mikro, majhnih in srednje velikih podjetij,</w:t>
            </w:r>
            <w:r w:rsidRPr="002F30DF">
              <w:rPr>
                <w:rFonts w:cs="Arial"/>
                <w:sz w:val="20"/>
                <w:szCs w:val="20"/>
                <w:vertAlign w:val="superscript"/>
              </w:rPr>
              <w:footnoteReference w:id="37"/>
            </w:r>
            <w:r w:rsidRPr="002F30DF">
              <w:rPr>
                <w:rFonts w:cs="Arial"/>
                <w:sz w:val="20"/>
                <w:szCs w:val="20"/>
              </w:rPr>
              <w:t xml:space="preserve"> odgovoren le svojim neposrednim in/ali posrednim kupcem (ne torej tudi strankam drugih kršiteljev, ki so solidarno odgovorni za škodo), če je bil njegov tržni delež v času trajanja kršitve nižji od petih odstotkov in bi uporaba pravila o solidarni odgovornosti nedvomno ogrozila njegovo gospodarsko sposobnost preživetja in povzročila, da bi njegova sredstva izgubila vso vrednost. Vendar pa tretji odstavek 11. člena Direktive 2014/104 določa, da ta izjema ne more biti upoštevana, kadar je MSP organiziralo protipravno ravnanje</w:t>
            </w:r>
            <w:r w:rsidR="008E73D0" w:rsidRPr="002F30DF">
              <w:rPr>
                <w:rFonts w:cs="Arial"/>
                <w:sz w:val="20"/>
                <w:szCs w:val="20"/>
              </w:rPr>
              <w:t>,</w:t>
            </w:r>
            <w:r w:rsidRPr="002F30DF">
              <w:rPr>
                <w:rFonts w:cs="Arial"/>
                <w:sz w:val="20"/>
                <w:szCs w:val="20"/>
              </w:rPr>
              <w:t xml:space="preserve"> ali je prisililo druga podjetja, da sodelujejo pri kršitvi, ali pa je bilo predhodno ugotovljeno, da je MSP kršilo konkurenčno pravo. Izjema ne sme biti upoštevana tudi, če oškodovanec ne bi mogel pridobiti popolne odškodnine od drugih solidarnih dolžnikov.</w:t>
            </w:r>
            <w:r w:rsidRPr="002F30DF">
              <w:rPr>
                <w:rFonts w:cs="Arial"/>
                <w:sz w:val="20"/>
                <w:szCs w:val="20"/>
                <w:vertAlign w:val="superscript"/>
              </w:rPr>
              <w:footnoteReference w:id="38"/>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Sloveniji je splošno pravilo o solidarni odgovornosti urejeno v določbah od 186. do 188. člena OZ. Določba 186. člena OZ določa solidarno odgovornost več oseb za isto škodo. Vsak kršitelj za povzročeno škodo odgovarja oškodovancu v celoti, oškodovanec pa lahko zahteva povračilo škode od vsakega od kršiteljev vse dotlej, dokler ni popolnoma poplačan. Obveznost povračila škode preneha, ko jo en dolžnik izpolni.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Plačilo celotne odškodnine oziroma izpolnitev solidarne obveznosti povzroči prenehanje obveznosti plačila samo v razmerju do oškodovanca. Regresno razmerje pa je notranje razmerje med kršitelji, ki nastane tedaj, ko solidarni dolžnik plača več, kot pa znaša njegov delež v škodi, zaradi česar lahko v skladu s prvim odstavkom 188. člena OZ zahteva od vsakega drugega dolžnika, da mu povrne tisto, kar je plačal zanj. Drugi odstavek 188. člena OZ določa, da delež vsakega posameznega dolžnika določi sodišče glede na težo njegove krivde in težo posledic njegovega delovanja. Če ni mogoče ugotoviti deležev dolžnikov, pade na vsakega enak delež, razen če zahteva pravičnost v danem primeru drugačno odločitev.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Prvi odstavek 11. člena Direktive 2014/104 ustreza ureditvi solidarne odgovornosti po OZ. Nadaljnja določila 11. člena Direktive 2014/104 pa odstopajo od ureditve po OZ in jih je ustrezno uredil že ZPOmK-1 in se nespremenjeno ohranja tudi s tem predlogom zakona. Splošna pravila o solidarni odgovornosti ostanejo urejena v OZ, ker jih ni treba spremeniti, v tem zakon</w:t>
            </w:r>
            <w:r w:rsidR="00310DF2" w:rsidRPr="002F30DF">
              <w:rPr>
                <w:rFonts w:cs="Arial"/>
                <w:sz w:val="20"/>
                <w:szCs w:val="20"/>
              </w:rPr>
              <w:t>u</w:t>
            </w:r>
            <w:r w:rsidRPr="002F30DF">
              <w:rPr>
                <w:rFonts w:cs="Arial"/>
                <w:sz w:val="20"/>
                <w:szCs w:val="20"/>
              </w:rPr>
              <w:t xml:space="preserve"> pa se opredelijo posebna pravila, ki so določene v drugem do šestem odstavku 11. člena Direktive 2014/104.</w:t>
            </w:r>
          </w:p>
          <w:p w:rsidR="007522E3" w:rsidRPr="002F30DF" w:rsidRDefault="007522E3" w:rsidP="0025166A">
            <w:pPr>
              <w:spacing w:line="260" w:lineRule="atLeast"/>
              <w:rPr>
                <w:rFonts w:cs="Arial"/>
                <w:b/>
                <w:sz w:val="20"/>
                <w:szCs w:val="20"/>
                <w:u w:val="single"/>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je določeno posebno pravilo za solidarno odgovornost za MSP, ki je odgovorno samo za škodo, nastalo njegovim neposrednim in posrednim kupcem, če dokaže, da je bil njegov tržni delež na upoštevnem trgu v času kršitve konkurenčnega prava ves čas pod petimi odstotki in da bi uporaba splošnih pravil o solidarni odgovornosti nedvomno ogrozila njegovo gospodarsko sposobnost preživetja, njegova sredstva pa bi izgubila celotno vrednost. MSP je opredeljeno v skladu s Priporočilom Evropske komisije z dne 6. 5. 2003 o definiciji mikro, malih in srednje velikih podjetij, in sicer gre za podjetje, ki ima manj kot 250 zaposlenih ter letni promet, ki ne presega 50 milijonov evrov, ali letno bilančno vsoto, ki ne presega 43 milijonov evrov.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Dokazno breme nosi kršitelj, ki mora navesti in dokazati, da njegovo podjetje po velikosti ustreza definiciji MSP, in da sta kumulativno izpolnjena pogoja glede tržnega deleža in možnosti preživetja.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Vendar pa je kršitelj, ki je MSP, odgovoren tudi drugim oškodovancem, ki niso njegovi neposredni ali posredni kupci, če ti od drugih podjetij, ki so odgovorna za isto kršitev konkurenčnega prava, ne morejo pridobiti popolne odškodnine (</w:t>
            </w:r>
            <w:r w:rsidRPr="002F30DF">
              <w:rPr>
                <w:rFonts w:cs="Arial"/>
                <w:sz w:val="20"/>
                <w:szCs w:val="20"/>
                <w:u w:val="single"/>
              </w:rPr>
              <w:t>drugi odstavek</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Direktiva 2014/104 ne določa, kdaj se šteje, da oškodovanec ne more pridobiti popolne odškodnine. To je pravni standard, ki ga bo oblikovala zlasti sodna praksa Sodišča EU. V skladu s pojasnili na delovnih sejah Sveta EU oškodovanec ne more pridobiti popolne odškodnine tedaj, ko je na primer dolžnik prenehal zaradi stečaja, ali je bila terjatev sorazmerno zmanjšana zaradi postopka prisilne poravnave ali zaradi dalj časa neuspešne izvršbe.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Izjema iz prvega odstavka ne more biti upoštevana tudi takrat, kadar je kršitelj, ki je MSP, organiziral protipravno ravnanje ali prisililo druga podjetja k sodelovanju pri kršitvi, ali pa če je bila zoper tega kršitelja že kdaj prej izdana upravna ali sodna odločba o kršitvi konkurenčnega prava, pri čemer je treba slednje razlagati tako, da lahko zajema vse možne odločbe, v katerih se ugotovi kršitev konkurenčnega prava (</w:t>
            </w:r>
            <w:r w:rsidRPr="002F30DF">
              <w:rPr>
                <w:rFonts w:cs="Arial"/>
                <w:sz w:val="20"/>
                <w:szCs w:val="20"/>
                <w:u w:val="single"/>
              </w:rPr>
              <w:t>tretji odstavek</w:t>
            </w:r>
            <w:r w:rsidRPr="002F30DF">
              <w:rPr>
                <w:rFonts w:cs="Arial"/>
                <w:sz w:val="20"/>
                <w:szCs w:val="20"/>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tabs>
                <w:tab w:val="left" w:pos="2228"/>
              </w:tabs>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2</w:t>
            </w:r>
            <w:r w:rsidRPr="002F30DF">
              <w:rPr>
                <w:rFonts w:cs="Arial"/>
                <w:b/>
                <w:sz w:val="20"/>
                <w:szCs w:val="20"/>
              </w:rPr>
              <w:t>. členu (posebna pravila glede solidarne odgovornosti za kršitelja, ki mu je bila odpuščena sankcija)</w:t>
            </w:r>
          </w:p>
          <w:p w:rsidR="00E45872" w:rsidRPr="002F30DF" w:rsidRDefault="00E45872"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Druga izjema od splošnega pravila o solidarni odgovornosti je v 11. členu Direktive 2014/104 določena za »osebo, ki ji je odpuščena sankcija«. Iz opredelitve »podjetja z imuniteto« v 19. točki 2. člena Direktive 2014/104 izhaja, da izjema velja za podjetje ali fizično osebo, ki ji je organ, pristojen za varstvo konkurence, priznal imuniteto pred sankcijami v okviru programa prizanesljivosti. Če organ, pristojen za varstvo konkurence, podjetju ali fizični osebi samo zniža denarno sankci</w:t>
            </w:r>
            <w:r w:rsidR="00310DF2" w:rsidRPr="002F30DF">
              <w:rPr>
                <w:rFonts w:cs="Arial"/>
                <w:sz w:val="20"/>
                <w:szCs w:val="20"/>
              </w:rPr>
              <w:t>j</w:t>
            </w:r>
            <w:r w:rsidRPr="002F30DF">
              <w:rPr>
                <w:rFonts w:cs="Arial"/>
                <w:sz w:val="20"/>
                <w:szCs w:val="20"/>
              </w:rPr>
              <w:t xml:space="preserve">o in je ne odpusti »v celoti«, se ta izjema ne uporabi. Četrti odstavek 11. člena Direktive 2014/104 določa, da morajo </w:t>
            </w:r>
            <w:r w:rsidRPr="002F30DF">
              <w:rPr>
                <w:rFonts w:cs="Arial"/>
                <w:i/>
                <w:sz w:val="20"/>
                <w:szCs w:val="20"/>
              </w:rPr>
              <w:t>države članice zagotoviti, da je prejemnik imunitete iz programa prizanesljivosti solidarno odgovoren (zgolj) svojim neposrednim ali posrednim kupcem ali dobaviteljem, drugim oškodovancem pa le, kadar od drugih podjetij, ki so vpletena v isto kršitev, ni mogoče pridobiti popolne odškodnine, pri čemer morajo države članice zagotoviti, da je v teh primerih zastaralni rok razumen in dovolj dolg, da lahko oškodovanec vloži tožbo zoper prejemnika imunitete</w:t>
            </w:r>
            <w:r w:rsidRPr="002F30DF">
              <w:rPr>
                <w:rFonts w:cs="Arial"/>
                <w:sz w:val="20"/>
                <w:szCs w:val="20"/>
              </w:rPr>
              <w:t>.</w:t>
            </w:r>
            <w:r w:rsidRPr="002F30DF">
              <w:rPr>
                <w:rFonts w:cs="Arial"/>
                <w:sz w:val="20"/>
                <w:szCs w:val="20"/>
                <w:vertAlign w:val="superscript"/>
              </w:rPr>
              <w:footnoteReference w:id="39"/>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Peti odstavek 11. člena Direktive 2014/104 nadalje določa, da </w:t>
            </w:r>
            <w:r w:rsidRPr="002F30DF">
              <w:rPr>
                <w:rFonts w:cs="Arial"/>
                <w:i/>
                <w:sz w:val="20"/>
                <w:szCs w:val="20"/>
              </w:rPr>
              <w:t>države članice zagotovijo uveljavljanje regresnih zahtevkov plačnika do drugih kršiteljev glede na njihovo relativno odgovornost za škodo, pri čemer višina prispevka kršitelja z imuniteto ne sme preseči škode, ki jo je to podjetje povzročilo svojim neposrednim ali posrednim kupcem ali dobaviteljem.</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V šestem odstavku 11. člena Direktive 2014/104 je </w:t>
            </w:r>
            <w:r w:rsidRPr="002F30DF">
              <w:rPr>
                <w:rFonts w:cs="Arial"/>
                <w:i/>
                <w:sz w:val="20"/>
                <w:szCs w:val="20"/>
              </w:rPr>
              <w:t>določeno, da v primeru kršitev konkurenčnega prava, s katerimi je bila povzročena škoda oškodovancem, ki niso neposredni ali posredni kupci ali dobavitelji kršiteljev, države članice zagotovijo, da se obseg prispevka osebe z imuniteto drugim kršiteljem določi glede na njen delež odgovornosti pri nastanku škode.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Predlog zakona v tem členu </w:t>
            </w:r>
            <w:r w:rsidR="00651B51" w:rsidRPr="002F30DF">
              <w:rPr>
                <w:rFonts w:cs="Arial"/>
                <w:sz w:val="20"/>
                <w:szCs w:val="20"/>
              </w:rPr>
              <w:t xml:space="preserve">ohranja </w:t>
            </w:r>
            <w:r w:rsidRPr="002F30DF">
              <w:rPr>
                <w:rFonts w:cs="Arial"/>
                <w:sz w:val="20"/>
                <w:szCs w:val="20"/>
              </w:rPr>
              <w:t xml:space="preserve">posebna pravila glede solidarne odgovornosti za kršitelja, ki mu je bila odpuščena sankcija.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je določeno, da je oseba, ki ji je bila odpuščena sankcija, solidarno odgovorna le svojim neposrednim ali posrednim kupcem ali dobaviteljem. Drugim oškodovancem pa samo, če ta od drugih podjetij, ki so solidarno odgovorna za isto kršitev konkurenčnega prava, ne more pridobiti popolne odškodnine, ker so na primer solidarni dolžniki insolventni. </w:t>
            </w:r>
            <w:r w:rsidR="00310DF2" w:rsidRPr="002F30DF">
              <w:rPr>
                <w:rFonts w:cs="Arial"/>
                <w:sz w:val="20"/>
                <w:szCs w:val="20"/>
              </w:rPr>
              <w:t>P</w:t>
            </w:r>
            <w:r w:rsidRPr="002F30DF">
              <w:rPr>
                <w:rFonts w:cs="Arial"/>
                <w:sz w:val="20"/>
                <w:szCs w:val="20"/>
              </w:rPr>
              <w:t xml:space="preserve">ododstavek četrtega odstavka 11. člena Direktive 2014/104 določa, da morajo države članice zagotoviti razumen in dovolj dolg zastaralni rok, da lahko oškodovanec zahteva poplačilo od osebe, ki ji je bila odpuščena sankcija, če od drugih solidarnih dolžnikov ne more pridobiti popolne odškodnine. Zato je v </w:t>
            </w:r>
            <w:r w:rsidRPr="002F30DF">
              <w:rPr>
                <w:rFonts w:cs="Arial"/>
                <w:sz w:val="20"/>
                <w:szCs w:val="20"/>
                <w:u w:val="single"/>
              </w:rPr>
              <w:t>drugem odstavku</w:t>
            </w:r>
            <w:r w:rsidRPr="002F30DF">
              <w:rPr>
                <w:rFonts w:cs="Arial"/>
                <w:sz w:val="20"/>
                <w:szCs w:val="20"/>
              </w:rPr>
              <w:t xml:space="preserve"> določeno zadržanje zastaranja, ki ne teče med kršiteljem, ki mu je bila odpuščena sankcija, in oškodovancem, ki ni njegov neposreden ali posreden kupec ali dobavitelj, v času od dneva, ko je oškodovanec vložil odškodninski zahtevek zoper druge kršitelje, in se nadaljuje naslednji dan, odkar </w:t>
            </w:r>
            <w:r w:rsidRPr="002F30DF">
              <w:rPr>
                <w:rFonts w:cs="Arial"/>
                <w:sz w:val="20"/>
                <w:szCs w:val="20"/>
              </w:rPr>
              <w:lastRenderedPageBreak/>
              <w:t>oškodovanec ni mogel pridobiti popolne odškodnine od drugih solidarnih dolžnikov. Čas, ki je pretekel pred zadržanjem, se všteje v zastaralni rok. Namen določbe je, da ne bi bil zaradi izjem od solidarne odgovornosti oškodovanec prikrajšan do popolne odškodnine. Zastaranje ne teče od dneva, ko je oškodovanec vložil odškodninski zahtevek zoper druge kršitelje, in se nadaljuje naslednji dan, odkar oškodovanec ni mogel pridobiti popolne odškodnine od drugih solidarnih dolžnikov. Direktiva 2014/104 ne določa, kdaj se šteje, da oškodovanec ne more pridobiti popolne odškodnine. To je pravni standard, ki ga bo oblikovala zlasti sodna praksa Sodišča EU. V skladu s pojasnili na delovnih sejah Sveta EU oškodovanec ne more pridobiti popolne odškodnine tedaj, ko je dolžnik na primer prenehal zaradi stečaja, ali je bila terjatev sorazmerno zmanjšana zaradi postopka prisilne poravnave ali zaradi dalj časa neuspešne izvršbe.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Tretji odstavek</w:t>
            </w:r>
            <w:r w:rsidRPr="002F30DF">
              <w:rPr>
                <w:rFonts w:cs="Arial"/>
                <w:sz w:val="20"/>
                <w:szCs w:val="20"/>
              </w:rPr>
              <w:t xml:space="preserve"> določa, da ne glede na pravico solidarnega dolžnika, da zahteva od drugega solidarnega dolžnika, da mu povrne tisto, kar je plačal zanj, znesek plačila solidarnega dolžnika, ki mu je bila odpuščena sankcija, ne sme preseči višine škode, ki jo je ta solidarni dolžnik povzročil svojim neposrednim ali posrednim kupcem ali dobaviteljem.</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četrtem odstavku</w:t>
            </w:r>
            <w:r w:rsidRPr="002F30DF">
              <w:rPr>
                <w:rFonts w:cs="Arial"/>
                <w:sz w:val="20"/>
                <w:szCs w:val="20"/>
              </w:rPr>
              <w:t xml:space="preserve"> je določeno, da se ob kršitvah konkurenčnega prava, s katerimi je bila povzročena škoda oškodovancem, ki niso neposredne ali posredne pogodbene stranke kršiteljev, delež plačila osebe, ki ji je bila odpuščena sankcija, drugim kršiteljem določi glede na njen delež odgovornosti pri nastanku škode.</w:t>
            </w:r>
          </w:p>
          <w:p w:rsidR="007522E3" w:rsidRPr="002F30DF" w:rsidRDefault="007522E3" w:rsidP="0025166A">
            <w:pPr>
              <w:spacing w:line="260" w:lineRule="atLeast"/>
              <w:rPr>
                <w:rFonts w:cs="Arial"/>
                <w:b/>
                <w:i/>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3</w:t>
            </w:r>
            <w:r w:rsidR="006414E5" w:rsidRPr="002F30DF">
              <w:rPr>
                <w:rFonts w:cs="Arial"/>
                <w:b/>
                <w:sz w:val="20"/>
                <w:szCs w:val="20"/>
              </w:rPr>
              <w:t xml:space="preserve">. </w:t>
            </w:r>
            <w:r w:rsidRPr="002F30DF">
              <w:rPr>
                <w:rFonts w:cs="Arial"/>
                <w:b/>
                <w:sz w:val="20"/>
                <w:szCs w:val="20"/>
              </w:rPr>
              <w:t>členu (zastaranje)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2014/104 ureja zastaranje v 10. členu in določa pravila o začetku teka zastaralnega roka, dolžini zastaralnega roka, in okoliščinah, v katerih je zastaranje pretrgano ali zadržano.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V drugem odstavku 10. člena Direktive 2014/104 je določeno, da </w:t>
            </w:r>
            <w:r w:rsidRPr="002F30DF">
              <w:rPr>
                <w:rFonts w:cs="Arial"/>
                <w:i/>
                <w:sz w:val="20"/>
                <w:szCs w:val="20"/>
              </w:rPr>
              <w:t>zastaralni rok ne sme začeti teči, dokler kršitev ne preneha in dokler tožnik ni seznanjen oziroma se od njega ne more razumno pričakovati, da je seznanjen z:</w:t>
            </w:r>
          </w:p>
          <w:p w:rsidR="007522E3" w:rsidRPr="002F30DF" w:rsidRDefault="007522E3" w:rsidP="00431BAA">
            <w:pPr>
              <w:numPr>
                <w:ilvl w:val="0"/>
                <w:numId w:val="62"/>
              </w:numPr>
              <w:overflowPunct/>
              <w:autoSpaceDE/>
              <w:autoSpaceDN/>
              <w:adjustRightInd/>
              <w:spacing w:line="260" w:lineRule="atLeast"/>
              <w:jc w:val="left"/>
              <w:textAlignment w:val="auto"/>
              <w:rPr>
                <w:rFonts w:cs="Arial"/>
                <w:i/>
                <w:sz w:val="20"/>
                <w:szCs w:val="20"/>
              </w:rPr>
            </w:pPr>
            <w:r w:rsidRPr="002F30DF">
              <w:rPr>
                <w:rFonts w:cs="Arial"/>
                <w:i/>
                <w:sz w:val="20"/>
                <w:szCs w:val="20"/>
              </w:rPr>
              <w:t xml:space="preserve">ravnanjem kršitelja in z dejstvom, da to ravnanje predstavlja kršitev konkurenčnega prava, </w:t>
            </w:r>
          </w:p>
          <w:p w:rsidR="007522E3" w:rsidRPr="002F30DF" w:rsidRDefault="007522E3" w:rsidP="00431BAA">
            <w:pPr>
              <w:numPr>
                <w:ilvl w:val="0"/>
                <w:numId w:val="62"/>
              </w:numPr>
              <w:overflowPunct/>
              <w:autoSpaceDE/>
              <w:autoSpaceDN/>
              <w:adjustRightInd/>
              <w:spacing w:line="260" w:lineRule="atLeast"/>
              <w:jc w:val="left"/>
              <w:textAlignment w:val="auto"/>
              <w:rPr>
                <w:rFonts w:cs="Arial"/>
                <w:i/>
                <w:sz w:val="20"/>
                <w:szCs w:val="20"/>
              </w:rPr>
            </w:pPr>
            <w:r w:rsidRPr="002F30DF">
              <w:rPr>
                <w:rFonts w:cs="Arial"/>
                <w:i/>
                <w:sz w:val="20"/>
                <w:szCs w:val="20"/>
              </w:rPr>
              <w:t xml:space="preserve">dejstvom, da mu je zaradi kršitve nastala škoda, ter </w:t>
            </w:r>
          </w:p>
          <w:p w:rsidR="007522E3" w:rsidRPr="002F30DF" w:rsidRDefault="007522E3" w:rsidP="00431BAA">
            <w:pPr>
              <w:numPr>
                <w:ilvl w:val="0"/>
                <w:numId w:val="62"/>
              </w:numPr>
              <w:overflowPunct/>
              <w:autoSpaceDE/>
              <w:autoSpaceDN/>
              <w:adjustRightInd/>
              <w:spacing w:line="260" w:lineRule="atLeast"/>
              <w:jc w:val="left"/>
              <w:textAlignment w:val="auto"/>
              <w:rPr>
                <w:rFonts w:cs="Arial"/>
                <w:i/>
                <w:sz w:val="20"/>
                <w:szCs w:val="20"/>
              </w:rPr>
            </w:pPr>
            <w:r w:rsidRPr="002F30DF">
              <w:rPr>
                <w:rFonts w:cs="Arial"/>
                <w:i/>
                <w:sz w:val="20"/>
                <w:szCs w:val="20"/>
              </w:rPr>
              <w:t xml:space="preserve">identiteto kršitelja.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Nadalje je v tretjem odstavku 10. člena Direktive 2014/104 določeno, da </w:t>
            </w:r>
            <w:r w:rsidRPr="002F30DF">
              <w:rPr>
                <w:rFonts w:cs="Arial"/>
                <w:i/>
                <w:sz w:val="20"/>
                <w:szCs w:val="20"/>
              </w:rPr>
              <w:t>države članice zagotovijo, da zastaralni roki za vložitev odškodninskih tožb trajajo vsaj pet let, pri čemer je ta rok subjektiven in začne teči tako, kot je določeno v drugem odstavku 10. člena Direktive 2014/104</w:t>
            </w:r>
            <w:r w:rsidRPr="002F30DF">
              <w:rPr>
                <w:rFonts w:cs="Arial"/>
                <w:sz w:val="20"/>
                <w:szCs w:val="20"/>
              </w:rPr>
              <w:t>.</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V skladu s 36. uvodno </w:t>
            </w:r>
            <w:r w:rsidR="00721AA6" w:rsidRPr="002F30DF">
              <w:rPr>
                <w:rFonts w:cs="Arial"/>
                <w:sz w:val="20"/>
                <w:szCs w:val="20"/>
              </w:rPr>
              <w:t>izjavo</w:t>
            </w:r>
            <w:r w:rsidRPr="002F30DF">
              <w:rPr>
                <w:rFonts w:cs="Arial"/>
                <w:sz w:val="20"/>
                <w:szCs w:val="20"/>
              </w:rPr>
              <w:t xml:space="preserve"> Direktive 2014/104 </w:t>
            </w:r>
            <w:r w:rsidRPr="002F30DF">
              <w:rPr>
                <w:rFonts w:cs="Arial"/>
                <w:i/>
                <w:sz w:val="20"/>
                <w:szCs w:val="20"/>
              </w:rPr>
              <w:t xml:space="preserve">lahko države članice ohranijo ali uvedejo absolutno zastaranje, ki je splošno veljavno, če tek takšnih absolutnih rokov dejansko ne onemogoči uveljavljanja pravice do odškodnine ter ga pretirano ne oteži, kar pomeni, da lahko država članica poleg vsaj petletnega subjektivnega roka, na katerega vpliva zadržanje ali pretrganje, določi še absolutni rok, ki bi tekel neodvisno do zadržanja oziroma pretrganja.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četrtem odstavku 10. člena Direktive 2014/104 je določeno, da morajo </w:t>
            </w:r>
            <w:r w:rsidRPr="002F30DF">
              <w:rPr>
                <w:rFonts w:cs="Arial"/>
                <w:i/>
                <w:sz w:val="20"/>
                <w:szCs w:val="20"/>
              </w:rPr>
              <w:t>države članice zagotoviti tudi, da se zastaranje zadrži ali – odvisno od nacionalnega prava – pretrga (v slovenski različici je narobe napisano ravno obratno), če organ za varstvo konkurence sprejme ukrep za namen preiskave ali postopka zaradi kršitve, pri čemer zadržanje (v slovenski različici napačno prevedeno kot pretrganje) zastaranja preneha najprej eno leto po pravnomočnosti odločbe o kršitvi ali drugačnem zaključku postopka.</w:t>
            </w:r>
            <w:r w:rsidRPr="002F30DF">
              <w:rPr>
                <w:rFonts w:cs="Arial"/>
                <w:sz w:val="20"/>
                <w:szCs w:val="20"/>
                <w:vertAlign w:val="superscript"/>
              </w:rPr>
              <w:footnoteReference w:id="40"/>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Zastranje v Republiki Sloveniji je urejeno v OZ in tem zakonu. Prvi odstavek 336. člena OZ določa, da začne zastaranje teči prvi dan po dnevu, ko je upnik imel pravico terjati izpolnitev obveznosti, če za posamezne primere ni z zakonom določeno kaj drugega. Dolžina zastaralnega roka je urejena v 352. členu OZ, katerega prvi odstavek določa, da odškodninska terjatev za povzročeno škodo zastara v treh letih, odkar je oškodovanec izvedel za škodo in za tistega, ki jo je povzročil. V drugem odstavku </w:t>
            </w:r>
            <w:r w:rsidRPr="002F30DF">
              <w:rPr>
                <w:rFonts w:cs="Arial"/>
                <w:sz w:val="20"/>
                <w:szCs w:val="20"/>
              </w:rPr>
              <w:lastRenderedPageBreak/>
              <w:t xml:space="preserve">352. člena OZ je določen absolutni petletni zastaralni rok, odkar je škoda nastala. Zadržanje zastaranja ureja tretji odstavek </w:t>
            </w:r>
            <w:r w:rsidR="00310DF2" w:rsidRPr="002F30DF">
              <w:rPr>
                <w:rFonts w:cs="Arial"/>
                <w:sz w:val="20"/>
                <w:szCs w:val="20"/>
              </w:rPr>
              <w:t>t</w:t>
            </w:r>
            <w:r w:rsidRPr="002F30DF">
              <w:rPr>
                <w:rFonts w:cs="Arial"/>
                <w:sz w:val="20"/>
                <w:szCs w:val="20"/>
              </w:rPr>
              <w:t xml:space="preserve">ega </w:t>
            </w:r>
            <w:r w:rsidR="00C741E8" w:rsidRPr="002F30DF">
              <w:rPr>
                <w:rFonts w:cs="Arial"/>
                <w:sz w:val="20"/>
                <w:szCs w:val="20"/>
              </w:rPr>
              <w:t>člena</w:t>
            </w:r>
            <w:r w:rsidRPr="002F30DF">
              <w:rPr>
                <w:rFonts w:cs="Arial"/>
                <w:sz w:val="20"/>
                <w:szCs w:val="20"/>
              </w:rPr>
              <w:t xml:space="preserve">, ki določa, da zastaranje za uveljavljanje odškodninskega zahtevka ne teče </w:t>
            </w:r>
            <w:r w:rsidR="009334AE" w:rsidRPr="002F30DF">
              <w:rPr>
                <w:rFonts w:cs="Arial"/>
                <w:sz w:val="20"/>
                <w:szCs w:val="20"/>
              </w:rPr>
              <w:t>dneva, ko</w:t>
            </w:r>
            <w:r w:rsidRPr="002F30DF">
              <w:rPr>
                <w:rFonts w:cs="Arial"/>
                <w:sz w:val="20"/>
                <w:szCs w:val="20"/>
              </w:rPr>
              <w:t xml:space="preserve"> </w:t>
            </w:r>
            <w:r w:rsidR="00ED1151" w:rsidRPr="002F30DF">
              <w:rPr>
                <w:rFonts w:cs="Arial"/>
                <w:sz w:val="20"/>
                <w:szCs w:val="20"/>
              </w:rPr>
              <w:t>a</w:t>
            </w:r>
            <w:r w:rsidR="0045309B" w:rsidRPr="002F30DF">
              <w:rPr>
                <w:rFonts w:cs="Arial"/>
                <w:sz w:val="20"/>
                <w:szCs w:val="20"/>
              </w:rPr>
              <w:t>genc</w:t>
            </w:r>
            <w:r w:rsidRPr="002F30DF">
              <w:rPr>
                <w:rFonts w:cs="Arial"/>
                <w:sz w:val="20"/>
                <w:szCs w:val="20"/>
              </w:rPr>
              <w:t>ij</w:t>
            </w:r>
            <w:r w:rsidR="009334AE" w:rsidRPr="002F30DF">
              <w:rPr>
                <w:rFonts w:cs="Arial"/>
                <w:sz w:val="20"/>
                <w:szCs w:val="20"/>
              </w:rPr>
              <w:t>a</w:t>
            </w:r>
            <w:r w:rsidR="00310DF2" w:rsidRPr="002F30DF">
              <w:rPr>
                <w:rFonts w:cs="Arial"/>
                <w:sz w:val="20"/>
                <w:szCs w:val="20"/>
              </w:rPr>
              <w:t>,</w:t>
            </w:r>
            <w:r w:rsidRPr="002F30DF">
              <w:rPr>
                <w:rFonts w:cs="Arial"/>
                <w:sz w:val="20"/>
                <w:szCs w:val="20"/>
              </w:rPr>
              <w:t xml:space="preserve"> Evropsk</w:t>
            </w:r>
            <w:r w:rsidR="009334AE" w:rsidRPr="002F30DF">
              <w:rPr>
                <w:rFonts w:cs="Arial"/>
                <w:sz w:val="20"/>
                <w:szCs w:val="20"/>
              </w:rPr>
              <w:t>a</w:t>
            </w:r>
            <w:r w:rsidRPr="002F30DF">
              <w:rPr>
                <w:rFonts w:cs="Arial"/>
                <w:sz w:val="20"/>
                <w:szCs w:val="20"/>
              </w:rPr>
              <w:t xml:space="preserve"> komisij</w:t>
            </w:r>
            <w:r w:rsidR="009334AE" w:rsidRPr="002F30DF">
              <w:rPr>
                <w:rFonts w:cs="Arial"/>
                <w:sz w:val="20"/>
                <w:szCs w:val="20"/>
              </w:rPr>
              <w:t>a</w:t>
            </w:r>
            <w:r w:rsidRPr="002F30DF">
              <w:rPr>
                <w:rFonts w:cs="Arial"/>
                <w:sz w:val="20"/>
                <w:szCs w:val="20"/>
              </w:rPr>
              <w:t xml:space="preserve"> </w:t>
            </w:r>
            <w:r w:rsidR="00310DF2" w:rsidRPr="002F30DF">
              <w:rPr>
                <w:rFonts w:cs="Arial"/>
                <w:sz w:val="20"/>
                <w:szCs w:val="20"/>
              </w:rPr>
              <w:t>ali organ, pristoj</w:t>
            </w:r>
            <w:r w:rsidR="009334AE" w:rsidRPr="002F30DF">
              <w:rPr>
                <w:rFonts w:cs="Arial"/>
                <w:sz w:val="20"/>
                <w:szCs w:val="20"/>
              </w:rPr>
              <w:t>e</w:t>
            </w:r>
            <w:r w:rsidR="00310DF2" w:rsidRPr="002F30DF">
              <w:rPr>
                <w:rFonts w:cs="Arial"/>
                <w:sz w:val="20"/>
                <w:szCs w:val="20"/>
              </w:rPr>
              <w:t>n za varstvo konkurence druge države članice,</w:t>
            </w:r>
            <w:r w:rsidR="009334AE" w:rsidRPr="002F30DF">
              <w:rPr>
                <w:rFonts w:cs="Arial"/>
                <w:sz w:val="20"/>
                <w:szCs w:val="20"/>
              </w:rPr>
              <w:t xml:space="preserve"> izvede dejanje za namene preiskave ali postopka zaradi kršitve konkurenčnega prava</w:t>
            </w:r>
            <w:r w:rsidR="00310DF2" w:rsidRPr="002F30DF">
              <w:rPr>
                <w:rFonts w:cs="Arial"/>
                <w:sz w:val="20"/>
                <w:szCs w:val="20"/>
              </w:rPr>
              <w:t xml:space="preserve"> </w:t>
            </w:r>
            <w:r w:rsidRPr="002F30DF">
              <w:rPr>
                <w:rFonts w:cs="Arial"/>
                <w:sz w:val="20"/>
                <w:szCs w:val="20"/>
              </w:rPr>
              <w:t xml:space="preserve">do dneva, ko </w:t>
            </w:r>
            <w:r w:rsidR="00310DF2" w:rsidRPr="002F30DF">
              <w:rPr>
                <w:rFonts w:cs="Arial"/>
                <w:sz w:val="20"/>
                <w:szCs w:val="20"/>
              </w:rPr>
              <w:t>poteče eno leto po pravnomočnosti odločbe o kršitvi ali drugačnem zaključku postopka</w:t>
            </w:r>
            <w:r w:rsidRPr="002F30DF">
              <w:rPr>
                <w:rFonts w:cs="Arial"/>
                <w:sz w:val="20"/>
                <w:szCs w:val="20"/>
              </w:rPr>
              <w:t>.</w:t>
            </w:r>
          </w:p>
          <w:p w:rsidR="00310DF2" w:rsidRPr="002F30DF" w:rsidRDefault="00310DF2"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 namenom ustreznega prenosa Direktive 2014/104 so bile že z ZPOmK-1</w:t>
            </w:r>
            <w:r w:rsidR="00651B51" w:rsidRPr="002F30DF">
              <w:rPr>
                <w:rFonts w:cs="Arial"/>
                <w:sz w:val="20"/>
                <w:szCs w:val="20"/>
              </w:rPr>
              <w:t>G</w:t>
            </w:r>
            <w:r w:rsidRPr="002F30DF">
              <w:rPr>
                <w:rFonts w:cs="Arial"/>
                <w:sz w:val="20"/>
                <w:szCs w:val="20"/>
              </w:rPr>
              <w:t xml:space="preserve"> urejene ustrezne izjeme in dopolnitve OZ, ki se s tem zakonom tudi ohranjajo.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prvem odstavku</w:t>
            </w:r>
            <w:r w:rsidRPr="002F30DF">
              <w:rPr>
                <w:rFonts w:cs="Arial"/>
                <w:sz w:val="20"/>
                <w:szCs w:val="20"/>
              </w:rPr>
              <w:t xml:space="preserve"> tega člena sta določena dolžina subjektivnega zastaralnega roka za terjatev za povzročeno škodo zaradi kršitev konkurenčnega prava ter začetek zastaralnega roka. Zastaranje začne teči, ko preneha kršitev konkurenčnega prava in od takrat, ko tožnik izve ali se od njega razumno pričakuje</w:t>
            </w:r>
            <w:r w:rsidR="008E73D0" w:rsidRPr="002F30DF">
              <w:rPr>
                <w:rFonts w:cs="Arial"/>
                <w:sz w:val="20"/>
                <w:szCs w:val="20"/>
              </w:rPr>
              <w:t>,</w:t>
            </w:r>
            <w:r w:rsidRPr="002F30DF">
              <w:rPr>
                <w:rFonts w:cs="Arial"/>
                <w:sz w:val="20"/>
                <w:szCs w:val="20"/>
              </w:rPr>
              <w:t xml:space="preserve"> da je izvedel za ravnanje kršitelja, ki predstavlja kršitev konkurenčnega prava</w:t>
            </w:r>
            <w:r w:rsidR="004B157B" w:rsidRPr="002F30DF">
              <w:rPr>
                <w:rFonts w:cs="Arial"/>
                <w:sz w:val="20"/>
                <w:szCs w:val="20"/>
              </w:rPr>
              <w:t>,</w:t>
            </w:r>
            <w:r w:rsidRPr="002F30DF">
              <w:rPr>
                <w:rFonts w:cs="Arial"/>
                <w:sz w:val="20"/>
                <w:szCs w:val="20"/>
              </w:rPr>
              <w:t xml:space="preserve"> za škodo, ki je nastala zar</w:t>
            </w:r>
            <w:r w:rsidR="004B157B" w:rsidRPr="002F30DF">
              <w:rPr>
                <w:rFonts w:cs="Arial"/>
                <w:sz w:val="20"/>
                <w:szCs w:val="20"/>
              </w:rPr>
              <w:t>adi kršitev konkurenčnega prava</w:t>
            </w:r>
            <w:r w:rsidRPr="002F30DF">
              <w:rPr>
                <w:rFonts w:cs="Arial"/>
                <w:sz w:val="20"/>
                <w:szCs w:val="20"/>
              </w:rPr>
              <w:t xml:space="preserve"> in za kršitelja. </w:t>
            </w:r>
            <w:r w:rsidR="00651B51" w:rsidRPr="002F30DF">
              <w:rPr>
                <w:rFonts w:cs="Arial"/>
                <w:sz w:val="20"/>
                <w:szCs w:val="20"/>
              </w:rPr>
              <w:t>P</w:t>
            </w:r>
            <w:r w:rsidRPr="002F30DF">
              <w:rPr>
                <w:rFonts w:cs="Arial"/>
                <w:sz w:val="20"/>
                <w:szCs w:val="20"/>
              </w:rPr>
              <w:t>redlog določbe določa več okoliščin, ki morajo biti izpolnjene kumulativno, da začne zastaralni rok teči. Prav tako je predlagan daljši subjektivni zastaralni rok in sicer v skladu z 10. členom Direktive 2014/104 – pet let. Daljši zastaralni rok ni potreben, saj se bo ta v praksi verjetno znatno podaljšal glede na ureditev, kdaj začne zastaralni rok teči.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drugem odstavku</w:t>
            </w:r>
            <w:r w:rsidRPr="002F30DF">
              <w:rPr>
                <w:rFonts w:cs="Arial"/>
                <w:sz w:val="20"/>
                <w:szCs w:val="20"/>
              </w:rPr>
              <w:t xml:space="preserve"> je določen objektivni zastaralni rok. Direktiva 2014/104 ga ne določa, vendar ga dopušča. OZ pa v 352. členu določa petletni objektivni zastaralni rok, ki začne teči, odkar je škoda nastala. Slednja določba ni bila ustrezna glede na določen subjektivni petletni zastaralni rok, zato se je z ZPOmK-1</w:t>
            </w:r>
            <w:r w:rsidR="00651B51" w:rsidRPr="002F30DF">
              <w:rPr>
                <w:rFonts w:cs="Arial"/>
                <w:sz w:val="20"/>
                <w:szCs w:val="20"/>
              </w:rPr>
              <w:t>G</w:t>
            </w:r>
            <w:r w:rsidRPr="002F30DF">
              <w:rPr>
                <w:rFonts w:cs="Arial"/>
                <w:sz w:val="20"/>
                <w:szCs w:val="20"/>
              </w:rPr>
              <w:t xml:space="preserve"> določilo, da terjatev za povračilo škode zastara v vsakem primeru v desetih letih, odkar je škoda nastala, vendar ta rok ne začne teči, dokler kršitev konkurenčnega prava ne preneha. To sta okoliščini, ki morata biti izpolnjeni kumulativno, da začne objektivni rok teči.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w:t>
            </w:r>
            <w:r w:rsidRPr="002F30DF">
              <w:rPr>
                <w:rFonts w:cs="Arial"/>
                <w:sz w:val="20"/>
                <w:szCs w:val="20"/>
                <w:u w:val="single"/>
              </w:rPr>
              <w:t>tretjem odstavku</w:t>
            </w:r>
            <w:r w:rsidRPr="002F30DF">
              <w:rPr>
                <w:rFonts w:cs="Arial"/>
                <w:sz w:val="20"/>
                <w:szCs w:val="20"/>
              </w:rPr>
              <w:t xml:space="preserve"> je urejeno zadržanje zastaranja. Zastranje ne teče od začetka postopka pred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ijo ali Evropsko komisijo, zadržanje pa preneha eno leto po dnevu, ko je postopek pravnomočno končan. Zastaranje odškodninske terjatve ne teče v času od dneva, ko organ, pristojen za varstvo konkurence, izvede kakršno koli dejanje za namene preiskave ali postopka zaradi kršitve konkurenčnega prava. Takšna okoliščina je </w:t>
            </w:r>
            <w:r w:rsidR="00651B51" w:rsidRPr="002F30DF">
              <w:rPr>
                <w:rFonts w:cs="Arial"/>
                <w:sz w:val="20"/>
                <w:szCs w:val="20"/>
              </w:rPr>
              <w:t xml:space="preserve">določena </w:t>
            </w:r>
            <w:r w:rsidRPr="002F30DF">
              <w:rPr>
                <w:rFonts w:cs="Arial"/>
                <w:sz w:val="20"/>
                <w:szCs w:val="20"/>
              </w:rPr>
              <w:t>zaradi zagotovitve pravilnega prenosa Direktive 2014/104, ki določa, da pride do zadržanja zastaranja takrat, ko »organ</w:t>
            </w:r>
            <w:r w:rsidR="004B157B" w:rsidRPr="002F30DF">
              <w:rPr>
                <w:rFonts w:cs="Arial"/>
                <w:sz w:val="20"/>
                <w:szCs w:val="20"/>
              </w:rPr>
              <w:t>, pristojen</w:t>
            </w:r>
            <w:r w:rsidRPr="002F30DF">
              <w:rPr>
                <w:rFonts w:cs="Arial"/>
                <w:sz w:val="20"/>
                <w:szCs w:val="20"/>
              </w:rPr>
              <w:t xml:space="preserve"> za varstvo konkurence</w:t>
            </w:r>
            <w:r w:rsidR="004B157B" w:rsidRPr="002F30DF">
              <w:rPr>
                <w:rFonts w:cs="Arial"/>
                <w:sz w:val="20"/>
                <w:szCs w:val="20"/>
              </w:rPr>
              <w:t>,</w:t>
            </w:r>
            <w:r w:rsidRPr="002F30DF">
              <w:rPr>
                <w:rFonts w:cs="Arial"/>
                <w:sz w:val="20"/>
                <w:szCs w:val="20"/>
              </w:rPr>
              <w:t xml:space="preserve"> sprejme ukrep za namen preiskave ali postopka zaradi kršitve«. Do nastopa te okoliščin</w:t>
            </w:r>
            <w:r w:rsidR="00E45872" w:rsidRPr="002F30DF">
              <w:rPr>
                <w:rFonts w:cs="Arial"/>
                <w:sz w:val="20"/>
                <w:szCs w:val="20"/>
              </w:rPr>
              <w:t>e pa lahko v skladu s tem zakono</w:t>
            </w:r>
            <w:r w:rsidRPr="002F30DF">
              <w:rPr>
                <w:rFonts w:cs="Arial"/>
                <w:sz w:val="20"/>
                <w:szCs w:val="20"/>
              </w:rPr>
              <w:t xml:space="preserve">m pride še pred izdajo sklepa o preiskavi, na primer ko </w:t>
            </w:r>
            <w:r w:rsidR="00D93BA5" w:rsidRPr="002F30DF">
              <w:rPr>
                <w:rFonts w:cs="Arial"/>
                <w:sz w:val="20"/>
                <w:szCs w:val="20"/>
              </w:rPr>
              <w:t>a</w:t>
            </w:r>
            <w:r w:rsidR="00714A4E" w:rsidRPr="002F30DF">
              <w:rPr>
                <w:rFonts w:cs="Arial"/>
                <w:sz w:val="20"/>
                <w:szCs w:val="20"/>
              </w:rPr>
              <w:t>gencija</w:t>
            </w:r>
            <w:r w:rsidRPr="002F30DF">
              <w:rPr>
                <w:rFonts w:cs="Arial"/>
                <w:sz w:val="20"/>
                <w:szCs w:val="20"/>
              </w:rPr>
              <w:t xml:space="preserve"> v skladu s </w:t>
            </w:r>
            <w:r w:rsidR="00333B34" w:rsidRPr="002F30DF">
              <w:rPr>
                <w:rFonts w:cs="Arial"/>
                <w:sz w:val="20"/>
                <w:szCs w:val="20"/>
              </w:rPr>
              <w:t>37</w:t>
            </w:r>
            <w:r w:rsidRPr="002F30DF">
              <w:rPr>
                <w:rFonts w:cs="Arial"/>
                <w:sz w:val="20"/>
                <w:szCs w:val="20"/>
              </w:rPr>
              <w:t xml:space="preserve">. členom tega zakona zahteva od podjetja, da ji posreduje podatke, kar lahko naredi pred izdajo sklepa o uvedbi postopka.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Določba </w:t>
            </w:r>
            <w:r w:rsidRPr="002F30DF">
              <w:rPr>
                <w:rFonts w:cs="Arial"/>
                <w:sz w:val="20"/>
                <w:szCs w:val="20"/>
                <w:u w:val="single"/>
              </w:rPr>
              <w:t>četrtega odstavka</w:t>
            </w:r>
            <w:r w:rsidRPr="002F30DF">
              <w:rPr>
                <w:rFonts w:cs="Arial"/>
                <w:sz w:val="20"/>
                <w:szCs w:val="20"/>
              </w:rPr>
              <w:t xml:space="preserve"> določa, da zadržanje zastaranja iz tretjega odstavka istega člena vpliva na tek subjektivnega in objektivnega zastaralnega roka.</w:t>
            </w:r>
          </w:p>
          <w:p w:rsidR="007522E3" w:rsidRPr="002F30DF" w:rsidRDefault="007522E3" w:rsidP="0025166A">
            <w:pPr>
              <w:spacing w:line="260" w:lineRule="atLeast"/>
              <w:rPr>
                <w:rFonts w:cs="Arial"/>
                <w:b/>
                <w:i/>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4</w:t>
            </w:r>
            <w:r w:rsidRPr="002F30DF">
              <w:rPr>
                <w:rFonts w:cs="Arial"/>
                <w:b/>
                <w:sz w:val="20"/>
                <w:szCs w:val="20"/>
              </w:rPr>
              <w:t>. členu (posebna pravila za določanje odškodnine)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Ena od glavnih ovir, s katerimi se srečujejo sodišča in stranke v odškodninskih tožbah, je, kako oceniti povzročeno škodo. Ocenitev škode temelji na primerjavi dejanskega položaja tožnika s položajem, v katerem bi bil, če do kršitev ne bi prišlo. Pri ocenjevanju, kako bi se razvijale tržne razmere in povezanost udeležencev na trgu, če ne bi prišlo do kršitve, se pogosto pojavijo zapletena in specifična ekonomska vprašanja ter vprašanja varstva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Glede ocenjevanja višine škode Direktiva 2014/104 v prvem odstavku 17. člena določa, da </w:t>
            </w:r>
            <w:r w:rsidRPr="002F30DF">
              <w:rPr>
                <w:rFonts w:cs="Arial"/>
                <w:i/>
                <w:sz w:val="20"/>
                <w:szCs w:val="20"/>
              </w:rPr>
              <w:t>dokazno breme ter dokazni standard, ki sta potrebna za ocenitev škode, ne moreta v praksi onemogočiti uveljavljanja pravice do odškodnine ali jo pretirano otežiti. Države članice zagotovijo, da so nacionalna sodišča v skladu z nacionalnimi postopki pristojna za ocenjevanje višine škode, če se dokaže, da je tožnik utrpel škodo, vendar natančne ocene višine utrpele škode na podlagi razpoložljivih dokazov v praksi ni mogoče podati ali pa je to pretirano oteženo.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Na podlagi ZPP mora tožnik v odškodninski tožbi postaviti svoj odškodninski zahtevek, navesti dejstva in predložiti dokaze, s katerimi dokazuje svoje trditve. Toženec pa mora navajati dejstva in predložiti dokaze, s katerimi bo zatrjeval in dokazoval, da trditve tožnika ne držijo, ali s katerimi bo dokazoval svoje ugovore. Pogoj za tožnikov uspeh je, da navede dejstva, ki substancirajo njegov zahtevek (zahteva sklepčnosti), ter trditve o teh dejstvih (če niso priznana, domnevana ali splošno </w:t>
            </w:r>
            <w:r w:rsidRPr="002F30DF">
              <w:rPr>
                <w:rFonts w:cs="Arial"/>
                <w:sz w:val="20"/>
                <w:szCs w:val="20"/>
              </w:rPr>
              <w:lastRenderedPageBreak/>
              <w:t>znana) tudi dokaže (zahteva dokazanosti).</w:t>
            </w:r>
            <w:r w:rsidRPr="002F30DF">
              <w:rPr>
                <w:rFonts w:cs="Arial"/>
                <w:sz w:val="20"/>
                <w:szCs w:val="20"/>
                <w:vertAlign w:val="superscript"/>
              </w:rPr>
              <w:footnoteReference w:id="41"/>
            </w:r>
            <w:r w:rsidRPr="002F30DF">
              <w:rPr>
                <w:rFonts w:cs="Arial"/>
                <w:sz w:val="20"/>
                <w:szCs w:val="20"/>
              </w:rPr>
              <w:t xml:space="preserve"> Dokazno breme je na strani tistega, ki dokazuje nastanek civilnega delikta.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Dokazni standard v odškodninskih tožbah pred slovenskimi sodišči ureja 215. člen ZPP, po katerem sodišče, če na podlagi izvedenih dokazov ne more zanesljivo ugotoviti katerega od dejstev, sklepa o njem na podlagi pravila o dokaznem bremenu. Sodišče bo po svojem prepričanju ob vestni in skrbni presoji vsakega dokaza posebej in vseh dokazov skupaj ter na podlagi uspeha celotnega postopka presodilo, katera dejstva bo štelo za dokazana.</w:t>
            </w:r>
          </w:p>
          <w:p w:rsidR="00DF4FB4" w:rsidRPr="002F30DF" w:rsidRDefault="00DF4FB4"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odškodninskih sporih mora tožnik poleg tega, da dokaže, da je utrpel škodo zaradi kršitev konkurenčnega prava, izkazati tudi višino škode. Pri ocenjevanju škode je treba opraviti natančne analize, kot na primer primerjavo med razmerami, ki so posledica kršitve konkurenčnega prava, in razmerami, ki bi bile, če kršitve konkurenčnega prava ne bi bilo. To je pogosto zelo zahtevno in drago ter velikokrat pomeni precejšnjo oviro za učinkovito reševanje odškodninskih zahtevkov. Zato je Direktiva 2014/104 določila, da </w:t>
            </w:r>
            <w:r w:rsidRPr="002F30DF">
              <w:rPr>
                <w:rFonts w:cs="Arial"/>
                <w:i/>
                <w:sz w:val="20"/>
                <w:szCs w:val="20"/>
              </w:rPr>
              <w:t>morajo biti nacionalna sodišča pristojna za ocenjevanje višine škode, če se dokaže, da je tožnik utrpel škodo, vendar natančne ocene višine utrpele škode na podlagi razpoložljivih dokazov v praksi ni mogoče podati ali je to pretirano oteženo.</w:t>
            </w:r>
            <w:r w:rsidRPr="002F30DF">
              <w:rPr>
                <w:rFonts w:cs="Arial"/>
                <w:sz w:val="20"/>
                <w:szCs w:val="20"/>
              </w:rPr>
              <w:t xml:space="preserve"> To pravilo je ustrezno urejeno v 216. členu ZPP, ki določa, da če se ugotovi, da ima stranka pravico do odškodnine, do denarnega zneska ali do nadomestnih stvari, pa se višina zneska oziroma količina stvari ne da ugotoviti ali bi se mogla ugotoviti samo z nesorazmernimi težavami, o tem odloči sodišče po prostem preudarku. Pomen tega člena izhaja tudi iz sodbe Višjega sodišča v Ljubljani, opr. št. I Cpg 708/2013, 27. točka: »V civilnem procesu velja načelo, da mora stranka sodišče pripraviti do prepričanja (8. člen ZPP), sicer se trditev o dejstvu ne šteje za dokazano. Dokazna mera je torej prepričanje. Pomen 216. člena ZPP je v tem, da znižuje dokazno mero zato, da ne bi bili odškodninski zahtevki neuspešni zgolj zato, ker se ne more z zadnjo gotovostjo razjasniti, koliko je ravnanje prispevalo k nastanku škode (tako Wedam Lukić v: Pravdni postopek, zakon s komentarjem, 2. knjiga, Ljubljana 2010, kom. k 216. členu ZPP, rš. 5 in 6). Ugotavljanje škode po prostem preudarku pa ni prosto v tem smislu, da bi sodišče lahko povsem „čez palec“ in torej arbitrarno ocenjevalo višino škode, „temveč mora sodišče upoštevati dokaze, ki sami zase sicer ne dajo natančnega odgovora, ki pa stvar do določene mere razjasnjujejo“ (glej Wedam-Lukić na navedenem mestu, rš. 5).« Sojenje po prostem preudarku torej ne temelji na ugibanju, kar pomeni, da stranke v sporu niso razbremenjene dolžnosti, da navedejo vsa pravno relevantna dejstva in predložijo potrebne dokaze. V zadevah s področja varstva konkurence je izračun škode dostikrat mogoč le, če so stranke pripravljene razkriti podatke o svojem poslovanju. Dejstvo, ki je v spoznavnem področju (le) ene stranke, je tudi v njenem trditvenem bremenu. To tudi že izhaja iz sodbe Vrhovnega sodišča Republike Slovenije, opr. št. III Ips 101/2015, točka 20: »S pomočjo te določbe se oškodovancu v določenih primerih, tudi na področju kršitev pravil konkurenčnega prava, olajša dokazovanje višine škode. Pooblastilo sodišču, da o višini škode odloči po prostem preudarku, ima svojo zrcalno sliko na trditvenem področju; od strank se lahko zahteva konkretizacija navedb, glede katerih pride v poštev določba prvega odstavka 216. člena ZPP, le v omejenem obsegu. Ne glede na to pa morajo stranke v vsakem primeru podati navedbe, ki služijo kot podlaga za oceno škode. Prav tako se od strank lahko zahteva, da svoje navedbe konkretizirajo v obsegu, ki je primeren glede na okoliščine konkretnega primera. Kot pravilno opozarja sodišče druge stopnje (158. - 159. točka obrazložitve sodbe sodišča druge stopnje), morajo obstajati vsaj oporne točke, na temelju katerih je škodo sploh mogoče oceniti. Če manjkajo tudi oporne točke, je o tožbenem zahtevku mogoče odločiti po pravilu o trditvenem in dokaznem bremenu (215. člen ZPP), saj bi v nasprotnem primeru sojenje po prostem preudarku temeljilo le še na ugibanju.«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Pri odmeri izgubljenega dobička morajo sodišča opraviti primerjavo dejanskega položaja oškodovanca s položajem, ki bi ga ta imel v primeru, če oškodovalčevega dejanja ne bi bilo. V ta namen je treba oblikovati hipotetični scenarij (scenarij „nekršitve“). Sodišče pa lahko uporabi različne možnosti za izračun škode v primeru zahtevka za povrnitev škode, ena izmed teh je tudi uporaba podatkov o doseženem dobičku kršitelja. Z namenom olajšanja odmere škode po prostem preudarku, se s </w:t>
            </w:r>
            <w:r w:rsidRPr="002F30DF">
              <w:rPr>
                <w:rFonts w:cs="Arial"/>
                <w:sz w:val="20"/>
                <w:szCs w:val="20"/>
                <w:u w:val="single"/>
              </w:rPr>
              <w:t>prvim odstavkom</w:t>
            </w:r>
            <w:r w:rsidRPr="002F30DF">
              <w:rPr>
                <w:rFonts w:cs="Arial"/>
                <w:sz w:val="20"/>
                <w:szCs w:val="20"/>
              </w:rPr>
              <w:t xml:space="preserve"> tega člena določi, da lahko sodišče pri odmeri odškodnine po prostem preudarku, ki je urejen v 216. členu ZPP upošteva tudi del dobička oškodovalca, ki je bil pridobljen s </w:t>
            </w:r>
            <w:r w:rsidRPr="002F30DF">
              <w:rPr>
                <w:rFonts w:cs="Arial"/>
                <w:sz w:val="20"/>
                <w:szCs w:val="20"/>
              </w:rPr>
              <w:lastRenderedPageBreak/>
              <w:t xml:space="preserve">kršitvijo. Takšen pristop je kot pravilnega tudi že potrdilo Vrhovno sodišče Republike Slovenije v sodbi III IPS 98/2013 v točki 48.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Še posebej je težko dokazovati škodo pri kartelnih kršitvah, zato je Direktiva 2014/104 v drugem odstavku 17. člena </w:t>
            </w:r>
            <w:r w:rsidRPr="002F30DF">
              <w:rPr>
                <w:rFonts w:cs="Arial"/>
                <w:i/>
                <w:sz w:val="20"/>
                <w:szCs w:val="20"/>
              </w:rPr>
              <w:t>določila izpodbojno domnevo, da kartelne kršitve povzročajo škodo, pri čemer ima kršitelj pravico, da izpodbija to domnevo</w:t>
            </w:r>
            <w:r w:rsidRPr="002F30DF">
              <w:rPr>
                <w:rFonts w:cs="Arial"/>
                <w:sz w:val="20"/>
                <w:szCs w:val="20"/>
              </w:rPr>
              <w:t>.</w:t>
            </w:r>
            <w:r w:rsidRPr="002F30DF" w:rsidDel="000C38F3">
              <w:rPr>
                <w:rFonts w:cs="Arial"/>
                <w:sz w:val="20"/>
                <w:szCs w:val="20"/>
              </w:rPr>
              <w:t xml:space="preserve"> </w:t>
            </w:r>
            <w:r w:rsidRPr="002F30DF">
              <w:rPr>
                <w:rFonts w:cs="Arial"/>
                <w:sz w:val="20"/>
                <w:szCs w:val="20"/>
              </w:rPr>
              <w:t xml:space="preserve">Kljub spremembi sodne prakse se obstoječo zakonodajo zaradi značilne asimetrije informacij v odškodninskih tožbah zaradi kršitev konkurenčnega prava in zaradi pravilnega prenosa Direktive 2014/104 dopolni tako, da se v </w:t>
            </w:r>
            <w:r w:rsidRPr="002F30DF">
              <w:rPr>
                <w:rFonts w:cs="Arial"/>
                <w:sz w:val="20"/>
                <w:szCs w:val="20"/>
                <w:u w:val="single"/>
              </w:rPr>
              <w:t>drugem odstavku</w:t>
            </w:r>
            <w:r w:rsidRPr="002F30DF">
              <w:rPr>
                <w:rFonts w:cs="Arial"/>
                <w:sz w:val="20"/>
                <w:szCs w:val="20"/>
              </w:rPr>
              <w:t xml:space="preserve"> določi izpodbojno domnevo, da kartelne kršitve povzročajo škodo. To izpodbojno domnevo se predlaga le za kartele, predvsem zaradi njihove skrivne narave, ki povečuje asimetrijo informacij in tožnikom pogostokrat otežuje pridobivanje dokazov, potrebnih za dokazovanje obstoja škode. Ta izpodbojna domneva pa ne zajema višine škode, ki jo mora dokazati tožnik.</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skladu s tretjim odstavkom 17. člena Direktive 2014/104 se zaradi kompleksnosti ugotavljanja višine škode v </w:t>
            </w:r>
            <w:r w:rsidRPr="002F30DF">
              <w:rPr>
                <w:rFonts w:cs="Arial"/>
                <w:sz w:val="20"/>
                <w:szCs w:val="20"/>
                <w:u w:val="single"/>
              </w:rPr>
              <w:t>tretjem odstavku</w:t>
            </w:r>
            <w:r w:rsidRPr="002F30DF">
              <w:rPr>
                <w:rFonts w:cs="Arial"/>
                <w:sz w:val="20"/>
                <w:szCs w:val="20"/>
              </w:rPr>
              <w:t xml:space="preserve"> določi, da lahko sodišče zaprosi </w:t>
            </w:r>
            <w:r w:rsidR="00ED1151" w:rsidRPr="002F30DF">
              <w:rPr>
                <w:rFonts w:cs="Arial"/>
                <w:sz w:val="20"/>
                <w:szCs w:val="20"/>
              </w:rPr>
              <w:t>a</w:t>
            </w:r>
            <w:r w:rsidR="0045309B" w:rsidRPr="002F30DF">
              <w:rPr>
                <w:rFonts w:cs="Arial"/>
                <w:sz w:val="20"/>
                <w:szCs w:val="20"/>
              </w:rPr>
              <w:t>genc</w:t>
            </w:r>
            <w:r w:rsidRPr="002F30DF">
              <w:rPr>
                <w:rFonts w:cs="Arial"/>
                <w:sz w:val="20"/>
                <w:szCs w:val="20"/>
              </w:rPr>
              <w:t xml:space="preserve">ijo za mnenje glede določitve višine škode. Če bo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ija ocenila, da je njena pomoč primerna, bo sodišču v roku 30 dni sporočila svoje mnenje. Sodišče ne bo vezano na mnenje </w:t>
            </w:r>
            <w:r w:rsidR="00ED1151" w:rsidRPr="002F30DF">
              <w:rPr>
                <w:rFonts w:cs="Arial"/>
                <w:sz w:val="20"/>
                <w:szCs w:val="20"/>
              </w:rPr>
              <w:t>a</w:t>
            </w:r>
            <w:r w:rsidR="0045309B" w:rsidRPr="002F30DF">
              <w:rPr>
                <w:rFonts w:cs="Arial"/>
                <w:sz w:val="20"/>
                <w:szCs w:val="20"/>
              </w:rPr>
              <w:t>genc</w:t>
            </w:r>
            <w:r w:rsidRPr="002F30DF">
              <w:rPr>
                <w:rFonts w:cs="Arial"/>
                <w:sz w:val="20"/>
                <w:szCs w:val="20"/>
              </w:rPr>
              <w:t>ije</w:t>
            </w:r>
            <w:r w:rsidRPr="002F30DF">
              <w:rPr>
                <w:rFonts w:cs="Arial"/>
                <w:sz w:val="20"/>
                <w:szCs w:val="20"/>
                <w:vertAlign w:val="superscript"/>
              </w:rPr>
              <w:footnoteReference w:id="42"/>
            </w:r>
            <w:r w:rsidRPr="002F30DF">
              <w:rPr>
                <w:rFonts w:cs="Arial"/>
                <w:sz w:val="20"/>
                <w:szCs w:val="20"/>
              </w:rPr>
              <w:t xml:space="preserve">. V izogib zavlačevanju postopka se določi, da je </w:t>
            </w:r>
            <w:r w:rsidR="00D93BA5" w:rsidRPr="002F30DF">
              <w:rPr>
                <w:rFonts w:cs="Arial"/>
                <w:sz w:val="20"/>
                <w:szCs w:val="20"/>
              </w:rPr>
              <w:t>a</w:t>
            </w:r>
            <w:r w:rsidR="0045309B" w:rsidRPr="002F30DF">
              <w:rPr>
                <w:rFonts w:cs="Arial"/>
                <w:sz w:val="20"/>
                <w:szCs w:val="20"/>
              </w:rPr>
              <w:t>genc</w:t>
            </w:r>
            <w:r w:rsidRPr="002F30DF">
              <w:rPr>
                <w:rFonts w:cs="Arial"/>
                <w:sz w:val="20"/>
                <w:szCs w:val="20"/>
              </w:rPr>
              <w:t>ija ocenila, da njena pomoč ni primerna, v kolikor mnenja ne sporoči.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w:t>
            </w:r>
            <w:r w:rsidRPr="002F30DF">
              <w:rPr>
                <w:rFonts w:cs="Arial"/>
                <w:sz w:val="20"/>
                <w:szCs w:val="20"/>
                <w:u w:val="single"/>
              </w:rPr>
              <w:t>četrtim odstavkom</w:t>
            </w:r>
            <w:r w:rsidRPr="002F30DF">
              <w:rPr>
                <w:rFonts w:cs="Arial"/>
                <w:sz w:val="20"/>
                <w:szCs w:val="20"/>
              </w:rPr>
              <w:t xml:space="preserve"> se določi, da ima sodišče možnost, da za mnenje glede določitve višine škode zaprosi tudi organ, pristojen za varstvo konkurence drug</w:t>
            </w:r>
            <w:r w:rsidR="00651B51" w:rsidRPr="002F30DF">
              <w:rPr>
                <w:rFonts w:cs="Arial"/>
                <w:sz w:val="20"/>
                <w:szCs w:val="20"/>
              </w:rPr>
              <w:t>e</w:t>
            </w:r>
            <w:r w:rsidRPr="002F30DF">
              <w:rPr>
                <w:rFonts w:cs="Arial"/>
                <w:sz w:val="20"/>
                <w:szCs w:val="20"/>
              </w:rPr>
              <w:t xml:space="preserve"> držav</w:t>
            </w:r>
            <w:r w:rsidR="00651B51" w:rsidRPr="002F30DF">
              <w:rPr>
                <w:rFonts w:cs="Arial"/>
                <w:sz w:val="20"/>
                <w:szCs w:val="20"/>
              </w:rPr>
              <w:t>e</w:t>
            </w:r>
            <w:r w:rsidRPr="002F30DF">
              <w:rPr>
                <w:rFonts w:cs="Arial"/>
                <w:sz w:val="20"/>
                <w:szCs w:val="20"/>
              </w:rPr>
              <w:t xml:space="preserve"> članic</w:t>
            </w:r>
            <w:r w:rsidR="00651B51" w:rsidRPr="002F30DF">
              <w:rPr>
                <w:rFonts w:cs="Arial"/>
                <w:sz w:val="20"/>
                <w:szCs w:val="20"/>
              </w:rPr>
              <w:t>e</w:t>
            </w:r>
            <w:r w:rsidRPr="002F30DF">
              <w:rPr>
                <w:rFonts w:cs="Arial"/>
                <w:sz w:val="20"/>
                <w:szCs w:val="20"/>
              </w:rPr>
              <w:t>, pri čemer prejeto mnenje ni zavezujoče za sodišče.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w:t>
            </w:r>
            <w:r w:rsidRPr="002F30DF">
              <w:rPr>
                <w:rFonts w:cs="Arial"/>
                <w:sz w:val="20"/>
                <w:szCs w:val="20"/>
                <w:u w:val="single"/>
              </w:rPr>
              <w:t>petim odstavkom</w:t>
            </w:r>
            <w:r w:rsidRPr="002F30DF">
              <w:rPr>
                <w:rFonts w:cs="Arial"/>
                <w:sz w:val="20"/>
                <w:szCs w:val="20"/>
              </w:rPr>
              <w:t xml:space="preserve"> pa se določi pravna podlaga za posredovanje mnenja </w:t>
            </w:r>
            <w:r w:rsidR="00ED1151" w:rsidRPr="002F30DF">
              <w:rPr>
                <w:rFonts w:cs="Arial"/>
                <w:sz w:val="20"/>
                <w:szCs w:val="20"/>
              </w:rPr>
              <w:t>a</w:t>
            </w:r>
            <w:r w:rsidR="0045309B" w:rsidRPr="002F30DF">
              <w:rPr>
                <w:rFonts w:cs="Arial"/>
                <w:sz w:val="20"/>
                <w:szCs w:val="20"/>
              </w:rPr>
              <w:t>genc</w:t>
            </w:r>
            <w:r w:rsidRPr="002F30DF">
              <w:rPr>
                <w:rFonts w:cs="Arial"/>
                <w:sz w:val="20"/>
                <w:szCs w:val="20"/>
              </w:rPr>
              <w:t>ije glede določitve višine škode sodišču druge države članice.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Pri ocenjevanju višine odškodnine bosta lahko sodiščem v pomoč tudi Sporočilo Komisije o ocenjevanju škode v odškodninskih tožbah zaradi kršitev člena 101 in 102 PDEU, ki je bil objavljen v Uradnem listu EU, št. C167/19 z dne 13. junija 2013, in Praktični vodnik za ocenjevanje škode v odškodninskih tožbah zaradi kršitev 101. ali 102. člena PDEU, ki ga pripravlja Evropska komisija. Delovni dokument služb Evropske komisije je objavljen na spletni strani Evropske komisije (http://ec.europa.eu/competition/antitrust/actionsdamages/quantification_guide_sl.pdf). Cilj tega vodnika bo nuditi pomoč nacionalnim sodiščem in strankam, udeleženim v odškodninskih tožbah, z izboljšano dostopnostjo informacij za ocenjevanje škode, ki jo povzročijo kršitve pravil konkurence EU. Zato naj bi zagotavljal vpogled v različne oblike škode, ki jo običajno povzroči protikonkurenčno ravnanje, in zlasti vsebuje informacije o metodah in tehnikah, ki so na voljo za ovrednotenje take škode.</w:t>
            </w:r>
          </w:p>
          <w:p w:rsidR="007522E3" w:rsidRPr="002F30DF" w:rsidRDefault="007522E3" w:rsidP="0025166A">
            <w:pPr>
              <w:spacing w:line="260" w:lineRule="atLeast"/>
              <w:rPr>
                <w:rFonts w:cs="Arial"/>
                <w:b/>
                <w:i/>
                <w:sz w:val="20"/>
                <w:szCs w:val="20"/>
                <w:u w:val="single"/>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5</w:t>
            </w:r>
            <w:r w:rsidRPr="002F30DF">
              <w:rPr>
                <w:rFonts w:cs="Arial"/>
                <w:b/>
                <w:sz w:val="20"/>
                <w:szCs w:val="20"/>
              </w:rPr>
              <w:t>. členu (razlika v ceni v dobavni verigi)</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Oškodovanec je lahko razliko v ceni ali njen del prenesel naprej po dobavni verigi, bodisi na svojega kupca bodisi na svojega dobavitelja. Če je zmanjšal svojo navadno škodo, tako da jo je delno ali v celoti prenesel naprej na lastnega kupca (ali dobavitelja), ta nadalje prenesena razlika v ceni ne pomeni več škode. Nadaljnji prenos zvišane cene, ki ga izvede neposredni kupec, lahko povzroči zmanjšanje prodane količine in s tem nižji dobiček. Ta izguba dobička poleg navadne škode, ki ni bila prenesena naprej (pri delnem nadaljnjem prenosu razlike v ceni), ostaja škoda, za katero lahko oškodovanec zahteva nadomestilo.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Temu sledi 12. člen Direktive 2014/104, ki v drugem odstavku določa, </w:t>
            </w:r>
            <w:r w:rsidRPr="002F30DF">
              <w:rPr>
                <w:rFonts w:cs="Arial"/>
                <w:i/>
                <w:sz w:val="20"/>
                <w:szCs w:val="20"/>
              </w:rPr>
              <w:t>da države članice določijo ustrezna postopkovna pravila, s katerimi naj bi zagotovile, da odškodnina za dejansko izgubo na kateri koli stopnji dobavne verige ne presega povečanih stroškov škode, povzročene na tej stopnji škode.</w:t>
            </w:r>
            <w:r w:rsidRPr="002F30DF">
              <w:rPr>
                <w:rFonts w:cs="Arial"/>
                <w:sz w:val="20"/>
                <w:szCs w:val="20"/>
              </w:rPr>
              <w:t xml:space="preserve"> Določbe iz poglavja o nadaljnjem prenosu razlike v ceni (to so 12., 13., 14. in 15. člen Direktive 2014/104) ne posegajo v pravico oškodovanca, da zahteva in dobi odškodnino za izgubljeni dobiček zaradi polnega ali delnega nadaljnjega prenosa povečanih stroškov (tretji odstavek 12. člena) ter se </w:t>
            </w:r>
            <w:r w:rsidRPr="002F30DF">
              <w:rPr>
                <w:rFonts w:cs="Arial"/>
                <w:sz w:val="20"/>
                <w:szCs w:val="20"/>
              </w:rPr>
              <w:lastRenderedPageBreak/>
              <w:t>ustrezno uporabljajo tudi, kadar je kršitev konkurenčnega prava povezana z dobavo kršitelju (četrti odstavek 12. člena).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V skladu s tem </w:t>
            </w:r>
            <w:r w:rsidRPr="002F30DF">
              <w:rPr>
                <w:rFonts w:cs="Arial"/>
                <w:sz w:val="20"/>
                <w:szCs w:val="20"/>
                <w:u w:val="single"/>
              </w:rPr>
              <w:t>prvi odstavek</w:t>
            </w:r>
            <w:r w:rsidRPr="002F30DF">
              <w:rPr>
                <w:rFonts w:cs="Arial"/>
                <w:sz w:val="20"/>
                <w:szCs w:val="20"/>
              </w:rPr>
              <w:t xml:space="preserve"> določa, da navadno škodo predstavlja tudi razlika med ceno, ki jo je plačal oškodovanec dobavitelju, in ceno, ki bi jo plačal, če ne bi bilo kršitve. Vendar pa višina odškodnine za navadno škodo na kateri koli stopnji dobavne verige ne sme presegati višine razlike v ceni, ki je bila prenesena na to stopnjo dobavne verige. Opredelitev da razlika v ceni predstavlja navadno škodo je tudi v skladu z 39. uvodno </w:t>
            </w:r>
            <w:r w:rsidR="00721AA6" w:rsidRPr="002F30DF">
              <w:rPr>
                <w:rFonts w:cs="Arial"/>
                <w:sz w:val="20"/>
                <w:szCs w:val="20"/>
              </w:rPr>
              <w:t>izjavo</w:t>
            </w:r>
            <w:r w:rsidRPr="002F30DF">
              <w:rPr>
                <w:rFonts w:cs="Arial"/>
                <w:sz w:val="20"/>
                <w:szCs w:val="20"/>
              </w:rPr>
              <w:t xml:space="preserve"> Direktive 2014/104, ki </w:t>
            </w:r>
            <w:r w:rsidRPr="002F30DF">
              <w:rPr>
                <w:rFonts w:cs="Arial"/>
                <w:i/>
                <w:sz w:val="20"/>
                <w:szCs w:val="20"/>
              </w:rPr>
              <w:t xml:space="preserve">izrecno določa razliko v ceni kot navadno škodo. Ker lahko oškodovanec zmanjša škodo s posameznimi ukrepi (npr. z odpuščanjem delavcev zniža stroške), je določeno, da se pri izračunu navadne škode ne upošteva zmanjšanje škode, ki jo doseže oškodovanec z ukrepi zmanjšanja stroškov.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 </w:t>
            </w:r>
            <w:r w:rsidRPr="002F30DF">
              <w:rPr>
                <w:rFonts w:cs="Arial"/>
                <w:sz w:val="20"/>
                <w:szCs w:val="20"/>
                <w:u w:val="single"/>
              </w:rPr>
              <w:t>drugim odstavkom</w:t>
            </w:r>
            <w:r w:rsidRPr="002F30DF">
              <w:rPr>
                <w:rFonts w:cs="Arial"/>
                <w:sz w:val="20"/>
                <w:szCs w:val="20"/>
              </w:rPr>
              <w:t xml:space="preserve"> pa se določi, da ima oškodovanec pravico do odškodnine za izgubljeni dobiček, zaradi manjše prodaje oziroma manjših nakupov, ki so posledica celotnega ali delnega prenosa razlike v ceni na naslednjo stopnjo dobavne verige.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Ker lahko na primer kupec del povečane cene, torej razlike v ceni, zaradi kršitev konkurenčnega prava prenese na svojega kupca, 13. člen Direktive 2014/104 nalaga </w:t>
            </w:r>
            <w:r w:rsidRPr="002F30DF">
              <w:rPr>
                <w:rFonts w:cs="Arial"/>
                <w:i/>
                <w:sz w:val="20"/>
                <w:szCs w:val="20"/>
              </w:rPr>
              <w:t>državam članicam, naj zagotovijo, da lahko toženec v postopku, povezanem z odškodninsko tožbo, kot ugovor zoper odškodninski zahtevek uveljavlja dejstvo, da je tožnik v celoti ali delno prenesel naprej razliko v ceni, ki je posledica kršitve konkurenčnega prava. Dokazno breme glede nadaljnjega prenosa povečanih stroškov nosi toženec, ki lahko zahteva razkritje od tožnika ali tretjih oseb.</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Tako imenovani ugovor nadaljnjega prenosa je določen v </w:t>
            </w:r>
            <w:r w:rsidRPr="002F30DF">
              <w:rPr>
                <w:rFonts w:cs="Arial"/>
                <w:sz w:val="20"/>
                <w:szCs w:val="20"/>
                <w:u w:val="single"/>
              </w:rPr>
              <w:t>tretj</w:t>
            </w:r>
            <w:r w:rsidR="00651B51" w:rsidRPr="002F30DF">
              <w:rPr>
                <w:rFonts w:cs="Arial"/>
                <w:sz w:val="20"/>
                <w:szCs w:val="20"/>
                <w:u w:val="single"/>
              </w:rPr>
              <w:t>e</w:t>
            </w:r>
            <w:r w:rsidRPr="002F30DF">
              <w:rPr>
                <w:rFonts w:cs="Arial"/>
                <w:sz w:val="20"/>
                <w:szCs w:val="20"/>
                <w:u w:val="single"/>
              </w:rPr>
              <w:t>m odstavku</w:t>
            </w:r>
            <w:r w:rsidRPr="002F30DF">
              <w:rPr>
                <w:rFonts w:cs="Arial"/>
                <w:sz w:val="20"/>
                <w:szCs w:val="20"/>
              </w:rPr>
              <w:t xml:space="preserve">, na podlagi katerega lahko toženec ugovarja višini zahtevane odškodnine zaradi tožnikovega prenosa dela ali celotne razlike v ceni na naslednjo stopnjo dobavne verige. Toženec, ki poda ugovor zaradi nadaljnjega prenosa, nosi dokazno breme. Toženec pa lahko ne razpolaga z dokazi, s katerimi, bi dokazal utemeljenost ugovora, zato se v </w:t>
            </w:r>
            <w:r w:rsidRPr="002F30DF">
              <w:rPr>
                <w:rFonts w:cs="Arial"/>
                <w:sz w:val="20"/>
                <w:szCs w:val="20"/>
                <w:u w:val="single"/>
              </w:rPr>
              <w:t>četrtem odstavku</w:t>
            </w:r>
            <w:r w:rsidRPr="002F30DF">
              <w:rPr>
                <w:rFonts w:cs="Arial"/>
                <w:sz w:val="20"/>
                <w:szCs w:val="20"/>
              </w:rPr>
              <w:t xml:space="preserve"> določi, da lahko toženec za dokazovanje utemeljenosti tega ugovora predlaga oziroma zahteva, da sodišče naloži nasprotni stranki ali tretji osebi, naj razkrije dokaze oziroma podatke. Sodišče pri odločanju o predlogu za razkritje dokazov ali podatkov upošteva določbe o razkritju dokazov oziroma podatkov.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Zaradi kršitev konkurenčnega prava so lahko oškodovani tudi dobavitelji, torej ko se neposredni kupci dobavitelja oziroma dobaviteljev dogovorijo za odkupno ceno (primer nakupnega kartela). V tem primeru lahko dobavitelju oziroma dobaviteljem nastane škoda zaradi nižje cene, ki mu jo kršitelji plačajo,</w:t>
            </w:r>
            <w:r w:rsidRPr="002F30DF" w:rsidDel="00974B15">
              <w:rPr>
                <w:rFonts w:cs="Arial"/>
                <w:sz w:val="20"/>
                <w:szCs w:val="20"/>
              </w:rPr>
              <w:t xml:space="preserve"> </w:t>
            </w:r>
            <w:r w:rsidRPr="002F30DF">
              <w:rPr>
                <w:rFonts w:cs="Arial"/>
                <w:sz w:val="20"/>
                <w:szCs w:val="20"/>
              </w:rPr>
              <w:t xml:space="preserve">zato je v </w:t>
            </w:r>
            <w:r w:rsidRPr="002F30DF">
              <w:rPr>
                <w:rFonts w:cs="Arial"/>
                <w:sz w:val="20"/>
                <w:szCs w:val="20"/>
                <w:u w:val="single"/>
              </w:rPr>
              <w:t>petem odstavku</w:t>
            </w:r>
            <w:r w:rsidRPr="002F30DF">
              <w:rPr>
                <w:rFonts w:cs="Arial"/>
                <w:sz w:val="20"/>
                <w:szCs w:val="20"/>
              </w:rPr>
              <w:t xml:space="preserve"> določeno, da se členi glede prenosa razlike v ceni smiselno uporabljajo tudi v primeru, kadar je kršitev konkurenčnega prava povezana z neposredno ali posredno dobavo kršitelju.</w:t>
            </w:r>
          </w:p>
          <w:p w:rsidR="006414E5" w:rsidRPr="002F30DF" w:rsidRDefault="006414E5" w:rsidP="0025166A">
            <w:pPr>
              <w:spacing w:line="260" w:lineRule="atLeast"/>
              <w:rPr>
                <w:rFonts w:cs="Arial"/>
                <w:b/>
                <w:sz w:val="20"/>
                <w:szCs w:val="20"/>
                <w:u w:val="single"/>
              </w:rPr>
            </w:pPr>
          </w:p>
          <w:p w:rsidR="007522E3" w:rsidRPr="002F30DF" w:rsidRDefault="00B95552" w:rsidP="0025166A">
            <w:pPr>
              <w:spacing w:line="260" w:lineRule="atLeast"/>
              <w:rPr>
                <w:rFonts w:cs="Arial"/>
                <w:b/>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6</w:t>
            </w:r>
            <w:r w:rsidRPr="002F30DF">
              <w:rPr>
                <w:rFonts w:cs="Arial"/>
                <w:b/>
                <w:sz w:val="20"/>
                <w:szCs w:val="20"/>
              </w:rPr>
              <w:t xml:space="preserve">. </w:t>
            </w:r>
            <w:r w:rsidR="007522E3" w:rsidRPr="002F30DF">
              <w:rPr>
                <w:rFonts w:cs="Arial"/>
                <w:b/>
                <w:sz w:val="20"/>
                <w:szCs w:val="20"/>
              </w:rPr>
              <w:t>členu (odškodninske tožbe posrednih kupcev)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Trgovinska praksa je lahko takšna, da se razlika v ceni prenaša po dobavni verigi naprej, z neposrednega kupca na posrednega kupca oziroma s posrednega kupca na naslednjega posrednega kupca. Potrošnik ali podjetje, na katerega je bila na ta način v celoti ali delno prenesena dejanska izguba, je zaradi tega utrpel škodo, ki je bila povzročena s kršitvijo konkurenčnega prava Unije ali nacionalnega konkurenčnega prava (41. uvodna </w:t>
            </w:r>
            <w:r w:rsidR="00721AA6" w:rsidRPr="002F30DF">
              <w:rPr>
                <w:rFonts w:cs="Arial"/>
                <w:sz w:val="20"/>
                <w:szCs w:val="20"/>
              </w:rPr>
              <w:t>izjava</w:t>
            </w:r>
            <w:r w:rsidRPr="002F30DF">
              <w:rPr>
                <w:rFonts w:cs="Arial"/>
                <w:sz w:val="20"/>
                <w:szCs w:val="20"/>
              </w:rPr>
              <w:t xml:space="preserve"> Direktive 2014/104). Zaradi tega prvi odstavek 14. člena Direktive 2014/104 določa, da </w:t>
            </w:r>
            <w:r w:rsidRPr="002F30DF">
              <w:rPr>
                <w:rFonts w:cs="Arial"/>
                <w:i/>
                <w:sz w:val="20"/>
                <w:szCs w:val="20"/>
              </w:rPr>
              <w:t>kadar je v postopku z odškodninsko tožbo obstoj odškodninskega zahtevka ali znesek odškodnine, ki se dodeli, odvisen od tega, ali – oziroma v kakšnem obsegu – so se povečani stroški prenesli naprej na tožnika, države članice ob upoštevanju trgovinske prakse, da se povečanja cene prenašajo po dobavni verigi naprej, zagotovijo, da dokazno breme glede obstoja in obsega takšnega nadaljnjega prenosa nosi tožnik, ki lahko zahteva razkritje dokazov od toženca ali tretjih oseb</w:t>
            </w:r>
            <w:r w:rsidRPr="002F30DF">
              <w:rPr>
                <w:rFonts w:cs="Arial"/>
                <w:sz w:val="20"/>
                <w:szCs w:val="20"/>
              </w:rPr>
              <w:t xml:space="preserve">. Zaradi olajšanja dokazovanja posrednega kupca drugi odstavek 14. člena Direktive 2014/104 določa </w:t>
            </w:r>
            <w:r w:rsidRPr="002F30DF">
              <w:rPr>
                <w:rFonts w:cs="Arial"/>
                <w:i/>
                <w:sz w:val="20"/>
                <w:szCs w:val="20"/>
              </w:rPr>
              <w:t>domnevo, da je posredni kupec dokazal, da je bila nanj prenesena razlika v ceni, če dokaže, da je toženec kršil konkurenčno pravo, da so bili povečani stroški za neposrednega kupca toženca posledica kršitve konkurenčnega prava in da je kupil blago ali storitve, ki so bile predmet kršitve, oziroma je kupil blago ali storitve, ki izhajajo iz blaga ali storitev, ki so bile predmet kršitve ali pa ga vsebujejo. Ta odstavek se ne uporablja, če lahko toženec sodišču prepričljivo dokaže, da razlika v ceni ni bila ali ni bila v celoti prenesena na posrednega kupca.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lastRenderedPageBreak/>
              <w:t xml:space="preserve">V skladu z navedenim se v </w:t>
            </w:r>
            <w:r w:rsidRPr="002F30DF">
              <w:rPr>
                <w:rFonts w:cs="Arial"/>
                <w:sz w:val="20"/>
                <w:szCs w:val="20"/>
                <w:u w:val="single"/>
              </w:rPr>
              <w:t>prvem odstavku</w:t>
            </w:r>
            <w:r w:rsidRPr="002F30DF">
              <w:rPr>
                <w:rFonts w:cs="Arial"/>
                <w:sz w:val="20"/>
                <w:szCs w:val="20"/>
              </w:rPr>
              <w:t xml:space="preserve"> </w:t>
            </w:r>
            <w:r w:rsidR="00651B51" w:rsidRPr="002F30DF">
              <w:rPr>
                <w:rFonts w:cs="Arial"/>
                <w:sz w:val="20"/>
                <w:szCs w:val="20"/>
              </w:rPr>
              <w:t>se ohranja do sedaj veljavna določba</w:t>
            </w:r>
            <w:r w:rsidRPr="002F30DF">
              <w:rPr>
                <w:rFonts w:cs="Arial"/>
                <w:sz w:val="20"/>
                <w:szCs w:val="20"/>
              </w:rPr>
              <w:t>, da je tožnik, ki je posredni kupec, dolžan dokazati obstoj in obseg višine razlike v ceni, ki je bila prenesena nanj. Tožnik lahko predlaga, da sodišče naloži tožencu ali tretji osebi, naj razkrije dokaze oziroma podatke, iz katerih bo izhajal obstoj (torej, da je bila nanj delno ali v celoti prenesena razlika v ceni) oziroma višina prenesene razlike v ceni.</w:t>
            </w:r>
          </w:p>
          <w:p w:rsidR="007522E3" w:rsidRPr="002F30DF" w:rsidRDefault="007522E3" w:rsidP="0025166A">
            <w:pPr>
              <w:spacing w:line="260" w:lineRule="atLeast"/>
              <w:rPr>
                <w:rFonts w:cs="Arial"/>
                <w:sz w:val="20"/>
                <w:szCs w:val="20"/>
              </w:rPr>
            </w:pPr>
            <w:r w:rsidRPr="002F30DF">
              <w:rPr>
                <w:rFonts w:cs="Arial"/>
                <w:sz w:val="20"/>
                <w:szCs w:val="20"/>
              </w:rPr>
              <w:t xml:space="preserve"> </w:t>
            </w:r>
          </w:p>
          <w:p w:rsidR="007522E3" w:rsidRPr="002F30DF" w:rsidRDefault="007522E3" w:rsidP="0025166A">
            <w:pPr>
              <w:spacing w:line="260" w:lineRule="atLeast"/>
              <w:rPr>
                <w:rFonts w:cs="Arial"/>
                <w:sz w:val="20"/>
                <w:szCs w:val="20"/>
              </w:rPr>
            </w:pPr>
            <w:r w:rsidRPr="002F30DF">
              <w:rPr>
                <w:rFonts w:cs="Arial"/>
                <w:sz w:val="20"/>
                <w:szCs w:val="20"/>
              </w:rPr>
              <w:t xml:space="preserve">Ker je dokazovanje dobavne verige velikokrat zapleteno in je zaradi tega posrednemu kupcu težko uveljavljati odškodnino, je v </w:t>
            </w:r>
            <w:r w:rsidRPr="002F30DF">
              <w:rPr>
                <w:rFonts w:cs="Arial"/>
                <w:sz w:val="20"/>
                <w:szCs w:val="20"/>
                <w:u w:val="single"/>
              </w:rPr>
              <w:t>drugem odstavku</w:t>
            </w:r>
            <w:r w:rsidRPr="002F30DF">
              <w:rPr>
                <w:rFonts w:cs="Arial"/>
                <w:sz w:val="20"/>
                <w:szCs w:val="20"/>
              </w:rPr>
              <w:t xml:space="preserve"> določena izpodbojna domneva, da je tožnik dokazal, da je bila razlika v ceni prenesena nanj, če dokaže, da je toženec kršil konkurenčno pravo, da je bila razlika v ceni, prenesena na neposrednega kupca toženca, posledica kršitve konkurenčnega prava in da je kupil blago ali storitev, ki je bila predmet kršitve konkurenčnega prava, oziroma je kupil blago ali storitev, ki izhaja iz blaga ali storitev, ki je bila predmet kršitve, ali pa vsebuje takšno blago ali storitve. Toženec mora kumulativno dokazati vse tri navedene pogoje.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u w:val="single"/>
              </w:rPr>
            </w:pPr>
            <w:r w:rsidRPr="002F30DF">
              <w:rPr>
                <w:rFonts w:cs="Arial"/>
                <w:sz w:val="20"/>
                <w:szCs w:val="20"/>
                <w:u w:val="single"/>
              </w:rPr>
              <w:t>Tretji odstavek</w:t>
            </w:r>
            <w:r w:rsidRPr="002F30DF">
              <w:rPr>
                <w:rFonts w:cs="Arial"/>
                <w:sz w:val="20"/>
                <w:szCs w:val="20"/>
              </w:rPr>
              <w:t xml:space="preserve"> daje tožencu možnost, da ovrže domnevo iz drugega odstavka tega člena, če dokaže, da razlika v ceni ni bila v celoti ali delno prenesena na tožnika.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odškodninsko tožbo lahko vloži vsak, ki je utrpel škodo, se lahko zgodi, da vložijo odškodninske tožbe oškodovanci iz različnih stopenj dobavne verige. Z namenom preprečevanja, da bi odškodninske tožbe tožnikov z različnih stopenj verige vodile do večplastne odgovornosti ali do neobstoja odgovornosti kršitelja konkurenčnega prava (prvi odstavek 15. člena Direktive 2014/104), je v </w:t>
            </w:r>
            <w:r w:rsidRPr="002F30DF">
              <w:rPr>
                <w:rFonts w:cs="Arial"/>
                <w:sz w:val="20"/>
                <w:szCs w:val="20"/>
                <w:u w:val="single"/>
              </w:rPr>
              <w:t>četrte</w:t>
            </w:r>
            <w:r w:rsidR="009E4E3A" w:rsidRPr="002F30DF">
              <w:rPr>
                <w:rFonts w:cs="Arial"/>
                <w:sz w:val="20"/>
                <w:szCs w:val="20"/>
                <w:u w:val="single"/>
              </w:rPr>
              <w:t>m</w:t>
            </w:r>
            <w:r w:rsidRPr="002F30DF">
              <w:rPr>
                <w:rFonts w:cs="Arial"/>
                <w:sz w:val="20"/>
                <w:szCs w:val="20"/>
                <w:u w:val="single"/>
              </w:rPr>
              <w:t xml:space="preserve"> odstavk</w:t>
            </w:r>
            <w:r w:rsidR="009E4E3A" w:rsidRPr="002F30DF">
              <w:rPr>
                <w:rFonts w:cs="Arial"/>
                <w:sz w:val="20"/>
                <w:szCs w:val="20"/>
                <w:u w:val="single"/>
              </w:rPr>
              <w:t>u</w:t>
            </w:r>
            <w:r w:rsidRPr="002F30DF">
              <w:rPr>
                <w:rFonts w:cs="Arial"/>
                <w:sz w:val="20"/>
                <w:szCs w:val="20"/>
              </w:rPr>
              <w:t xml:space="preserve"> </w:t>
            </w:r>
            <w:r w:rsidR="00E448E3" w:rsidRPr="002F30DF">
              <w:rPr>
                <w:rFonts w:cs="Arial"/>
                <w:sz w:val="20"/>
                <w:szCs w:val="20"/>
              </w:rPr>
              <w:t xml:space="preserve">predloga tega člena </w:t>
            </w:r>
            <w:r w:rsidRPr="002F30DF">
              <w:rPr>
                <w:rFonts w:cs="Arial"/>
                <w:sz w:val="20"/>
                <w:szCs w:val="20"/>
              </w:rPr>
              <w:t>določeno, da sodišče lahko pri oceni, ali je toženec dokazal obstoj nadaljnjega prenosa razlike v ceni, ter pri oceni, ali je posredni kupec dokazal, da je bila razlika v ceni prenesena nanj, upošteva tudi odškodninske tožbe, ki so povezane z isto kršitvijo konkurenčnega prava, ki so jo vložili tožniki z drugih stopenj dobavne verige, pravnomočne odškodninske sodbe, ki so povezane z isto kršitvijo konkurenčnega prava, ki so jo vložili tožniki z drugih stopenj dobavne verige, oziroma relevantne javno dostopne informacije, ki izhajajo iz primerov javnopravnega izvajanja konkurenčnega prava.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Četrti odstavek ne posega v pravice in obveznosti sodišča iz 30. člena Uredbe (EU) št. 1215/2012, na podlagi katerega lahko v primeru sorodnih pravd pred sodišči različnih držav članic vsa sodišča razen tistega, ki je prvo začelo postopek, prekinejo postopek. Če teče pravda pred sodiščem, ki je prvo začelo postopek, na prvi stopnji, se lahko vsa druga sodišča na zahtevo ene od strank izrečejo za nepristojna, če je sodišče, ki je prvo začelo postopek, pristojno za odločanje v zadevnih pravdah in če pravo tega sodišča dovoljuje njihovo združitev. Za namene 30. člena Uredbe (EU) št. 1215/2012 se upošteva, da so pravde sorodne, če so tako tesno povezane med seboj, da se zdita njihova skupna obravnava in odločanje o njih smiselni, da bi se s tem izognili nevarnosti nezdružljivih sodnih odločb, ki bi izhajale iz ločenih postopkov.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Glede ocene, kateri del povečanih stroškov se je prenesel naprej, peti odstavek 12. člena Direktive 2014/104 določa, da </w:t>
            </w:r>
            <w:r w:rsidRPr="002F30DF">
              <w:rPr>
                <w:rFonts w:cs="Arial"/>
                <w:i/>
                <w:sz w:val="20"/>
                <w:szCs w:val="20"/>
              </w:rPr>
              <w:t>države članice zagotovijo, da so nacionalna sodišča v skladu z nacionalnimi postopki pristojna za ocenitev prenesenega dela.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Na podlagi tega je v</w:t>
            </w:r>
            <w:r w:rsidRPr="002F30DF">
              <w:rPr>
                <w:rFonts w:cs="Arial"/>
                <w:sz w:val="20"/>
                <w:szCs w:val="20"/>
                <w:u w:val="single"/>
              </w:rPr>
              <w:t xml:space="preserve"> petem odstavku</w:t>
            </w:r>
            <w:r w:rsidRPr="002F30DF">
              <w:rPr>
                <w:rFonts w:cs="Arial"/>
                <w:sz w:val="20"/>
                <w:szCs w:val="20"/>
              </w:rPr>
              <w:t xml:space="preserve"> določeno, da če se ugotovi prenos razlike v ceni, bodisi v celoti ali le delno, na naslednjo stopnjo dobavne verige, vendar se višina prenesene razlike v ceni ne da ugotoviti ali bi se mogla ugotoviti samo z nesorazmernimi težavami, sodišče po prostem preudarku odloči, kateri del razlike v ceni se je prenesel naprej. V pomoč sodiščem bo Evropska komisija v skladu s 16. členom Direktive 2014/104 izdala smernice za nacionalna sodišča o tem, kako oceniti delež povečanih stroškov, ki so bili preneseni naprej na posrednega kupca.</w:t>
            </w:r>
          </w:p>
          <w:p w:rsidR="007522E3" w:rsidRPr="002F30DF" w:rsidRDefault="007522E3" w:rsidP="0025166A">
            <w:pPr>
              <w:spacing w:line="260" w:lineRule="atLeast"/>
              <w:rPr>
                <w:rFonts w:cs="Arial"/>
                <w:sz w:val="20"/>
                <w:szCs w:val="20"/>
                <w:u w:val="single"/>
              </w:rPr>
            </w:pPr>
          </w:p>
          <w:p w:rsidR="007522E3" w:rsidRPr="002F30DF" w:rsidRDefault="007522E3" w:rsidP="0025166A">
            <w:pPr>
              <w:spacing w:line="260" w:lineRule="atLeast"/>
              <w:rPr>
                <w:rFonts w:cs="Arial"/>
                <w:sz w:val="20"/>
                <w:szCs w:val="20"/>
              </w:rPr>
            </w:pPr>
            <w:r w:rsidRPr="002F30DF">
              <w:rPr>
                <w:rFonts w:cs="Arial"/>
                <w:b/>
                <w:sz w:val="20"/>
                <w:szCs w:val="20"/>
              </w:rPr>
              <w:t xml:space="preserve">K </w:t>
            </w:r>
            <w:r w:rsidR="003167C8" w:rsidRPr="002F30DF">
              <w:rPr>
                <w:rFonts w:cs="Arial"/>
                <w:b/>
                <w:sz w:val="20"/>
                <w:szCs w:val="20"/>
              </w:rPr>
              <w:t>12</w:t>
            </w:r>
            <w:r w:rsidR="00343172" w:rsidRPr="002F30DF">
              <w:rPr>
                <w:rFonts w:cs="Arial"/>
                <w:b/>
                <w:sz w:val="20"/>
                <w:szCs w:val="20"/>
              </w:rPr>
              <w:t>7</w:t>
            </w:r>
            <w:r w:rsidRPr="002F30DF">
              <w:rPr>
                <w:rFonts w:cs="Arial"/>
                <w:b/>
                <w:sz w:val="20"/>
                <w:szCs w:val="20"/>
              </w:rPr>
              <w:t>. členu (prekinitev postopka zaradi sporazumnega reševanja sporov)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Direktiva 2014/104 obravnava tudi učinke sporazumnega reševanja sporov na zastaralne roke za uveljavljanje odškodninske terjatve ter na prekinitev pravdnega postopka, zato ker, kot je pojasnjeno v 48. uvodni </w:t>
            </w:r>
            <w:r w:rsidR="008C0B65" w:rsidRPr="002F30DF">
              <w:rPr>
                <w:rFonts w:cs="Arial"/>
                <w:sz w:val="20"/>
                <w:szCs w:val="20"/>
              </w:rPr>
              <w:t>izjavi</w:t>
            </w:r>
            <w:r w:rsidRPr="002F30DF">
              <w:rPr>
                <w:rFonts w:cs="Arial"/>
                <w:sz w:val="20"/>
                <w:szCs w:val="20"/>
              </w:rPr>
              <w:t xml:space="preserve"> Direktive 2014/104, bi bilo treba kršitelje in oškodovance spodbuditi k sklenitvi dogovora o povrnitvi škode, povzročene s kršitvijo konkurenčnega prava, in sicer s pomočjo mehanizmov sporazumnega reševanja sporov, kot so zunaj sodne poravnave (tudi tiste, pri katerih lahko sodnik razglasi zavezujočo poravnavo), arbitraža, mediacija ali sprava. Direktiva 2014/104 v prvem odstavku 18. člena nalaga državam članicam, naj zagotovijo, da se zastaralni rok glede vložitve odškodninske tožbe pretrga (ang. suspended, torej bi bil pravilen prevod zadrži) za čas postopka </w:t>
            </w:r>
            <w:r w:rsidRPr="002F30DF">
              <w:rPr>
                <w:rFonts w:cs="Arial"/>
                <w:sz w:val="20"/>
                <w:szCs w:val="20"/>
              </w:rPr>
              <w:lastRenderedPageBreak/>
              <w:t xml:space="preserve">sporazumnega reševanja sporov, pri čemer se zadržanje uporabi le za tiste stranke, ki sodelujejo ali so sodelovale oziroma so (bile) zastopane pri sporazumnem reševanju spora (prvi odstavek), kar je že ustrezno urejeno v slovenski zakonodaji. V 365. členu OZ je določeno, da se zastaranje pretrga z vložitvijo tožbe in z vsakim drugim upnikovim dejanjem zoper dolžnika pred sodiščem ali drugim pristojnim organom, da bi se ugotovila, zavarovala ali izterjala terjatev. Drug pristojen organ pa je lahko tudi arbitraža, kar je že bilo potrjeno s sodno prakso. Učinek mediacije na zastaralne in prekluzivne roke pa je urejen v Zakonu o mediaciji v civilnih in gospodarskih zadevah (Uradni list RS, št. </w:t>
            </w:r>
            <w:hyperlink r:id="rId134" w:tgtFrame="_blank" w:tooltip="Zakon o mediaciji v civilnih in gospodarskih zadevah (ZMCGZ)" w:history="1">
              <w:r w:rsidRPr="002F30DF">
                <w:rPr>
                  <w:rFonts w:cs="Arial"/>
                  <w:sz w:val="20"/>
                  <w:szCs w:val="20"/>
                </w:rPr>
                <w:t>56/08</w:t>
              </w:r>
            </w:hyperlink>
            <w:r w:rsidRPr="002F30DF">
              <w:rPr>
                <w:rFonts w:cs="Arial"/>
                <w:sz w:val="20"/>
                <w:szCs w:val="20"/>
              </w:rPr>
              <w:t>), ki v 17. členu določa, da zastaranje zahtevka, ki je predmet mediacije, med trajanjem mediacije ne teče. Če se mediacija konča brez sporazuma o rešitvi spora, se zastaranje nadaljuje od trenutka, ko je postopek končan brez sporazuma o rešitvi spora. Čas, ki je pretekel pred začetkom mediacije, se všteje v zastaralni rok, ki ga določa zakon. Če je s posebnim predpisom določen rok za vložitev tožbe, se ta rok glede zahtevka, ki je predmet mediacije, ne izteče prej kot 15 dni po koncu mediacije.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i/>
                <w:sz w:val="20"/>
                <w:szCs w:val="20"/>
              </w:rPr>
            </w:pPr>
            <w:r w:rsidRPr="002F30DF">
              <w:rPr>
                <w:rFonts w:cs="Arial"/>
                <w:sz w:val="20"/>
                <w:szCs w:val="20"/>
              </w:rPr>
              <w:t xml:space="preserve">Prekinitev postopka pred sodiščem zaradi sporazumnega reševanja sporov je urejena v drugem odstavku 18. člena Direktive 2014/104, na podlagi katere lahko </w:t>
            </w:r>
            <w:r w:rsidRPr="002F30DF">
              <w:rPr>
                <w:rFonts w:cs="Arial"/>
                <w:i/>
                <w:sz w:val="20"/>
                <w:szCs w:val="20"/>
              </w:rPr>
              <w:t>nacionalna sodišča, pri katerih je bila vložena odškodninska tožba, prekinejo pravdne postopke do dveh let, kadar stranke v tem postopku sodelujejo pri sporazumnem reševanju spora glede zahtevka iz te odškodninske tožbe</w:t>
            </w:r>
            <w:r w:rsidRPr="002F30DF">
              <w:rPr>
                <w:rFonts w:cs="Arial"/>
                <w:sz w:val="20"/>
                <w:szCs w:val="20"/>
              </w:rPr>
              <w:t>. Ker bi lahko samo določbo razumeli tako, da lahko sodišče prekine pravdni postopek, kadar stranke že sodelujejo pri sporazumnem reševanju spora, je treba za pravilen prenos te določbe upoštevati tudi 50. uvodno</w:t>
            </w:r>
            <w:r w:rsidR="00721AA6" w:rsidRPr="002F30DF">
              <w:rPr>
                <w:rFonts w:cs="Arial"/>
                <w:sz w:val="20"/>
                <w:szCs w:val="20"/>
              </w:rPr>
              <w:t xml:space="preserve"> izjavo</w:t>
            </w:r>
            <w:r w:rsidRPr="002F30DF">
              <w:rPr>
                <w:rFonts w:cs="Arial"/>
                <w:sz w:val="20"/>
                <w:szCs w:val="20"/>
              </w:rPr>
              <w:t xml:space="preserve"> Direktive 2014/104, ki pravi, da bi </w:t>
            </w:r>
            <w:r w:rsidRPr="002F30DF">
              <w:rPr>
                <w:rFonts w:cs="Arial"/>
                <w:i/>
                <w:sz w:val="20"/>
                <w:szCs w:val="20"/>
              </w:rPr>
              <w:t>moralo imeti nacionalno sodišče v primeru, ko se stranki po vložitvi odškodninske tožbe pri njem odločita, da bosta predmet te tožbe poizkušali sporazumno rešiti, možnost za čas sporazumnega reševanja spora pretrgati postopek, ki je sicer že v teku.</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Prekinitev pravdnega postopka zaradi izvensodnega reševanja sporov v ZPP in v Zakonu o alternativnem reševanju sodnih sporov (Uradni list RS, št. </w:t>
            </w:r>
            <w:hyperlink r:id="rId135" w:tgtFrame="_blank" w:tooltip="Zakon o alternativnem reševanju sodnih sporov (ZARSS)" w:history="1">
              <w:r w:rsidRPr="002F30DF">
                <w:rPr>
                  <w:rFonts w:cs="Arial"/>
                  <w:sz w:val="20"/>
                  <w:szCs w:val="20"/>
                </w:rPr>
                <w:t>97/09</w:t>
              </w:r>
            </w:hyperlink>
            <w:r w:rsidRPr="002F30DF">
              <w:rPr>
                <w:rFonts w:cs="Arial"/>
                <w:sz w:val="20"/>
                <w:szCs w:val="20"/>
              </w:rPr>
              <w:t xml:space="preserve"> in </w:t>
            </w:r>
            <w:hyperlink r:id="rId136" w:tgtFrame="_blank" w:tooltip="Zakon za uravnoteženje javnih financ" w:history="1">
              <w:r w:rsidRPr="002F30DF">
                <w:rPr>
                  <w:rFonts w:cs="Arial"/>
                  <w:sz w:val="20"/>
                  <w:szCs w:val="20"/>
                </w:rPr>
                <w:t>40/12</w:t>
              </w:r>
            </w:hyperlink>
            <w:r w:rsidRPr="002F30DF">
              <w:rPr>
                <w:rFonts w:cs="Arial"/>
                <w:sz w:val="20"/>
                <w:szCs w:val="20"/>
              </w:rPr>
              <w:t xml:space="preserve"> – ZUJF). ZPP v </w:t>
            </w:r>
            <w:r w:rsidR="009334AE" w:rsidRPr="002F30DF">
              <w:rPr>
                <w:rFonts w:cs="Arial"/>
                <w:sz w:val="20"/>
                <w:szCs w:val="20"/>
              </w:rPr>
              <w:t>tretjem odstavku 206.</w:t>
            </w:r>
            <w:r w:rsidRPr="002F30DF">
              <w:rPr>
                <w:rFonts w:cs="Arial"/>
                <w:sz w:val="20"/>
                <w:szCs w:val="20"/>
              </w:rPr>
              <w:t xml:space="preserve"> člen</w:t>
            </w:r>
            <w:r w:rsidR="009334AE" w:rsidRPr="002F30DF">
              <w:rPr>
                <w:rFonts w:cs="Arial"/>
                <w:sz w:val="20"/>
                <w:szCs w:val="20"/>
              </w:rPr>
              <w:t>a</w:t>
            </w:r>
            <w:r w:rsidRPr="002F30DF">
              <w:rPr>
                <w:rFonts w:cs="Arial"/>
                <w:sz w:val="20"/>
                <w:szCs w:val="20"/>
              </w:rPr>
              <w:t xml:space="preserve"> določa, da lahko sodišče na predlog strank, ki soglašajo, da se opravi poskus alternativne rešitve spora, </w:t>
            </w:r>
            <w:r w:rsidR="009334AE" w:rsidRPr="002F30DF">
              <w:rPr>
                <w:rFonts w:cs="Arial"/>
                <w:sz w:val="20"/>
                <w:szCs w:val="20"/>
              </w:rPr>
              <w:t xml:space="preserve">odredi </w:t>
            </w:r>
            <w:r w:rsidRPr="002F30DF">
              <w:rPr>
                <w:rFonts w:cs="Arial"/>
                <w:sz w:val="20"/>
                <w:szCs w:val="20"/>
              </w:rPr>
              <w:t>prekin</w:t>
            </w:r>
            <w:r w:rsidR="009334AE" w:rsidRPr="002F30DF">
              <w:rPr>
                <w:rFonts w:cs="Arial"/>
                <w:sz w:val="20"/>
                <w:szCs w:val="20"/>
              </w:rPr>
              <w:t>itev</w:t>
            </w:r>
            <w:r w:rsidRPr="002F30DF">
              <w:rPr>
                <w:rFonts w:cs="Arial"/>
                <w:sz w:val="20"/>
                <w:szCs w:val="20"/>
              </w:rPr>
              <w:t xml:space="preserve"> postopk</w:t>
            </w:r>
            <w:r w:rsidR="009334AE" w:rsidRPr="002F30DF">
              <w:rPr>
                <w:rFonts w:cs="Arial"/>
                <w:sz w:val="20"/>
                <w:szCs w:val="20"/>
              </w:rPr>
              <w:t>a za čas, ki</w:t>
            </w:r>
            <w:r w:rsidRPr="002F30DF">
              <w:rPr>
                <w:rFonts w:cs="Arial"/>
                <w:sz w:val="20"/>
                <w:szCs w:val="20"/>
              </w:rPr>
              <w:t xml:space="preserve"> ne sme biti daljš</w:t>
            </w:r>
            <w:r w:rsidR="009334AE" w:rsidRPr="002F30DF">
              <w:rPr>
                <w:rFonts w:cs="Arial"/>
                <w:sz w:val="20"/>
                <w:szCs w:val="20"/>
              </w:rPr>
              <w:t>i</w:t>
            </w:r>
            <w:r w:rsidRPr="002F30DF">
              <w:rPr>
                <w:rFonts w:cs="Arial"/>
                <w:sz w:val="20"/>
                <w:szCs w:val="20"/>
              </w:rPr>
              <w:t xml:space="preserve"> od treh mesecev. To določa tudi 15. člen Zakona o alternativnem reševanju sodnih sporov, na podlagi katerega sodišče ponudi strankam možnost alternativnega reševanja spora v vsaki zadevi, razen kadar sodnik oceni, da v posamezni zadevi to ne bi bilo primerno. Na predlog strank, ki soglašajo, da se opravi poskus alternativne rešitve spora, lahko sodišče kadarkoli prekine sodni postopek za čas, ki ne sme biti daljši od treh mesecev, in stranke napoti v postopek alternativnega reševanja spora. Zakon o alternativnem reševanju sodnih sporov dopušča, da stranke izberejo program, ki ga sodišča izvajajo na podlagi tega zakona, ali pa katerikoli drug program oziroma postopek.</w:t>
            </w:r>
            <w:r w:rsidRPr="002F30DF">
              <w:rPr>
                <w:rFonts w:cs="Arial"/>
                <w:sz w:val="20"/>
                <w:szCs w:val="20"/>
                <w:vertAlign w:val="superscript"/>
              </w:rPr>
              <w:footnoteReference w:id="43"/>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Zaradi zagotovitve pravilnega prenosa Direktive 2014/104 </w:t>
            </w:r>
            <w:r w:rsidR="002F4DB7" w:rsidRPr="002F30DF">
              <w:rPr>
                <w:rFonts w:cs="Arial"/>
                <w:sz w:val="20"/>
                <w:szCs w:val="20"/>
              </w:rPr>
              <w:t xml:space="preserve">se ohranja </w:t>
            </w:r>
            <w:r w:rsidRPr="002F30DF">
              <w:rPr>
                <w:rFonts w:cs="Arial"/>
                <w:sz w:val="20"/>
                <w:szCs w:val="20"/>
              </w:rPr>
              <w:t>izjem</w:t>
            </w:r>
            <w:r w:rsidR="002F4DB7" w:rsidRPr="002F30DF">
              <w:rPr>
                <w:rFonts w:cs="Arial"/>
                <w:sz w:val="20"/>
                <w:szCs w:val="20"/>
              </w:rPr>
              <w:t>a</w:t>
            </w:r>
            <w:r w:rsidRPr="002F30DF">
              <w:rPr>
                <w:rFonts w:cs="Arial"/>
                <w:sz w:val="20"/>
                <w:szCs w:val="20"/>
              </w:rPr>
              <w:t xml:space="preserve"> glede določitve najdaljšega dovoljenega časa za prekinitev pravdnega postopka zaradi sporazumnega reševanja spora. Zato se v tem členu predlaga, da lahko sodišče na predlog strank, ki sodelujejo v postopku sporazumnega reševanja spora, povezanega z zahtevkom iz odškodninske tožbe, prekine ta postopek za največ dve leti.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w:t>
            </w:r>
            <w:r w:rsidR="005A32E8" w:rsidRPr="002F30DF">
              <w:rPr>
                <w:rFonts w:cs="Arial"/>
                <w:b/>
                <w:sz w:val="20"/>
                <w:szCs w:val="20"/>
              </w:rPr>
              <w:t>2</w:t>
            </w:r>
            <w:r w:rsidR="00343172" w:rsidRPr="002F30DF">
              <w:rPr>
                <w:rFonts w:cs="Arial"/>
                <w:b/>
                <w:sz w:val="20"/>
                <w:szCs w:val="20"/>
              </w:rPr>
              <w:t>8</w:t>
            </w:r>
            <w:r w:rsidRPr="002F30DF">
              <w:rPr>
                <w:rFonts w:cs="Arial"/>
                <w:b/>
                <w:sz w:val="20"/>
                <w:szCs w:val="20"/>
              </w:rPr>
              <w:t>. členu (učinek poravnave na druge odškodninske tožbe)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tem členom se prenaša 19. člen Direktive 2014/104, ki ureja učinek poravnav na druge odškodninske tožbe. Ta določba se nanaša na situacije, ko se en ali več solidarnih dolžnikov, vendar ne vsi, odločijo, da bodo sklenili poravnavo z enim ali več oškodovanci. Solidarni dolžnik, ki plača odškodnino v okviru poravnave, namreč ne sme biti v slabšem položaju v razmerju do drugih solidarnih dolžnikov kot bi bil, če poravnave ne bi sklenil. To pa bi se lahko zgodilo, kadar je kršitelj, ki sklene poravnavo, tudi po tej sklenitvi še naprej solidarno odgovoren za celotno škodo, povzročeno s kršitvijo. Namen te določbe je, da poravnava, ki so jo je sklenili oškodovanec in samo nekaterimi solidarni dolžniki, </w:t>
            </w:r>
            <w:r w:rsidRPr="002F30DF">
              <w:rPr>
                <w:rFonts w:cs="Arial"/>
                <w:sz w:val="20"/>
                <w:szCs w:val="20"/>
              </w:rPr>
              <w:lastRenderedPageBreak/>
              <w:t xml:space="preserve">nima pozitivnega ali negativnega učinka na solidarne dolžnike, ki se niso poravnali. Kljub temu je treba zagotoviti, da imajo oškodovanci pravico do popolne odškodnine.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slovenskem pravnem redu so solidarne obveznosti urejene v OZ, ki v 395. členu določa, da vsak dolžnik solidarne obveznosti odgovarja upniku za celo obveznost in lahko upnik zahteva njeno izpolnitev od kogar hoče, vse dotlej, dokler ni popolnoma izpolnjena; vendar pa obveznost preneha, ko jo en dolžnik izpolni, in so vsi dolžniki prosti. Učinek poravnave nasproti drugim dolžnikom pa je urejena v 399. členu OZ, ki določa da poravnava, ki jo je sklenil eden izmed solidarnih dolžnikov z upnikom, nima učinka nasproti drugim dolžnikom, vendar jo imajo ti pravico sprejeti, če ni omejena na dolžnika, s katerim je bila sklenjena. Upoštevaje navedeno bi solidarni dolžnik, čeprav je sklenil poravnavo z oškodovancem, še naprej solidarno odgovarjal za izpolnitev preostale obveznosti, kar pa ni skladno z zahtevami Direktive 2014/104, zato so v tem členu določne izjeme od pravil OZ.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V skladu s </w:t>
            </w:r>
            <w:r w:rsidRPr="002F30DF">
              <w:rPr>
                <w:rFonts w:cs="Arial"/>
                <w:sz w:val="20"/>
                <w:szCs w:val="20"/>
                <w:u w:val="single"/>
              </w:rPr>
              <w:t>prvim odstavkom</w:t>
            </w:r>
            <w:r w:rsidRPr="002F30DF">
              <w:rPr>
                <w:rFonts w:cs="Arial"/>
                <w:sz w:val="20"/>
                <w:szCs w:val="20"/>
              </w:rPr>
              <w:t xml:space="preserve"> lahko oškodovanec, ki je sklenil poravnavo le z nekaterimi solidarnimi dolžniki, zahteva od solidarnih dolžnikov, s katerimi ni sklenil poravnave, le povračilo škode, ki ustreza utrpeli škodi, zmanjšani za delež, ki bi ga moral plačati solidarni dolžnik, s katerim je sklenil poravnavo. Odškodninski zahtevek se torej zmanjša za celoten znesek, ki bi ga moral plačati solidarni dolžnik, s katerim je oškodovanec sklenil poravnavo, glede na njegov delež odgovornosti. S to določbo se želi zagotoviti, da sklenjena poravnava nima učinka na solidarnega dolžnika, ki ni sklenil poravnave.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Da sklenitev poravnave ne bi poslabšala položaja solidarnega dolžnika, se z </w:t>
            </w:r>
            <w:r w:rsidRPr="002F30DF">
              <w:rPr>
                <w:rFonts w:cs="Arial"/>
                <w:sz w:val="20"/>
                <w:szCs w:val="20"/>
                <w:u w:val="single"/>
              </w:rPr>
              <w:t>drugim odstavkom</w:t>
            </w:r>
            <w:r w:rsidRPr="002F30DF">
              <w:rPr>
                <w:rFonts w:cs="Arial"/>
                <w:sz w:val="20"/>
                <w:szCs w:val="20"/>
              </w:rPr>
              <w:t xml:space="preserve"> določi, da lahko oškodovanec, ki je sklenil poravnavo z nekaterimi solidarnimi dolžniki, izterja preostali odškodninski zahtevek le od tistih solidarnih dolžnikov, s katerimi ni sklenil poravnave, ter da solidarni dolžnik, ki ni sklenil poravnave, ne sme zahtevati soprispevka od solidarnega dolžnika, ki je sklenil poravnavo. Če bi moral solidarni dolžnik, ki je sklenil poravnavo, prispevati k plačilu preostalega zneska, bi bil ta solidarni dolžnik v slabšem položaju v razmerju do tistih solidarnih dolžnikov, ki niso sklenili poravnave.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lahko oškodovanec, ki je sklenil poravnavo, v skladu z drugim odstavkom tega člena izterja preostanek odškodnine le od solidarnih dolžnikov, ki niso sklenili poravnave, bi bil lahko oškodovanec, če ti solidarni dolžniki ne bi mogli plačati odškodnine (npr. v primeru stečaja), prikrajšan. Zato se s </w:t>
            </w:r>
            <w:r w:rsidRPr="002F30DF">
              <w:rPr>
                <w:rFonts w:cs="Arial"/>
                <w:sz w:val="20"/>
                <w:szCs w:val="20"/>
                <w:u w:val="single"/>
              </w:rPr>
              <w:t>tretjim odstavkom</w:t>
            </w:r>
            <w:r w:rsidRPr="002F30DF">
              <w:rPr>
                <w:rFonts w:cs="Arial"/>
                <w:sz w:val="20"/>
                <w:szCs w:val="20"/>
              </w:rPr>
              <w:t xml:space="preserve"> določi izjemo od drugega odstavka tega člena, v skladu s katero bo solidarni dolžnik, ki je sklenil poravnavo, dolžan plačati preostali del odškodnine oškodovancu, s katerim je sklenil poravnavo, če ta ni mogel izterjati preostale odškodnine od solidarnih dolžnikov, s katerimi ni sklenil poravnave. Torej se bo ta izjema uveljavljala v primeru, kadar bo edina možnost oškodovanca, ki je sklenil poravnavo z nekaterimi solidarnimi dolžniki, da pridobi odškodnino za preostali znesek odškodninskega zahtevka. Zaradi pogodbene svobode pa se dopušča možnost, da se solidarni dolžnik in oškodovanec v poravnavi dogovorita drugače.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lahko več kršiteljev s kršitvijo konkurenčnega prava povzroči škodo več oškodovancem, obstaja možnost, da ne bodo vsi solidarni dolžniki sklenili poravnave z vsemi oškodovanci. Zato se v izogib poznejšim nejasnostim v </w:t>
            </w:r>
            <w:r w:rsidRPr="002F30DF">
              <w:rPr>
                <w:rFonts w:cs="Arial"/>
                <w:sz w:val="20"/>
                <w:szCs w:val="20"/>
                <w:u w:val="single"/>
              </w:rPr>
              <w:t>četrtem odstavku</w:t>
            </w:r>
            <w:r w:rsidRPr="002F30DF">
              <w:rPr>
                <w:rFonts w:cs="Arial"/>
                <w:sz w:val="20"/>
                <w:szCs w:val="20"/>
              </w:rPr>
              <w:t xml:space="preserve"> določi, da lahko oškodovanec, ki ni sklenil poravnave, zahteva odškodnino zaradi iste kršitve konkurenčnega prava od katerega koli solidarnega dolžnika, pri čemer je treba upoštevati posebna pravila glede solidarne odgovornosti.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Ker pa lahko sklenjene poravnave vplivajo tudi na notranje razmerje med solidarnimi dolžniki, se v </w:t>
            </w:r>
            <w:r w:rsidRPr="002F30DF">
              <w:rPr>
                <w:rFonts w:cs="Arial"/>
                <w:sz w:val="20"/>
                <w:szCs w:val="20"/>
                <w:u w:val="single"/>
              </w:rPr>
              <w:t>petem odstavku</w:t>
            </w:r>
            <w:r w:rsidRPr="002F30DF">
              <w:rPr>
                <w:rFonts w:cs="Arial"/>
                <w:sz w:val="20"/>
                <w:szCs w:val="20"/>
              </w:rPr>
              <w:t xml:space="preserve"> določi, da sodišče pri določitvi višine regresnega zahtevka upošteva tudi odškodnino, ki jo je plačal solidarni dolžnik na podlagi predhodno sklenjene poravnave z drugimi oškodovanci. S tem se uredi notranje razmerje med solidarnim dolžnikom, ki je sklenil poravnavo le z nekaterimi oškodovanci, ter med solidarnimi dolžniki, ki niso sklenili poravnave.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w:t>
            </w:r>
            <w:r w:rsidR="00343172" w:rsidRPr="002F30DF">
              <w:rPr>
                <w:rFonts w:cs="Arial"/>
                <w:b/>
                <w:sz w:val="20"/>
                <w:szCs w:val="20"/>
              </w:rPr>
              <w:t>29</w:t>
            </w:r>
            <w:r w:rsidRPr="002F30DF">
              <w:rPr>
                <w:rFonts w:cs="Arial"/>
                <w:b/>
                <w:sz w:val="20"/>
                <w:szCs w:val="20"/>
              </w:rPr>
              <w:t xml:space="preserve">. členu (sodelovanje med sodišči, Evropsko komisijo in </w:t>
            </w:r>
            <w:r w:rsidR="00E448E3" w:rsidRPr="002F30DF">
              <w:rPr>
                <w:rFonts w:cs="Arial"/>
                <w:b/>
                <w:sz w:val="20"/>
                <w:szCs w:val="20"/>
              </w:rPr>
              <w:t>a</w:t>
            </w:r>
            <w:r w:rsidR="0045309B" w:rsidRPr="002F30DF">
              <w:rPr>
                <w:rFonts w:cs="Arial"/>
                <w:b/>
                <w:sz w:val="20"/>
                <w:szCs w:val="20"/>
              </w:rPr>
              <w:t>genc</w:t>
            </w:r>
            <w:r w:rsidRPr="002F30DF">
              <w:rPr>
                <w:rFonts w:cs="Arial"/>
                <w:b/>
                <w:sz w:val="20"/>
                <w:szCs w:val="20"/>
              </w:rPr>
              <w:t>ijo)</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Določba o sodelovanju med sodišči, Evropsko komisijo in </w:t>
            </w:r>
            <w:r w:rsidR="00D93BA5" w:rsidRPr="002F30DF">
              <w:rPr>
                <w:rFonts w:cs="Arial"/>
                <w:sz w:val="20"/>
                <w:szCs w:val="20"/>
              </w:rPr>
              <w:t>a</w:t>
            </w:r>
            <w:r w:rsidR="0045309B" w:rsidRPr="002F30DF">
              <w:rPr>
                <w:rFonts w:cs="Arial"/>
                <w:sz w:val="20"/>
                <w:szCs w:val="20"/>
              </w:rPr>
              <w:t>genc</w:t>
            </w:r>
            <w:r w:rsidRPr="002F30DF">
              <w:rPr>
                <w:rFonts w:cs="Arial"/>
                <w:sz w:val="20"/>
                <w:szCs w:val="20"/>
              </w:rPr>
              <w:t xml:space="preserve">ijo ostaja enaka določbi iz ZPOmK-1, ki je vzpostavil sistem sodelovanja med sodišči, Evropsko komisijo in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ijo.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Če Evropska komisija ali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ija v skladu s tretjim odstavkom 15. člena Uredbe 1/2003/ES podata sodišču pisno stališče do vprašanj uporabe 101. ali 102. člena PDEU, mora sodišče kopijo pisnega stališča poslati strankam postopka in tudi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iji, če stališče poda Evropska komisija. Ta in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ija lahko pisno stališče iz drugega in tretjega odstavka tega člena podata do izdaje odločbe. Pisno </w:t>
            </w:r>
            <w:r w:rsidRPr="002F30DF">
              <w:rPr>
                <w:rFonts w:cs="Arial"/>
                <w:sz w:val="20"/>
                <w:szCs w:val="20"/>
              </w:rPr>
              <w:lastRenderedPageBreak/>
              <w:t xml:space="preserve">stališče ni zavezujoče. Tudi sodišče lahko zaprosi Evropsko komisijo za mnenje v skladu s prvim odstavkom 15. člena Uredbe 1/2003, o čemer mora obvestiti stranke ter po prejemu mnenja Evropske komisije poslati njegovo kopijo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iji in strankam postopka. Mnenje ni zavezujoče. Kopijo končne odločbe o uporabi 101. ali 102. člena PDEU sodišče pošlje tako </w:t>
            </w:r>
            <w:r w:rsidR="00E448E3" w:rsidRPr="002F30DF">
              <w:rPr>
                <w:rFonts w:cs="Arial"/>
                <w:sz w:val="20"/>
                <w:szCs w:val="20"/>
              </w:rPr>
              <w:t>a</w:t>
            </w:r>
            <w:r w:rsidR="0045309B" w:rsidRPr="002F30DF">
              <w:rPr>
                <w:rFonts w:cs="Arial"/>
                <w:sz w:val="20"/>
                <w:szCs w:val="20"/>
              </w:rPr>
              <w:t>genc</w:t>
            </w:r>
            <w:r w:rsidRPr="002F30DF">
              <w:rPr>
                <w:rFonts w:cs="Arial"/>
                <w:sz w:val="20"/>
                <w:szCs w:val="20"/>
              </w:rPr>
              <w:t>iji kot Evropski komisiji.</w:t>
            </w:r>
          </w:p>
          <w:p w:rsidR="00B95552" w:rsidRPr="002F30DF" w:rsidRDefault="00B95552"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 predlogom določbe </w:t>
            </w:r>
            <w:r w:rsidRPr="002F30DF">
              <w:rPr>
                <w:rFonts w:cs="Arial"/>
                <w:sz w:val="20"/>
                <w:szCs w:val="20"/>
                <w:u w:val="single"/>
              </w:rPr>
              <w:t>prvega odstavka</w:t>
            </w:r>
            <w:r w:rsidRPr="002F30DF">
              <w:rPr>
                <w:rFonts w:cs="Arial"/>
                <w:sz w:val="20"/>
                <w:szCs w:val="20"/>
              </w:rPr>
              <w:t xml:space="preserve"> se ohranja obveznost sodišča, da mora obvestiti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ijo o vsakem postopku pred sodišči, ki je povezan z uporabo 5. ali 8. člena tega zakona ali 101. ali 102. člena PDEU. V skladu z </w:t>
            </w:r>
            <w:r w:rsidRPr="002F30DF">
              <w:rPr>
                <w:rFonts w:cs="Arial"/>
                <w:sz w:val="20"/>
                <w:szCs w:val="20"/>
                <w:u w:val="single"/>
              </w:rPr>
              <w:t>drugim odstavkom</w:t>
            </w:r>
            <w:r w:rsidRPr="002F30DF">
              <w:rPr>
                <w:rFonts w:cs="Arial"/>
                <w:sz w:val="20"/>
                <w:szCs w:val="20"/>
              </w:rPr>
              <w:t xml:space="preserve"> sodišče pošlje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iji kopijo odločbe o uporabi 5. ali 8. člena tega zakona ali 101. ali 102. člena PDEU hkrati z vročitvijo strankam.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Predlog določbe </w:t>
            </w:r>
            <w:r w:rsidRPr="002F30DF">
              <w:rPr>
                <w:rFonts w:cs="Arial"/>
                <w:sz w:val="20"/>
                <w:szCs w:val="20"/>
                <w:u w:val="single"/>
              </w:rPr>
              <w:t>tretjega odstavka</w:t>
            </w:r>
            <w:r w:rsidRPr="002F30DF">
              <w:rPr>
                <w:rFonts w:cs="Arial"/>
                <w:sz w:val="20"/>
                <w:szCs w:val="20"/>
              </w:rPr>
              <w:t xml:space="preserve"> določa okvir posredovanja </w:t>
            </w:r>
            <w:r w:rsidRPr="002F30DF">
              <w:rPr>
                <w:rFonts w:cs="Arial"/>
                <w:i/>
                <w:sz w:val="20"/>
                <w:szCs w:val="20"/>
              </w:rPr>
              <w:t>amicus curiae</w:t>
            </w:r>
            <w:r w:rsidRPr="002F30DF">
              <w:rPr>
                <w:rFonts w:cs="Arial"/>
                <w:sz w:val="20"/>
                <w:szCs w:val="20"/>
              </w:rPr>
              <w:t xml:space="preserve">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ije, in sicer lahko sodišče zaprosi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ijo, da ji ta posreduje pisno mnenje tudi glede uporabe 5. ali 8. člena tega zakona. </w:t>
            </w:r>
            <w:r w:rsidR="0045309B" w:rsidRPr="002F30DF">
              <w:rPr>
                <w:rFonts w:cs="Arial"/>
                <w:sz w:val="20"/>
                <w:szCs w:val="20"/>
              </w:rPr>
              <w:t>Agenc</w:t>
            </w:r>
            <w:r w:rsidRPr="002F30DF">
              <w:rPr>
                <w:rFonts w:cs="Arial"/>
                <w:sz w:val="20"/>
                <w:szCs w:val="20"/>
              </w:rPr>
              <w:t xml:space="preserve">ija lahko z dovoljenjem sodišča poda svoje mnenje tudi ustno na obravnavi. Posredovanje </w:t>
            </w:r>
            <w:r w:rsidRPr="002F30DF">
              <w:rPr>
                <w:rFonts w:cs="Arial"/>
                <w:i/>
                <w:sz w:val="20"/>
                <w:szCs w:val="20"/>
              </w:rPr>
              <w:t>amicus curiae</w:t>
            </w:r>
            <w:r w:rsidRPr="002F30DF">
              <w:rPr>
                <w:rFonts w:cs="Arial"/>
                <w:sz w:val="20"/>
                <w:szCs w:val="20"/>
              </w:rPr>
              <w:t xml:space="preserve"> Evropske komisije in organov, pristojnih za varstvo konkurence, je urejeno v 15. člen</w:t>
            </w:r>
            <w:r w:rsidR="002F4DB7" w:rsidRPr="002F30DF">
              <w:rPr>
                <w:rFonts w:cs="Arial"/>
                <w:sz w:val="20"/>
                <w:szCs w:val="20"/>
              </w:rPr>
              <w:t>u</w:t>
            </w:r>
            <w:r w:rsidRPr="002F30DF">
              <w:rPr>
                <w:rFonts w:cs="Arial"/>
                <w:sz w:val="20"/>
                <w:szCs w:val="20"/>
              </w:rPr>
              <w:t xml:space="preserve"> Uredbe 1/2003.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Četrti odstavek</w:t>
            </w:r>
            <w:r w:rsidRPr="002F30DF">
              <w:rPr>
                <w:rFonts w:cs="Arial"/>
                <w:sz w:val="20"/>
                <w:szCs w:val="20"/>
              </w:rPr>
              <w:t xml:space="preserve"> v skladu </w:t>
            </w:r>
            <w:r w:rsidR="002F4DB7" w:rsidRPr="002F30DF">
              <w:rPr>
                <w:rFonts w:cs="Arial"/>
                <w:sz w:val="20"/>
                <w:szCs w:val="20"/>
              </w:rPr>
              <w:t>s</w:t>
            </w:r>
            <w:r w:rsidRPr="002F30DF">
              <w:rPr>
                <w:rFonts w:cs="Arial"/>
                <w:sz w:val="20"/>
                <w:szCs w:val="20"/>
              </w:rPr>
              <w:t xml:space="preserve"> tretj</w:t>
            </w:r>
            <w:r w:rsidR="002F4DB7" w:rsidRPr="002F30DF">
              <w:rPr>
                <w:rFonts w:cs="Arial"/>
                <w:sz w:val="20"/>
                <w:szCs w:val="20"/>
              </w:rPr>
              <w:t>im</w:t>
            </w:r>
            <w:r w:rsidRPr="002F30DF">
              <w:rPr>
                <w:rFonts w:cs="Arial"/>
                <w:sz w:val="20"/>
                <w:szCs w:val="20"/>
              </w:rPr>
              <w:t xml:space="preserve"> odstavk</w:t>
            </w:r>
            <w:r w:rsidR="002F4DB7" w:rsidRPr="002F30DF">
              <w:rPr>
                <w:rFonts w:cs="Arial"/>
                <w:sz w:val="20"/>
                <w:szCs w:val="20"/>
              </w:rPr>
              <w:t>om</w:t>
            </w:r>
            <w:r w:rsidRPr="002F30DF">
              <w:rPr>
                <w:rFonts w:cs="Arial"/>
                <w:sz w:val="20"/>
                <w:szCs w:val="20"/>
              </w:rPr>
              <w:t xml:space="preserve"> 15. člena Uredbe 1/2003 določa, da sme Evropska komisija podati mnenje, »zaradi zagotavljanja skladne uporabe«.</w:t>
            </w:r>
            <w:r w:rsidRPr="002F30DF">
              <w:rPr>
                <w:rFonts w:cs="Arial"/>
                <w:sz w:val="20"/>
                <w:szCs w:val="20"/>
                <w:vertAlign w:val="superscript"/>
              </w:rPr>
              <w:footnoteReference w:id="44"/>
            </w:r>
            <w:r w:rsidRPr="002F30DF">
              <w:rPr>
                <w:rFonts w:cs="Arial"/>
                <w:sz w:val="20"/>
                <w:szCs w:val="20"/>
                <w:vertAlign w:val="superscript"/>
              </w:rPr>
              <w:t xml:space="preserve">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u w:val="single"/>
              </w:rPr>
              <w:t>Peti odstavek</w:t>
            </w:r>
            <w:r w:rsidRPr="002F30DF">
              <w:rPr>
                <w:rFonts w:cs="Arial"/>
                <w:sz w:val="20"/>
                <w:szCs w:val="20"/>
              </w:rPr>
              <w:t xml:space="preserve"> določa, da se </w:t>
            </w:r>
            <w:r w:rsidR="00E448E3" w:rsidRPr="002F30DF">
              <w:rPr>
                <w:rFonts w:cs="Arial"/>
                <w:sz w:val="20"/>
                <w:szCs w:val="20"/>
              </w:rPr>
              <w:t>a</w:t>
            </w:r>
            <w:r w:rsidR="0045309B" w:rsidRPr="002F30DF">
              <w:rPr>
                <w:rFonts w:cs="Arial"/>
                <w:sz w:val="20"/>
                <w:szCs w:val="20"/>
              </w:rPr>
              <w:t>genc</w:t>
            </w:r>
            <w:r w:rsidRPr="002F30DF">
              <w:rPr>
                <w:rFonts w:cs="Arial"/>
                <w:sz w:val="20"/>
                <w:szCs w:val="20"/>
              </w:rPr>
              <w:t>ijo pooblasti tudi za podajanje mnenj glede vprašanj uporabe 5. ali 8. člena tega zakona.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Predlog določbe </w:t>
            </w:r>
            <w:r w:rsidRPr="002F30DF">
              <w:rPr>
                <w:rFonts w:cs="Arial"/>
                <w:sz w:val="20"/>
                <w:szCs w:val="20"/>
                <w:u w:val="single"/>
              </w:rPr>
              <w:t>šestega odstavka</w:t>
            </w:r>
            <w:r w:rsidRPr="002F30DF">
              <w:rPr>
                <w:rFonts w:cs="Arial"/>
                <w:sz w:val="20"/>
                <w:szCs w:val="20"/>
              </w:rPr>
              <w:t xml:space="preserve"> določa, da če sodišče zaprosi Evropsko komisijo za mnenje v skladu s prvim odstavkom 15. člena Uredbe 1/2003, o tem obvesti stranke ter po prejemu mnenja Evropske komisije pošlje kopijo mnenja </w:t>
            </w:r>
            <w:r w:rsidR="0045309B" w:rsidRPr="002F30DF">
              <w:rPr>
                <w:rFonts w:cs="Arial"/>
                <w:sz w:val="20"/>
                <w:szCs w:val="20"/>
              </w:rPr>
              <w:t>Agenc</w:t>
            </w:r>
            <w:r w:rsidRPr="002F30DF">
              <w:rPr>
                <w:rFonts w:cs="Arial"/>
                <w:sz w:val="20"/>
                <w:szCs w:val="20"/>
              </w:rPr>
              <w:t xml:space="preserve">iji in strankam postopka.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Določba </w:t>
            </w:r>
            <w:r w:rsidRPr="002F30DF">
              <w:rPr>
                <w:rFonts w:cs="Arial"/>
                <w:sz w:val="20"/>
                <w:szCs w:val="20"/>
                <w:u w:val="single"/>
              </w:rPr>
              <w:t>sedmega odstavka</w:t>
            </w:r>
            <w:r w:rsidRPr="002F30DF">
              <w:rPr>
                <w:rFonts w:cs="Arial"/>
                <w:sz w:val="20"/>
                <w:szCs w:val="20"/>
              </w:rPr>
              <w:t xml:space="preserve"> določa, da lahko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ija ali Evropska komisija pisno mnenje iz četrtega do šestega odstavka tega člena ter </w:t>
            </w:r>
            <w:r w:rsidR="00890831" w:rsidRPr="002F30DF">
              <w:rPr>
                <w:rFonts w:cs="Arial"/>
                <w:sz w:val="20"/>
                <w:szCs w:val="20"/>
              </w:rPr>
              <w:t xml:space="preserve">tretjega </w:t>
            </w:r>
            <w:r w:rsidR="003B1544" w:rsidRPr="002F30DF">
              <w:rPr>
                <w:rFonts w:cs="Arial"/>
                <w:sz w:val="20"/>
                <w:szCs w:val="20"/>
              </w:rPr>
              <w:t xml:space="preserve">odstavka </w:t>
            </w:r>
            <w:r w:rsidR="00827936" w:rsidRPr="002F30DF">
              <w:rPr>
                <w:rFonts w:cs="Arial"/>
                <w:sz w:val="20"/>
                <w:szCs w:val="20"/>
              </w:rPr>
              <w:t>121</w:t>
            </w:r>
            <w:r w:rsidRPr="002F30DF">
              <w:rPr>
                <w:rFonts w:cs="Arial"/>
                <w:sz w:val="20"/>
                <w:szCs w:val="20"/>
              </w:rPr>
              <w:t xml:space="preserve">. člena tega zakona poda kadar koli do izdaje odločbe.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13</w:t>
            </w:r>
            <w:r w:rsidR="00343172" w:rsidRPr="002F30DF">
              <w:rPr>
                <w:rFonts w:cs="Arial"/>
                <w:b/>
                <w:sz w:val="20"/>
                <w:szCs w:val="20"/>
              </w:rPr>
              <w:t>0</w:t>
            </w:r>
            <w:r w:rsidRPr="002F30DF">
              <w:rPr>
                <w:rFonts w:cs="Arial"/>
                <w:b/>
                <w:sz w:val="20"/>
                <w:szCs w:val="20"/>
              </w:rPr>
              <w:t>. členu (pojem nelojalne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Še vedno se ohranja  generalna prepoved nelojalne konkurence </w:t>
            </w:r>
            <w:r w:rsidRPr="002F30DF">
              <w:rPr>
                <w:rFonts w:cs="Arial"/>
                <w:sz w:val="20"/>
                <w:szCs w:val="20"/>
                <w:u w:val="single"/>
              </w:rPr>
              <w:t>(prvi odstavek)</w:t>
            </w:r>
            <w:r w:rsidRPr="002F30DF">
              <w:rPr>
                <w:rFonts w:cs="Arial"/>
                <w:sz w:val="20"/>
                <w:szCs w:val="20"/>
              </w:rPr>
              <w:t xml:space="preserve"> ter opredelitev pojma nelojalne konkurence.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lang w:eastAsia="ar-SA"/>
              </w:rPr>
            </w:pPr>
            <w:r w:rsidRPr="002F30DF">
              <w:rPr>
                <w:rFonts w:cs="Arial"/>
                <w:sz w:val="20"/>
                <w:szCs w:val="20"/>
                <w:u w:val="single"/>
              </w:rPr>
              <w:t>Drugi odstavek</w:t>
            </w:r>
            <w:r w:rsidRPr="002F30DF">
              <w:rPr>
                <w:rFonts w:cs="Arial"/>
                <w:sz w:val="20"/>
                <w:szCs w:val="20"/>
              </w:rPr>
              <w:t xml:space="preserve"> je </w:t>
            </w:r>
            <w:r w:rsidRPr="002F30DF">
              <w:rPr>
                <w:rFonts w:cs="Arial"/>
                <w:sz w:val="20"/>
                <w:szCs w:val="20"/>
                <w:lang w:eastAsia="ar-SA"/>
              </w:rPr>
              <w:t>splošna klavzula, ki abstraktno, torej le z določitvijo elementov nelojalne konkurence določa, kaj je nelojalna konkurenca. Opredelitev nelojalne konkurence ostaja enaka, in sicer je to tisto dejanje, ki ga stori podjetje (prvi element splošne klavzule) pri nastopanju na trgu (drugi element splošne klavzule) v nasprotju z dobrimi poslovnimi običaji (tretji element splošne klavzule) in s katerim se povzroči ali utegne povzročiti škoda drugim udeležencem na trgu (četrti element splošne klavzule). Iz te opredelitve ne izhaja, kaj obsega pojem »dobri poslovni običaji«, ampak gre za pravni standard, ki ga je treba določiti za vsako dejanje posebej. Za opredelitev, ali je neko dejanje nelojalna konkurenca, pa mora biti izpolnjen tudi pogoj, da tako dejanje povzroči ali utegne povzročiti škodo drugim udeležencem na trgu. Opredelitev nelojalne konkurence ne določa, kaj je škoda, ampak je to urejeno v Obligacijskem zakoniku (Uradni list RS, št. 97/2007 – uradno prečiščeno besedilo; v nadaljnjem besedilu: OZ). 132. člen OZ določa, da je škoda zmanjšanje premoženja (navadna škoda), preprečitev nastanka škode (izgubljeni dobiček), pa tudi povzročitev telesnih ali duševnih bolečin ali strahu drugemu in okrnitev ugleda pravne osebe (nepremoženjska škoda). Za dejanje nelojalne konkurence pa ni potrebno, da je škoda že nastala, ampak zadostuje, da tako ravnanje utegne povzročiti škodo.</w:t>
            </w:r>
          </w:p>
          <w:p w:rsidR="007522E3" w:rsidRPr="002F30DF" w:rsidRDefault="007522E3" w:rsidP="0025166A">
            <w:pPr>
              <w:spacing w:line="260" w:lineRule="atLeast"/>
              <w:rPr>
                <w:rFonts w:cs="Arial"/>
                <w:sz w:val="20"/>
                <w:szCs w:val="20"/>
                <w:lang w:eastAsia="ar-SA"/>
              </w:rPr>
            </w:pPr>
          </w:p>
          <w:p w:rsidR="007522E3" w:rsidRPr="002F30DF" w:rsidRDefault="007522E3" w:rsidP="0025166A">
            <w:pPr>
              <w:spacing w:line="260" w:lineRule="atLeast"/>
              <w:rPr>
                <w:rFonts w:cs="Arial"/>
                <w:sz w:val="20"/>
                <w:szCs w:val="20"/>
              </w:rPr>
            </w:pPr>
            <w:r w:rsidRPr="002F30DF">
              <w:rPr>
                <w:rFonts w:cs="Arial"/>
                <w:sz w:val="20"/>
                <w:szCs w:val="20"/>
                <w:u w:val="single"/>
              </w:rPr>
              <w:lastRenderedPageBreak/>
              <w:t>Tretji odstavek</w:t>
            </w:r>
            <w:r w:rsidRPr="002F30DF">
              <w:rPr>
                <w:rFonts w:cs="Arial"/>
                <w:sz w:val="20"/>
                <w:szCs w:val="20"/>
              </w:rPr>
              <w:t xml:space="preserve"> pa primeroma našteva, katera dejanja se štejejo kot nelojalna konkurenca. Ker gre za primeroma navedena dejanja, se za dejanje nelojalne konkurence štejejo tudi vsa druga dejanja, ki izpolnjujejo (imajo) elemente nelojalne konkurence, določene v drugem odstavku tega člena. Vsekakor pa je potrebno pri vseh primerih upoštevati ali dejanje izpolnjuje elemente splošne klavzule, določene v predlogu prvega odstavka tega člena.</w:t>
            </w:r>
          </w:p>
          <w:p w:rsidR="007522E3" w:rsidRPr="002F30DF" w:rsidRDefault="007522E3" w:rsidP="0025166A">
            <w:pPr>
              <w:spacing w:line="260" w:lineRule="atLeast"/>
              <w:rPr>
                <w:rFonts w:cs="Arial"/>
                <w:sz w:val="20"/>
                <w:szCs w:val="20"/>
              </w:rPr>
            </w:pPr>
            <w:r w:rsidRPr="002F30DF">
              <w:rPr>
                <w:rFonts w:cs="Arial"/>
                <w:sz w:val="20"/>
                <w:szCs w:val="20"/>
                <w:u w:val="single"/>
              </w:rPr>
              <w:t>Prva alineja</w:t>
            </w:r>
            <w:r w:rsidRPr="002F30DF">
              <w:rPr>
                <w:rFonts w:cs="Arial"/>
                <w:sz w:val="20"/>
                <w:szCs w:val="20"/>
              </w:rPr>
              <w:t xml:space="preserve"> zajema predvsem navajanje podatkov o drugem podjetju, s katerimi se škodi ali utegne škoditi ugledu in poslovanju drugega podjetja. Ob elementih splošne klavzule o nelojalni konkurenci je treba razumeti, da tako navajanje ni dopustno tedaj, kadar za to ni utemeljenega razloga oziroma kadar gre podjetju pri takem ravnanju za poslabšanje konkurentovega ugleda in poslovanja.</w:t>
            </w:r>
          </w:p>
          <w:p w:rsidR="007522E3" w:rsidRPr="002F30DF" w:rsidRDefault="007522E3" w:rsidP="0025166A">
            <w:pPr>
              <w:spacing w:line="260" w:lineRule="atLeast"/>
              <w:rPr>
                <w:rFonts w:cs="Arial"/>
                <w:sz w:val="20"/>
                <w:szCs w:val="20"/>
              </w:rPr>
            </w:pPr>
            <w:r w:rsidRPr="002F30DF">
              <w:rPr>
                <w:rFonts w:cs="Arial"/>
                <w:sz w:val="20"/>
                <w:szCs w:val="20"/>
                <w:u w:val="single"/>
              </w:rPr>
              <w:t>Druga alineja</w:t>
            </w:r>
            <w:r w:rsidRPr="002F30DF">
              <w:rPr>
                <w:rFonts w:cs="Arial"/>
                <w:sz w:val="20"/>
                <w:szCs w:val="20"/>
              </w:rPr>
              <w:t xml:space="preserve"> zajema dejanja neresničnega označevanja blaga ali storitev, ki ustvarjajo ali utegnejo ustvariti zmedo na trgu glede izvora, načina proizvodnje, količine, kakovosti ali drugih lastnosti, ne glede na to ali uživajo varstvo po drugih predpisih (npr. po Zakonu o industrijski lastnini).</w:t>
            </w:r>
          </w:p>
          <w:p w:rsidR="007522E3" w:rsidRPr="002F30DF" w:rsidRDefault="007522E3" w:rsidP="0025166A">
            <w:pPr>
              <w:spacing w:line="260" w:lineRule="atLeast"/>
              <w:rPr>
                <w:rFonts w:cs="Arial"/>
                <w:sz w:val="20"/>
                <w:szCs w:val="20"/>
              </w:rPr>
            </w:pPr>
            <w:r w:rsidRPr="002F30DF">
              <w:rPr>
                <w:rFonts w:cs="Arial"/>
                <w:sz w:val="20"/>
                <w:szCs w:val="20"/>
                <w:u w:val="single"/>
              </w:rPr>
              <w:t>Tretja alineja</w:t>
            </w:r>
            <w:r w:rsidRPr="002F30DF">
              <w:rPr>
                <w:rFonts w:cs="Arial"/>
                <w:sz w:val="20"/>
                <w:szCs w:val="20"/>
              </w:rPr>
              <w:t xml:space="preserve"> zajema dejanja, ki so usmerjena v prekinitev poslovnega razmerja med drugimi podjetji ali preprečevanju ali oteževanju takih razmerij.</w:t>
            </w:r>
          </w:p>
          <w:p w:rsidR="007522E3" w:rsidRPr="002F30DF" w:rsidRDefault="007522E3" w:rsidP="0025166A">
            <w:pPr>
              <w:spacing w:line="260" w:lineRule="atLeast"/>
              <w:rPr>
                <w:rFonts w:cs="Arial"/>
                <w:sz w:val="20"/>
                <w:szCs w:val="20"/>
              </w:rPr>
            </w:pPr>
            <w:r w:rsidRPr="002F30DF">
              <w:rPr>
                <w:rFonts w:cs="Arial"/>
                <w:sz w:val="20"/>
                <w:szCs w:val="20"/>
                <w:u w:val="single"/>
              </w:rPr>
              <w:t>Četrta alineja</w:t>
            </w:r>
            <w:r w:rsidRPr="002F30DF">
              <w:rPr>
                <w:rFonts w:cs="Arial"/>
                <w:sz w:val="20"/>
                <w:szCs w:val="20"/>
              </w:rPr>
              <w:t xml:space="preserve"> zajema dejanja, ki so usmerjena v prekinitev ali oteževanje poslovnega razmerja in jih stori ena izmed strank tega poslovnega razmerja.</w:t>
            </w:r>
          </w:p>
          <w:p w:rsidR="007522E3" w:rsidRPr="002F30DF" w:rsidRDefault="007522E3" w:rsidP="0025166A">
            <w:pPr>
              <w:spacing w:line="260" w:lineRule="atLeast"/>
              <w:rPr>
                <w:rFonts w:cs="Arial"/>
                <w:sz w:val="20"/>
                <w:szCs w:val="20"/>
              </w:rPr>
            </w:pPr>
            <w:r w:rsidRPr="002F30DF">
              <w:rPr>
                <w:rFonts w:cs="Arial"/>
                <w:sz w:val="20"/>
                <w:szCs w:val="20"/>
                <w:u w:val="single"/>
              </w:rPr>
              <w:t>Peta alineja</w:t>
            </w:r>
            <w:r w:rsidRPr="002F30DF">
              <w:rPr>
                <w:rFonts w:cs="Arial"/>
                <w:sz w:val="20"/>
                <w:szCs w:val="20"/>
              </w:rPr>
              <w:t xml:space="preserve"> opredeljuje dejanja neupravičene uporabe kakršne koli oznake drugega podjetja, če se s tem ustvari ali utegne ustvariti zmeda na trgu. S tem se dodatno varujejo razlikovalne oznake, ki jih primarno varujejo že drugi zakoni (npr. Zakon o gospodarskih družbah varuje firmo, Zakon o industrijski lastnini varuje znamke, patent).</w:t>
            </w:r>
          </w:p>
          <w:p w:rsidR="007522E3" w:rsidRPr="002F30DF" w:rsidRDefault="007522E3" w:rsidP="0025166A">
            <w:pPr>
              <w:spacing w:line="260" w:lineRule="atLeast"/>
              <w:rPr>
                <w:rFonts w:cs="Arial"/>
                <w:sz w:val="20"/>
                <w:szCs w:val="20"/>
              </w:rPr>
            </w:pPr>
            <w:r w:rsidRPr="002F30DF">
              <w:rPr>
                <w:rFonts w:cs="Arial"/>
                <w:sz w:val="20"/>
                <w:szCs w:val="20"/>
                <w:u w:val="single"/>
              </w:rPr>
              <w:t>Šesta alineja</w:t>
            </w:r>
            <w:r w:rsidRPr="002F30DF">
              <w:rPr>
                <w:rFonts w:cs="Arial"/>
                <w:sz w:val="20"/>
                <w:szCs w:val="20"/>
              </w:rPr>
              <w:t xml:space="preserve"> zajema dejanja, ki se nanašajo na dajanje ali obljubljanje daril ali kakršne koli koristi (npr. premoženjske) drugemu podjetju, njegovemu delavcu ali osebi, ki dela za drugo podjetje, da bi se darovalcu omogočila ugodnost v škodo kakšnega podjetja. Z drugimi besedami, darovalec s podkupovanjem doseže ugodnost v svojo korist in v škodo drugega podjetja. </w:t>
            </w:r>
          </w:p>
          <w:p w:rsidR="007522E3" w:rsidRPr="002F30DF" w:rsidRDefault="007522E3" w:rsidP="0025166A">
            <w:pPr>
              <w:spacing w:line="260" w:lineRule="atLeast"/>
              <w:rPr>
                <w:rFonts w:cs="Arial"/>
                <w:sz w:val="20"/>
                <w:szCs w:val="20"/>
              </w:rPr>
            </w:pPr>
            <w:r w:rsidRPr="002F30DF">
              <w:rPr>
                <w:rFonts w:cs="Arial"/>
                <w:sz w:val="20"/>
                <w:szCs w:val="20"/>
                <w:u w:val="single"/>
              </w:rPr>
              <w:t>Sedma alineja</w:t>
            </w:r>
            <w:r w:rsidRPr="002F30DF">
              <w:rPr>
                <w:rFonts w:cs="Arial"/>
                <w:sz w:val="20"/>
                <w:szCs w:val="20"/>
              </w:rPr>
              <w:t xml:space="preserve"> se nanaša na nepooblaščeno uporabo storitev trgovskega potnika, trgovskega predstavnika ali zastopnika drugega podjetja.</w:t>
            </w:r>
          </w:p>
          <w:p w:rsidR="007522E3" w:rsidRPr="002F30DF" w:rsidRDefault="007522E3" w:rsidP="0025166A">
            <w:pPr>
              <w:spacing w:line="260" w:lineRule="atLeast"/>
              <w:rPr>
                <w:rFonts w:cs="Arial"/>
                <w:sz w:val="20"/>
                <w:szCs w:val="20"/>
              </w:rPr>
            </w:pPr>
            <w:r w:rsidRPr="002F30DF">
              <w:rPr>
                <w:rFonts w:cs="Arial"/>
                <w:sz w:val="20"/>
                <w:szCs w:val="20"/>
                <w:u w:val="single"/>
              </w:rPr>
              <w:t>Osma alineja</w:t>
            </w:r>
            <w:r w:rsidRPr="002F30DF">
              <w:rPr>
                <w:rFonts w:cs="Arial"/>
                <w:sz w:val="20"/>
                <w:szCs w:val="20"/>
              </w:rPr>
              <w:t xml:space="preserve"> se nanaša na dejanja protipravnega pridobivanja poslovne skrivnosti drugega podjetja ali neupravičeno izkoriščane poslovne skrivnosti drugega podjetja.</w:t>
            </w:r>
          </w:p>
          <w:p w:rsidR="00C741E8" w:rsidRPr="002F30DF" w:rsidRDefault="00C741E8"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Za opredelitev pojma poslovna skrivnosti po tem členu se uporablja Zakon o poslovni skrivnosti (Uradni list RS, št. </w:t>
            </w:r>
            <w:hyperlink r:id="rId137" w:tgtFrame="_blank" w:tooltip="Zakon o poslovni skrivnosti (ZPosS)" w:history="1">
              <w:r w:rsidRPr="002F30DF">
                <w:rPr>
                  <w:rFonts w:cs="Arial"/>
                  <w:sz w:val="20"/>
                  <w:szCs w:val="20"/>
                </w:rPr>
                <w:t>22/19</w:t>
              </w:r>
            </w:hyperlink>
            <w:r w:rsidRPr="002F30DF">
              <w:rPr>
                <w:rFonts w:cs="Arial"/>
                <w:sz w:val="20"/>
                <w:szCs w:val="20"/>
              </w:rPr>
              <w:t xml:space="preserve">), ki določa, da poslovna skrivnost zajema nerazkrito strokovno znanje, izkušnje in poslovne informacije in ki izpolnjuje naslednje zahteve, da je skrivnost, ki ni splošno znana ali lahko dosegljiva osebam v krogih, ki se običajno ukvarjajo s to vrsto informacij, ima tržno vrednost in je imetnik poslovne skrivnosti v danih okoliščinah razumno ukrepal, da jo ohrani kot skrivnost. Sklic na Zakon o poslovni skrivnosti je potreben, ker je sodna praksa Sodišča EU oblikovala pojem poslovne skrivnosti in zaupnih podatkov, kot je opredeljen v 3. členu tega predloga tega zakona le za namene izvajanja 101. ali 102. člena PDEU, v sklop katerega pa ne spada nelojalna konkurenca.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13</w:t>
            </w:r>
            <w:r w:rsidR="00343172" w:rsidRPr="002F30DF">
              <w:rPr>
                <w:rFonts w:cs="Arial"/>
                <w:b/>
                <w:sz w:val="20"/>
                <w:szCs w:val="20"/>
              </w:rPr>
              <w:t>1</w:t>
            </w:r>
            <w:r w:rsidRPr="002F30DF">
              <w:rPr>
                <w:rFonts w:cs="Arial"/>
                <w:b/>
                <w:sz w:val="20"/>
                <w:szCs w:val="20"/>
              </w:rPr>
              <w:t>. členu (pravice prizadetega udeleženca)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Tudi določba o pravicah prizadetih udeležencev ostaja nespremenjena. </w:t>
            </w:r>
          </w:p>
          <w:p w:rsidR="007522E3" w:rsidRPr="002F30DF" w:rsidRDefault="007522E3" w:rsidP="0025166A">
            <w:pPr>
              <w:spacing w:line="260" w:lineRule="atLeast"/>
              <w:rPr>
                <w:rFonts w:cs="Arial"/>
                <w:sz w:val="20"/>
                <w:szCs w:val="20"/>
              </w:rPr>
            </w:pPr>
          </w:p>
          <w:p w:rsidR="007522E3" w:rsidRPr="002F30DF" w:rsidRDefault="007522E3" w:rsidP="0025166A">
            <w:pPr>
              <w:tabs>
                <w:tab w:val="num" w:pos="0"/>
                <w:tab w:val="left" w:pos="284"/>
              </w:tabs>
              <w:suppressAutoHyphens/>
              <w:spacing w:line="260" w:lineRule="atLeast"/>
              <w:rPr>
                <w:rFonts w:cs="Arial"/>
                <w:sz w:val="20"/>
                <w:szCs w:val="20"/>
                <w:lang w:eastAsia="ar-SA"/>
              </w:rPr>
            </w:pPr>
            <w:r w:rsidRPr="002F30DF">
              <w:rPr>
                <w:rFonts w:cs="Arial"/>
                <w:sz w:val="20"/>
                <w:szCs w:val="20"/>
                <w:u w:val="single"/>
                <w:lang w:eastAsia="ar-SA"/>
              </w:rPr>
              <w:t>Prvi odstavek</w:t>
            </w:r>
            <w:r w:rsidRPr="002F30DF">
              <w:rPr>
                <w:rFonts w:cs="Arial"/>
                <w:sz w:val="20"/>
                <w:szCs w:val="20"/>
                <w:lang w:eastAsia="ar-SA"/>
              </w:rPr>
              <w:t xml:space="preserve"> določa, da kdor je utrpel škodo zaradi dejanj nelojalne konkurence, sme zahtevati odškodnino po pravilih obligacijskega prava. 131. člen OZ pa določa, da kdor povzroči drugemu škodo, jo mora povrniti, če ne dokaže, da je nastala brez njegove krivde. Skladno s to določbo OZ bo moral oškodovanec dokazati obstoj protipravnosti, vzročne zveze in škode, medtem ko bo moral kršitelj dokazati, da ni kriv.</w:t>
            </w:r>
          </w:p>
          <w:p w:rsidR="007522E3" w:rsidRPr="002F30DF" w:rsidRDefault="007522E3" w:rsidP="0025166A">
            <w:pPr>
              <w:tabs>
                <w:tab w:val="num" w:pos="0"/>
                <w:tab w:val="left" w:pos="284"/>
              </w:tabs>
              <w:suppressAutoHyphens/>
              <w:spacing w:line="260" w:lineRule="atLeast"/>
              <w:rPr>
                <w:rFonts w:cs="Arial"/>
                <w:sz w:val="20"/>
                <w:szCs w:val="20"/>
                <w:lang w:eastAsia="ar-SA"/>
              </w:rPr>
            </w:pPr>
          </w:p>
          <w:p w:rsidR="007522E3" w:rsidRPr="002F30DF" w:rsidRDefault="007522E3" w:rsidP="0025166A">
            <w:pPr>
              <w:tabs>
                <w:tab w:val="num" w:pos="0"/>
                <w:tab w:val="left" w:pos="284"/>
              </w:tabs>
              <w:suppressAutoHyphens/>
              <w:spacing w:line="260" w:lineRule="atLeast"/>
              <w:rPr>
                <w:rFonts w:cs="Arial"/>
                <w:sz w:val="20"/>
                <w:szCs w:val="20"/>
                <w:lang w:eastAsia="ar-SA"/>
              </w:rPr>
            </w:pPr>
            <w:r w:rsidRPr="002F30DF">
              <w:rPr>
                <w:rFonts w:cs="Arial"/>
                <w:sz w:val="20"/>
                <w:szCs w:val="20"/>
                <w:lang w:eastAsia="ar-SA"/>
              </w:rPr>
              <w:t xml:space="preserve">Z </w:t>
            </w:r>
            <w:r w:rsidRPr="002F30DF">
              <w:rPr>
                <w:rFonts w:cs="Arial"/>
                <w:sz w:val="20"/>
                <w:szCs w:val="20"/>
                <w:u w:val="single"/>
                <w:lang w:eastAsia="ar-SA"/>
              </w:rPr>
              <w:t>drugim odstavkom</w:t>
            </w:r>
            <w:r w:rsidRPr="002F30DF">
              <w:rPr>
                <w:rFonts w:cs="Arial"/>
                <w:sz w:val="20"/>
                <w:szCs w:val="20"/>
                <w:lang w:eastAsia="ar-SA"/>
              </w:rPr>
              <w:t xml:space="preserve"> se ohranja sodno varstvo in določa, da lahko prizadeto podjetje s tožbo v pravdnem postopku zahteva prepoved nadaljnjih dejanj nelojalne konkurence, uničenje predmetov, s katerimi je bilo storjeno dejanje nelojalne konkurence, in vzpostavitev prejšnjega stanja, če je to mogoče. </w:t>
            </w:r>
          </w:p>
          <w:p w:rsidR="007522E3" w:rsidRPr="002F30DF" w:rsidRDefault="007522E3" w:rsidP="0025166A">
            <w:pPr>
              <w:tabs>
                <w:tab w:val="num" w:pos="0"/>
                <w:tab w:val="left" w:pos="284"/>
              </w:tabs>
              <w:suppressAutoHyphens/>
              <w:spacing w:line="260" w:lineRule="atLeast"/>
              <w:rPr>
                <w:rFonts w:cs="Arial"/>
                <w:sz w:val="20"/>
                <w:szCs w:val="20"/>
                <w:lang w:eastAsia="ar-SA"/>
              </w:rPr>
            </w:pPr>
          </w:p>
          <w:p w:rsidR="007522E3" w:rsidRPr="002F30DF" w:rsidRDefault="007522E3" w:rsidP="0025166A">
            <w:pPr>
              <w:tabs>
                <w:tab w:val="num" w:pos="0"/>
                <w:tab w:val="left" w:pos="284"/>
              </w:tabs>
              <w:suppressAutoHyphens/>
              <w:spacing w:line="260" w:lineRule="atLeast"/>
              <w:rPr>
                <w:rFonts w:cs="Arial"/>
                <w:sz w:val="20"/>
                <w:szCs w:val="20"/>
                <w:lang w:eastAsia="ar-SA"/>
              </w:rPr>
            </w:pPr>
            <w:r w:rsidRPr="002F30DF">
              <w:rPr>
                <w:rFonts w:cs="Arial"/>
                <w:sz w:val="20"/>
                <w:szCs w:val="20"/>
                <w:u w:val="single"/>
                <w:lang w:eastAsia="ar-SA"/>
              </w:rPr>
              <w:t>Tretji odstavek</w:t>
            </w:r>
            <w:r w:rsidRPr="002F30DF">
              <w:rPr>
                <w:rFonts w:cs="Arial"/>
                <w:sz w:val="20"/>
                <w:szCs w:val="20"/>
                <w:lang w:eastAsia="ar-SA"/>
              </w:rPr>
              <w:t xml:space="preserve"> pa ohranja pravico prizadetemu udeležencu, da zahteva objavo sodbe v sredstvih javnega obveščanja, če je bilo dejanje nelojalne konkurence storjeno s sredstvi javnega obveščanja ali z letaki, napisi na javnih krajih ipd. ali če je prizadelo veliko udeležencev. Prizadeti udeleženec je lahko podjetje, ali npr. gospodarska zbornica, torej vsak, katerega tržni interes je prizadet.</w:t>
            </w:r>
          </w:p>
          <w:p w:rsidR="007522E3" w:rsidRPr="002F30DF" w:rsidRDefault="007522E3" w:rsidP="009C24C9">
            <w:pPr>
              <w:spacing w:line="260" w:lineRule="atLeast"/>
              <w:rPr>
                <w:rFonts w:cs="Arial"/>
                <w:sz w:val="20"/>
                <w:szCs w:val="20"/>
              </w:rPr>
            </w:pPr>
          </w:p>
        </w:tc>
      </w:tr>
    </w:tbl>
    <w:p w:rsidR="007522E3" w:rsidRPr="002F30DF" w:rsidRDefault="007522E3" w:rsidP="0025166A">
      <w:pPr>
        <w:spacing w:line="260" w:lineRule="atLeast"/>
        <w:rPr>
          <w:rFonts w:cs="Arial"/>
          <w:b/>
          <w:sz w:val="20"/>
          <w:szCs w:val="20"/>
        </w:rPr>
      </w:pPr>
      <w:r w:rsidRPr="002F30DF">
        <w:rPr>
          <w:rFonts w:cs="Arial"/>
          <w:b/>
          <w:sz w:val="20"/>
          <w:szCs w:val="20"/>
        </w:rPr>
        <w:lastRenderedPageBreak/>
        <w:t xml:space="preserve">K </w:t>
      </w:r>
      <w:r w:rsidR="002C72E3" w:rsidRPr="002F30DF">
        <w:rPr>
          <w:rFonts w:cs="Arial"/>
          <w:b/>
          <w:sz w:val="20"/>
          <w:szCs w:val="20"/>
        </w:rPr>
        <w:t>13</w:t>
      </w:r>
      <w:r w:rsidR="00343172" w:rsidRPr="002F30DF">
        <w:rPr>
          <w:rFonts w:cs="Arial"/>
          <w:b/>
          <w:sz w:val="20"/>
          <w:szCs w:val="20"/>
        </w:rPr>
        <w:t>2</w:t>
      </w:r>
      <w:r w:rsidR="005C5672" w:rsidRPr="002F30DF">
        <w:rPr>
          <w:rFonts w:cs="Arial"/>
          <w:b/>
          <w:sz w:val="20"/>
          <w:szCs w:val="20"/>
        </w:rPr>
        <w:t>. č</w:t>
      </w:r>
      <w:r w:rsidRPr="002F30DF">
        <w:rPr>
          <w:rFonts w:cs="Arial"/>
          <w:b/>
          <w:sz w:val="20"/>
          <w:szCs w:val="20"/>
        </w:rPr>
        <w:t>lenu (globe)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Ta člen določa globe za prekrške, ki jih storijo odgovorne osebe pravne osebe, samostojnega podjetnika posameznika ali samostojne podjetnice posameznice (v nadaljnjem besedilu: samostojni podjetnik posameznik) ter posameznika, ki samostojno opravlja dejavnost. S tem predlogom se ohranja dosedanja višina in sicer v razponu od 5.000 do 10.000 eurov.</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Če pa je narava storjenega prekrška posebno huda zaradi višine povzročene škode oziroma višine protipravno pridobljene premoženjske koristi ali zaradi storilčevega naklepa oziroma njegovega namena koristoljubnosti, se odgovorna oseba pravne osebe</w:t>
      </w:r>
      <w:r w:rsidR="008E1D5F" w:rsidRPr="002F30DF">
        <w:rPr>
          <w:rFonts w:cs="Arial"/>
          <w:sz w:val="20"/>
          <w:szCs w:val="20"/>
        </w:rPr>
        <w:t>,</w:t>
      </w:r>
      <w:r w:rsidRPr="002F30DF">
        <w:rPr>
          <w:rFonts w:cs="Arial"/>
          <w:sz w:val="20"/>
          <w:szCs w:val="20"/>
        </w:rPr>
        <w:t xml:space="preserve"> odgovorna oseba samostojnega podjetnika posameznika</w:t>
      </w:r>
      <w:r w:rsidR="008E1D5F" w:rsidRPr="002F30DF">
        <w:rPr>
          <w:rFonts w:cs="Arial"/>
          <w:sz w:val="20"/>
          <w:szCs w:val="20"/>
        </w:rPr>
        <w:t xml:space="preserve"> ali odgovorna oseba posameznika, ki samostojno opravlja poklicno </w:t>
      </w:r>
      <w:r w:rsidR="003E5D52" w:rsidRPr="002F30DF">
        <w:rPr>
          <w:rFonts w:cs="Arial"/>
          <w:sz w:val="20"/>
          <w:szCs w:val="20"/>
        </w:rPr>
        <w:t>dejavnost</w:t>
      </w:r>
      <w:r w:rsidRPr="002F30DF">
        <w:rPr>
          <w:rFonts w:cs="Arial"/>
          <w:sz w:val="20"/>
          <w:szCs w:val="20"/>
        </w:rPr>
        <w:t xml:space="preserve"> lahko kaznuje z globo od 15.000 do 30.000 eurov.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13</w:t>
      </w:r>
      <w:r w:rsidR="00343172" w:rsidRPr="002F30DF">
        <w:rPr>
          <w:rFonts w:cs="Arial"/>
          <w:b/>
          <w:sz w:val="20"/>
          <w:szCs w:val="20"/>
        </w:rPr>
        <w:t>3</w:t>
      </w:r>
      <w:r w:rsidRPr="002F30DF">
        <w:rPr>
          <w:rFonts w:cs="Arial"/>
          <w:b/>
          <w:sz w:val="20"/>
          <w:szCs w:val="20"/>
        </w:rPr>
        <w:t>. členu (zastaranje)</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ohranja dosedanji zastaralni rok za prekrške, ki jih storijo odgovorne osebe. </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13</w:t>
      </w:r>
      <w:r w:rsidR="00343172" w:rsidRPr="002F30DF">
        <w:rPr>
          <w:rFonts w:cs="Arial"/>
          <w:b/>
          <w:sz w:val="20"/>
          <w:szCs w:val="20"/>
        </w:rPr>
        <w:t>4</w:t>
      </w:r>
      <w:r w:rsidRPr="002F30DF">
        <w:rPr>
          <w:rFonts w:cs="Arial"/>
          <w:b/>
          <w:sz w:val="20"/>
          <w:szCs w:val="20"/>
        </w:rPr>
        <w:t>. členu (odpustitev in znižanje globe)</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Skladno s tem zakonom lahko </w:t>
      </w:r>
      <w:r w:rsidR="00E448E3" w:rsidRPr="002F30DF">
        <w:rPr>
          <w:rFonts w:cs="Arial"/>
          <w:sz w:val="20"/>
          <w:szCs w:val="20"/>
        </w:rPr>
        <w:t>a</w:t>
      </w:r>
      <w:r w:rsidR="0045309B" w:rsidRPr="002F30DF">
        <w:rPr>
          <w:rFonts w:cs="Arial"/>
          <w:sz w:val="20"/>
          <w:szCs w:val="20"/>
        </w:rPr>
        <w:t>genc</w:t>
      </w:r>
      <w:r w:rsidRPr="002F30DF">
        <w:rPr>
          <w:rFonts w:cs="Arial"/>
          <w:sz w:val="20"/>
          <w:szCs w:val="20"/>
        </w:rPr>
        <w:t xml:space="preserve">ija odpusti ali zniža globo odgovorni osebi, če bodo izpolnjeni pogoji iz </w:t>
      </w:r>
      <w:r w:rsidR="002C72E3" w:rsidRPr="002F30DF">
        <w:rPr>
          <w:rFonts w:cs="Arial"/>
          <w:sz w:val="20"/>
          <w:szCs w:val="20"/>
        </w:rPr>
        <w:t>9</w:t>
      </w:r>
      <w:r w:rsidR="00E75C13" w:rsidRPr="002F30DF">
        <w:rPr>
          <w:rFonts w:cs="Arial"/>
          <w:sz w:val="20"/>
          <w:szCs w:val="20"/>
        </w:rPr>
        <w:t>0</w:t>
      </w:r>
      <w:r w:rsidRPr="002F30DF">
        <w:rPr>
          <w:rFonts w:cs="Arial"/>
          <w:sz w:val="20"/>
          <w:szCs w:val="20"/>
        </w:rPr>
        <w:t>. člena tega zakona.</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13</w:t>
      </w:r>
      <w:r w:rsidR="00343172" w:rsidRPr="002F30DF">
        <w:rPr>
          <w:rFonts w:cs="Arial"/>
          <w:b/>
          <w:sz w:val="20"/>
          <w:szCs w:val="20"/>
        </w:rPr>
        <w:t>5</w:t>
      </w:r>
      <w:r w:rsidRPr="002F30DF">
        <w:rPr>
          <w:rFonts w:cs="Arial"/>
          <w:b/>
          <w:sz w:val="20"/>
          <w:szCs w:val="20"/>
        </w:rPr>
        <w:t>. členu (izrek globe)</w:t>
      </w:r>
    </w:p>
    <w:p w:rsidR="007522E3" w:rsidRPr="002F30DF" w:rsidRDefault="007522E3" w:rsidP="0025166A">
      <w:pPr>
        <w:spacing w:line="260" w:lineRule="atLeast"/>
        <w:rPr>
          <w:rFonts w:cs="Arial"/>
          <w:b/>
          <w:sz w:val="20"/>
          <w:szCs w:val="20"/>
        </w:rPr>
      </w:pPr>
    </w:p>
    <w:p w:rsidR="007522E3" w:rsidRPr="002F30DF" w:rsidRDefault="0045309B" w:rsidP="0025166A">
      <w:pPr>
        <w:spacing w:line="260" w:lineRule="atLeast"/>
        <w:rPr>
          <w:rFonts w:cs="Arial"/>
          <w:sz w:val="20"/>
          <w:szCs w:val="20"/>
        </w:rPr>
      </w:pPr>
      <w:r w:rsidRPr="002F30DF">
        <w:rPr>
          <w:rFonts w:cs="Arial"/>
          <w:sz w:val="20"/>
          <w:szCs w:val="20"/>
        </w:rPr>
        <w:t>Agenc</w:t>
      </w:r>
      <w:r w:rsidR="007522E3" w:rsidRPr="002F30DF">
        <w:rPr>
          <w:rFonts w:cs="Arial"/>
          <w:sz w:val="20"/>
          <w:szCs w:val="20"/>
        </w:rPr>
        <w:t>ija lahko izreče globe za prekrške v razponu, kot ga določa ta zakon in sicer v hitrem prekrškovnem postopku.</w:t>
      </w:r>
    </w:p>
    <w:p w:rsidR="00690123" w:rsidRPr="002F30DF" w:rsidRDefault="00690123" w:rsidP="0025166A">
      <w:pPr>
        <w:spacing w:line="260" w:lineRule="atLeast"/>
        <w:rPr>
          <w:rFonts w:cs="Arial"/>
          <w:sz w:val="20"/>
          <w:szCs w:val="20"/>
        </w:rPr>
      </w:pPr>
    </w:p>
    <w:p w:rsidR="0069012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13</w:t>
      </w:r>
      <w:r w:rsidR="00343172" w:rsidRPr="002F30DF">
        <w:rPr>
          <w:rFonts w:cs="Arial"/>
          <w:b/>
          <w:sz w:val="20"/>
          <w:szCs w:val="20"/>
        </w:rPr>
        <w:t>6</w:t>
      </w:r>
      <w:r w:rsidRPr="002F30DF">
        <w:rPr>
          <w:rFonts w:cs="Arial"/>
          <w:b/>
          <w:sz w:val="20"/>
          <w:szCs w:val="20"/>
        </w:rPr>
        <w:t xml:space="preserve">. </w:t>
      </w:r>
      <w:r w:rsidR="00690123" w:rsidRPr="002F30DF">
        <w:rPr>
          <w:rFonts w:cs="Arial"/>
          <w:b/>
          <w:sz w:val="20"/>
          <w:szCs w:val="20"/>
        </w:rPr>
        <w:t>č</w:t>
      </w:r>
      <w:r w:rsidRPr="002F30DF">
        <w:rPr>
          <w:rFonts w:cs="Arial"/>
          <w:b/>
          <w:sz w:val="20"/>
          <w:szCs w:val="20"/>
        </w:rPr>
        <w:t>lenu</w:t>
      </w:r>
      <w:r w:rsidR="00690123" w:rsidRPr="002F30DF">
        <w:rPr>
          <w:rFonts w:cs="Arial"/>
          <w:b/>
          <w:sz w:val="20"/>
          <w:szCs w:val="20"/>
        </w:rPr>
        <w:t xml:space="preserve"> (postopek)</w:t>
      </w:r>
    </w:p>
    <w:p w:rsidR="00690123" w:rsidRPr="002F30DF" w:rsidRDefault="00690123" w:rsidP="0025166A">
      <w:pPr>
        <w:spacing w:line="260" w:lineRule="atLeast"/>
        <w:rPr>
          <w:rFonts w:cs="Arial"/>
          <w:b/>
          <w:sz w:val="20"/>
          <w:szCs w:val="20"/>
        </w:rPr>
      </w:pPr>
    </w:p>
    <w:p w:rsidR="00690123" w:rsidRPr="002F30DF" w:rsidRDefault="00690123" w:rsidP="0025166A">
      <w:pPr>
        <w:spacing w:line="260" w:lineRule="atLeast"/>
        <w:rPr>
          <w:rFonts w:cs="Arial"/>
          <w:sz w:val="20"/>
          <w:szCs w:val="20"/>
        </w:rPr>
      </w:pPr>
      <w:r w:rsidRPr="002F30DF">
        <w:rPr>
          <w:rFonts w:cs="Arial"/>
          <w:sz w:val="20"/>
          <w:szCs w:val="20"/>
        </w:rPr>
        <w:t>S tem členom se določi, da se tudi v postopku o prekršku zoper odgovorne osebe in s tem poveznim postopkom sodnega varstva smiselno uporabljajo določbe, ki se nanašajo na varovanje tajnosti vira, pravica strank do pregleda dokumentov zadeve in omejitev uporabe podatkov iz prijav za prizanesljivosti in vlog za poravnavo.</w:t>
      </w:r>
    </w:p>
    <w:p w:rsidR="00690123" w:rsidRPr="002F30DF" w:rsidRDefault="00690123" w:rsidP="0025166A">
      <w:pPr>
        <w:spacing w:line="260" w:lineRule="atLeast"/>
        <w:rPr>
          <w:rFonts w:cs="Arial"/>
          <w:b/>
          <w:sz w:val="20"/>
          <w:szCs w:val="20"/>
        </w:rPr>
      </w:pPr>
    </w:p>
    <w:p w:rsidR="007522E3" w:rsidRPr="002F30DF" w:rsidRDefault="00763CD5" w:rsidP="0025166A">
      <w:pPr>
        <w:spacing w:line="260" w:lineRule="atLeast"/>
        <w:rPr>
          <w:rFonts w:cs="Arial"/>
          <w:b/>
          <w:sz w:val="20"/>
          <w:szCs w:val="20"/>
        </w:rPr>
      </w:pPr>
      <w:r w:rsidRPr="002F30DF">
        <w:rPr>
          <w:rFonts w:cs="Arial"/>
          <w:b/>
          <w:sz w:val="20"/>
          <w:szCs w:val="20"/>
        </w:rPr>
        <w:lastRenderedPageBreak/>
        <w:t xml:space="preserve">K </w:t>
      </w:r>
      <w:r w:rsidR="002C72E3" w:rsidRPr="002F30DF">
        <w:rPr>
          <w:rFonts w:cs="Arial"/>
          <w:b/>
          <w:sz w:val="20"/>
          <w:szCs w:val="20"/>
        </w:rPr>
        <w:t>13</w:t>
      </w:r>
      <w:r w:rsidR="00343172" w:rsidRPr="002F30DF">
        <w:rPr>
          <w:rFonts w:cs="Arial"/>
          <w:b/>
          <w:sz w:val="20"/>
          <w:szCs w:val="20"/>
        </w:rPr>
        <w:t>7</w:t>
      </w:r>
      <w:r w:rsidRPr="002F30DF">
        <w:rPr>
          <w:rFonts w:cs="Arial"/>
          <w:b/>
          <w:sz w:val="20"/>
          <w:szCs w:val="20"/>
        </w:rPr>
        <w:t>. členu</w:t>
      </w:r>
      <w:r w:rsidR="007522E3" w:rsidRPr="002F30DF">
        <w:rPr>
          <w:rFonts w:cs="Arial"/>
          <w:b/>
          <w:sz w:val="20"/>
          <w:szCs w:val="20"/>
        </w:rPr>
        <w:t xml:space="preserve"> (</w:t>
      </w:r>
      <w:r w:rsidR="000629BF" w:rsidRPr="002F30DF">
        <w:rPr>
          <w:rFonts w:eastAsia="Calibri" w:cs="Arial"/>
          <w:b/>
          <w:sz w:val="20"/>
          <w:szCs w:val="20"/>
          <w:lang w:eastAsia="en-US"/>
        </w:rPr>
        <w:t>uporaba zakona za kršitve in dokončanje postopkov, začetih pred uporabo tega zakona</w:t>
      </w:r>
      <w:r w:rsidR="007522E3" w:rsidRPr="002F30DF">
        <w:rPr>
          <w:rFonts w:cs="Arial"/>
          <w:b/>
          <w:sz w:val="20"/>
          <w:szCs w:val="20"/>
        </w:rPr>
        <w:t>)</w:t>
      </w: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sz w:val="20"/>
          <w:szCs w:val="20"/>
        </w:rPr>
      </w:pPr>
      <w:r w:rsidRPr="002F30DF">
        <w:rPr>
          <w:rFonts w:cs="Arial"/>
          <w:sz w:val="20"/>
          <w:szCs w:val="20"/>
        </w:rPr>
        <w:t xml:space="preserve">Ta člen določa po katerih predpisih se končajo postopki. </w:t>
      </w:r>
    </w:p>
    <w:p w:rsidR="008500BF" w:rsidRPr="002F30DF" w:rsidRDefault="008500BF" w:rsidP="00227F58">
      <w:pPr>
        <w:spacing w:line="260" w:lineRule="atLeast"/>
        <w:rPr>
          <w:rFonts w:cs="Arial"/>
          <w:sz w:val="20"/>
          <w:szCs w:val="20"/>
        </w:rPr>
      </w:pPr>
    </w:p>
    <w:p w:rsidR="00A74AB4" w:rsidRPr="002F30DF" w:rsidRDefault="00A74AB4" w:rsidP="00227F58">
      <w:pPr>
        <w:spacing w:line="260" w:lineRule="atLeast"/>
        <w:rPr>
          <w:rFonts w:cs="Arial"/>
          <w:sz w:val="20"/>
          <w:szCs w:val="20"/>
        </w:rPr>
      </w:pPr>
      <w:r w:rsidRPr="002F30DF">
        <w:rPr>
          <w:rFonts w:cs="Arial"/>
          <w:sz w:val="20"/>
          <w:szCs w:val="20"/>
        </w:rPr>
        <w:t>Temeljno pravilo</w:t>
      </w:r>
      <w:r w:rsidR="000B1B21" w:rsidRPr="002F30DF">
        <w:rPr>
          <w:rFonts w:cs="Arial"/>
          <w:sz w:val="20"/>
          <w:szCs w:val="20"/>
        </w:rPr>
        <w:t>, ki je v skladu z načelom zakonitosti</w:t>
      </w:r>
      <w:r w:rsidRPr="002F30DF">
        <w:rPr>
          <w:rFonts w:cs="Arial"/>
          <w:sz w:val="20"/>
          <w:szCs w:val="20"/>
        </w:rPr>
        <w:t xml:space="preserve"> je, da se administrativno sankcioniranje podjetij uporablja za kršitve, ki so bile storjene od </w:t>
      </w:r>
      <w:r w:rsidR="000B1B21" w:rsidRPr="002F30DF">
        <w:rPr>
          <w:rFonts w:cs="Arial"/>
          <w:sz w:val="20"/>
          <w:szCs w:val="20"/>
        </w:rPr>
        <w:t xml:space="preserve">začetka </w:t>
      </w:r>
      <w:r w:rsidRPr="002F30DF">
        <w:rPr>
          <w:rFonts w:cs="Arial"/>
          <w:sz w:val="20"/>
          <w:szCs w:val="20"/>
        </w:rPr>
        <w:t xml:space="preserve">uporabe tega zakona </w:t>
      </w:r>
      <w:r w:rsidRPr="002F30DF">
        <w:rPr>
          <w:rFonts w:cs="Arial"/>
          <w:sz w:val="20"/>
          <w:szCs w:val="20"/>
          <w:u w:val="single"/>
        </w:rPr>
        <w:t>(prvi odstavek).</w:t>
      </w:r>
      <w:r w:rsidR="00CD6289" w:rsidRPr="002F30DF">
        <w:rPr>
          <w:rFonts w:cs="Arial"/>
          <w:sz w:val="20"/>
          <w:szCs w:val="20"/>
          <w:u w:val="single"/>
        </w:rPr>
        <w:t xml:space="preserve"> </w:t>
      </w:r>
      <w:r w:rsidRPr="002F30DF">
        <w:rPr>
          <w:rFonts w:cs="Arial"/>
          <w:sz w:val="20"/>
          <w:szCs w:val="20"/>
        </w:rPr>
        <w:t xml:space="preserve">Z </w:t>
      </w:r>
      <w:r w:rsidR="000B1B21" w:rsidRPr="002F30DF">
        <w:rPr>
          <w:rFonts w:cs="Arial"/>
          <w:sz w:val="20"/>
          <w:szCs w:val="20"/>
        </w:rPr>
        <w:t>dnem uporabe</w:t>
      </w:r>
      <w:r w:rsidRPr="002F30DF">
        <w:rPr>
          <w:rFonts w:cs="Arial"/>
          <w:sz w:val="20"/>
          <w:szCs w:val="20"/>
        </w:rPr>
        <w:t xml:space="preserve"> tega zakona bodo administrativni prestopki z novimi administrativnimi sankcijami obravnavani po novih predpisih</w:t>
      </w:r>
      <w:r w:rsidRPr="002F30DF">
        <w:rPr>
          <w:rFonts w:cs="Arial"/>
          <w:sz w:val="20"/>
          <w:szCs w:val="20"/>
          <w:u w:val="single"/>
        </w:rPr>
        <w:t>.</w:t>
      </w:r>
      <w:r w:rsidRPr="002F30DF">
        <w:rPr>
          <w:rFonts w:cs="Arial"/>
          <w:sz w:val="20"/>
          <w:szCs w:val="20"/>
        </w:rPr>
        <w:t xml:space="preserve"> </w:t>
      </w:r>
    </w:p>
    <w:p w:rsidR="00A74AB4" w:rsidRPr="002F30DF" w:rsidRDefault="00A74AB4" w:rsidP="00227F58">
      <w:pPr>
        <w:spacing w:line="260" w:lineRule="atLeast"/>
        <w:rPr>
          <w:rFonts w:cs="Arial"/>
          <w:sz w:val="20"/>
          <w:szCs w:val="20"/>
        </w:rPr>
      </w:pPr>
    </w:p>
    <w:p w:rsidR="00A74AB4" w:rsidRPr="002F30DF" w:rsidRDefault="00CF6099" w:rsidP="00227F58">
      <w:pPr>
        <w:spacing w:line="260" w:lineRule="atLeast"/>
        <w:rPr>
          <w:rFonts w:cs="Arial"/>
          <w:sz w:val="20"/>
          <w:szCs w:val="20"/>
        </w:rPr>
      </w:pPr>
      <w:r w:rsidRPr="002F30DF">
        <w:rPr>
          <w:rFonts w:cs="Arial"/>
          <w:sz w:val="20"/>
          <w:szCs w:val="20"/>
        </w:rPr>
        <w:t>Prekrš</w:t>
      </w:r>
      <w:r w:rsidR="004102E6" w:rsidRPr="002F30DF">
        <w:rPr>
          <w:rFonts w:cs="Arial"/>
          <w:sz w:val="20"/>
          <w:szCs w:val="20"/>
        </w:rPr>
        <w:t>kom, ki so bili storjeni pred začetkom uporabe tega zakona</w:t>
      </w:r>
      <w:r w:rsidRPr="002F30DF">
        <w:rPr>
          <w:rFonts w:cs="Arial"/>
          <w:sz w:val="20"/>
          <w:szCs w:val="20"/>
        </w:rPr>
        <w:t xml:space="preserve"> </w:t>
      </w:r>
      <w:r w:rsidR="004102E6" w:rsidRPr="002F30DF">
        <w:rPr>
          <w:rFonts w:cs="Arial"/>
          <w:sz w:val="20"/>
          <w:szCs w:val="20"/>
        </w:rPr>
        <w:t>in</w:t>
      </w:r>
      <w:r w:rsidRPr="002F30DF">
        <w:rPr>
          <w:rFonts w:cs="Arial"/>
          <w:sz w:val="20"/>
          <w:szCs w:val="20"/>
        </w:rPr>
        <w:t xml:space="preserve"> po zakonskih znakih</w:t>
      </w:r>
      <w:r w:rsidR="004102E6" w:rsidRPr="002F30DF">
        <w:rPr>
          <w:rFonts w:cs="Arial"/>
          <w:sz w:val="20"/>
          <w:szCs w:val="20"/>
        </w:rPr>
        <w:t xml:space="preserve"> ustrezajo</w:t>
      </w:r>
      <w:r w:rsidRPr="002F30DF">
        <w:rPr>
          <w:rFonts w:cs="Arial"/>
          <w:sz w:val="20"/>
          <w:szCs w:val="20"/>
        </w:rPr>
        <w:t xml:space="preserve"> administrativnim prestopkom iz tega zakona, je potrebno zagotoviti njihovo obravnavno tudi po nastopu </w:t>
      </w:r>
      <w:r w:rsidR="000B1B21" w:rsidRPr="002F30DF">
        <w:rPr>
          <w:rFonts w:cs="Arial"/>
          <w:sz w:val="20"/>
          <w:szCs w:val="20"/>
        </w:rPr>
        <w:t>uporabe</w:t>
      </w:r>
      <w:r w:rsidRPr="002F30DF">
        <w:rPr>
          <w:rFonts w:cs="Arial"/>
          <w:sz w:val="20"/>
          <w:szCs w:val="20"/>
        </w:rPr>
        <w:t xml:space="preserve"> tega zakona</w:t>
      </w:r>
      <w:r w:rsidR="000B1B21" w:rsidRPr="002F30DF">
        <w:rPr>
          <w:rFonts w:cs="Arial"/>
          <w:sz w:val="20"/>
          <w:szCs w:val="20"/>
        </w:rPr>
        <w:t>,</w:t>
      </w:r>
      <w:r w:rsidRPr="002F30DF">
        <w:rPr>
          <w:rFonts w:cs="Arial"/>
          <w:sz w:val="20"/>
          <w:szCs w:val="20"/>
        </w:rPr>
        <w:t xml:space="preserve"> saj škodljive posledice ne bodo prenehale nastajati. </w:t>
      </w:r>
    </w:p>
    <w:p w:rsidR="00A74AB4" w:rsidRPr="002F30DF" w:rsidRDefault="00A74AB4" w:rsidP="00227F58">
      <w:pPr>
        <w:spacing w:line="260" w:lineRule="atLeast"/>
        <w:rPr>
          <w:rFonts w:cs="Arial"/>
          <w:sz w:val="20"/>
          <w:szCs w:val="20"/>
        </w:rPr>
      </w:pPr>
    </w:p>
    <w:p w:rsidR="00A74AB4" w:rsidRPr="002F30DF" w:rsidRDefault="00A74AB4" w:rsidP="00A74AB4">
      <w:pPr>
        <w:spacing w:line="260" w:lineRule="atLeast"/>
        <w:rPr>
          <w:rFonts w:cs="Arial"/>
          <w:sz w:val="20"/>
          <w:szCs w:val="20"/>
        </w:rPr>
      </w:pPr>
      <w:r w:rsidRPr="002F30DF">
        <w:rPr>
          <w:rFonts w:cs="Arial"/>
          <w:sz w:val="20"/>
          <w:szCs w:val="20"/>
        </w:rPr>
        <w:t>V skladu z načelom zakonitosti je določeno, da se</w:t>
      </w:r>
      <w:r w:rsidRPr="002F30DF" w:rsidDel="0072000D">
        <w:rPr>
          <w:rFonts w:cs="Arial"/>
          <w:sz w:val="20"/>
          <w:szCs w:val="20"/>
        </w:rPr>
        <w:t xml:space="preserve"> </w:t>
      </w:r>
      <w:r w:rsidRPr="002F30DF">
        <w:rPr>
          <w:rFonts w:cs="Arial"/>
          <w:sz w:val="20"/>
          <w:szCs w:val="20"/>
        </w:rPr>
        <w:t>postopki o prek</w:t>
      </w:r>
      <w:r w:rsidR="004102E6" w:rsidRPr="002F30DF">
        <w:rPr>
          <w:rFonts w:cs="Arial"/>
          <w:sz w:val="20"/>
          <w:szCs w:val="20"/>
        </w:rPr>
        <w:t>r</w:t>
      </w:r>
      <w:r w:rsidRPr="002F30DF">
        <w:rPr>
          <w:rFonts w:cs="Arial"/>
          <w:sz w:val="20"/>
          <w:szCs w:val="20"/>
        </w:rPr>
        <w:t xml:space="preserve">ških, ki do začetka uporabe tega zakona še niso bili pravnomočno končani, končajo po dosedanjih predpisih </w:t>
      </w:r>
      <w:r w:rsidRPr="002F30DF">
        <w:rPr>
          <w:rFonts w:cs="Arial"/>
          <w:sz w:val="20"/>
          <w:szCs w:val="20"/>
          <w:u w:val="single"/>
        </w:rPr>
        <w:t>(drugi odstavek).</w:t>
      </w:r>
      <w:r w:rsidRPr="002F30DF">
        <w:rPr>
          <w:rFonts w:cs="Arial"/>
          <w:sz w:val="20"/>
          <w:szCs w:val="20"/>
        </w:rPr>
        <w:t xml:space="preserve"> Doslej uvedeni prekrškovni postopki se tako dokončajo po ZPOmK-1</w:t>
      </w:r>
      <w:r w:rsidR="000B1B21" w:rsidRPr="002F30DF">
        <w:rPr>
          <w:rFonts w:cs="Arial"/>
          <w:sz w:val="20"/>
          <w:szCs w:val="20"/>
        </w:rPr>
        <w:t>.</w:t>
      </w:r>
    </w:p>
    <w:p w:rsidR="00A74AB4" w:rsidRPr="002F30DF" w:rsidRDefault="00A74AB4" w:rsidP="00A74AB4">
      <w:pPr>
        <w:spacing w:line="260" w:lineRule="atLeast"/>
        <w:rPr>
          <w:rFonts w:cs="Arial"/>
          <w:sz w:val="20"/>
          <w:szCs w:val="20"/>
        </w:rPr>
      </w:pPr>
    </w:p>
    <w:p w:rsidR="00A74AB4" w:rsidRPr="002F30DF" w:rsidRDefault="00A74AB4" w:rsidP="00A74AB4">
      <w:pPr>
        <w:spacing w:line="260" w:lineRule="atLeast"/>
        <w:rPr>
          <w:rFonts w:cs="Arial"/>
          <w:sz w:val="20"/>
          <w:szCs w:val="20"/>
        </w:rPr>
      </w:pPr>
      <w:r w:rsidRPr="002F30DF">
        <w:rPr>
          <w:rFonts w:cs="Arial"/>
          <w:sz w:val="20"/>
          <w:szCs w:val="20"/>
        </w:rPr>
        <w:t xml:space="preserve">Izjemoma pa se lahko nova ureditev administrativnega sankcioniranja podjetij uporablja za kršitve, ki so bile storjene do največ 5 let pred uporabo tega zakona, če je obravnava storilca milejša kot obravnava v skladu z ZPOmK-1 </w:t>
      </w:r>
      <w:r w:rsidRPr="002F30DF">
        <w:rPr>
          <w:rFonts w:cs="Arial"/>
          <w:sz w:val="20"/>
          <w:szCs w:val="20"/>
          <w:u w:val="single"/>
        </w:rPr>
        <w:t>(tretji odstavek).</w:t>
      </w:r>
      <w:r w:rsidRPr="002F30DF">
        <w:rPr>
          <w:rFonts w:cs="Arial"/>
          <w:sz w:val="20"/>
          <w:szCs w:val="20"/>
        </w:rPr>
        <w:t xml:space="preserve"> Glede na to, da z materialnopravnega vidika ureditev administrativnega sankcioniranja pretežno ostaja enaka, bistveno pa se spreminja procesni vidik obravnave kršitev pravil konkurence, tretji odstavek pomeni le možnost, da se določene kršitve, ki jih ZPOmK-1 določa tudi kot prekrške, lahko obravnava kot administrativne prestopke, če taka obravnava za storilca ne pomeni, da je obravnavan manj ugodno, kot če bi bil obravnavan po pravilih ZPOmK-1.</w:t>
      </w:r>
    </w:p>
    <w:p w:rsidR="00A74AB4" w:rsidRPr="002F30DF" w:rsidRDefault="00A74AB4" w:rsidP="00A74AB4">
      <w:pPr>
        <w:spacing w:line="260" w:lineRule="atLeast"/>
        <w:rPr>
          <w:rFonts w:cs="Arial"/>
          <w:sz w:val="20"/>
          <w:szCs w:val="20"/>
        </w:rPr>
      </w:pPr>
      <w:r w:rsidRPr="002F30DF">
        <w:rPr>
          <w:rFonts w:cs="Arial"/>
          <w:bCs/>
          <w:sz w:val="20"/>
          <w:szCs w:val="20"/>
        </w:rPr>
        <w:t>Ureditev</w:t>
      </w:r>
      <w:r w:rsidRPr="002F30DF">
        <w:rPr>
          <w:rFonts w:cs="Arial"/>
          <w:sz w:val="20"/>
          <w:szCs w:val="20"/>
        </w:rPr>
        <w:t xml:space="preserve"> iz novega ZPOmK-2 se retroaktivno uporablja za kršitve določb ZPOmK-1, ki so bile storjene do največ pet let pred uveljavitvijo zakona. Petletni relativni rok je določen tudi kot rok za zastaranje pregona administrativnega sankcioniranja podjetij oz. za naložitev administrativne sankcije. Na ta način je izenačeno relativno zastaranje pregona z rokom za retroaktivno uporabo novega ZPOmK-2.</w:t>
      </w:r>
    </w:p>
    <w:p w:rsidR="00227F58" w:rsidRPr="002F30DF" w:rsidRDefault="00227F58" w:rsidP="00227F58">
      <w:pPr>
        <w:spacing w:line="260" w:lineRule="atLeast"/>
        <w:rPr>
          <w:rFonts w:cs="Arial"/>
          <w:sz w:val="20"/>
          <w:szCs w:val="20"/>
        </w:rPr>
      </w:pPr>
    </w:p>
    <w:p w:rsidR="00227F58" w:rsidRPr="002F30DF" w:rsidRDefault="00227F58" w:rsidP="00227F58">
      <w:pPr>
        <w:spacing w:line="260" w:lineRule="atLeast"/>
        <w:rPr>
          <w:rFonts w:cs="Arial"/>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lastRenderedPageBreak/>
        <w:t xml:space="preserve">K </w:t>
      </w:r>
      <w:r w:rsidR="002C72E3" w:rsidRPr="002F30DF">
        <w:rPr>
          <w:rFonts w:cs="Arial"/>
          <w:b/>
          <w:sz w:val="20"/>
          <w:szCs w:val="20"/>
        </w:rPr>
        <w:t>1</w:t>
      </w:r>
      <w:r w:rsidR="005A32E8" w:rsidRPr="002F30DF">
        <w:rPr>
          <w:rFonts w:cs="Arial"/>
          <w:b/>
          <w:sz w:val="20"/>
          <w:szCs w:val="20"/>
        </w:rPr>
        <w:t>3</w:t>
      </w:r>
      <w:r w:rsidR="00343172" w:rsidRPr="002F30DF">
        <w:rPr>
          <w:rFonts w:cs="Arial"/>
          <w:b/>
          <w:sz w:val="20"/>
          <w:szCs w:val="20"/>
        </w:rPr>
        <w:t>8</w:t>
      </w:r>
      <w:r w:rsidRPr="002F30DF">
        <w:rPr>
          <w:rFonts w:cs="Arial"/>
          <w:b/>
          <w:sz w:val="20"/>
          <w:szCs w:val="20"/>
        </w:rPr>
        <w:t>. členu (dokončanje postopkov v odškodninskem postopku zaradi kršitev konkurenčnega prava)</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Ta člen določa uporabo določb, ki se nanašajo na odškodninske zahtevke zaradi kršitev konkurenčnega prava in jih je potrebno posebej urediti zaradi zagotovitve pravilnega prenosa Direktive 2014/104. Prvi odstavek 22. člena Direktive 2014/104 namreč nalaga državam članicam, da zagotovijo, da se nacionalni ukrepi, sprejeti na podlagi 21. člena Direktive 2014/104 za uskladitev z »materialnopravnimi določbami«</w:t>
      </w:r>
      <w:r w:rsidRPr="002F30DF">
        <w:rPr>
          <w:rFonts w:cs="Arial"/>
          <w:sz w:val="20"/>
          <w:szCs w:val="20"/>
          <w:vertAlign w:val="superscript"/>
        </w:rPr>
        <w:footnoteReference w:id="45"/>
      </w:r>
      <w:r w:rsidRPr="002F30DF">
        <w:rPr>
          <w:rFonts w:cs="Arial"/>
          <w:sz w:val="20"/>
          <w:szCs w:val="20"/>
        </w:rPr>
        <w:t xml:space="preserve"> te direktive, ne uporabljajo retroaktivno. Drugi odstavek pa določa, da države članice zagotovijo, da se vsi nacionalni ukrepi, sprejeti na podlagi 21. člena Direktive 2014/104, ki niso ukrepi iz prvega odstavka, ne uporabljajo za odškodninske tožbe, ki so bile predložene nacionalnih sodiščem pred 24. decembrom 2014.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Ob upoštevanju vseh značilnosti dejansko šibkejšega položaja oškodovanca kot potencialnega tožnika, ter dejstva, da so relevantni dokazi in podatki zunaj njegove zaznavne sfere, ter zaradi zagotovitve pravilnega prenosa Direktive 2014/104, ki določa, da se določbe, ki urejajo razkritje dokazov uporabljalo za odškodninske postopke, ki so se začeli po 26. decembru</w:t>
      </w:r>
      <w:r w:rsidR="00971A9E" w:rsidRPr="002F30DF">
        <w:rPr>
          <w:rFonts w:cs="Arial"/>
          <w:sz w:val="20"/>
          <w:szCs w:val="20"/>
        </w:rPr>
        <w:t xml:space="preserve"> 2014se predlaga, da se določbe 113., 115., 116</w:t>
      </w:r>
      <w:r w:rsidR="00654CA9" w:rsidRPr="002F30DF">
        <w:rPr>
          <w:rFonts w:cs="Arial"/>
          <w:sz w:val="20"/>
          <w:szCs w:val="20"/>
        </w:rPr>
        <w:t>., 117., 118., 119</w:t>
      </w:r>
      <w:r w:rsidR="00971A9E" w:rsidRPr="002F30DF">
        <w:rPr>
          <w:rFonts w:cs="Arial"/>
          <w:sz w:val="20"/>
          <w:szCs w:val="20"/>
        </w:rPr>
        <w:t>. členov ter četrti odstavek 124</w:t>
      </w:r>
      <w:r w:rsidR="00343172" w:rsidRPr="002F30DF">
        <w:rPr>
          <w:rFonts w:cs="Arial"/>
          <w:sz w:val="20"/>
          <w:szCs w:val="20"/>
        </w:rPr>
        <w:t>.</w:t>
      </w:r>
      <w:r w:rsidRPr="002F30DF">
        <w:rPr>
          <w:rFonts w:cs="Arial"/>
          <w:sz w:val="20"/>
          <w:szCs w:val="20"/>
        </w:rPr>
        <w:t xml:space="preserve"> člena predloga zakona, ki obravnavajo razkritje dokazov in posledice razkritja dokazov, uporabljajo za postopke, ki so se začeli že pred uveljavitvijo tega zakona. Taka razlaga je bila podana tudi na delovni skupini Sveta EU, kjer je bilo oblikovano besedilo Direktive 2014/104. </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sz w:val="20"/>
          <w:szCs w:val="20"/>
        </w:rPr>
      </w:pPr>
      <w:r w:rsidRPr="002F30DF">
        <w:rPr>
          <w:rFonts w:cs="Arial"/>
          <w:sz w:val="20"/>
          <w:szCs w:val="20"/>
        </w:rPr>
        <w:t>Takšne prehodne določbe so bile urejene že pri sprejemu ZPOmK-1G, s katerim se je v naš pravni sistem prenesla Direktiva 2014/14/EU. Vendar je treba takšen režim uporabe navedenih določb ohraniti tudi po začetku uporabe tega zakona.</w:t>
      </w:r>
    </w:p>
    <w:p w:rsidR="00A8546E" w:rsidRPr="002F30DF" w:rsidRDefault="00A8546E" w:rsidP="0025166A">
      <w:pPr>
        <w:spacing w:line="260" w:lineRule="atLeast"/>
        <w:rPr>
          <w:rFonts w:cs="Arial"/>
          <w:sz w:val="20"/>
          <w:szCs w:val="20"/>
        </w:rPr>
      </w:pPr>
    </w:p>
    <w:p w:rsidR="00A8546E" w:rsidRPr="002F30DF" w:rsidRDefault="00A8546E" w:rsidP="0025166A">
      <w:pPr>
        <w:spacing w:line="260" w:lineRule="atLeast"/>
        <w:rPr>
          <w:rFonts w:cs="Arial"/>
          <w:b/>
          <w:sz w:val="20"/>
          <w:szCs w:val="20"/>
        </w:rPr>
      </w:pPr>
      <w:r w:rsidRPr="002F30DF">
        <w:rPr>
          <w:rFonts w:cs="Arial"/>
          <w:b/>
          <w:sz w:val="20"/>
          <w:szCs w:val="20"/>
        </w:rPr>
        <w:t>K 139. členu (sprememb</w:t>
      </w:r>
      <w:r w:rsidR="00E05CFB" w:rsidRPr="002F30DF">
        <w:rPr>
          <w:rFonts w:cs="Arial"/>
          <w:b/>
          <w:sz w:val="20"/>
          <w:szCs w:val="20"/>
        </w:rPr>
        <w:t>i</w:t>
      </w:r>
      <w:r w:rsidRPr="002F30DF">
        <w:rPr>
          <w:rFonts w:cs="Arial"/>
          <w:b/>
          <w:sz w:val="20"/>
          <w:szCs w:val="20"/>
        </w:rPr>
        <w:t xml:space="preserve"> Zakona o kmetijstvu)</w:t>
      </w:r>
    </w:p>
    <w:p w:rsidR="00A8546E" w:rsidRPr="002F30DF" w:rsidRDefault="00A8546E" w:rsidP="0025166A">
      <w:pPr>
        <w:spacing w:line="260" w:lineRule="atLeast"/>
        <w:rPr>
          <w:rFonts w:cs="Arial"/>
          <w:b/>
          <w:sz w:val="20"/>
          <w:szCs w:val="20"/>
        </w:rPr>
      </w:pPr>
    </w:p>
    <w:p w:rsidR="00756775" w:rsidRPr="002F30DF" w:rsidRDefault="00756775" w:rsidP="00756775">
      <w:pPr>
        <w:spacing w:line="260" w:lineRule="atLeast"/>
        <w:rPr>
          <w:rFonts w:cs="Arial"/>
          <w:sz w:val="20"/>
          <w:szCs w:val="20"/>
        </w:rPr>
      </w:pPr>
      <w:r w:rsidRPr="002F30DF">
        <w:rPr>
          <w:rFonts w:cs="Arial"/>
          <w:sz w:val="20"/>
          <w:szCs w:val="20"/>
        </w:rPr>
        <w:lastRenderedPageBreak/>
        <w:t xml:space="preserve">Na podlagi sedmega odstavka 172. člena Zakona o kmetijstvu (Uradni list RS, št. 45/08, 57/12, 90/12 – ZdZPVHVVR, 26/14, 32/15, 27/17, 22/18, 86/21 – odl. US in 123/21; v nadaljevanju: ZKme-1) Agencija vodi tudi nadzorne in prekrškovne postopke v zvezi z 61.f in 61.g člena navedenega zakona, in sicer na podlagi uporabe določb zakona, ki ureja preprečevanje omejevanja konkurence. Zaradi slednjega je bilo potrebno tudi določbo sedmega odstavka 172. člena ZKme-1. V nasprotnem primeru Agencija ne bi imela za svoje pristojnosti po ZKme-1 niti sankcij za nespoštovanje preiskovalnih ukrepov (sklepov za posredovanje podatkov, oviranje preiskave). </w:t>
      </w:r>
    </w:p>
    <w:p w:rsidR="00CD6289" w:rsidRPr="002F30DF" w:rsidRDefault="00756775" w:rsidP="004D77B2">
      <w:pPr>
        <w:spacing w:line="260" w:lineRule="atLeast"/>
        <w:rPr>
          <w:rFonts w:cs="Arial"/>
          <w:sz w:val="20"/>
          <w:szCs w:val="20"/>
        </w:rPr>
      </w:pPr>
      <w:r w:rsidRPr="002F30DF">
        <w:rPr>
          <w:rFonts w:cs="Arial"/>
          <w:sz w:val="20"/>
          <w:szCs w:val="20"/>
        </w:rPr>
        <w:t>Namesto denarnih kazni so v Predlogu ZPOmK-2 predvidene tudi zanje administrativne sankcije, česar pa ZKme-1 ne zajema. Zaradi enotnega sistema administrativnih sankcij je bilo potrebno uskladiti 177. a člen ZKme-1 in navedene kršitve opredeliti kot administrativne prestopke in zanje izreči administrativno sankcijo.</w:t>
      </w:r>
    </w:p>
    <w:p w:rsidR="00CD6289" w:rsidRDefault="002644CC" w:rsidP="004D77B2">
      <w:pPr>
        <w:spacing w:line="260" w:lineRule="atLeast"/>
        <w:rPr>
          <w:rFonts w:cs="Arial"/>
          <w:sz w:val="20"/>
          <w:szCs w:val="20"/>
        </w:rPr>
      </w:pPr>
      <w:r>
        <w:rPr>
          <w:rFonts w:cs="Arial"/>
          <w:sz w:val="20"/>
          <w:szCs w:val="20"/>
        </w:rPr>
        <w:t>Izrazi v členu so usklajeni s pomenom izrazov iz 3. člena ZKme-1-</w:t>
      </w:r>
    </w:p>
    <w:p w:rsidR="002644CC" w:rsidRPr="002F30DF" w:rsidRDefault="002644CC" w:rsidP="004D77B2">
      <w:pPr>
        <w:spacing w:line="260" w:lineRule="atLeast"/>
        <w:rPr>
          <w:rFonts w:cs="Arial"/>
          <w:sz w:val="20"/>
          <w:szCs w:val="20"/>
        </w:rPr>
      </w:pPr>
    </w:p>
    <w:p w:rsidR="004D77B2" w:rsidRPr="002F30DF" w:rsidRDefault="007522E3" w:rsidP="004D77B2">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w:t>
      </w:r>
      <w:r w:rsidR="00CD6289" w:rsidRPr="002F30DF">
        <w:rPr>
          <w:rFonts w:cs="Arial"/>
          <w:b/>
          <w:sz w:val="20"/>
          <w:szCs w:val="20"/>
        </w:rPr>
        <w:t>40</w:t>
      </w:r>
      <w:r w:rsidRPr="002F30DF">
        <w:rPr>
          <w:rFonts w:cs="Arial"/>
          <w:b/>
          <w:sz w:val="20"/>
          <w:szCs w:val="20"/>
        </w:rPr>
        <w:t xml:space="preserve">. členu </w:t>
      </w:r>
      <w:r w:rsidR="004D77B2" w:rsidRPr="002F30DF">
        <w:rPr>
          <w:rFonts w:cs="Arial"/>
          <w:b/>
          <w:sz w:val="20"/>
          <w:szCs w:val="20"/>
        </w:rPr>
        <w:t>(</w:t>
      </w:r>
      <w:r w:rsidR="004D0805" w:rsidRPr="002F30DF">
        <w:rPr>
          <w:rFonts w:cs="Arial"/>
          <w:b/>
          <w:sz w:val="20"/>
          <w:szCs w:val="20"/>
        </w:rPr>
        <w:t>izdaja podzakonskih predpisov)</w:t>
      </w:r>
    </w:p>
    <w:p w:rsidR="004D77B2" w:rsidRPr="002F30DF" w:rsidRDefault="004D77B2" w:rsidP="004D77B2">
      <w:pPr>
        <w:spacing w:line="260" w:lineRule="atLeast"/>
        <w:rPr>
          <w:rFonts w:cs="Arial"/>
          <w:b/>
          <w:sz w:val="20"/>
          <w:szCs w:val="20"/>
        </w:rPr>
      </w:pPr>
    </w:p>
    <w:p w:rsidR="007522E3" w:rsidRPr="002F30DF" w:rsidRDefault="004D77B2" w:rsidP="004D77B2">
      <w:pPr>
        <w:spacing w:line="260" w:lineRule="atLeast"/>
        <w:rPr>
          <w:rFonts w:cs="Arial"/>
          <w:sz w:val="20"/>
          <w:szCs w:val="20"/>
        </w:rPr>
      </w:pPr>
      <w:r w:rsidRPr="002F30DF">
        <w:rPr>
          <w:rFonts w:cs="Arial"/>
          <w:sz w:val="20"/>
          <w:szCs w:val="20"/>
        </w:rPr>
        <w:t>Ta člen ureja roke za izdajo podzakonskih prepisov in splošnih aktov, določenih v tem zakonu.</w:t>
      </w:r>
      <w:r w:rsidRPr="002F30DF" w:rsidDel="004D77B2">
        <w:rPr>
          <w:rFonts w:cs="Arial"/>
          <w:b/>
          <w:sz w:val="20"/>
          <w:szCs w:val="20"/>
        </w:rPr>
        <w:t xml:space="preserve"> </w:t>
      </w:r>
    </w:p>
    <w:p w:rsidR="00987921" w:rsidRPr="002F30DF" w:rsidRDefault="00987921" w:rsidP="0025166A">
      <w:pPr>
        <w:spacing w:line="260" w:lineRule="atLeast"/>
        <w:rPr>
          <w:rFonts w:cs="Arial"/>
          <w:b/>
          <w:sz w:val="20"/>
          <w:szCs w:val="20"/>
        </w:rPr>
      </w:pPr>
    </w:p>
    <w:p w:rsidR="004D77B2" w:rsidRPr="002F30DF" w:rsidRDefault="007522E3" w:rsidP="004D77B2">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14</w:t>
      </w:r>
      <w:r w:rsidR="00A8546E" w:rsidRPr="002F30DF">
        <w:rPr>
          <w:rFonts w:cs="Arial"/>
          <w:b/>
          <w:sz w:val="20"/>
          <w:szCs w:val="20"/>
        </w:rPr>
        <w:t>1</w:t>
      </w:r>
      <w:r w:rsidRPr="002F30DF">
        <w:rPr>
          <w:rFonts w:cs="Arial"/>
          <w:b/>
          <w:sz w:val="20"/>
          <w:szCs w:val="20"/>
        </w:rPr>
        <w:t>. členu</w:t>
      </w:r>
      <w:r w:rsidR="004D77B2" w:rsidRPr="002F30DF">
        <w:rPr>
          <w:rFonts w:cs="Arial"/>
          <w:b/>
          <w:sz w:val="20"/>
          <w:szCs w:val="20"/>
        </w:rPr>
        <w:t xml:space="preserve"> (razveljavitev predpisov)</w:t>
      </w:r>
    </w:p>
    <w:p w:rsidR="004D77B2" w:rsidRPr="002F30DF" w:rsidRDefault="004D77B2" w:rsidP="004D77B2">
      <w:pPr>
        <w:spacing w:line="260" w:lineRule="atLeast"/>
        <w:rPr>
          <w:rFonts w:cs="Arial"/>
          <w:sz w:val="20"/>
          <w:szCs w:val="20"/>
        </w:rPr>
      </w:pPr>
    </w:p>
    <w:p w:rsidR="004D77B2" w:rsidRPr="002F30DF" w:rsidRDefault="004D77B2" w:rsidP="004D77B2">
      <w:pPr>
        <w:spacing w:line="260" w:lineRule="atLeast"/>
        <w:rPr>
          <w:rFonts w:cs="Arial"/>
          <w:sz w:val="20"/>
          <w:szCs w:val="20"/>
        </w:rPr>
      </w:pPr>
      <w:r w:rsidRPr="002F30DF">
        <w:rPr>
          <w:rFonts w:cs="Arial"/>
          <w:sz w:val="20"/>
          <w:szCs w:val="20"/>
        </w:rPr>
        <w:t>Ta člen ureja razveljavitev ZPOmK-1 ter podzakonskih aktov, ki so bili sprejeti na podlagi ZPOmK-1.</w:t>
      </w:r>
    </w:p>
    <w:p w:rsidR="007522E3" w:rsidRPr="002F30DF" w:rsidRDefault="007522E3" w:rsidP="0025166A">
      <w:pPr>
        <w:spacing w:line="260" w:lineRule="atLeast"/>
        <w:rPr>
          <w:rFonts w:cs="Arial"/>
          <w:sz w:val="20"/>
          <w:szCs w:val="20"/>
        </w:rPr>
      </w:pPr>
    </w:p>
    <w:p w:rsidR="007522E3" w:rsidRPr="002F30DF" w:rsidRDefault="007522E3" w:rsidP="0025166A">
      <w:pPr>
        <w:spacing w:line="260" w:lineRule="atLeast"/>
        <w:rPr>
          <w:rFonts w:cs="Arial"/>
          <w:b/>
          <w:sz w:val="20"/>
          <w:szCs w:val="20"/>
        </w:rPr>
      </w:pPr>
    </w:p>
    <w:p w:rsidR="007522E3" w:rsidRPr="002F30DF" w:rsidRDefault="007522E3" w:rsidP="0025166A">
      <w:pPr>
        <w:spacing w:line="260" w:lineRule="atLeast"/>
        <w:rPr>
          <w:rFonts w:cs="Arial"/>
          <w:b/>
          <w:sz w:val="20"/>
          <w:szCs w:val="20"/>
        </w:rPr>
      </w:pPr>
      <w:r w:rsidRPr="002F30DF">
        <w:rPr>
          <w:rFonts w:cs="Arial"/>
          <w:b/>
          <w:sz w:val="20"/>
          <w:szCs w:val="20"/>
        </w:rPr>
        <w:t xml:space="preserve">K </w:t>
      </w:r>
      <w:r w:rsidR="002C72E3" w:rsidRPr="002F30DF">
        <w:rPr>
          <w:rFonts w:cs="Arial"/>
          <w:b/>
          <w:sz w:val="20"/>
          <w:szCs w:val="20"/>
        </w:rPr>
        <w:t>14</w:t>
      </w:r>
      <w:r w:rsidR="00A8546E" w:rsidRPr="002F30DF">
        <w:rPr>
          <w:rFonts w:cs="Arial"/>
          <w:b/>
          <w:sz w:val="20"/>
          <w:szCs w:val="20"/>
        </w:rPr>
        <w:t>2</w:t>
      </w:r>
      <w:r w:rsidRPr="002F30DF">
        <w:rPr>
          <w:rFonts w:cs="Arial"/>
          <w:b/>
          <w:sz w:val="20"/>
          <w:szCs w:val="20"/>
        </w:rPr>
        <w:t>. členu (začetek veljavnosti</w:t>
      </w:r>
      <w:r w:rsidR="004D77B2" w:rsidRPr="002F30DF">
        <w:rPr>
          <w:rFonts w:cs="Arial"/>
          <w:b/>
          <w:sz w:val="20"/>
          <w:szCs w:val="20"/>
        </w:rPr>
        <w:t xml:space="preserve"> in uporabe</w:t>
      </w:r>
      <w:r w:rsidRPr="002F30DF">
        <w:rPr>
          <w:rFonts w:cs="Arial"/>
          <w:b/>
          <w:sz w:val="20"/>
          <w:szCs w:val="20"/>
        </w:rPr>
        <w:t>)</w:t>
      </w:r>
    </w:p>
    <w:p w:rsidR="007522E3" w:rsidRPr="002F30DF" w:rsidRDefault="007522E3" w:rsidP="0025166A">
      <w:pPr>
        <w:spacing w:line="260" w:lineRule="atLeast"/>
        <w:rPr>
          <w:rFonts w:cs="Arial"/>
          <w:b/>
          <w:sz w:val="20"/>
          <w:szCs w:val="20"/>
        </w:rPr>
      </w:pPr>
    </w:p>
    <w:p w:rsidR="007862BD" w:rsidRPr="002F30DF" w:rsidRDefault="007522E3" w:rsidP="0025166A">
      <w:pPr>
        <w:spacing w:line="260" w:lineRule="atLeast"/>
        <w:rPr>
          <w:rFonts w:cs="Arial"/>
          <w:sz w:val="20"/>
          <w:szCs w:val="20"/>
        </w:rPr>
      </w:pPr>
      <w:r w:rsidRPr="002F30DF">
        <w:rPr>
          <w:rFonts w:cs="Arial"/>
          <w:sz w:val="20"/>
          <w:szCs w:val="20"/>
        </w:rPr>
        <w:t>Ta člen določa začetek veljavnosti in začetek uporabe tega zakona.</w:t>
      </w:r>
      <w:r w:rsidR="00145983" w:rsidRPr="002F30DF">
        <w:rPr>
          <w:rFonts w:cs="Arial"/>
          <w:sz w:val="20"/>
          <w:szCs w:val="20"/>
        </w:rPr>
        <w:t xml:space="preserve"> Zamik začetka uporabe zakona je  zaradi sprejema podzakonskih predpisov.</w:t>
      </w:r>
    </w:p>
    <w:p w:rsidR="00A45607" w:rsidRPr="002F30DF" w:rsidRDefault="00A45607" w:rsidP="0025166A">
      <w:pPr>
        <w:spacing w:line="260" w:lineRule="atLeast"/>
        <w:rPr>
          <w:rFonts w:cs="Arial"/>
          <w:sz w:val="20"/>
          <w:szCs w:val="20"/>
        </w:rPr>
      </w:pPr>
    </w:p>
    <w:p w:rsidR="00B571B9" w:rsidRDefault="00B571B9"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Default="005719E8" w:rsidP="0025166A">
      <w:pPr>
        <w:spacing w:line="260" w:lineRule="atLeast"/>
        <w:rPr>
          <w:rFonts w:cs="Arial"/>
          <w:sz w:val="20"/>
          <w:szCs w:val="20"/>
        </w:rPr>
      </w:pPr>
    </w:p>
    <w:p w:rsidR="005719E8" w:rsidRPr="002F30DF" w:rsidRDefault="005719E8" w:rsidP="0025166A">
      <w:pPr>
        <w:spacing w:line="260" w:lineRule="atLeast"/>
        <w:rPr>
          <w:rFonts w:cs="Arial"/>
          <w:sz w:val="20"/>
          <w:szCs w:val="20"/>
        </w:rPr>
      </w:pPr>
    </w:p>
    <w:p w:rsidR="00A45607" w:rsidRPr="002F30DF" w:rsidRDefault="00A45607" w:rsidP="0025166A">
      <w:pPr>
        <w:spacing w:line="260" w:lineRule="atLeast"/>
        <w:rPr>
          <w:rFonts w:cs="Arial"/>
          <w:sz w:val="20"/>
          <w:szCs w:val="20"/>
        </w:rPr>
      </w:pPr>
    </w:p>
    <w:p w:rsidR="005876C6" w:rsidRDefault="005876C6"/>
    <w:tbl>
      <w:tblPr>
        <w:tblW w:w="0" w:type="auto"/>
        <w:tblLook w:val="04A0" w:firstRow="1" w:lastRow="0" w:firstColumn="1" w:lastColumn="0" w:noHBand="0" w:noVBand="1"/>
      </w:tblPr>
      <w:tblGrid>
        <w:gridCol w:w="9071"/>
      </w:tblGrid>
      <w:tr w:rsidR="00A45607" w:rsidRPr="002F30DF" w:rsidTr="00736A33">
        <w:tc>
          <w:tcPr>
            <w:tcW w:w="9071" w:type="dxa"/>
          </w:tcPr>
          <w:p w:rsidR="00A45607" w:rsidRPr="002F30DF" w:rsidRDefault="00A45607" w:rsidP="00D378D6">
            <w:pPr>
              <w:pStyle w:val="Poglavje"/>
              <w:spacing w:before="0" w:line="260" w:lineRule="exact"/>
              <w:jc w:val="left"/>
              <w:rPr>
                <w:b/>
                <w:sz w:val="20"/>
                <w:szCs w:val="20"/>
              </w:rPr>
            </w:pPr>
            <w:r w:rsidRPr="002F30DF">
              <w:rPr>
                <w:b/>
                <w:sz w:val="20"/>
                <w:szCs w:val="20"/>
              </w:rPr>
              <w:lastRenderedPageBreak/>
              <w:t>IV. BESEDILO ČLENOV, KI SE SPREMINJAJO</w:t>
            </w:r>
          </w:p>
        </w:tc>
      </w:tr>
      <w:tr w:rsidR="00A45607" w:rsidRPr="002F30DF" w:rsidTr="00736A33">
        <w:tc>
          <w:tcPr>
            <w:tcW w:w="9071" w:type="dxa"/>
          </w:tcPr>
          <w:p w:rsidR="005876C6" w:rsidRDefault="005876C6" w:rsidP="00071B08">
            <w:pPr>
              <w:pStyle w:val="Neotevilenodstavek"/>
              <w:spacing w:line="260" w:lineRule="exact"/>
              <w:jc w:val="center"/>
              <w:rPr>
                <w:rFonts w:cs="Arial"/>
              </w:rPr>
            </w:pPr>
          </w:p>
          <w:p w:rsidR="00117891" w:rsidRPr="002F30DF" w:rsidRDefault="005876C6" w:rsidP="00071B08">
            <w:pPr>
              <w:pStyle w:val="Neotevilenodstavek"/>
              <w:spacing w:line="260" w:lineRule="exact"/>
              <w:jc w:val="center"/>
              <w:rPr>
                <w:rFonts w:cs="Arial"/>
              </w:rPr>
            </w:pPr>
            <w:r>
              <w:rPr>
                <w:rFonts w:cs="Arial"/>
              </w:rPr>
              <w:t>ZAKON O KMETIJSTVU</w:t>
            </w:r>
          </w:p>
          <w:p w:rsidR="005876C6" w:rsidRPr="00071B08" w:rsidRDefault="005876C6" w:rsidP="005876C6">
            <w:pPr>
              <w:pStyle w:val="len0"/>
              <w:shd w:val="clear" w:color="auto" w:fill="FFFFFF"/>
              <w:spacing w:before="480" w:beforeAutospacing="0" w:after="0" w:afterAutospacing="0"/>
              <w:jc w:val="center"/>
              <w:rPr>
                <w:rFonts w:ascii="Arial" w:hAnsi="Arial" w:cs="Arial"/>
                <w:b/>
                <w:bCs/>
                <w:sz w:val="20"/>
                <w:szCs w:val="22"/>
              </w:rPr>
            </w:pPr>
            <w:r w:rsidRPr="00071B08">
              <w:rPr>
                <w:rFonts w:ascii="Arial" w:hAnsi="Arial" w:cs="Arial"/>
                <w:b/>
                <w:bCs/>
                <w:sz w:val="20"/>
                <w:szCs w:val="22"/>
                <w:lang w:val="es-ES"/>
              </w:rPr>
              <w:t>172. člen</w:t>
            </w:r>
          </w:p>
          <w:p w:rsidR="005876C6" w:rsidRPr="00071B08" w:rsidRDefault="005876C6" w:rsidP="005876C6">
            <w:pPr>
              <w:pStyle w:val="lennaslov0"/>
              <w:shd w:val="clear" w:color="auto" w:fill="FFFFFF"/>
              <w:spacing w:before="0" w:beforeAutospacing="0" w:after="0" w:afterAutospacing="0"/>
              <w:jc w:val="center"/>
              <w:rPr>
                <w:rFonts w:ascii="Arial" w:hAnsi="Arial" w:cs="Arial"/>
                <w:b/>
                <w:bCs/>
                <w:sz w:val="20"/>
                <w:szCs w:val="22"/>
              </w:rPr>
            </w:pPr>
            <w:r w:rsidRPr="00071B08">
              <w:rPr>
                <w:rFonts w:ascii="Arial" w:hAnsi="Arial" w:cs="Arial"/>
                <w:b/>
                <w:bCs/>
                <w:sz w:val="20"/>
                <w:szCs w:val="22"/>
                <w:lang w:val="es-ES"/>
              </w:rPr>
              <w:t>(inšpekcijski nadzor)</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(1) Nadzor nad izvajanjem določb tega zakona in predpisov, izdanih na njegovi podlagi, ter predpisov Unije s področja kmetijstva opravljajo, če ta zakon ne določa drugače, kmetijski inšpektorji ali drugi pristojni inšpektorji inšpektorata, pristojnega za kmetijstvo, in inšpektorji, ki delujejo v okviru uprave, pooblaščeni za nadzor po tem zakonu ali drugih predpisih.</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(2) Nadzor nad izvajanjem določb tega zakona in predpisov, izdanih na njegovi podlagi, ter predpisov Unije o varnosti živil neživalskega izvora v vseh fazah pridelave in predelave ter nadzor organizacij za ugotavljanje skladnosti po tem zakonu opravljajo inšpektorji za hrano. Nadzor nad izvajanjem določb tega zakona in predpisov, izdanih na njegovi podlagi, ter predpisov Unije o kakovosti živil v vseh fazah pridelave in predelave opravljajo inšpektorji za hrano za živila neživalskega izvora in uradni veterinarji za živila živalskega izvora. Nadzor nad izvajanjem določb tega zakona in predpisov, izdanih na njegovi podlagi, ter predpisov Unije o varnosti živil neživalskega izvora in kakovosti živil v distribuciji ter o varnosti in kakovosti živil v gostinski dejavnosti, institucionalnih obratih prehrane in obratih za prehrano na delu opravljajo inšpektorji za hrano in uradni veterinarji.</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(3) Nadzor nad izvajanjem določb tega zakona in drugih predpisov, ki se nanašajo na carinski postopek za izvoz in postopek sprostitve kmetijskih pridelkov ali živil neživalskega izvora v prosti promet, opravljajo fitosanitarni inšpektorji in inšpektorji za hrano. Nadzor nad izvajanjem določb tega zakona in drugih predpisov, ki se nanašajo na postopek za sprostitev živil živalskega izvora v prosti promet, opravljajo uradni veterinarji.</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(4) Ne glede na prejšnji odstavek nadzor nad varnostjo in kakovostjo ekoloških kmetijskih pridelkov ali živil, ki se nanaša na sprostitev v prost promet za živila neživalskega izvora, opravljajo fitosanitarni inšpektorji in inšpektorji za hrano. Nadzor nad uvozom ekoloških kmetijskih pridelkov ali živil, ki se nanaša na sprostitev v prost promet za živila živalskega izvora, opravljajo uradni veterinarji.</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(5) Nadzor nad izvajanjem določb predpisov na področju identifikacije in registracije živali opravljajo kmetijski inšpektorji in uradni veterinarji ter inšpektorji za hrano.</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(6) Kadar onesnaževala v primarni pridelavi kmetijskih proizvodov in živil rastlinskega izvora izhajajo iz okolja in niso posledica ravnanja nosilca dejavnosti, njihov izvor ugotavlja inšpektor, pristojen za okolje, in kmetijski inšpektor v skladu s predpisi, ki urejajo varstvo okolja.</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(7) Nadzor nad izvajanjem 61.f in 61.g člena tega zakona opravlja Javna agencija Republike Slovenije za varstvo konkurence, odloča pa tudi kot prekrškovni organ o prekrških zaradi kršitve 61.f člena tega zakona. Nadzorni in prekrškovni postopek se vodi na podlagi uporabe določb zakona, ki ureja preprečevanje omejevanja konkurence. Ministrstvo in Javna agencija Republike Slovenije za varstvo konkurence skleneta pogodbo o financiranju nadzora nad izvajanjem 61.f in 61.g člena tega zakona. V pogodbi se natančneje določijo medsebojne pravice, obveznosti, roki in način plačila.</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(8) Nadzor nad izvajanjem prvega, drugega in četrtega odstavka 66. člena tega zakona opravljata v delu, ki se nanaša na kmetijske pridelke in živila, inšpektor za hrano in uradni veterinar.</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(9) Nadzor nad izvajanjem prvega in tretjega odstavka 66. člena tega zakona v delu, ki se nanaša na storitve, povezane s kmetijsko dejavnostjo, opravlja kmetijski inšpektor.</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(10) Nadzor nad dopolnilnimi dejavnostmi na kmetiji, ki se nanašajo na gozdarske dejavnosti, in izvajanjem storitev z gozdarsko mehanizacijo v okviru strojnih krožkov, opravlja gozdarski inšpektor.</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 xml:space="preserve">(11)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w:t>
            </w:r>
            <w:r w:rsidRPr="00071B08">
              <w:rPr>
                <w:rFonts w:ascii="Arial" w:hAnsi="Arial" w:cs="Arial"/>
                <w:sz w:val="20"/>
                <w:szCs w:val="22"/>
              </w:rPr>
              <w:lastRenderedPageBreak/>
              <w:t>v skladu z izvršljivo odločbo, s katero je pristojni inšpektor odredil izvršitev ukrepov, ki jih določa ta zakon.</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(12) Nadzor nad izvajanjem začasnega ali občasnega dela v kmetijstvu od 105.a do 105.e člena tega zakona opravlja inšpektorat, pristojen za delo. Za ta namen imajo inšpektorji, pristojni za delo, dostop do RKG.</w:t>
            </w:r>
          </w:p>
          <w:p w:rsidR="00A45607" w:rsidRPr="002F30DF" w:rsidRDefault="005876C6" w:rsidP="005876C6">
            <w:pPr>
              <w:pStyle w:val="Neotevilenodstavek"/>
              <w:spacing w:before="0" w:after="0" w:line="260" w:lineRule="exact"/>
              <w:rPr>
                <w:rFonts w:cs="Arial"/>
              </w:rPr>
            </w:pPr>
            <w:r w:rsidRPr="002F30DF" w:rsidDel="005876C6">
              <w:rPr>
                <w:rFonts w:cs="Arial"/>
              </w:rPr>
              <w:t xml:space="preserve"> </w:t>
            </w:r>
          </w:p>
        </w:tc>
      </w:tr>
      <w:tr w:rsidR="00A45607" w:rsidRPr="002F30DF" w:rsidTr="00736A33">
        <w:tc>
          <w:tcPr>
            <w:tcW w:w="9071" w:type="dxa"/>
          </w:tcPr>
          <w:p w:rsidR="00A45607" w:rsidRPr="002F30DF" w:rsidRDefault="00A45607" w:rsidP="00D378D6">
            <w:pPr>
              <w:pStyle w:val="Poglavje"/>
              <w:spacing w:before="0" w:line="260" w:lineRule="exact"/>
              <w:jc w:val="left"/>
              <w:rPr>
                <w:b/>
                <w:sz w:val="20"/>
                <w:szCs w:val="20"/>
              </w:rPr>
            </w:pPr>
          </w:p>
        </w:tc>
      </w:tr>
      <w:tr w:rsidR="00A45607" w:rsidRPr="002F30DF" w:rsidTr="00736A33">
        <w:tc>
          <w:tcPr>
            <w:tcW w:w="9071" w:type="dxa"/>
          </w:tcPr>
          <w:p w:rsidR="00A45607" w:rsidRPr="002F30DF" w:rsidRDefault="00A45607" w:rsidP="00D378D6">
            <w:pPr>
              <w:pStyle w:val="Neotevilenodstavek"/>
              <w:spacing w:before="0" w:after="0" w:line="260" w:lineRule="exact"/>
              <w:rPr>
                <w:rFonts w:cs="Arial"/>
              </w:rPr>
            </w:pPr>
          </w:p>
        </w:tc>
      </w:tr>
    </w:tbl>
    <w:p w:rsidR="00736A33" w:rsidRPr="002F30DF" w:rsidRDefault="00736A33" w:rsidP="00736A33">
      <w:pPr>
        <w:pStyle w:val="Oddelek"/>
        <w:suppressAutoHyphens/>
        <w:spacing w:before="0" w:line="260" w:lineRule="exact"/>
        <w:jc w:val="both"/>
        <w:outlineLvl w:val="3"/>
        <w:rPr>
          <w:sz w:val="20"/>
          <w:szCs w:val="20"/>
        </w:rPr>
      </w:pPr>
    </w:p>
    <w:p w:rsidR="005876C6" w:rsidRPr="00071B08" w:rsidRDefault="005876C6" w:rsidP="005876C6">
      <w:pPr>
        <w:pStyle w:val="len0"/>
        <w:shd w:val="clear" w:color="auto" w:fill="FFFFFF"/>
        <w:spacing w:before="480" w:beforeAutospacing="0" w:after="0" w:afterAutospacing="0"/>
        <w:jc w:val="center"/>
        <w:rPr>
          <w:rFonts w:ascii="Arial" w:hAnsi="Arial" w:cs="Arial"/>
          <w:b/>
          <w:bCs/>
          <w:sz w:val="20"/>
          <w:szCs w:val="22"/>
        </w:rPr>
      </w:pPr>
      <w:r w:rsidRPr="00071B08">
        <w:rPr>
          <w:rFonts w:ascii="Arial" w:hAnsi="Arial" w:cs="Arial"/>
          <w:b/>
          <w:bCs/>
          <w:sz w:val="20"/>
          <w:szCs w:val="22"/>
        </w:rPr>
        <w:t>177.a člen</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(1) Z globo do 0,25 odstotka letnega prometa kupca v predhodnem poslovnem letu se za prekršek kaznuje pravna oseba, samostojni podjetnik posameznik ali posameznik, ki samostojno opravlja poklicno dejavnost, če krši 61.f ali 61.g člen tega zakona.</w:t>
      </w:r>
    </w:p>
    <w:p w:rsidR="005876C6" w:rsidRPr="00071B08" w:rsidRDefault="005876C6" w:rsidP="005876C6">
      <w:pPr>
        <w:pStyle w:val="odstavek0"/>
        <w:shd w:val="clear" w:color="auto" w:fill="FFFFFF"/>
        <w:spacing w:before="240" w:beforeAutospacing="0" w:after="0" w:afterAutospacing="0"/>
        <w:ind w:firstLine="1021"/>
        <w:jc w:val="both"/>
        <w:rPr>
          <w:rFonts w:ascii="Arial" w:hAnsi="Arial" w:cs="Arial"/>
          <w:sz w:val="20"/>
          <w:szCs w:val="22"/>
        </w:rPr>
      </w:pPr>
      <w:r w:rsidRPr="00071B08">
        <w:rPr>
          <w:rFonts w:ascii="Arial" w:hAnsi="Arial" w:cs="Arial"/>
          <w:sz w:val="20"/>
          <w:szCs w:val="22"/>
        </w:rPr>
        <w:t>(2) Z globo od 5.000 do 10.000 eurov je za prekršek iz prejšnjega odstavka kaznovana tudi odgovorna oseba pravne osebe, odgovorna oseba samostojnega podjetnika posameznika oziroma posameznika, ki samostojno opravlja dejavnost.</w:t>
      </w:r>
    </w:p>
    <w:p w:rsidR="00290BD5" w:rsidRPr="002F30DF" w:rsidRDefault="00290BD5">
      <w:pPr>
        <w:rPr>
          <w:rFonts w:cs="Arial"/>
          <w:sz w:val="20"/>
          <w:szCs w:val="20"/>
        </w:rPr>
      </w:pPr>
    </w:p>
    <w:p w:rsidR="005876C6" w:rsidRDefault="005876C6">
      <w:r>
        <w:br w:type="page"/>
      </w:r>
    </w:p>
    <w:tbl>
      <w:tblPr>
        <w:tblW w:w="0" w:type="auto"/>
        <w:tblLook w:val="04A0" w:firstRow="1" w:lastRow="0" w:firstColumn="1" w:lastColumn="0" w:noHBand="0" w:noVBand="1"/>
      </w:tblPr>
      <w:tblGrid>
        <w:gridCol w:w="9071"/>
      </w:tblGrid>
      <w:tr w:rsidR="00736A33" w:rsidRPr="002F30DF" w:rsidTr="00290BD5">
        <w:tc>
          <w:tcPr>
            <w:tcW w:w="9071" w:type="dxa"/>
          </w:tcPr>
          <w:p w:rsidR="00736A33" w:rsidRPr="002F30DF" w:rsidRDefault="005719E8" w:rsidP="006C303E">
            <w:pPr>
              <w:pStyle w:val="Poglavje"/>
              <w:spacing w:before="0" w:line="260" w:lineRule="exact"/>
              <w:jc w:val="left"/>
              <w:rPr>
                <w:b/>
                <w:sz w:val="20"/>
                <w:szCs w:val="20"/>
              </w:rPr>
            </w:pPr>
            <w:r>
              <w:rPr>
                <w:b/>
                <w:sz w:val="20"/>
                <w:szCs w:val="20"/>
              </w:rPr>
              <w:lastRenderedPageBreak/>
              <w:t>V</w:t>
            </w:r>
            <w:r w:rsidR="00736A33" w:rsidRPr="002F30DF">
              <w:rPr>
                <w:b/>
                <w:sz w:val="20"/>
                <w:szCs w:val="20"/>
              </w:rPr>
              <w:t>. PRILOGE</w:t>
            </w:r>
          </w:p>
        </w:tc>
      </w:tr>
      <w:tr w:rsidR="00736A33" w:rsidRPr="002F30DF" w:rsidTr="00290BD5">
        <w:tc>
          <w:tcPr>
            <w:tcW w:w="9071" w:type="dxa"/>
          </w:tcPr>
          <w:p w:rsidR="00736A33" w:rsidRPr="002F30DF" w:rsidRDefault="00736A33" w:rsidP="006C303E">
            <w:pPr>
              <w:pStyle w:val="Oddelek"/>
              <w:suppressAutoHyphens/>
              <w:spacing w:before="0" w:line="260" w:lineRule="exact"/>
              <w:jc w:val="both"/>
              <w:outlineLvl w:val="3"/>
              <w:rPr>
                <w:sz w:val="20"/>
                <w:szCs w:val="20"/>
              </w:rPr>
            </w:pPr>
          </w:p>
        </w:tc>
      </w:tr>
    </w:tbl>
    <w:p w:rsidR="00736A33" w:rsidRPr="002F30DF" w:rsidRDefault="00736A33" w:rsidP="00736A33">
      <w:pPr>
        <w:pStyle w:val="Oddelek"/>
        <w:suppressAutoHyphens/>
        <w:spacing w:before="0" w:line="260" w:lineRule="exact"/>
        <w:jc w:val="both"/>
        <w:outlineLvl w:val="3"/>
        <w:rPr>
          <w:sz w:val="20"/>
          <w:szCs w:val="20"/>
        </w:rPr>
      </w:pPr>
      <w:r w:rsidRPr="002F30DF">
        <w:rPr>
          <w:sz w:val="20"/>
          <w:szCs w:val="20"/>
        </w:rPr>
        <w:t xml:space="preserve">Osnutki podzakonskih predpisov, katerih izdajo določa predlog zakona </w:t>
      </w:r>
    </w:p>
    <w:p w:rsidR="00736A33" w:rsidRPr="002F30DF" w:rsidRDefault="00736A33" w:rsidP="00736A33">
      <w:pPr>
        <w:pStyle w:val="Oddelek"/>
        <w:suppressAutoHyphens/>
        <w:spacing w:before="0" w:line="260" w:lineRule="exact"/>
        <w:jc w:val="both"/>
        <w:outlineLvl w:val="3"/>
        <w:rPr>
          <w:b/>
          <w:sz w:val="20"/>
          <w:szCs w:val="20"/>
        </w:rPr>
      </w:pPr>
    </w:p>
    <w:p w:rsidR="00736A33" w:rsidRPr="002F30DF" w:rsidRDefault="00736A33" w:rsidP="00736A33">
      <w:pPr>
        <w:spacing w:line="260" w:lineRule="atLeast"/>
        <w:rPr>
          <w:rFonts w:cs="Arial"/>
          <w:sz w:val="20"/>
          <w:szCs w:val="20"/>
        </w:rPr>
      </w:pPr>
    </w:p>
    <w:p w:rsidR="00736A33" w:rsidRPr="002F30DF" w:rsidRDefault="00736A33" w:rsidP="00736A33">
      <w:pPr>
        <w:pStyle w:val="Odstavekseznama"/>
        <w:numPr>
          <w:ilvl w:val="0"/>
          <w:numId w:val="103"/>
        </w:numPr>
        <w:shd w:val="clear" w:color="auto" w:fill="D9D9D9" w:themeFill="background1" w:themeFillShade="D9"/>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UREDBA O VSEBINI OBRAZCA ZA PRIGLASITEV KONCENTRACIJE PODJETIJ</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 xml:space="preserve">preambula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Na podlagi šestega odstavka 6</w:t>
      </w:r>
      <w:r w:rsidR="00BC3E1D" w:rsidRPr="002F30DF">
        <w:rPr>
          <w:rFonts w:cs="Arial"/>
          <w:sz w:val="20"/>
          <w:szCs w:val="20"/>
        </w:rPr>
        <w:t>8</w:t>
      </w:r>
      <w:r w:rsidRPr="002F30DF">
        <w:rPr>
          <w:rFonts w:cs="Arial"/>
          <w:sz w:val="20"/>
          <w:szCs w:val="20"/>
        </w:rPr>
        <w:t>. člena Zakona o preprečevanju omejevanja konkurence (Uradni list RS, št. _____) izdaja Vlada Republike Slovenije</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 xml:space="preserve">okvirni naslov podzakonskega akta: </w:t>
      </w:r>
    </w:p>
    <w:p w:rsidR="00736A33" w:rsidRPr="002F30DF" w:rsidRDefault="00736A33" w:rsidP="00736A33">
      <w:pPr>
        <w:spacing w:line="240" w:lineRule="exact"/>
        <w:ind w:left="66"/>
        <w:rPr>
          <w:rFonts w:cs="Arial"/>
          <w:b/>
          <w:sz w:val="20"/>
          <w:szCs w:val="20"/>
        </w:rPr>
      </w:pPr>
    </w:p>
    <w:p w:rsidR="00736A33" w:rsidRPr="002F30DF" w:rsidRDefault="00736A33" w:rsidP="00736A33">
      <w:pPr>
        <w:spacing w:line="240" w:lineRule="exact"/>
        <w:rPr>
          <w:rFonts w:cs="Arial"/>
          <w:b/>
          <w:sz w:val="20"/>
          <w:szCs w:val="20"/>
        </w:rPr>
      </w:pPr>
      <w:r w:rsidRPr="002F30DF">
        <w:rPr>
          <w:rFonts w:cs="Arial"/>
          <w:b/>
          <w:sz w:val="20"/>
          <w:szCs w:val="20"/>
        </w:rPr>
        <w:t>UREDBA O VSEBINI OBRAZCA ZA PRIGLASITEV KONCENTRACIJE PODJETIJ</w:t>
      </w:r>
    </w:p>
    <w:p w:rsidR="00736A33" w:rsidRPr="002F30DF" w:rsidRDefault="00736A33" w:rsidP="00736A33">
      <w:pPr>
        <w:pStyle w:val="Odstavekseznama"/>
        <w:spacing w:line="240" w:lineRule="exact"/>
        <w:rPr>
          <w:rFonts w:cs="Arial"/>
          <w:b/>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vsebina, opisana po vsebinskih sklopih:</w:t>
      </w:r>
    </w:p>
    <w:p w:rsidR="00736A33" w:rsidRPr="002F30DF" w:rsidRDefault="00736A33" w:rsidP="00736A33">
      <w:pPr>
        <w:spacing w:line="240" w:lineRule="exact"/>
        <w:rPr>
          <w:rFonts w:cs="Arial"/>
          <w:b/>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PREDMET UREJANJA (VSEBINA AKTA)</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Predlog Uredbe o vsebini obrazca za priglasitev koncentracije podjetij (v nadaljnjem besedilu: uredba) ureja vsebino obrazca za priglasitev koncentracije (v nadaljnjem besedilu: obrazec), ki jo morajo podjetja, ki priglasijo koncentracijo, posredovati agenciji, pristojni za varstvo konkurence (v nadaljnjem besedilu: agencija), ko so izpolnjeni pogoji iz 68. člena Zakona o preprečevanju omejevanja konkurence (Uradni list RS, št. ___; v nadaljnjem besedilu: zakon). Predlog uredbe se glede na vsebino Uredbe o vsebini obrazca za priglasitev koncentracije podjetij (Uradni list RS, št. </w:t>
      </w:r>
      <w:hyperlink r:id="rId138" w:tgtFrame="_blank" w:tooltip="Uredba o vsebini obrazca za priglasitev koncentracije podjetij" w:history="1">
        <w:r w:rsidRPr="002F30DF">
          <w:rPr>
            <w:rFonts w:cs="Arial"/>
            <w:sz w:val="20"/>
            <w:szCs w:val="20"/>
          </w:rPr>
          <w:t>36/09</w:t>
        </w:r>
      </w:hyperlink>
      <w:r w:rsidRPr="002F30DF">
        <w:rPr>
          <w:rFonts w:cs="Arial"/>
          <w:sz w:val="20"/>
          <w:szCs w:val="20"/>
        </w:rPr>
        <w:t xml:space="preserve"> in </w:t>
      </w:r>
      <w:hyperlink r:id="rId139" w:tgtFrame="_blank" w:tooltip="Uredba o spremembah in dopolnitvah Uredbe o vsebini obrazca za priglasitev koncentracije podjetij" w:history="1">
        <w:r w:rsidRPr="002F30DF">
          <w:rPr>
            <w:rFonts w:cs="Arial"/>
            <w:sz w:val="20"/>
            <w:szCs w:val="20"/>
          </w:rPr>
          <w:t>3/14</w:t>
        </w:r>
      </w:hyperlink>
      <w:r w:rsidRPr="002F30DF">
        <w:rPr>
          <w:rFonts w:cs="Arial"/>
          <w:sz w:val="20"/>
          <w:szCs w:val="20"/>
        </w:rPr>
        <w:t xml:space="preserve">), ki jo nadomešča, bistveno ne spreminja. </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PREDSTAVITEV PO VSEBINSKIH SKLOPIH (ZA VSAK VSEBINSKI SKLOP POSEBEJ):</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i/>
          <w:sz w:val="20"/>
          <w:szCs w:val="20"/>
        </w:rPr>
      </w:pPr>
      <w:r w:rsidRPr="002F30DF">
        <w:rPr>
          <w:rFonts w:cs="Arial"/>
          <w:i/>
          <w:sz w:val="20"/>
          <w:szCs w:val="20"/>
        </w:rPr>
        <w:t>1. Opis ukrepa in rešitve</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lastRenderedPageBreak/>
        <w:t>Predlog uredbe določa vsebino obrazca za priglasitev koncentracije, ki ga morajo podjetja, ki priglasijo koncentracijo, posredovati agenciji, ko so izpolnjeni pogoji iz 6</w:t>
      </w:r>
      <w:r w:rsidR="00BC3E1D" w:rsidRPr="002F30DF">
        <w:rPr>
          <w:rFonts w:cs="Arial"/>
          <w:sz w:val="20"/>
          <w:szCs w:val="20"/>
        </w:rPr>
        <w:t>7</w:t>
      </w:r>
      <w:r w:rsidRPr="002F30DF">
        <w:rPr>
          <w:rFonts w:cs="Arial"/>
          <w:sz w:val="20"/>
          <w:szCs w:val="20"/>
        </w:rPr>
        <w:t>. člena zakona. Na podlagi priglašenih podatkov agencija presoja, ali je priglašena koncentracija skladna s pravili varstva konkurence.</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Zelo pomembno je, da podjetja, ko priglasijo koncentracijo, navedejo resnične in popolne podatke. Če podjetje kljub prizadevanju ne uspe pridobiti vseh zahtevanih podatkov, v obrazcu navede, kje bi jih lahko pridobila agencija. V takšnih primerih lahko agencija zahteva od podjetja, ki je priglasilo koncentracijo, da poda lastno oceno, pri čemer jo mora pisno utemeljiti.</w:t>
      </w: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 </w:t>
      </w: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Če bodo izpolnjeni zakonski pogoji za poenostavljen postopek presoje koncentracije, je podjetju dopuščeno, da določenih polj v obrazcu ne izpolni. </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Za lažjo izvedbo postopka pa predlog uredbe, po vzoru postopka pred Evropsko komisijo, predvideva vzpostavitev pred postopkovne faze, ki priglasitelju omogoča stik z agencijo pred oddajo vloge za priglasitev, kjer ima podjetje možnost predhodno razrešiti nekatera odprta vprašanja (npr. obseg podatkov, ki naj se posredujejo, razkritje podatkov, s katerimi podjetje razpolaga, možnost izvedbe poenostavljenega postopka).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i/>
          <w:sz w:val="20"/>
          <w:szCs w:val="20"/>
        </w:rPr>
      </w:pPr>
      <w:r w:rsidRPr="002F30DF">
        <w:rPr>
          <w:rFonts w:cs="Arial"/>
          <w:i/>
          <w:sz w:val="20"/>
          <w:szCs w:val="20"/>
        </w:rPr>
        <w:t>2. Naslovnik</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Naslovniki uredbe so podjetja, ki posredujejo agenciji vlogo za priglasitev koncentracije, ki jo sestavljajo obrazec za priglasitev koncentracije in ustrezne priloge, ki služijo pri presoji koncentracije in so ključnega pomena za odločitev agencije.</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i/>
          <w:sz w:val="20"/>
          <w:szCs w:val="20"/>
        </w:rPr>
      </w:pPr>
      <w:r w:rsidRPr="002F30DF">
        <w:rPr>
          <w:rFonts w:cs="Arial"/>
          <w:i/>
          <w:sz w:val="20"/>
          <w:szCs w:val="20"/>
        </w:rPr>
        <w:t>3. Pravne posledice</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Predlog uredbe omogoča, da se podjetja pred oddajo vloge za priglasitev srečajo s predstavniki agencije in se tako dogovorijo o vseh ključnih dokumentih, ki bodo priloženi obrazcu za priglasitev koncentracij in s tem omogočili, da bo vloga za priglasitev čim bolj popolna s ključnimi informacijami, ter s tem skrajšali postopek do dokončne odločitve agencije. Predvideva se tudi, da bo podjetje lažje izpolnilo obrazec, če bo podjetje izkoristilo možnost predhodnega stika z agencijo. Z vzpostavitvijo presoje koncentracije po poenostavljenem postopku se predvideva, da bo izpolnjevanje obrazca za priglasitev koncentracije manj zahtevno ter da bo agencija o priglašeni koncentraciji hitreje odločila. Pravno formalna posledica se </w:t>
      </w:r>
      <w:r w:rsidRPr="002F30DF">
        <w:rPr>
          <w:rFonts w:cs="Arial"/>
          <w:sz w:val="20"/>
          <w:szCs w:val="20"/>
        </w:rPr>
        <w:lastRenderedPageBreak/>
        <w:t>nanaša na odločbo, ki jo agencija izda v poenostavljenem postopku in vsebuje podatke o priglašeni koncentraciji (imena udeležencev, narava koncentracije in zadevni gospodarski sektorji), ugotovitev, ali je koncentracija skladna s pravili konkurence ali ugotovitev, da ni podrejena določbam tega zakona ter navedbo pogojev, ki so izpolnjeni za sprejetje odločitve v poenostavljenem postopku.</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III. PREHODNI REŽIM</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Postopki koncentracije, ki jih je podjetje priglasilo do dneva veljavnosti te uredbe, se dokončajo po dosedanjih predpisih.</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IV. ZAČETEK VELJAVNOSTI</w:t>
      </w:r>
    </w:p>
    <w:p w:rsidR="00736A33" w:rsidRPr="002F30DF" w:rsidRDefault="00736A33" w:rsidP="00736A33">
      <w:pPr>
        <w:spacing w:line="240" w:lineRule="exact"/>
        <w:rPr>
          <w:rFonts w:cs="Arial"/>
          <w:sz w:val="20"/>
          <w:szCs w:val="20"/>
        </w:rPr>
      </w:pPr>
    </w:p>
    <w:p w:rsidR="00736A33" w:rsidRPr="002F30DF" w:rsidRDefault="00736A33" w:rsidP="0054694D">
      <w:pPr>
        <w:tabs>
          <w:tab w:val="left" w:pos="567"/>
        </w:tabs>
        <w:spacing w:line="240" w:lineRule="exact"/>
        <w:rPr>
          <w:rFonts w:cs="Arial"/>
          <w:sz w:val="20"/>
          <w:szCs w:val="20"/>
        </w:rPr>
      </w:pPr>
      <w:r w:rsidRPr="002F30DF">
        <w:rPr>
          <w:rFonts w:cs="Arial"/>
          <w:sz w:val="20"/>
          <w:szCs w:val="20"/>
        </w:rPr>
        <w:t xml:space="preserve">Uredba začne veljati _____po objavi v Uradnem listu Republike Slovenije. Z dnem uveljavitve te uredbe preneha veljati Uredba o vsebini obrazca za priglasitev koncentracije podjetij (Uradni list RS, št. </w:t>
      </w:r>
      <w:hyperlink r:id="rId140" w:tgtFrame="_blank" w:tooltip="Uredba o vsebini obrazca za priglasitev koncentracije podjetij" w:history="1">
        <w:r w:rsidRPr="002F30DF">
          <w:rPr>
            <w:rFonts w:cs="Arial"/>
            <w:sz w:val="20"/>
            <w:szCs w:val="20"/>
          </w:rPr>
          <w:t>36/09</w:t>
        </w:r>
      </w:hyperlink>
      <w:r w:rsidRPr="002F30DF">
        <w:rPr>
          <w:rFonts w:cs="Arial"/>
          <w:sz w:val="20"/>
          <w:szCs w:val="20"/>
        </w:rPr>
        <w:t xml:space="preserve"> in </w:t>
      </w:r>
      <w:hyperlink r:id="rId141" w:tgtFrame="_blank" w:tooltip="Uredba o spremembah in dopolnitvah Uredbe o vsebini obrazca za priglasitev koncentracije podjetij" w:history="1">
        <w:r w:rsidRPr="002F30DF">
          <w:rPr>
            <w:rFonts w:cs="Arial"/>
            <w:sz w:val="20"/>
            <w:szCs w:val="20"/>
          </w:rPr>
          <w:t>3/14</w:t>
        </w:r>
      </w:hyperlink>
      <w:r w:rsidRPr="002F30DF">
        <w:rPr>
          <w:rFonts w:cs="Arial"/>
          <w:sz w:val="20"/>
          <w:szCs w:val="20"/>
        </w:rPr>
        <w:t xml:space="preserve">). </w:t>
      </w:r>
    </w:p>
    <w:p w:rsidR="00736A33" w:rsidRPr="002F30DF" w:rsidRDefault="00736A33" w:rsidP="00736A33">
      <w:pPr>
        <w:tabs>
          <w:tab w:val="left" w:pos="1426"/>
        </w:tabs>
        <w:spacing w:line="240" w:lineRule="exact"/>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normativni del</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pStyle w:val="Vrstapredpisa"/>
        <w:spacing w:before="0"/>
        <w:rPr>
          <w:color w:val="auto"/>
          <w:spacing w:val="0"/>
          <w:sz w:val="20"/>
          <w:szCs w:val="20"/>
        </w:rPr>
      </w:pPr>
      <w:r w:rsidRPr="002F30DF">
        <w:rPr>
          <w:color w:val="auto"/>
          <w:sz w:val="20"/>
          <w:szCs w:val="20"/>
        </w:rPr>
        <w:t>UREDBA</w:t>
      </w:r>
    </w:p>
    <w:p w:rsidR="00736A33" w:rsidRPr="002F30DF" w:rsidRDefault="00736A33" w:rsidP="00736A33">
      <w:pPr>
        <w:pStyle w:val="Vrstapredpisa"/>
        <w:spacing w:before="0"/>
        <w:rPr>
          <w:color w:val="auto"/>
          <w:spacing w:val="0"/>
          <w:sz w:val="20"/>
          <w:szCs w:val="20"/>
        </w:rPr>
      </w:pPr>
      <w:r w:rsidRPr="002F30DF">
        <w:rPr>
          <w:color w:val="auto"/>
          <w:spacing w:val="0"/>
          <w:sz w:val="20"/>
          <w:szCs w:val="20"/>
        </w:rPr>
        <w:t>o vsebini obrazca za priglasitev koncentracije podjetij</w:t>
      </w:r>
    </w:p>
    <w:p w:rsidR="00736A33" w:rsidRPr="002F30DF" w:rsidRDefault="00736A33" w:rsidP="00736A33">
      <w:pPr>
        <w:pStyle w:val="Vrstapredpisa"/>
        <w:spacing w:before="0"/>
        <w:rPr>
          <w:color w:val="auto"/>
          <w:sz w:val="20"/>
          <w:szCs w:val="20"/>
        </w:rPr>
      </w:pPr>
    </w:p>
    <w:p w:rsidR="00736A33" w:rsidRPr="002F30DF" w:rsidRDefault="00736A33" w:rsidP="00736A33">
      <w:pPr>
        <w:pStyle w:val="len"/>
        <w:spacing w:before="0"/>
        <w:rPr>
          <w:sz w:val="20"/>
          <w:szCs w:val="20"/>
        </w:rPr>
      </w:pPr>
    </w:p>
    <w:p w:rsidR="00736A33" w:rsidRPr="002F30DF" w:rsidRDefault="00736A33" w:rsidP="00736A33">
      <w:pPr>
        <w:pStyle w:val="len"/>
        <w:spacing w:before="0"/>
        <w:rPr>
          <w:sz w:val="20"/>
          <w:szCs w:val="20"/>
        </w:rPr>
      </w:pPr>
      <w:r w:rsidRPr="002F30DF">
        <w:rPr>
          <w:sz w:val="20"/>
          <w:szCs w:val="20"/>
        </w:rPr>
        <w:t>1. člen</w:t>
      </w:r>
    </w:p>
    <w:p w:rsidR="00736A33" w:rsidRPr="002F30DF" w:rsidRDefault="00736A33" w:rsidP="00736A33">
      <w:pPr>
        <w:pStyle w:val="len"/>
        <w:spacing w:before="0"/>
        <w:rPr>
          <w:sz w:val="20"/>
          <w:szCs w:val="20"/>
        </w:rPr>
      </w:pPr>
      <w:r w:rsidRPr="002F30DF">
        <w:rPr>
          <w:sz w:val="20"/>
          <w:szCs w:val="20"/>
        </w:rPr>
        <w:t>(vsebina in področje uporabe uredbe)</w:t>
      </w:r>
    </w:p>
    <w:p w:rsidR="00736A33" w:rsidRPr="002F30DF" w:rsidRDefault="00736A33" w:rsidP="00736A33">
      <w:pPr>
        <w:pStyle w:val="len"/>
        <w:spacing w:before="0"/>
        <w:rPr>
          <w:sz w:val="20"/>
          <w:szCs w:val="20"/>
        </w:rPr>
      </w:pPr>
    </w:p>
    <w:p w:rsidR="00736A33" w:rsidRPr="002F30DF" w:rsidRDefault="00736A33" w:rsidP="00736A33">
      <w:pPr>
        <w:pStyle w:val="Odstavek"/>
        <w:spacing w:before="0"/>
        <w:ind w:firstLine="0"/>
        <w:rPr>
          <w:sz w:val="20"/>
          <w:szCs w:val="20"/>
        </w:rPr>
      </w:pPr>
      <w:r w:rsidRPr="002F30DF">
        <w:rPr>
          <w:sz w:val="20"/>
          <w:szCs w:val="20"/>
          <w:lang w:eastAsia="en-US"/>
        </w:rPr>
        <w:t xml:space="preserve">Ta uredba določa vsebino obrazca za priglasitev koncentracije (v nadaljnjem besedilu: obrazec), ki ga morajo podjetja, ki priglasijo koncentracijo, posredovati agenciji, ki je pristojna za varstvo konkurence (v nadaljnjem besedilu: agencija), ko so izpolnjeni pogoji iz </w:t>
      </w:r>
      <w:r w:rsidR="00BC3E1D" w:rsidRPr="002F30DF">
        <w:rPr>
          <w:sz w:val="20"/>
          <w:szCs w:val="20"/>
          <w:lang w:eastAsia="en-US"/>
        </w:rPr>
        <w:t>67</w:t>
      </w:r>
      <w:r w:rsidRPr="002F30DF">
        <w:rPr>
          <w:sz w:val="20"/>
          <w:szCs w:val="20"/>
          <w:lang w:eastAsia="en-US"/>
        </w:rPr>
        <w:t>. člena Zakona o preprečevanju omejevanja konkurence (Uradni list RS, št. ___; v nadaljnjem besedilu: zakon).</w:t>
      </w:r>
    </w:p>
    <w:p w:rsidR="00736A33" w:rsidRPr="002F30DF" w:rsidRDefault="00736A33" w:rsidP="00736A33">
      <w:pPr>
        <w:pStyle w:val="len"/>
        <w:spacing w:before="0"/>
        <w:rPr>
          <w:sz w:val="20"/>
          <w:szCs w:val="20"/>
        </w:rPr>
      </w:pPr>
    </w:p>
    <w:p w:rsidR="00736A33" w:rsidRPr="002F30DF" w:rsidRDefault="00736A33" w:rsidP="00736A33">
      <w:pPr>
        <w:pStyle w:val="len"/>
        <w:spacing w:before="0"/>
        <w:rPr>
          <w:sz w:val="20"/>
          <w:szCs w:val="20"/>
        </w:rPr>
      </w:pPr>
      <w:r w:rsidRPr="002F30DF">
        <w:rPr>
          <w:sz w:val="20"/>
          <w:szCs w:val="20"/>
        </w:rPr>
        <w:t>2. člen</w:t>
      </w:r>
    </w:p>
    <w:p w:rsidR="00736A33" w:rsidRPr="002F30DF" w:rsidRDefault="00736A33" w:rsidP="00736A33">
      <w:pPr>
        <w:widowControl w:val="0"/>
        <w:shd w:val="clear" w:color="auto" w:fill="FFFFFF"/>
        <w:tabs>
          <w:tab w:val="left" w:pos="518"/>
        </w:tabs>
        <w:spacing w:line="245" w:lineRule="exact"/>
        <w:jc w:val="center"/>
        <w:rPr>
          <w:rFonts w:cs="Arial"/>
          <w:b/>
          <w:sz w:val="20"/>
          <w:szCs w:val="20"/>
        </w:rPr>
      </w:pPr>
      <w:r w:rsidRPr="002F30DF" w:rsidDel="00FD10AA">
        <w:rPr>
          <w:rFonts w:cs="Arial"/>
          <w:sz w:val="20"/>
          <w:szCs w:val="20"/>
        </w:rPr>
        <w:t xml:space="preserve"> </w:t>
      </w:r>
      <w:r w:rsidRPr="002F30DF">
        <w:rPr>
          <w:rFonts w:cs="Arial"/>
          <w:b/>
          <w:sz w:val="20"/>
          <w:szCs w:val="20"/>
        </w:rPr>
        <w:t>(obrazec)</w:t>
      </w:r>
    </w:p>
    <w:p w:rsidR="00633D36" w:rsidRPr="002F30DF" w:rsidRDefault="00633D36" w:rsidP="00736A33">
      <w:pPr>
        <w:widowControl w:val="0"/>
        <w:shd w:val="clear" w:color="auto" w:fill="FFFFFF"/>
        <w:tabs>
          <w:tab w:val="left" w:pos="518"/>
        </w:tabs>
        <w:spacing w:line="245" w:lineRule="exact"/>
        <w:jc w:val="center"/>
        <w:rPr>
          <w:rFonts w:cs="Arial"/>
          <w:b/>
          <w:sz w:val="20"/>
          <w:szCs w:val="20"/>
        </w:rPr>
      </w:pPr>
    </w:p>
    <w:p w:rsidR="00736A33" w:rsidRPr="002F30DF" w:rsidRDefault="00736A33" w:rsidP="00736A33">
      <w:pPr>
        <w:widowControl w:val="0"/>
        <w:shd w:val="clear" w:color="auto" w:fill="FFFFFF"/>
        <w:tabs>
          <w:tab w:val="left" w:pos="518"/>
        </w:tabs>
        <w:spacing w:line="245" w:lineRule="exact"/>
        <w:rPr>
          <w:rFonts w:cs="Arial"/>
          <w:sz w:val="20"/>
          <w:szCs w:val="20"/>
        </w:rPr>
      </w:pPr>
      <w:r w:rsidRPr="002F30DF">
        <w:rPr>
          <w:rFonts w:cs="Arial"/>
          <w:sz w:val="20"/>
          <w:szCs w:val="20"/>
        </w:rPr>
        <w:t xml:space="preserve">Podjetja morajo koncentracijo priglasiti agenciji na obrazcu, določenem v prilogi, </w:t>
      </w:r>
      <w:r w:rsidRPr="002F30DF">
        <w:rPr>
          <w:rFonts w:cs="Arial"/>
          <w:sz w:val="20"/>
          <w:szCs w:val="20"/>
        </w:rPr>
        <w:lastRenderedPageBreak/>
        <w:t>ki je sestavni del te uredbe.</w:t>
      </w:r>
    </w:p>
    <w:p w:rsidR="00633D36" w:rsidRPr="002F30DF" w:rsidRDefault="00633D36" w:rsidP="00736A33">
      <w:pPr>
        <w:widowControl w:val="0"/>
        <w:shd w:val="clear" w:color="auto" w:fill="FFFFFF"/>
        <w:tabs>
          <w:tab w:val="left" w:pos="518"/>
        </w:tabs>
        <w:spacing w:line="245" w:lineRule="exact"/>
        <w:rPr>
          <w:rFonts w:cs="Arial"/>
          <w:sz w:val="20"/>
          <w:szCs w:val="20"/>
        </w:rPr>
      </w:pPr>
    </w:p>
    <w:p w:rsidR="00736A33" w:rsidRPr="002F30DF" w:rsidRDefault="00736A33" w:rsidP="00736A33">
      <w:pPr>
        <w:widowControl w:val="0"/>
        <w:shd w:val="clear" w:color="auto" w:fill="FFFFFF"/>
        <w:tabs>
          <w:tab w:val="left" w:pos="518"/>
        </w:tabs>
        <w:spacing w:line="245" w:lineRule="exact"/>
        <w:jc w:val="center"/>
        <w:rPr>
          <w:rFonts w:cs="Arial"/>
          <w:b/>
          <w:sz w:val="20"/>
          <w:szCs w:val="20"/>
        </w:rPr>
      </w:pPr>
      <w:r w:rsidRPr="002F30DF">
        <w:rPr>
          <w:rFonts w:cs="Arial"/>
          <w:b/>
          <w:sz w:val="20"/>
          <w:szCs w:val="20"/>
        </w:rPr>
        <w:t>3. člen</w:t>
      </w:r>
    </w:p>
    <w:p w:rsidR="00736A33" w:rsidRPr="002F30DF" w:rsidRDefault="00736A33" w:rsidP="00736A33">
      <w:pPr>
        <w:widowControl w:val="0"/>
        <w:shd w:val="clear" w:color="auto" w:fill="FFFFFF"/>
        <w:tabs>
          <w:tab w:val="left" w:pos="518"/>
        </w:tabs>
        <w:spacing w:line="245" w:lineRule="exact"/>
        <w:jc w:val="center"/>
        <w:rPr>
          <w:rFonts w:cs="Arial"/>
          <w:b/>
          <w:sz w:val="20"/>
          <w:szCs w:val="20"/>
        </w:rPr>
      </w:pPr>
      <w:r w:rsidRPr="002F30DF">
        <w:rPr>
          <w:rFonts w:cs="Arial"/>
          <w:b/>
          <w:sz w:val="20"/>
          <w:szCs w:val="20"/>
        </w:rPr>
        <w:t>(resničnost in popolnost podatkov)</w:t>
      </w:r>
    </w:p>
    <w:p w:rsidR="00736A33" w:rsidRPr="002F30DF" w:rsidRDefault="00736A33" w:rsidP="00736A33">
      <w:pPr>
        <w:widowControl w:val="0"/>
        <w:shd w:val="clear" w:color="auto" w:fill="FFFFFF"/>
        <w:tabs>
          <w:tab w:val="left" w:pos="518"/>
        </w:tabs>
        <w:spacing w:line="245" w:lineRule="exact"/>
        <w:rPr>
          <w:rFonts w:cs="Arial"/>
          <w:sz w:val="20"/>
          <w:szCs w:val="20"/>
        </w:rPr>
      </w:pPr>
      <w:r w:rsidRPr="002F30DF">
        <w:rPr>
          <w:rFonts w:cs="Arial"/>
          <w:sz w:val="20"/>
          <w:szCs w:val="20"/>
        </w:rPr>
        <w:t>Podjetja, ki priglašajo koncentracijo, morajo v obrazcu navesti resnične in popolne podatke. Če podjetja ne razpolagajo s podatki, ki jih je treba navesti v obrazcu, teh podatkov pa jim kljub lastnemu prizadevanju ni uspelo pridobiti, morajo to navesti v samem obrazcu hkrati z navedbo, kje bi lahk</w:t>
      </w:r>
      <w:r w:rsidR="00633D36" w:rsidRPr="002F30DF">
        <w:rPr>
          <w:rFonts w:cs="Arial"/>
          <w:sz w:val="20"/>
          <w:szCs w:val="20"/>
        </w:rPr>
        <w:t>o agencija te podatke pridobila.</w:t>
      </w:r>
    </w:p>
    <w:p w:rsidR="00633D36" w:rsidRPr="002F30DF" w:rsidRDefault="00633D36" w:rsidP="00736A33">
      <w:pPr>
        <w:widowControl w:val="0"/>
        <w:shd w:val="clear" w:color="auto" w:fill="FFFFFF"/>
        <w:tabs>
          <w:tab w:val="left" w:pos="518"/>
        </w:tabs>
        <w:spacing w:line="245" w:lineRule="exact"/>
        <w:rPr>
          <w:rFonts w:cs="Arial"/>
          <w:sz w:val="20"/>
          <w:szCs w:val="20"/>
        </w:rPr>
      </w:pPr>
    </w:p>
    <w:p w:rsidR="00736A33" w:rsidRPr="002F30DF" w:rsidRDefault="00736A33" w:rsidP="00736A33">
      <w:pPr>
        <w:widowControl w:val="0"/>
        <w:shd w:val="clear" w:color="auto" w:fill="FFFFFF"/>
        <w:tabs>
          <w:tab w:val="left" w:pos="518"/>
        </w:tabs>
        <w:spacing w:line="245" w:lineRule="exact"/>
        <w:jc w:val="center"/>
        <w:rPr>
          <w:rFonts w:cs="Arial"/>
          <w:b/>
          <w:sz w:val="20"/>
          <w:szCs w:val="20"/>
        </w:rPr>
      </w:pPr>
      <w:r w:rsidRPr="002F30DF">
        <w:rPr>
          <w:rFonts w:cs="Arial"/>
          <w:b/>
          <w:sz w:val="20"/>
          <w:szCs w:val="20"/>
        </w:rPr>
        <w:t>4. člen</w:t>
      </w:r>
    </w:p>
    <w:p w:rsidR="00633D36" w:rsidRPr="002F30DF" w:rsidRDefault="00633D36" w:rsidP="00736A33">
      <w:pPr>
        <w:widowControl w:val="0"/>
        <w:shd w:val="clear" w:color="auto" w:fill="FFFFFF"/>
        <w:tabs>
          <w:tab w:val="left" w:pos="518"/>
        </w:tabs>
        <w:spacing w:line="245" w:lineRule="exact"/>
        <w:jc w:val="center"/>
        <w:rPr>
          <w:rFonts w:cs="Arial"/>
          <w:b/>
          <w:sz w:val="20"/>
          <w:szCs w:val="20"/>
        </w:rPr>
      </w:pPr>
    </w:p>
    <w:p w:rsidR="00736A33" w:rsidRPr="002F30DF" w:rsidRDefault="00736A33" w:rsidP="00736A33">
      <w:pPr>
        <w:widowControl w:val="0"/>
        <w:shd w:val="clear" w:color="auto" w:fill="FFFFFF"/>
        <w:tabs>
          <w:tab w:val="left" w:pos="518"/>
        </w:tabs>
        <w:spacing w:line="245" w:lineRule="exact"/>
        <w:rPr>
          <w:rFonts w:cs="Arial"/>
          <w:sz w:val="20"/>
          <w:szCs w:val="20"/>
        </w:rPr>
      </w:pPr>
      <w:r w:rsidRPr="002F30DF">
        <w:rPr>
          <w:rFonts w:cs="Arial"/>
          <w:sz w:val="20"/>
          <w:szCs w:val="20"/>
        </w:rPr>
        <w:t>Agencija lahko v primerih iz prejšnjega člena naloži podjetjem, ki priglašajo koncentracijo, da namesto zahtevanih podatkov dajo njihovo lastno oceno, pri tem pa jo morajo tudi pisno utemeljiti.</w:t>
      </w:r>
    </w:p>
    <w:p w:rsidR="00736A33" w:rsidRPr="002F30DF" w:rsidRDefault="00736A33" w:rsidP="00736A33">
      <w:pPr>
        <w:widowControl w:val="0"/>
        <w:shd w:val="clear" w:color="auto" w:fill="FFFFFF"/>
        <w:tabs>
          <w:tab w:val="left" w:pos="518"/>
        </w:tabs>
        <w:spacing w:line="245" w:lineRule="exact"/>
        <w:jc w:val="center"/>
        <w:rPr>
          <w:rFonts w:cs="Arial"/>
          <w:sz w:val="20"/>
          <w:szCs w:val="20"/>
        </w:rPr>
      </w:pPr>
    </w:p>
    <w:p w:rsidR="00736A33" w:rsidRPr="002F30DF" w:rsidRDefault="00736A33" w:rsidP="00736A33">
      <w:pPr>
        <w:pStyle w:val="len"/>
        <w:spacing w:before="0"/>
        <w:rPr>
          <w:sz w:val="20"/>
          <w:szCs w:val="20"/>
        </w:rPr>
      </w:pPr>
      <w:r w:rsidRPr="002F30DF">
        <w:rPr>
          <w:sz w:val="20"/>
          <w:szCs w:val="20"/>
        </w:rPr>
        <w:t>5. člen</w:t>
      </w:r>
    </w:p>
    <w:p w:rsidR="00736A33" w:rsidRPr="002F30DF" w:rsidRDefault="00736A33" w:rsidP="00736A33">
      <w:pPr>
        <w:pStyle w:val="len"/>
        <w:spacing w:before="0"/>
        <w:rPr>
          <w:sz w:val="20"/>
          <w:szCs w:val="20"/>
        </w:rPr>
      </w:pPr>
      <w:r w:rsidRPr="002F30DF">
        <w:rPr>
          <w:sz w:val="20"/>
          <w:szCs w:val="20"/>
        </w:rPr>
        <w:t>(izjema za posredovanje podatkov)</w:t>
      </w:r>
    </w:p>
    <w:p w:rsidR="00736A33" w:rsidRPr="002F30DF" w:rsidRDefault="00736A33" w:rsidP="00736A33">
      <w:pPr>
        <w:pStyle w:val="len"/>
        <w:spacing w:before="0"/>
        <w:rPr>
          <w:sz w:val="20"/>
          <w:szCs w:val="20"/>
        </w:rPr>
      </w:pPr>
    </w:p>
    <w:p w:rsidR="00736A33" w:rsidRPr="002F30DF" w:rsidRDefault="00736A33" w:rsidP="00736A33">
      <w:pPr>
        <w:pStyle w:val="len"/>
        <w:spacing w:before="0"/>
        <w:jc w:val="both"/>
        <w:rPr>
          <w:b w:val="0"/>
          <w:sz w:val="20"/>
          <w:szCs w:val="20"/>
        </w:rPr>
      </w:pPr>
      <w:r w:rsidRPr="002F30DF">
        <w:rPr>
          <w:b w:val="0"/>
          <w:sz w:val="20"/>
          <w:szCs w:val="20"/>
        </w:rPr>
        <w:t>Podjetja, ki priglašajo koncentracijo, lahko ob priglasitvi agencijo zaprosijo za dovoljenje, da jim ni treba izpolniti obrazca v posameznih točkah, če menijo, da podatki, ki se zahtevajo v teh točkah, niso potrebni za pravilno in popolno priglasitev koncentracije oziroma njeno presojo.</w:t>
      </w:r>
    </w:p>
    <w:p w:rsidR="00736A33" w:rsidRPr="002F30DF" w:rsidRDefault="00736A33" w:rsidP="00736A33">
      <w:pPr>
        <w:pStyle w:val="len"/>
        <w:spacing w:before="0"/>
        <w:rPr>
          <w:sz w:val="20"/>
          <w:szCs w:val="20"/>
        </w:rPr>
      </w:pPr>
    </w:p>
    <w:p w:rsidR="00736A33" w:rsidRPr="002F30DF" w:rsidRDefault="00736A33" w:rsidP="00736A33">
      <w:pPr>
        <w:pStyle w:val="len"/>
        <w:spacing w:before="0"/>
        <w:rPr>
          <w:sz w:val="20"/>
          <w:szCs w:val="20"/>
        </w:rPr>
      </w:pPr>
      <w:r w:rsidRPr="002F30DF">
        <w:rPr>
          <w:sz w:val="20"/>
          <w:szCs w:val="20"/>
        </w:rPr>
        <w:t>6. člen</w:t>
      </w:r>
    </w:p>
    <w:p w:rsidR="00736A33" w:rsidRPr="002F30DF" w:rsidRDefault="00736A33" w:rsidP="00736A33">
      <w:pPr>
        <w:pStyle w:val="len"/>
        <w:spacing w:before="0"/>
        <w:rPr>
          <w:sz w:val="20"/>
          <w:szCs w:val="20"/>
        </w:rPr>
      </w:pPr>
      <w:r w:rsidRPr="002F30DF">
        <w:rPr>
          <w:sz w:val="20"/>
          <w:szCs w:val="20"/>
        </w:rPr>
        <w:t>(označevanje prilog)</w:t>
      </w:r>
    </w:p>
    <w:p w:rsidR="00736A33" w:rsidRPr="002F30DF" w:rsidRDefault="00736A33" w:rsidP="00736A33">
      <w:pPr>
        <w:pStyle w:val="len"/>
        <w:spacing w:before="0"/>
        <w:jc w:val="both"/>
        <w:rPr>
          <w:b w:val="0"/>
          <w:sz w:val="20"/>
          <w:szCs w:val="20"/>
        </w:rPr>
      </w:pPr>
    </w:p>
    <w:p w:rsidR="00736A33" w:rsidRPr="002F30DF" w:rsidRDefault="00736A33" w:rsidP="00736A33">
      <w:pPr>
        <w:pStyle w:val="len"/>
        <w:spacing w:before="0"/>
        <w:jc w:val="both"/>
        <w:rPr>
          <w:b w:val="0"/>
          <w:sz w:val="20"/>
          <w:szCs w:val="20"/>
        </w:rPr>
      </w:pPr>
      <w:r w:rsidRPr="002F30DF">
        <w:rPr>
          <w:b w:val="0"/>
          <w:sz w:val="20"/>
          <w:szCs w:val="20"/>
        </w:rPr>
        <w:t>Priloge k posameznim točkam obrazca je treba ustrezno označiti in navesti število strani priloženega dokumenta. Oznaka priloženega dokumenta in število strani se navedeta tudi k posamezni točki obrazca.</w:t>
      </w:r>
    </w:p>
    <w:p w:rsidR="00633D36" w:rsidRPr="002F30DF" w:rsidRDefault="00633D36" w:rsidP="00736A33">
      <w:pPr>
        <w:pStyle w:val="len"/>
        <w:spacing w:before="0"/>
        <w:jc w:val="both"/>
        <w:rPr>
          <w:b w:val="0"/>
          <w:sz w:val="20"/>
          <w:szCs w:val="20"/>
        </w:rPr>
      </w:pPr>
    </w:p>
    <w:p w:rsidR="00736A33" w:rsidRPr="002F30DF" w:rsidRDefault="00736A33" w:rsidP="00736A33">
      <w:pPr>
        <w:pStyle w:val="len"/>
        <w:spacing w:before="0"/>
        <w:rPr>
          <w:sz w:val="20"/>
          <w:szCs w:val="20"/>
        </w:rPr>
      </w:pPr>
      <w:r w:rsidRPr="002F30DF">
        <w:rPr>
          <w:sz w:val="20"/>
          <w:szCs w:val="20"/>
        </w:rPr>
        <w:t>7. člen</w:t>
      </w:r>
    </w:p>
    <w:p w:rsidR="00736A33" w:rsidRPr="002F30DF" w:rsidRDefault="00736A33" w:rsidP="00736A33">
      <w:pPr>
        <w:pStyle w:val="len"/>
        <w:spacing w:before="0"/>
        <w:rPr>
          <w:sz w:val="20"/>
          <w:szCs w:val="20"/>
        </w:rPr>
      </w:pPr>
      <w:r w:rsidRPr="002F30DF">
        <w:rPr>
          <w:sz w:val="20"/>
          <w:szCs w:val="20"/>
        </w:rPr>
        <w:t>(stiki z agencijo pred priglasitvijo)</w:t>
      </w:r>
    </w:p>
    <w:p w:rsidR="00736A33" w:rsidRPr="002F30DF" w:rsidRDefault="00736A33" w:rsidP="00736A33">
      <w:pPr>
        <w:pStyle w:val="len"/>
        <w:spacing w:before="0"/>
        <w:rPr>
          <w:sz w:val="20"/>
          <w:szCs w:val="20"/>
        </w:rPr>
      </w:pPr>
    </w:p>
    <w:p w:rsidR="00736A33" w:rsidRPr="002F30DF" w:rsidRDefault="00736A33" w:rsidP="00736A33">
      <w:pPr>
        <w:widowControl w:val="0"/>
        <w:shd w:val="clear" w:color="auto" w:fill="FFFFFF"/>
        <w:tabs>
          <w:tab w:val="left" w:pos="518"/>
        </w:tabs>
        <w:spacing w:line="245" w:lineRule="exact"/>
        <w:rPr>
          <w:rFonts w:cs="Arial"/>
          <w:sz w:val="20"/>
          <w:szCs w:val="20"/>
        </w:rPr>
      </w:pPr>
      <w:r w:rsidRPr="002F30DF">
        <w:rPr>
          <w:rFonts w:cs="Arial"/>
          <w:sz w:val="20"/>
          <w:szCs w:val="20"/>
        </w:rPr>
        <w:t>Podjetja lahko pred priglasitvijo vzpostavijo z agencijo stik z namenom razjasnitve vprašanj v zvezi s priglasitvijo koncentracije oziroma z vsebino obrazca iz 2. člena te uredbe.</w:t>
      </w:r>
    </w:p>
    <w:p w:rsidR="00736A33" w:rsidRPr="002F30DF" w:rsidRDefault="00736A33" w:rsidP="00736A33">
      <w:pPr>
        <w:pStyle w:val="len"/>
        <w:keepNext/>
        <w:spacing w:before="0"/>
        <w:rPr>
          <w:sz w:val="20"/>
          <w:szCs w:val="20"/>
        </w:rPr>
      </w:pPr>
    </w:p>
    <w:p w:rsidR="00736A33" w:rsidRPr="002F30DF" w:rsidRDefault="00736A33" w:rsidP="00736A33">
      <w:pPr>
        <w:pStyle w:val="len"/>
        <w:keepNext/>
        <w:spacing w:before="0"/>
        <w:rPr>
          <w:sz w:val="20"/>
          <w:szCs w:val="20"/>
        </w:rPr>
      </w:pPr>
      <w:r w:rsidRPr="002F30DF">
        <w:rPr>
          <w:sz w:val="20"/>
          <w:szCs w:val="20"/>
        </w:rPr>
        <w:t>8. člen</w:t>
      </w:r>
    </w:p>
    <w:p w:rsidR="00736A33" w:rsidRPr="002F30DF" w:rsidRDefault="00736A33" w:rsidP="00736A33">
      <w:pPr>
        <w:pStyle w:val="len"/>
        <w:keepNext/>
        <w:spacing w:before="0"/>
        <w:rPr>
          <w:sz w:val="20"/>
          <w:szCs w:val="20"/>
        </w:rPr>
      </w:pPr>
      <w:r w:rsidRPr="002F30DF">
        <w:rPr>
          <w:sz w:val="20"/>
          <w:szCs w:val="20"/>
        </w:rPr>
        <w:t>(uveljavitev)</w:t>
      </w:r>
    </w:p>
    <w:p w:rsidR="00736A33" w:rsidRPr="002F30DF" w:rsidRDefault="00736A33" w:rsidP="00736A33">
      <w:pPr>
        <w:pStyle w:val="len"/>
        <w:spacing w:before="0"/>
        <w:rPr>
          <w:sz w:val="20"/>
          <w:szCs w:val="20"/>
        </w:rPr>
      </w:pPr>
    </w:p>
    <w:p w:rsidR="00736A33" w:rsidRPr="002F30DF" w:rsidRDefault="00736A33" w:rsidP="00736A33">
      <w:pPr>
        <w:widowControl w:val="0"/>
        <w:shd w:val="clear" w:color="auto" w:fill="FFFFFF"/>
        <w:tabs>
          <w:tab w:val="left" w:pos="518"/>
        </w:tabs>
        <w:spacing w:line="245" w:lineRule="exact"/>
        <w:rPr>
          <w:rFonts w:cs="Arial"/>
          <w:sz w:val="20"/>
          <w:szCs w:val="20"/>
        </w:rPr>
      </w:pPr>
      <w:r w:rsidRPr="002F30DF">
        <w:rPr>
          <w:rFonts w:cs="Arial"/>
          <w:sz w:val="20"/>
          <w:szCs w:val="20"/>
        </w:rPr>
        <w:t>Ta uredba začne veljati ____ po objavi v Uradnem listu Republike Slovenije. Z dnem uveljavitve te uredbe prenehata veljati Uredba o vsebini obrazca za priglasitev koncentracije podjetij (Uradni list RS, št. 36/09 in 3/14).</w:t>
      </w:r>
    </w:p>
    <w:p w:rsidR="0054694D" w:rsidRPr="002F30DF" w:rsidRDefault="0054694D" w:rsidP="00736A33">
      <w:pPr>
        <w:widowControl w:val="0"/>
        <w:shd w:val="clear" w:color="auto" w:fill="FFFFFF"/>
        <w:tabs>
          <w:tab w:val="left" w:pos="518"/>
        </w:tabs>
        <w:spacing w:line="245" w:lineRule="exact"/>
        <w:rPr>
          <w:rFonts w:cs="Arial"/>
          <w:sz w:val="20"/>
          <w:szCs w:val="20"/>
        </w:rPr>
      </w:pPr>
    </w:p>
    <w:p w:rsidR="00736A33" w:rsidRPr="002F30DF" w:rsidRDefault="00736A33" w:rsidP="00736A33">
      <w:pPr>
        <w:shd w:val="clear" w:color="auto" w:fill="FFFFFF"/>
        <w:spacing w:line="360" w:lineRule="auto"/>
        <w:rPr>
          <w:rFonts w:cs="Arial"/>
          <w:sz w:val="20"/>
          <w:szCs w:val="20"/>
        </w:rPr>
      </w:pPr>
      <w:r w:rsidRPr="002F30DF">
        <w:rPr>
          <w:rFonts w:cs="Arial"/>
          <w:sz w:val="20"/>
          <w:szCs w:val="20"/>
        </w:rPr>
        <w:t>Priloga: Obrazec za priglasitev koncentracije podjetij</w:t>
      </w:r>
    </w:p>
    <w:p w:rsidR="00736A33" w:rsidRPr="002F30DF" w:rsidRDefault="00736A33" w:rsidP="00736A33">
      <w:pPr>
        <w:shd w:val="clear" w:color="auto" w:fill="FFFFFF"/>
        <w:spacing w:line="360" w:lineRule="auto"/>
        <w:ind w:left="1562" w:hanging="1136"/>
        <w:jc w:val="center"/>
        <w:rPr>
          <w:rFonts w:cs="Arial"/>
          <w:b/>
          <w:spacing w:val="-1"/>
          <w:sz w:val="20"/>
          <w:szCs w:val="20"/>
        </w:rPr>
      </w:pPr>
    </w:p>
    <w:p w:rsidR="00290BD5" w:rsidRPr="002F30DF" w:rsidRDefault="00290BD5">
      <w:pPr>
        <w:overflowPunct/>
        <w:autoSpaceDE/>
        <w:autoSpaceDN/>
        <w:adjustRightInd/>
        <w:jc w:val="left"/>
        <w:textAlignment w:val="auto"/>
        <w:rPr>
          <w:rFonts w:cs="Arial"/>
          <w:b/>
          <w:spacing w:val="-1"/>
          <w:sz w:val="20"/>
          <w:szCs w:val="20"/>
        </w:rPr>
      </w:pPr>
      <w:r w:rsidRPr="002F30DF">
        <w:rPr>
          <w:rFonts w:cs="Arial"/>
          <w:b/>
          <w:spacing w:val="-1"/>
          <w:sz w:val="20"/>
          <w:szCs w:val="20"/>
        </w:rPr>
        <w:br w:type="page"/>
      </w:r>
    </w:p>
    <w:p w:rsidR="00736A33" w:rsidRPr="002F30DF" w:rsidRDefault="00736A33" w:rsidP="00736A33">
      <w:pPr>
        <w:shd w:val="clear" w:color="auto" w:fill="FFFFFF"/>
        <w:spacing w:line="360" w:lineRule="auto"/>
        <w:ind w:left="1562" w:hanging="1136"/>
        <w:jc w:val="center"/>
        <w:rPr>
          <w:rFonts w:cs="Arial"/>
          <w:b/>
          <w:spacing w:val="-1"/>
          <w:sz w:val="20"/>
          <w:szCs w:val="20"/>
        </w:rPr>
      </w:pPr>
      <w:r w:rsidRPr="002F30DF">
        <w:rPr>
          <w:rFonts w:cs="Arial"/>
          <w:b/>
          <w:spacing w:val="-1"/>
          <w:sz w:val="20"/>
          <w:szCs w:val="20"/>
        </w:rPr>
        <w:lastRenderedPageBreak/>
        <w:t>OBRAZEC ZA PRIGLASITEV KONCENTRACIJE PODJETIJ</w:t>
      </w:r>
    </w:p>
    <w:p w:rsidR="00736A33" w:rsidRPr="002F30DF" w:rsidRDefault="00736A33" w:rsidP="00736A33">
      <w:pPr>
        <w:pStyle w:val="Naslov1"/>
        <w:keepNext w:val="0"/>
        <w:numPr>
          <w:ilvl w:val="0"/>
          <w:numId w:val="114"/>
        </w:numPr>
        <w:suppressAutoHyphens/>
        <w:spacing w:before="480" w:after="360" w:line="240" w:lineRule="auto"/>
        <w:ind w:left="431" w:hanging="431"/>
        <w:jc w:val="both"/>
        <w:rPr>
          <w:rFonts w:cs="Arial"/>
          <w:spacing w:val="-2"/>
          <w:sz w:val="20"/>
          <w:szCs w:val="20"/>
        </w:rPr>
      </w:pPr>
      <w:r w:rsidRPr="002F30DF">
        <w:rPr>
          <w:rFonts w:cs="Arial"/>
          <w:sz w:val="20"/>
          <w:szCs w:val="20"/>
        </w:rPr>
        <w:t>V KONCENTRACIJI UDELE</w:t>
      </w:r>
      <w:r w:rsidRPr="002F30DF">
        <w:rPr>
          <w:rFonts w:eastAsia="Arial" w:cs="Arial"/>
          <w:sz w:val="20"/>
          <w:szCs w:val="20"/>
        </w:rPr>
        <w:t>ŽENA PODJETJA</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Podjetje ali podjetja, ki morajo priglasiti koncentracijo (v nadaljnjem besedilu: priglasitelj)</w:t>
      </w:r>
    </w:p>
    <w:p w:rsidR="00736A33" w:rsidRPr="002F30DF" w:rsidRDefault="00736A33" w:rsidP="00736A33">
      <w:pPr>
        <w:spacing w:before="240"/>
        <w:rPr>
          <w:rFonts w:cs="Arial"/>
          <w:spacing w:val="-2"/>
          <w:sz w:val="20"/>
          <w:szCs w:val="20"/>
          <w:u w:val="single"/>
        </w:rPr>
      </w:pPr>
      <w:r w:rsidRPr="002F30DF">
        <w:rPr>
          <w:rFonts w:cs="Arial"/>
          <w:spacing w:val="-2"/>
          <w:sz w:val="20"/>
          <w:szCs w:val="20"/>
          <w:u w:val="single"/>
        </w:rPr>
        <w:t>Z</w:t>
      </w:r>
      <w:r w:rsidRPr="002F30DF">
        <w:rPr>
          <w:rFonts w:cs="Arial"/>
          <w:sz w:val="20"/>
          <w:szCs w:val="20"/>
          <w:u w:val="single"/>
        </w:rPr>
        <w:t>a vsakega priglasitelja: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ime ali firma;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matična številka;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naslov oziroma poslovni naslov (ulica, hišna številka, poštna številka, pošta);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številka telefona in elektronski naslov;</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gospodarska področja, na katerih je dejaven;</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oseba za stike (ime, položaj, številka telefona,  elektronski naslov);</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zastopnik (ime,  položaj, podjetje,  naslov, številka telefona,  elektronski naslov);</w:t>
      </w:r>
    </w:p>
    <w:p w:rsidR="00736A33" w:rsidRPr="002F30DF" w:rsidRDefault="00736A33" w:rsidP="00633D36">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pooblaščenec (ime, naslov, številka telefona, elektronski naslov).</w:t>
      </w:r>
    </w:p>
    <w:p w:rsidR="00736A33" w:rsidRPr="002F30DF" w:rsidRDefault="00736A33" w:rsidP="00736A33">
      <w:pPr>
        <w:shd w:val="clear" w:color="auto" w:fill="FFFFFF"/>
        <w:ind w:left="36"/>
        <w:rPr>
          <w:rFonts w:cs="Arial"/>
          <w:spacing w:val="1"/>
          <w:sz w:val="20"/>
          <w:szCs w:val="20"/>
        </w:rPr>
      </w:pPr>
      <w:r w:rsidRPr="002F30DF">
        <w:rPr>
          <w:rFonts w:cs="Arial"/>
          <w:spacing w:val="-1"/>
          <w:sz w:val="20"/>
          <w:szCs w:val="20"/>
        </w:rPr>
        <w:t>Zastopnik oziroma poobla</w:t>
      </w:r>
      <w:r w:rsidRPr="002F30DF">
        <w:rPr>
          <w:rFonts w:eastAsia="Arial" w:cs="Arial"/>
          <w:spacing w:val="-1"/>
          <w:sz w:val="20"/>
          <w:szCs w:val="20"/>
        </w:rPr>
        <w:t>ščenec priglasitelja mora predložiti pisni dokaz, da je za zastopanje</w:t>
      </w:r>
      <w:r w:rsidRPr="002F30DF">
        <w:rPr>
          <w:rFonts w:cs="Arial"/>
          <w:spacing w:val="1"/>
          <w:sz w:val="20"/>
          <w:szCs w:val="20"/>
        </w:rPr>
        <w:t xml:space="preserve"> poobla</w:t>
      </w:r>
      <w:r w:rsidRPr="002F30DF">
        <w:rPr>
          <w:rFonts w:eastAsia="Arial" w:cs="Arial"/>
          <w:spacing w:val="1"/>
          <w:sz w:val="20"/>
          <w:szCs w:val="20"/>
        </w:rPr>
        <w:t>ščen.</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 xml:space="preserve"> Prevzeta podjetja</w:t>
      </w:r>
    </w:p>
    <w:p w:rsidR="00736A33" w:rsidRPr="002F30DF" w:rsidRDefault="00736A33" w:rsidP="00736A33">
      <w:pPr>
        <w:spacing w:before="240"/>
        <w:rPr>
          <w:rFonts w:cs="Arial"/>
          <w:sz w:val="20"/>
          <w:szCs w:val="20"/>
          <w:u w:val="single"/>
        </w:rPr>
      </w:pPr>
      <w:r w:rsidRPr="002F30DF">
        <w:rPr>
          <w:rFonts w:cs="Arial"/>
          <w:sz w:val="20"/>
          <w:szCs w:val="20"/>
          <w:u w:val="single"/>
        </w:rPr>
        <w:t>Za vsako prevzeto podjetje:</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ime ali firma;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matična številka;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naslov oziroma poslovni naslov (ulica, hišna številka, poštna številka, pošta);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številka telefona in elektronski naslov;</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lastRenderedPageBreak/>
        <w:t>gospodarska področja, na katerih je dejavno;</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oseba za stike (ime, položaj, številka telefona, elektronski naslov);</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zastopnik (ime, položaj, podjetje,  naslov, številka telefona,  elektronski naslov).</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Skupna priglasitev</w:t>
      </w:r>
    </w:p>
    <w:p w:rsidR="00736A33" w:rsidRPr="002F30DF" w:rsidRDefault="00736A33" w:rsidP="00736A33">
      <w:pPr>
        <w:keepNext/>
        <w:shd w:val="clear" w:color="auto" w:fill="FFFFFF"/>
        <w:rPr>
          <w:rFonts w:cs="Arial"/>
          <w:spacing w:val="-1"/>
          <w:sz w:val="20"/>
          <w:szCs w:val="20"/>
        </w:rPr>
      </w:pPr>
      <w:r w:rsidRPr="002F30DF">
        <w:rPr>
          <w:rFonts w:cs="Arial"/>
          <w:spacing w:val="-1"/>
          <w:sz w:val="20"/>
          <w:szCs w:val="20"/>
        </w:rPr>
        <w:t>Ali je pri skupni priglasitvi imenovan skupni predstavnik oziroma poobla</w:t>
      </w:r>
      <w:r w:rsidRPr="002F30DF">
        <w:rPr>
          <w:rFonts w:eastAsia="Arial" w:cs="Arial"/>
          <w:spacing w:val="-1"/>
          <w:sz w:val="20"/>
          <w:szCs w:val="20"/>
        </w:rPr>
        <w:t xml:space="preserve">ščenec? </w:t>
      </w:r>
      <w:r w:rsidRPr="002F30DF">
        <w:rPr>
          <w:rFonts w:eastAsia="Arial" w:cs="Arial"/>
          <w:spacing w:val="-2"/>
          <w:sz w:val="20"/>
          <w:szCs w:val="20"/>
        </w:rPr>
        <w:t>Če je imenovan, navedite:</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ime skupnega predstavnika oziroma pooblaščenca;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naslov skupnega predstavnika oziroma pooblaščenca;</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ime osebe za stike (in naslov, če je drugačen kot pod 1.3.2);</w:t>
      </w:r>
    </w:p>
    <w:p w:rsidR="00736A33" w:rsidRPr="002F30DF" w:rsidRDefault="00736A33" w:rsidP="00736A33">
      <w:pPr>
        <w:shd w:val="clear" w:color="auto" w:fill="FFFFFF"/>
        <w:rPr>
          <w:rFonts w:eastAsia="Arial" w:cs="Arial"/>
          <w:spacing w:val="-2"/>
          <w:sz w:val="20"/>
          <w:szCs w:val="20"/>
        </w:rPr>
      </w:pPr>
    </w:p>
    <w:p w:rsidR="00736A33" w:rsidRPr="002F30DF" w:rsidRDefault="00736A33" w:rsidP="00736A33">
      <w:pPr>
        <w:shd w:val="clear" w:color="auto" w:fill="FFFFFF"/>
        <w:rPr>
          <w:rFonts w:eastAsia="Arial" w:cs="Arial"/>
          <w:spacing w:val="-2"/>
          <w:sz w:val="20"/>
          <w:szCs w:val="20"/>
        </w:rPr>
      </w:pPr>
      <w:r w:rsidRPr="002F30DF">
        <w:rPr>
          <w:rFonts w:eastAsia="Arial" w:cs="Arial"/>
          <w:spacing w:val="-2"/>
          <w:sz w:val="20"/>
          <w:szCs w:val="20"/>
        </w:rPr>
        <w:t>Če gre za skupno priglasitev ter predstavnik ali pooblaščenec ni imenovan, morata priglasitelja obvezno določiti skupnega pooblaščenca za vročitev.</w:t>
      </w:r>
    </w:p>
    <w:p w:rsidR="00736A33" w:rsidRPr="002F30DF" w:rsidRDefault="00736A33" w:rsidP="00736A33">
      <w:pPr>
        <w:pStyle w:val="Naslov1"/>
        <w:keepNext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PODROBNOSTI O KONCENTRACIJI</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Za priglasitev koncentracije je treba plačati takso v skladu z zakonom, ki ureja upravne takse. Taksa se plača na transakcijski račun številka 0110-01000350460, sklic 11 16608-7111231. Priložite potrdilo o plačilu upravne takse.</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 xml:space="preserve">Opišite </w:t>
      </w:r>
      <w:r w:rsidRPr="002F30DF">
        <w:rPr>
          <w:rFonts w:ascii="Arial" w:hAnsi="Arial" w:cs="Arial"/>
          <w:spacing w:val="-1"/>
          <w:szCs w:val="20"/>
        </w:rPr>
        <w:t>naravo</w:t>
      </w:r>
      <w:r w:rsidRPr="002F30DF">
        <w:rPr>
          <w:rFonts w:ascii="Arial" w:hAnsi="Arial" w:cs="Arial"/>
          <w:szCs w:val="20"/>
        </w:rPr>
        <w:t xml:space="preserve"> koncentracije, ki jo priglašate. Pri tem navedite:</w:t>
      </w:r>
    </w:p>
    <w:p w:rsidR="00736A33" w:rsidRPr="002F30DF" w:rsidRDefault="00736A33" w:rsidP="00736A33">
      <w:pPr>
        <w:numPr>
          <w:ilvl w:val="0"/>
          <w:numId w:val="116"/>
        </w:numPr>
        <w:suppressAutoHyphens/>
        <w:overflowPunct/>
        <w:autoSpaceDE/>
        <w:autoSpaceDN/>
        <w:adjustRightInd/>
        <w:spacing w:after="240"/>
        <w:ind w:hanging="357"/>
        <w:textAlignment w:val="auto"/>
        <w:rPr>
          <w:rFonts w:cs="Arial"/>
          <w:sz w:val="20"/>
          <w:szCs w:val="20"/>
        </w:rPr>
      </w:pPr>
      <w:r w:rsidRPr="002F30DF">
        <w:rPr>
          <w:rFonts w:cs="Arial"/>
          <w:sz w:val="20"/>
          <w:szCs w:val="20"/>
        </w:rPr>
        <w:t>ali je predlagana koncentracija</w:t>
      </w:r>
    </w:p>
    <w:p w:rsidR="00736A33" w:rsidRPr="002F30DF" w:rsidRDefault="00736A33" w:rsidP="00736A33">
      <w:pPr>
        <w:numPr>
          <w:ilvl w:val="0"/>
          <w:numId w:val="126"/>
        </w:numPr>
        <w:suppressAutoHyphens/>
        <w:overflowPunct/>
        <w:autoSpaceDE/>
        <w:autoSpaceDN/>
        <w:adjustRightInd/>
        <w:spacing w:after="240"/>
        <w:textAlignment w:val="auto"/>
        <w:rPr>
          <w:rFonts w:cs="Arial"/>
          <w:sz w:val="20"/>
          <w:szCs w:val="20"/>
        </w:rPr>
      </w:pPr>
      <w:r w:rsidRPr="002F30DF">
        <w:rPr>
          <w:rFonts w:cs="Arial"/>
          <w:sz w:val="20"/>
          <w:szCs w:val="20"/>
        </w:rPr>
        <w:t>združitev dveh ali več predhodno neodvisnih podjetij ali delov podjetij ali</w:t>
      </w:r>
    </w:p>
    <w:p w:rsidR="00736A33" w:rsidRPr="002F30DF" w:rsidRDefault="00736A33" w:rsidP="00736A33">
      <w:pPr>
        <w:numPr>
          <w:ilvl w:val="0"/>
          <w:numId w:val="126"/>
        </w:numPr>
        <w:suppressAutoHyphens/>
        <w:overflowPunct/>
        <w:autoSpaceDE/>
        <w:autoSpaceDN/>
        <w:adjustRightInd/>
        <w:spacing w:after="240"/>
        <w:textAlignment w:val="auto"/>
        <w:rPr>
          <w:rFonts w:cs="Arial"/>
          <w:sz w:val="20"/>
          <w:szCs w:val="20"/>
        </w:rPr>
      </w:pPr>
      <w:r w:rsidRPr="002F30DF">
        <w:rPr>
          <w:rFonts w:cs="Arial"/>
          <w:sz w:val="20"/>
          <w:szCs w:val="20"/>
        </w:rPr>
        <w:t>pridobitev izključne ali skupne kontrole nad celoto ali deli enega ali več podjetij z nakupom vrednostnih papirjev ali premoženja, s pogodbo ali kako drugače ali</w:t>
      </w:r>
    </w:p>
    <w:p w:rsidR="00736A33" w:rsidRPr="002F30DF" w:rsidRDefault="00736A33" w:rsidP="00736A33">
      <w:pPr>
        <w:numPr>
          <w:ilvl w:val="0"/>
          <w:numId w:val="126"/>
        </w:numPr>
        <w:suppressAutoHyphens/>
        <w:overflowPunct/>
        <w:autoSpaceDE/>
        <w:autoSpaceDN/>
        <w:adjustRightInd/>
        <w:spacing w:after="240"/>
        <w:textAlignment w:val="auto"/>
        <w:rPr>
          <w:rFonts w:cs="Arial"/>
          <w:spacing w:val="7"/>
          <w:sz w:val="20"/>
          <w:szCs w:val="20"/>
        </w:rPr>
      </w:pPr>
      <w:r w:rsidRPr="002F30DF">
        <w:rPr>
          <w:rFonts w:cs="Arial"/>
          <w:sz w:val="20"/>
          <w:szCs w:val="20"/>
        </w:rPr>
        <w:t>ustanovitev skupnega podjetja, ki opravlja vse funkcije samostojnega podjetja z daljšim trajanjem, v smislu tretje alineje prvega odstavka 9. člena zakona (popoln skupni podjem</w:t>
      </w:r>
      <w:r w:rsidRPr="002F30DF">
        <w:rPr>
          <w:rFonts w:cs="Arial"/>
          <w:spacing w:val="7"/>
          <w:sz w:val="20"/>
          <w:szCs w:val="20"/>
        </w:rPr>
        <w:t>);</w:t>
      </w:r>
    </w:p>
    <w:p w:rsidR="00736A33" w:rsidRPr="002F30DF" w:rsidRDefault="00736A33" w:rsidP="00736A33">
      <w:pPr>
        <w:numPr>
          <w:ilvl w:val="0"/>
          <w:numId w:val="116"/>
        </w:numPr>
        <w:suppressAutoHyphens/>
        <w:overflowPunct/>
        <w:autoSpaceDE/>
        <w:autoSpaceDN/>
        <w:adjustRightInd/>
        <w:spacing w:after="240"/>
        <w:ind w:hanging="357"/>
        <w:textAlignment w:val="auto"/>
        <w:rPr>
          <w:rFonts w:cs="Arial"/>
          <w:sz w:val="20"/>
          <w:szCs w:val="20"/>
        </w:rPr>
      </w:pPr>
      <w:r w:rsidRPr="002F30DF">
        <w:rPr>
          <w:rFonts w:cs="Arial"/>
          <w:sz w:val="20"/>
          <w:szCs w:val="20"/>
        </w:rPr>
        <w:lastRenderedPageBreak/>
        <w:t>ali je predmet koncentracije celota ali posamezni del enega ali več podjetij;</w:t>
      </w:r>
    </w:p>
    <w:p w:rsidR="00736A33" w:rsidRPr="002F30DF" w:rsidRDefault="00736A33" w:rsidP="00736A33">
      <w:pPr>
        <w:numPr>
          <w:ilvl w:val="0"/>
          <w:numId w:val="116"/>
        </w:numPr>
        <w:suppressAutoHyphens/>
        <w:overflowPunct/>
        <w:autoSpaceDE/>
        <w:autoSpaceDN/>
        <w:adjustRightInd/>
        <w:spacing w:after="240"/>
        <w:ind w:hanging="357"/>
        <w:textAlignment w:val="auto"/>
        <w:rPr>
          <w:rFonts w:cs="Arial"/>
          <w:sz w:val="20"/>
          <w:szCs w:val="20"/>
        </w:rPr>
      </w:pPr>
      <w:r w:rsidRPr="002F30DF">
        <w:rPr>
          <w:rFonts w:cs="Arial"/>
          <w:sz w:val="20"/>
          <w:szCs w:val="20"/>
        </w:rPr>
        <w:t>kratko predstavitev ekonomske in finančne strukture koncentracije;</w:t>
      </w:r>
    </w:p>
    <w:p w:rsidR="00736A33" w:rsidRPr="002F30DF" w:rsidRDefault="00736A33" w:rsidP="00736A33">
      <w:pPr>
        <w:numPr>
          <w:ilvl w:val="0"/>
          <w:numId w:val="116"/>
        </w:numPr>
        <w:suppressAutoHyphens/>
        <w:overflowPunct/>
        <w:autoSpaceDE/>
        <w:autoSpaceDN/>
        <w:adjustRightInd/>
        <w:spacing w:after="240"/>
        <w:ind w:hanging="357"/>
        <w:textAlignment w:val="auto"/>
        <w:rPr>
          <w:rFonts w:cs="Arial"/>
          <w:sz w:val="20"/>
          <w:szCs w:val="20"/>
        </w:rPr>
      </w:pPr>
      <w:r w:rsidRPr="002F30DF">
        <w:rPr>
          <w:rFonts w:cs="Arial"/>
          <w:sz w:val="20"/>
          <w:szCs w:val="20"/>
        </w:rPr>
        <w:t>ali se nadzorni svet, uprava ali drug organ, ki zakonito zastopa prevzeto podjetje, strinja z javno ponudbo za odkup vrednostnih papirjev;</w:t>
      </w:r>
    </w:p>
    <w:p w:rsidR="00736A33" w:rsidRPr="002F30DF" w:rsidRDefault="00736A33" w:rsidP="00736A33">
      <w:pPr>
        <w:numPr>
          <w:ilvl w:val="0"/>
          <w:numId w:val="116"/>
        </w:numPr>
        <w:suppressAutoHyphens/>
        <w:overflowPunct/>
        <w:autoSpaceDE/>
        <w:autoSpaceDN/>
        <w:adjustRightInd/>
        <w:spacing w:after="240"/>
        <w:ind w:hanging="357"/>
        <w:textAlignment w:val="auto"/>
        <w:rPr>
          <w:rFonts w:cs="Arial"/>
          <w:sz w:val="20"/>
          <w:szCs w:val="20"/>
        </w:rPr>
      </w:pPr>
      <w:r w:rsidRPr="002F30DF">
        <w:rPr>
          <w:rFonts w:cs="Arial"/>
          <w:sz w:val="20"/>
          <w:szCs w:val="20"/>
        </w:rPr>
        <w:t>predlagane ali pričakovane datume vseh pomembnejših dogodkov, načrtovanih za izvedbo koncentracije;</w:t>
      </w:r>
    </w:p>
    <w:p w:rsidR="00736A33" w:rsidRPr="002F30DF" w:rsidRDefault="00736A33" w:rsidP="00736A33">
      <w:pPr>
        <w:numPr>
          <w:ilvl w:val="0"/>
          <w:numId w:val="116"/>
        </w:numPr>
        <w:suppressAutoHyphens/>
        <w:overflowPunct/>
        <w:autoSpaceDE/>
        <w:autoSpaceDN/>
        <w:adjustRightInd/>
        <w:spacing w:after="240"/>
        <w:textAlignment w:val="auto"/>
        <w:rPr>
          <w:rFonts w:cs="Arial"/>
          <w:sz w:val="20"/>
          <w:szCs w:val="20"/>
        </w:rPr>
      </w:pPr>
      <w:r w:rsidRPr="002F30DF">
        <w:rPr>
          <w:rFonts w:cs="Arial"/>
          <w:sz w:val="20"/>
          <w:szCs w:val="20"/>
        </w:rPr>
        <w:t>predlagano strukturo lastništva in kontrole po izvedeni koncentraciji;</w:t>
      </w:r>
    </w:p>
    <w:p w:rsidR="00736A33" w:rsidRPr="002F30DF" w:rsidRDefault="00736A33" w:rsidP="00736A33">
      <w:pPr>
        <w:numPr>
          <w:ilvl w:val="0"/>
          <w:numId w:val="116"/>
        </w:numPr>
        <w:suppressAutoHyphens/>
        <w:overflowPunct/>
        <w:autoSpaceDE/>
        <w:autoSpaceDN/>
        <w:adjustRightInd/>
        <w:spacing w:after="240"/>
        <w:textAlignment w:val="auto"/>
        <w:rPr>
          <w:rFonts w:cs="Arial"/>
          <w:sz w:val="20"/>
          <w:szCs w:val="20"/>
        </w:rPr>
      </w:pPr>
      <w:r w:rsidRPr="002F30DF">
        <w:rPr>
          <w:rFonts w:cs="Arial"/>
          <w:sz w:val="20"/>
          <w:szCs w:val="20"/>
        </w:rPr>
        <w:t>vsako finančno ali drugo pomoč, ki jo je katero koli v koncentraciji udeleženo podjetje prejelo iz katerega koli vira (tudi javnega vira), ter obliko in višino te pomoči.</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 xml:space="preserve">Navedite </w:t>
      </w:r>
      <w:r w:rsidRPr="002F30DF">
        <w:rPr>
          <w:rFonts w:ascii="Arial" w:hAnsi="Arial" w:cs="Arial"/>
          <w:spacing w:val="-1"/>
          <w:szCs w:val="20"/>
        </w:rPr>
        <w:t>seznam</w:t>
      </w:r>
      <w:r w:rsidRPr="002F30DF">
        <w:rPr>
          <w:rFonts w:ascii="Arial" w:hAnsi="Arial" w:cs="Arial"/>
          <w:szCs w:val="20"/>
        </w:rPr>
        <w:t xml:space="preserve"> gospodarskih področij, na katera se koncentracija nanaša.</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pacing w:val="-1"/>
          <w:szCs w:val="20"/>
        </w:rPr>
        <w:t>Navedite</w:t>
      </w:r>
      <w:r w:rsidRPr="002F30DF">
        <w:rPr>
          <w:rFonts w:ascii="Arial" w:hAnsi="Arial" w:cs="Arial"/>
          <w:szCs w:val="20"/>
        </w:rPr>
        <w:t xml:space="preserve"> vrednost transakcije (nakupno ceno ali vrednost premoženja ali sredstev).</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pacing w:val="-1"/>
          <w:szCs w:val="20"/>
        </w:rPr>
      </w:pPr>
      <w:r w:rsidRPr="002F30DF">
        <w:rPr>
          <w:rFonts w:ascii="Arial" w:hAnsi="Arial" w:cs="Arial"/>
          <w:spacing w:val="-1"/>
          <w:szCs w:val="20"/>
        </w:rPr>
        <w:t xml:space="preserve">Za vsako v koncentraciji udeleženo podjetje in druga podjetja v skupini navedite celotni letni promet na trgu Republike Slovenije v predhodnem poslovnem letu in ga razčlenite po vrstah dejavnostih. Predložite dokumente oziroma dele poslovnih knjig ali letnih poročil, iz katerih izhaja navedeni letni promet, če le ti niso na voljo v javnih evidencah. Pojem »podjetja v skupini« opredeljuje 5. točka prvega </w:t>
      </w:r>
      <w:r w:rsidR="00633D36" w:rsidRPr="002F30DF">
        <w:rPr>
          <w:rFonts w:ascii="Arial" w:hAnsi="Arial" w:cs="Arial"/>
          <w:spacing w:val="-1"/>
          <w:szCs w:val="20"/>
        </w:rPr>
        <w:t xml:space="preserve">odstavka </w:t>
      </w:r>
      <w:r w:rsidRPr="002F30DF">
        <w:rPr>
          <w:rFonts w:ascii="Arial" w:hAnsi="Arial" w:cs="Arial"/>
          <w:spacing w:val="-1"/>
          <w:szCs w:val="20"/>
        </w:rPr>
        <w:t>3. člena zakona.</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pacing w:val="-1"/>
          <w:szCs w:val="20"/>
        </w:rPr>
      </w:pPr>
      <w:r w:rsidRPr="002F30DF">
        <w:rPr>
          <w:rFonts w:ascii="Arial" w:hAnsi="Arial" w:cs="Arial"/>
          <w:spacing w:val="-1"/>
          <w:szCs w:val="20"/>
        </w:rPr>
        <w:t>Predložite letna poročila z revidiranimi računovodskimi izkazi v koncentraciji udeleženih podjetij za najmanj zadnja tri poslovna leta, če ta niso na voljo v javnih evidencah; če kdo od udeležencev ni zavezan k reviziji računovodskih izkazov, je treba predložiti nerevidirane računovodske izkaze.</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pacing w:val="-1"/>
          <w:szCs w:val="20"/>
        </w:rPr>
      </w:pPr>
      <w:r w:rsidRPr="002F30DF">
        <w:rPr>
          <w:rFonts w:ascii="Arial" w:hAnsi="Arial" w:cs="Arial"/>
          <w:spacing w:val="-1"/>
          <w:szCs w:val="20"/>
        </w:rPr>
        <w:t>Opišite podrobneje, zakaj menite, da bo po koncentraciji prišlo do gospodarskega napredka in s tem podate gospodarsko utemeljitev.</w:t>
      </w:r>
    </w:p>
    <w:p w:rsidR="00736A33" w:rsidRPr="002F30DF" w:rsidRDefault="00736A33" w:rsidP="00736A33">
      <w:pPr>
        <w:pStyle w:val="Naslov1"/>
        <w:keepNext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LASTNIŠTVO IN KONTROLA</w:t>
      </w:r>
    </w:p>
    <w:p w:rsidR="00736A33" w:rsidRPr="002F30DF" w:rsidRDefault="00736A33" w:rsidP="00736A33">
      <w:pPr>
        <w:shd w:val="clear" w:color="auto" w:fill="FFFFFF"/>
        <w:rPr>
          <w:rFonts w:cs="Arial"/>
          <w:sz w:val="20"/>
          <w:szCs w:val="20"/>
        </w:rPr>
      </w:pPr>
      <w:r w:rsidRPr="002F30DF">
        <w:rPr>
          <w:rFonts w:cs="Arial"/>
          <w:spacing w:val="3"/>
          <w:sz w:val="20"/>
          <w:szCs w:val="20"/>
        </w:rPr>
        <w:lastRenderedPageBreak/>
        <w:t>Za vsako v koncentraciji udele</w:t>
      </w:r>
      <w:r w:rsidRPr="002F30DF">
        <w:rPr>
          <w:rFonts w:eastAsia="Arial" w:cs="Arial"/>
          <w:spacing w:val="3"/>
          <w:sz w:val="20"/>
          <w:szCs w:val="20"/>
        </w:rPr>
        <w:t xml:space="preserve">ženo podjetje predložite seznam vseh podjetij, ki spadajo v </w:t>
      </w:r>
      <w:r w:rsidRPr="002F30DF">
        <w:rPr>
          <w:rFonts w:eastAsia="Arial" w:cs="Arial"/>
          <w:spacing w:val="-2"/>
          <w:sz w:val="20"/>
          <w:szCs w:val="20"/>
        </w:rPr>
        <w:t xml:space="preserve">isto skupino. </w:t>
      </w:r>
      <w:r w:rsidRPr="002F30DF">
        <w:rPr>
          <w:rFonts w:cs="Arial"/>
          <w:spacing w:val="-2"/>
          <w:sz w:val="20"/>
          <w:szCs w:val="20"/>
        </w:rPr>
        <w:t>Ta seznam mora vklju</w:t>
      </w:r>
      <w:r w:rsidRPr="002F30DF">
        <w:rPr>
          <w:rFonts w:eastAsia="Arial" w:cs="Arial"/>
          <w:spacing w:val="-2"/>
          <w:sz w:val="20"/>
          <w:szCs w:val="20"/>
        </w:rPr>
        <w:t>čevati:</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vsa podjetja ali osebe, ki imajo nad v koncentraciji udeleženimi podjetji neposredno ali posredno kontrolo (seznam gospodujočih podjetij);</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vsa podjetja, nad katerimi imajo neposredno ali posredno kontrolo (seznam odvisnih podjetij):</w:t>
      </w:r>
    </w:p>
    <w:p w:rsidR="00736A33" w:rsidRPr="002F30DF" w:rsidRDefault="00736A33" w:rsidP="00736A33">
      <w:pPr>
        <w:numPr>
          <w:ilvl w:val="0"/>
          <w:numId w:val="113"/>
        </w:numPr>
        <w:shd w:val="clear" w:color="auto" w:fill="FFFFFF"/>
        <w:tabs>
          <w:tab w:val="left" w:pos="864"/>
        </w:tabs>
        <w:suppressAutoHyphens/>
        <w:overflowPunct/>
        <w:autoSpaceDE/>
        <w:autoSpaceDN/>
        <w:adjustRightInd/>
        <w:spacing w:line="360" w:lineRule="auto"/>
        <w:textAlignment w:val="auto"/>
        <w:rPr>
          <w:rFonts w:cs="Arial"/>
          <w:spacing w:val="3"/>
          <w:sz w:val="20"/>
          <w:szCs w:val="20"/>
        </w:rPr>
      </w:pPr>
      <w:r w:rsidRPr="002F30DF">
        <w:rPr>
          <w:rFonts w:cs="Arial"/>
          <w:spacing w:val="3"/>
          <w:sz w:val="20"/>
          <w:szCs w:val="20"/>
        </w:rPr>
        <w:t>v koncentraciji udeležena podjetja;</w:t>
      </w:r>
    </w:p>
    <w:p w:rsidR="00736A33" w:rsidRPr="002F30DF" w:rsidRDefault="00736A33" w:rsidP="00736A33">
      <w:pPr>
        <w:numPr>
          <w:ilvl w:val="0"/>
          <w:numId w:val="113"/>
        </w:numPr>
        <w:shd w:val="clear" w:color="auto" w:fill="FFFFFF"/>
        <w:tabs>
          <w:tab w:val="left" w:pos="864"/>
        </w:tabs>
        <w:suppressAutoHyphens/>
        <w:overflowPunct/>
        <w:autoSpaceDE/>
        <w:autoSpaceDN/>
        <w:adjustRightInd/>
        <w:spacing w:line="360" w:lineRule="auto"/>
        <w:textAlignment w:val="auto"/>
        <w:rPr>
          <w:rFonts w:cs="Arial"/>
          <w:spacing w:val="3"/>
          <w:sz w:val="20"/>
          <w:szCs w:val="20"/>
        </w:rPr>
      </w:pPr>
      <w:r w:rsidRPr="002F30DF">
        <w:rPr>
          <w:rFonts w:cs="Arial"/>
          <w:spacing w:val="3"/>
          <w:sz w:val="20"/>
          <w:szCs w:val="20"/>
        </w:rPr>
        <w:t>katero koli drugo podjetje, določeno v točki 3.1.</w:t>
      </w:r>
    </w:p>
    <w:p w:rsidR="00736A33" w:rsidRPr="002F30DF" w:rsidRDefault="00736A33" w:rsidP="00736A33">
      <w:pPr>
        <w:shd w:val="clear" w:color="auto" w:fill="FFFFFF"/>
        <w:rPr>
          <w:rFonts w:eastAsia="Arial" w:cs="Arial"/>
          <w:spacing w:val="-1"/>
          <w:sz w:val="20"/>
          <w:szCs w:val="20"/>
        </w:rPr>
      </w:pPr>
      <w:r w:rsidRPr="002F30DF">
        <w:rPr>
          <w:rFonts w:cs="Arial"/>
          <w:spacing w:val="4"/>
          <w:sz w:val="20"/>
          <w:szCs w:val="20"/>
        </w:rPr>
        <w:t xml:space="preserve">Za vsako postavko je treba navesti vrsto in sredstva izvajanja kontrole. </w:t>
      </w:r>
      <w:r w:rsidRPr="002F30DF">
        <w:rPr>
          <w:rFonts w:cs="Arial"/>
          <w:spacing w:val="-1"/>
          <w:sz w:val="20"/>
          <w:szCs w:val="20"/>
        </w:rPr>
        <w:t>V tej to</w:t>
      </w:r>
      <w:r w:rsidRPr="002F30DF">
        <w:rPr>
          <w:rFonts w:eastAsia="Arial" w:cs="Arial"/>
          <w:spacing w:val="-1"/>
          <w:sz w:val="20"/>
          <w:szCs w:val="20"/>
        </w:rPr>
        <w:t>čki zahtevani podatki so lahko prikazani v obliki organigramov ali diagramov.</w:t>
      </w:r>
    </w:p>
    <w:p w:rsidR="00736A33" w:rsidRPr="002F30DF" w:rsidRDefault="00736A33" w:rsidP="00736A33">
      <w:pPr>
        <w:pStyle w:val="Naslov1"/>
        <w:keepNext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OSEBNE IN FINANČNE POVEZAVE TER PREDHODNE PRIDOBITVE</w:t>
      </w:r>
    </w:p>
    <w:p w:rsidR="00736A33" w:rsidRPr="002F30DF" w:rsidRDefault="00736A33" w:rsidP="00736A33">
      <w:pPr>
        <w:shd w:val="clear" w:color="auto" w:fill="FFFFFF"/>
        <w:rPr>
          <w:rFonts w:cs="Arial"/>
          <w:spacing w:val="-13"/>
          <w:sz w:val="20"/>
          <w:szCs w:val="20"/>
        </w:rPr>
      </w:pPr>
      <w:r w:rsidRPr="002F30DF">
        <w:rPr>
          <w:rFonts w:cs="Arial"/>
          <w:sz w:val="20"/>
          <w:szCs w:val="20"/>
        </w:rPr>
        <w:t>Za vsako v koncentraciji udele</w:t>
      </w:r>
      <w:r w:rsidRPr="002F30DF">
        <w:rPr>
          <w:rFonts w:eastAsia="Arial" w:cs="Arial"/>
          <w:sz w:val="20"/>
          <w:szCs w:val="20"/>
        </w:rPr>
        <w:t>ženo podjetje in za vsa podjetja in osebe, določene v skladu s</w:t>
      </w:r>
      <w:r w:rsidRPr="002F30DF">
        <w:rPr>
          <w:rFonts w:cs="Arial"/>
          <w:sz w:val="20"/>
          <w:szCs w:val="20"/>
        </w:rPr>
        <w:br/>
      </w:r>
      <w:r w:rsidRPr="002F30DF">
        <w:rPr>
          <w:rFonts w:eastAsia="Arial" w:cs="Arial"/>
          <w:spacing w:val="-2"/>
          <w:sz w:val="20"/>
          <w:szCs w:val="20"/>
        </w:rPr>
        <w:t>3. točko, je treba zagotoviti:</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seznam vseh drugih podjetij, ki so dejavna na katerem koli od upoštevnih trgov (upoštevni trgi so opredeljeni v 6. točki), v katerih imajo podjetja ali osebe posamezno ali skupno najmanj 10 % glasovalnih pravic, izdanega delniškega kapitala ali drugih vrednostnih papirjev (v vsakem primeru je treba navesti imetnika in delež, katerega imetnik je);</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seznam članov uprave, upravnega odbora ali drugega organa, ki zakonito zastopa podjetje, ki so tudi člani uprave, upravnega odbora ali drugega organa, ki zakonito zastopa podjetje,  ali nadzornega sveta katerega drugega podjetja, dejavnega na upoštevnih trgih, in za vsako podjetje seznam članov nadzornega sveta, ki so tudi člani uprave, upravnega odbora ali drugega organa, ki zakonito zastopa podjetje, katerega drugega podjetja, dejavnega na upoštevnih trgih (v vsakem primeru je treba navesti ime drugega podjetja in položaj osebe);</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podrobnosti o pridobitvah kakršnih koli poslovnih deležev v podjetjih, ki so dejavna na upoštevnih trgih, za zadnja tri leta.</w:t>
      </w:r>
    </w:p>
    <w:p w:rsidR="00736A33" w:rsidRPr="002F30DF" w:rsidRDefault="00736A33" w:rsidP="00736A33">
      <w:pPr>
        <w:shd w:val="clear" w:color="auto" w:fill="FFFFFF"/>
        <w:spacing w:line="360" w:lineRule="auto"/>
        <w:rPr>
          <w:rFonts w:eastAsia="Arial" w:cs="Arial"/>
          <w:spacing w:val="-1"/>
          <w:sz w:val="20"/>
          <w:szCs w:val="20"/>
        </w:rPr>
      </w:pPr>
      <w:r w:rsidRPr="002F30DF">
        <w:rPr>
          <w:rFonts w:cs="Arial"/>
          <w:spacing w:val="-1"/>
          <w:sz w:val="20"/>
          <w:szCs w:val="20"/>
        </w:rPr>
        <w:lastRenderedPageBreak/>
        <w:t>V tej to</w:t>
      </w:r>
      <w:r w:rsidRPr="002F30DF">
        <w:rPr>
          <w:rFonts w:eastAsia="Arial" w:cs="Arial"/>
          <w:spacing w:val="-1"/>
          <w:sz w:val="20"/>
          <w:szCs w:val="20"/>
        </w:rPr>
        <w:t>čki zahtevani podatki so lahko prikazani v obliki organigramov ali diagramov.</w:t>
      </w:r>
    </w:p>
    <w:p w:rsidR="00736A33" w:rsidRPr="002F30DF" w:rsidRDefault="00736A33" w:rsidP="00736A33">
      <w:pPr>
        <w:pStyle w:val="Naslov1"/>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DODATNA DOKUMENTACIJA</w:t>
      </w:r>
    </w:p>
    <w:p w:rsidR="00736A33" w:rsidRPr="002F30DF" w:rsidRDefault="00736A33" w:rsidP="00736A33">
      <w:pPr>
        <w:keepNext/>
        <w:shd w:val="clear" w:color="auto" w:fill="FFFFFF"/>
        <w:spacing w:line="360" w:lineRule="auto"/>
        <w:rPr>
          <w:rFonts w:cs="Arial"/>
          <w:sz w:val="20"/>
          <w:szCs w:val="20"/>
        </w:rPr>
      </w:pPr>
      <w:r w:rsidRPr="002F30DF">
        <w:rPr>
          <w:rFonts w:cs="Arial"/>
          <w:spacing w:val="-2"/>
          <w:sz w:val="20"/>
          <w:szCs w:val="20"/>
        </w:rPr>
        <w:t>Priglasitelj mora predlo</w:t>
      </w:r>
      <w:r w:rsidRPr="002F30DF">
        <w:rPr>
          <w:rFonts w:eastAsia="Arial" w:cs="Arial"/>
          <w:spacing w:val="-2"/>
          <w:sz w:val="20"/>
          <w:szCs w:val="20"/>
        </w:rPr>
        <w:t>žiti:</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overjene kopije končnih ali najnovejših različic vseh dokumentov, na podlagi katerih je prišlo do koncentracije;</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pri javni ponudbi kopijo ponudbe; če ob priglasitvi ni na voljo, jo je treba predložiti takoj, ko je mogoče, in ne pozneje, kot je poslana delničarjem;</w:t>
      </w:r>
    </w:p>
    <w:p w:rsidR="00736A33" w:rsidRPr="002F30DF" w:rsidRDefault="00736A33" w:rsidP="00736A33">
      <w:pPr>
        <w:pStyle w:val="Naslov2"/>
        <w:keepNext w:val="0"/>
        <w:keepLines w:val="0"/>
        <w:numPr>
          <w:ilvl w:val="1"/>
          <w:numId w:val="114"/>
        </w:numPr>
        <w:suppressAutoHyphens/>
        <w:spacing w:before="240" w:after="120" w:line="240" w:lineRule="auto"/>
        <w:ind w:left="567" w:hanging="567"/>
        <w:jc w:val="both"/>
        <w:rPr>
          <w:rFonts w:ascii="Arial" w:hAnsi="Arial" w:cs="Arial"/>
          <w:szCs w:val="20"/>
        </w:rPr>
      </w:pPr>
      <w:r w:rsidRPr="002F30DF">
        <w:rPr>
          <w:rFonts w:ascii="Arial" w:hAnsi="Arial" w:cs="Arial"/>
          <w:szCs w:val="20"/>
        </w:rPr>
        <w:t>kopije analiz, poročil, študij, raziskav in primerljivih dokumentov, ki so bili predloženi ali pripravljeni za katerega koli člana ali s strani člana uprave, nadzornega sveta, upravnega odbora ali za drugo osebo ali s strani druge osebe, ki opravlja podobne naloge, ali skupščino delničarjev zaradi ocene ali analize koncentracije glede na tržne deleže, konkurenčne pogoje, konkurente (dejanske in potencialne), razloge za koncentracijo, možnosti za povečanje prodaje oziroma širitve na druge proizvodne/storitvene ali geografske trge in/ali splošne tržne pogoje.</w:t>
      </w:r>
    </w:p>
    <w:p w:rsidR="00736A33" w:rsidRPr="002F30DF" w:rsidRDefault="00736A33" w:rsidP="00736A33">
      <w:pPr>
        <w:shd w:val="clear" w:color="auto" w:fill="FFFFFF"/>
        <w:rPr>
          <w:rFonts w:eastAsia="Arial" w:cs="Arial"/>
          <w:spacing w:val="-4"/>
          <w:sz w:val="20"/>
          <w:szCs w:val="20"/>
        </w:rPr>
      </w:pPr>
      <w:r w:rsidRPr="002F30DF">
        <w:rPr>
          <w:rFonts w:cs="Arial"/>
          <w:spacing w:val="-1"/>
          <w:sz w:val="20"/>
          <w:szCs w:val="20"/>
        </w:rPr>
        <w:t>Za vsak dokument navedite (</w:t>
      </w:r>
      <w:r w:rsidRPr="002F30DF">
        <w:rPr>
          <w:rFonts w:eastAsia="Arial" w:cs="Arial"/>
          <w:spacing w:val="-1"/>
          <w:sz w:val="20"/>
          <w:szCs w:val="20"/>
        </w:rPr>
        <w:t xml:space="preserve">če to ni že navedeno na samem dokumentu) datum njegovega </w:t>
      </w:r>
      <w:r w:rsidRPr="002F30DF">
        <w:rPr>
          <w:rFonts w:eastAsia="Arial" w:cs="Arial"/>
          <w:spacing w:val="5"/>
          <w:sz w:val="20"/>
          <w:szCs w:val="20"/>
        </w:rPr>
        <w:t xml:space="preserve">nastanka oziroma priprave ter ime in položaj vsakega posameznika, ki je dokumente </w:t>
      </w:r>
      <w:r w:rsidRPr="002F30DF">
        <w:rPr>
          <w:rFonts w:eastAsia="Arial" w:cs="Arial"/>
          <w:spacing w:val="-4"/>
          <w:sz w:val="20"/>
          <w:szCs w:val="20"/>
        </w:rPr>
        <w:t>pripravil in komu so bili dokumenti posredovani, ter morebitno označitev dokumentov s stopnjo zaupnosti.</w:t>
      </w:r>
    </w:p>
    <w:p w:rsidR="00736A33" w:rsidRPr="002F30DF" w:rsidRDefault="00736A33" w:rsidP="00736A33">
      <w:pPr>
        <w:pStyle w:val="Naslov1"/>
        <w:keepNext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 xml:space="preserve"> UPOŠTEVNI TRGI</w:t>
      </w:r>
    </w:p>
    <w:p w:rsidR="00736A33" w:rsidRPr="002F30DF" w:rsidRDefault="00736A33" w:rsidP="00736A33">
      <w:pPr>
        <w:pStyle w:val="Naslov2"/>
        <w:keepNext w:val="0"/>
        <w:keepLines w:val="0"/>
        <w:numPr>
          <w:ilvl w:val="1"/>
          <w:numId w:val="114"/>
        </w:numPr>
        <w:suppressAutoHyphens/>
        <w:spacing w:before="240" w:after="120" w:line="240" w:lineRule="auto"/>
        <w:ind w:left="578" w:hanging="578"/>
        <w:jc w:val="both"/>
        <w:rPr>
          <w:rFonts w:ascii="Arial" w:hAnsi="Arial" w:cs="Arial"/>
          <w:szCs w:val="20"/>
        </w:rPr>
      </w:pPr>
      <w:r w:rsidRPr="002F30DF">
        <w:rPr>
          <w:rFonts w:ascii="Arial" w:hAnsi="Arial" w:cs="Arial"/>
          <w:szCs w:val="20"/>
        </w:rPr>
        <w:t>Upoštevni trgi, na katerih ima koncentracija vpliv</w:t>
      </w:r>
    </w:p>
    <w:p w:rsidR="00736A33" w:rsidRPr="002F30DF" w:rsidRDefault="00736A33" w:rsidP="00736A33">
      <w:pPr>
        <w:pStyle w:val="Naslov3"/>
        <w:keepNext w:val="0"/>
        <w:keepLines w:val="0"/>
        <w:numPr>
          <w:ilvl w:val="2"/>
          <w:numId w:val="114"/>
        </w:numPr>
        <w:suppressAutoHyphens/>
        <w:spacing w:before="240" w:after="120" w:line="240" w:lineRule="auto"/>
        <w:ind w:left="567" w:hanging="567"/>
        <w:jc w:val="both"/>
        <w:rPr>
          <w:rFonts w:ascii="Arial" w:hAnsi="Arial" w:cs="Arial"/>
        </w:rPr>
      </w:pPr>
      <w:r w:rsidRPr="002F30DF">
        <w:rPr>
          <w:rFonts w:ascii="Arial" w:hAnsi="Arial" w:cs="Arial"/>
        </w:rPr>
        <w:t xml:space="preserve">Opredelite vse upoštevne proizvodne/storitvene trge (pojem upoštevni proizvodni/storitveni trg opredeljuje 7. točka </w:t>
      </w:r>
      <w:r w:rsidR="007B659A" w:rsidRPr="002F30DF">
        <w:rPr>
          <w:rFonts w:ascii="Arial" w:hAnsi="Arial" w:cs="Arial"/>
        </w:rPr>
        <w:t xml:space="preserve">prvega odstavka </w:t>
      </w:r>
      <w:r w:rsidRPr="002F30DF">
        <w:rPr>
          <w:rFonts w:ascii="Arial" w:hAnsi="Arial" w:cs="Arial"/>
        </w:rPr>
        <w:t xml:space="preserve">3. člena zakona), na katerih poslujeta najmanj dve v koncentraciji udeleženi podjetji ali druga podjetja v skupini in na katerih </w:t>
      </w:r>
      <w:r w:rsidRPr="002F30DF">
        <w:rPr>
          <w:rFonts w:ascii="Arial" w:hAnsi="Arial" w:cs="Arial"/>
        </w:rPr>
        <w:lastRenderedPageBreak/>
        <w:t>bo koncentracija privedla do skupnega tržnega deleža, ki bo višji od 15 % (horizontalna razmerja).</w:t>
      </w:r>
    </w:p>
    <w:p w:rsidR="00736A33" w:rsidRPr="002F30DF" w:rsidRDefault="00736A33" w:rsidP="00736A33">
      <w:pPr>
        <w:pStyle w:val="Naslov3"/>
        <w:keepNext w:val="0"/>
        <w:keepLines w:val="0"/>
        <w:numPr>
          <w:ilvl w:val="2"/>
          <w:numId w:val="114"/>
        </w:numPr>
        <w:suppressAutoHyphens/>
        <w:spacing w:before="240" w:after="120" w:line="240" w:lineRule="auto"/>
        <w:ind w:left="567" w:hanging="567"/>
        <w:jc w:val="both"/>
        <w:rPr>
          <w:rFonts w:ascii="Arial" w:hAnsi="Arial" w:cs="Arial"/>
        </w:rPr>
      </w:pPr>
      <w:r w:rsidRPr="002F30DF">
        <w:rPr>
          <w:rFonts w:ascii="Arial" w:hAnsi="Arial" w:cs="Arial"/>
        </w:rPr>
        <w:t>Opredelite vse upoštevne proizvodne/storitvene trge, na katerih posluje katero od v koncentraciji udeleženih podjetij ali katero od drugih podjetij v skupini, ki so v medsebojnem vertikalnem razmerju s trgom, na katerem posluje kakšno drugo v koncentraciji udeleženo podjetje ali drugo podjetje v skupini, ne glede na to, ali obstaja med njima odnos med dobaviteljem in odjemalcem, in na katerih je tržni delež posameznega podjetja ali skupni tržni delež na katerem koli od vertikalno povezanih trgov višji od 25 % (vertikalna razmerja).</w:t>
      </w:r>
    </w:p>
    <w:p w:rsidR="00736A33" w:rsidRPr="002F30DF" w:rsidRDefault="00736A33" w:rsidP="00736A33">
      <w:pPr>
        <w:pStyle w:val="Naslov3"/>
        <w:keepNext w:val="0"/>
        <w:keepLines w:val="0"/>
        <w:numPr>
          <w:ilvl w:val="2"/>
          <w:numId w:val="114"/>
        </w:numPr>
        <w:suppressAutoHyphens/>
        <w:spacing w:before="240" w:after="120" w:line="240" w:lineRule="auto"/>
        <w:ind w:left="567" w:hanging="567"/>
        <w:jc w:val="both"/>
        <w:rPr>
          <w:rFonts w:ascii="Arial" w:hAnsi="Arial" w:cs="Arial"/>
        </w:rPr>
      </w:pPr>
      <w:r w:rsidRPr="002F30DF">
        <w:rPr>
          <w:rFonts w:ascii="Arial" w:hAnsi="Arial" w:cs="Arial"/>
        </w:rPr>
        <w:t>Opredelite vse upoštevne proizvodne/storitvene trge, če so tržni deleži nižji od 15% (točka 6.1.1.) oziroma 25% (točka 6.1.2), ki se v nadaljevanju nanašajo na trge, opredeljene v tej točki, navedite le v točkah od vključno točke 6.1.4. do vključno točke 6.2.3.</w:t>
      </w:r>
    </w:p>
    <w:p w:rsidR="00736A33" w:rsidRPr="002F30DF" w:rsidRDefault="00736A33" w:rsidP="00736A33">
      <w:pPr>
        <w:pStyle w:val="Naslov3"/>
        <w:keepNext w:val="0"/>
        <w:keepLines w:val="0"/>
        <w:numPr>
          <w:ilvl w:val="2"/>
          <w:numId w:val="114"/>
        </w:numPr>
        <w:suppressAutoHyphens/>
        <w:spacing w:before="240" w:after="120" w:line="240" w:lineRule="auto"/>
        <w:ind w:left="567" w:hanging="567"/>
        <w:jc w:val="both"/>
        <w:rPr>
          <w:rFonts w:ascii="Arial" w:hAnsi="Arial" w:cs="Arial"/>
        </w:rPr>
      </w:pPr>
      <w:r w:rsidRPr="002F30DF">
        <w:rPr>
          <w:rFonts w:ascii="Arial" w:hAnsi="Arial" w:cs="Arial"/>
        </w:rPr>
        <w:t>Navedite druge upoštevne trge proizvodov/storitev, ki v točkah 6.1.1, 6.1.2 ali 6.1.3 niso opredeljeni, na katerih ima lahko priglašena koncentracija posledice, zlasti ker:</w:t>
      </w:r>
    </w:p>
    <w:p w:rsidR="00736A33" w:rsidRPr="002F30DF" w:rsidRDefault="00736A33" w:rsidP="00736A33">
      <w:pPr>
        <w:numPr>
          <w:ilvl w:val="0"/>
          <w:numId w:val="115"/>
        </w:numPr>
        <w:shd w:val="clear" w:color="auto" w:fill="FFFFFF"/>
        <w:tabs>
          <w:tab w:val="left" w:pos="1109"/>
        </w:tabs>
        <w:suppressAutoHyphens/>
        <w:overflowPunct/>
        <w:autoSpaceDE/>
        <w:autoSpaceDN/>
        <w:adjustRightInd/>
        <w:spacing w:after="240"/>
        <w:ind w:left="1434" w:hanging="357"/>
        <w:textAlignment w:val="auto"/>
        <w:rPr>
          <w:rFonts w:cs="Arial"/>
          <w:spacing w:val="1"/>
          <w:sz w:val="20"/>
          <w:szCs w:val="20"/>
        </w:rPr>
      </w:pPr>
      <w:r w:rsidRPr="002F30DF">
        <w:rPr>
          <w:rFonts w:cs="Arial"/>
          <w:spacing w:val="1"/>
          <w:sz w:val="20"/>
          <w:szCs w:val="20"/>
        </w:rPr>
        <w:t>ima katero od v koncentraciji udele</w:t>
      </w:r>
      <w:r w:rsidRPr="002F30DF">
        <w:rPr>
          <w:rFonts w:eastAsia="Arial" w:cs="Arial"/>
          <w:spacing w:val="1"/>
          <w:sz w:val="20"/>
          <w:szCs w:val="20"/>
        </w:rPr>
        <w:t xml:space="preserve">ženih podjetij ali drugo podjetje v skupini več </w:t>
      </w:r>
      <w:r w:rsidRPr="002F30DF">
        <w:rPr>
          <w:rFonts w:eastAsia="Arial" w:cs="Arial"/>
          <w:spacing w:val="8"/>
          <w:sz w:val="20"/>
          <w:szCs w:val="20"/>
        </w:rPr>
        <w:t xml:space="preserve">kot 25-odstotni tržni delež in če je kakšno drugo v koncentraciji udeleženo </w:t>
      </w:r>
      <w:r w:rsidRPr="002F30DF">
        <w:rPr>
          <w:rFonts w:eastAsia="Arial" w:cs="Arial"/>
          <w:spacing w:val="-1"/>
          <w:sz w:val="20"/>
          <w:szCs w:val="20"/>
        </w:rPr>
        <w:t>podjetje ali drugo podjetje v skupini potencialni konkurent na tem upoštevnem trgu. Podjetje se lahko obravnava kot potencialni konkurent, zlasti če načrtuje vstop na upoštevni trg ali če je pripravilo ali zasledovalo take načrte v zadnjih dveh letih;</w:t>
      </w:r>
    </w:p>
    <w:p w:rsidR="00736A33" w:rsidRPr="002F30DF" w:rsidRDefault="00736A33" w:rsidP="00736A33">
      <w:pPr>
        <w:numPr>
          <w:ilvl w:val="0"/>
          <w:numId w:val="115"/>
        </w:numPr>
        <w:shd w:val="clear" w:color="auto" w:fill="FFFFFF"/>
        <w:tabs>
          <w:tab w:val="left" w:pos="1109"/>
        </w:tabs>
        <w:suppressAutoHyphens/>
        <w:overflowPunct/>
        <w:autoSpaceDE/>
        <w:autoSpaceDN/>
        <w:adjustRightInd/>
        <w:spacing w:after="240"/>
        <w:ind w:left="1434" w:hanging="357"/>
        <w:textAlignment w:val="auto"/>
        <w:rPr>
          <w:rFonts w:cs="Arial"/>
          <w:spacing w:val="-1"/>
          <w:sz w:val="20"/>
          <w:szCs w:val="20"/>
        </w:rPr>
      </w:pPr>
      <w:r w:rsidRPr="002F30DF">
        <w:rPr>
          <w:rFonts w:cs="Arial"/>
          <w:spacing w:val="1"/>
          <w:sz w:val="20"/>
          <w:szCs w:val="20"/>
        </w:rPr>
        <w:t>ima katero od v koncentraciji udele</w:t>
      </w:r>
      <w:r w:rsidRPr="002F30DF">
        <w:rPr>
          <w:rFonts w:eastAsia="Arial" w:cs="Arial"/>
          <w:spacing w:val="1"/>
          <w:sz w:val="20"/>
          <w:szCs w:val="20"/>
        </w:rPr>
        <w:t xml:space="preserve">ženih podjetij ali drugo podjetje v skupini več </w:t>
      </w:r>
      <w:r w:rsidRPr="002F30DF">
        <w:rPr>
          <w:rFonts w:eastAsia="Arial" w:cs="Arial"/>
          <w:spacing w:val="6"/>
          <w:sz w:val="20"/>
          <w:szCs w:val="20"/>
        </w:rPr>
        <w:t xml:space="preserve">kot 25-odstotni tržni delež in če ima kakšno drugo v koncentraciji udeleženo </w:t>
      </w:r>
      <w:r w:rsidRPr="002F30DF">
        <w:rPr>
          <w:rFonts w:eastAsia="Arial" w:cs="Arial"/>
          <w:spacing w:val="1"/>
          <w:sz w:val="20"/>
          <w:szCs w:val="20"/>
        </w:rPr>
        <w:t xml:space="preserve">podjetje ali drugo podjetje v skupini pomembne pravice intelektualne lastnine na </w:t>
      </w:r>
      <w:r w:rsidRPr="002F30DF">
        <w:rPr>
          <w:rFonts w:eastAsia="Arial" w:cs="Arial"/>
          <w:spacing w:val="-3"/>
          <w:sz w:val="20"/>
          <w:szCs w:val="20"/>
        </w:rPr>
        <w:t>tem upoštevnem trgu;</w:t>
      </w:r>
    </w:p>
    <w:p w:rsidR="00736A33" w:rsidRPr="002F30DF" w:rsidRDefault="00736A33" w:rsidP="00736A33">
      <w:pPr>
        <w:numPr>
          <w:ilvl w:val="0"/>
          <w:numId w:val="115"/>
        </w:numPr>
        <w:shd w:val="clear" w:color="auto" w:fill="FFFFFF"/>
        <w:tabs>
          <w:tab w:val="left" w:pos="1109"/>
        </w:tabs>
        <w:suppressAutoHyphens/>
        <w:overflowPunct/>
        <w:autoSpaceDE/>
        <w:autoSpaceDN/>
        <w:adjustRightInd/>
        <w:textAlignment w:val="auto"/>
        <w:rPr>
          <w:rFonts w:cs="Arial"/>
          <w:spacing w:val="1"/>
          <w:sz w:val="20"/>
          <w:szCs w:val="20"/>
        </w:rPr>
      </w:pPr>
      <w:r w:rsidRPr="002F30DF">
        <w:rPr>
          <w:rFonts w:cs="Arial"/>
          <w:spacing w:val="1"/>
          <w:sz w:val="20"/>
          <w:szCs w:val="20"/>
        </w:rPr>
        <w:t xml:space="preserve">je katero od v koncentraciji udeleženih podjetij ali drugo podjetje v skupini prisotno na proizvodnem/storitvenem trgu, ki je sosednji trg in tesno povezan s upoštevnim proizvodnim/storitvenim trgom, na katerem je dejavno kakšno drugo v koncentraciji udeleženo podjetje ali drugo podjetje v skupini, pri čemer znašajo posamični ali skupni tržni deleži podjetij na katerem koli od teh proizvodnih/storitvenih trgov več kot 25 %. Proizvodni/storitveni trgi so tesno povezani sosednji trgi, če se </w:t>
      </w:r>
      <w:r w:rsidRPr="002F30DF">
        <w:rPr>
          <w:rFonts w:cs="Arial"/>
          <w:spacing w:val="1"/>
          <w:sz w:val="20"/>
          <w:szCs w:val="20"/>
        </w:rPr>
        <w:lastRenderedPageBreak/>
        <w:t>proizvodi/storitve medsebojno dopolnjujejo (če uporaba enega proizvoda vključuje uporabo drugega proizvoda) ali če spadajo v paleto proizvodov/storitev, ki jih običajno kupuje ista skupina kupcev za enako končno uporabo (npr. različne vrste pijač, ki se prodajajo v restavracijah).</w:t>
      </w:r>
    </w:p>
    <w:p w:rsidR="00736A33" w:rsidRPr="002F30DF" w:rsidRDefault="00736A33" w:rsidP="00736A33">
      <w:pPr>
        <w:pStyle w:val="Naslov3"/>
        <w:keepNext w:val="0"/>
        <w:keepLines w:val="0"/>
        <w:numPr>
          <w:ilvl w:val="2"/>
          <w:numId w:val="114"/>
        </w:numPr>
        <w:suppressAutoHyphens/>
        <w:spacing w:before="240" w:after="120" w:line="240" w:lineRule="auto"/>
        <w:ind w:left="567" w:hanging="567"/>
        <w:jc w:val="both"/>
        <w:rPr>
          <w:rFonts w:ascii="Arial" w:hAnsi="Arial" w:cs="Arial"/>
        </w:rPr>
      </w:pPr>
      <w:r w:rsidRPr="002F30DF">
        <w:rPr>
          <w:rFonts w:ascii="Arial" w:hAnsi="Arial" w:cs="Arial"/>
        </w:rPr>
        <w:t>Za vsakega od upoštevnih proizvodnih/storitvenih trgov oziroma sosednjih proizvodnih/storitvenih trgov, opredeljenih v točkah 6.1.1, 6.1.2, 6.1.3 in 6.1.4, opredelite obseg upoštevnega geografskega trga (pojem upoštevni geografski trg opredeljuje 8. točka prvega odstavka 3. člena zakona).</w:t>
      </w:r>
    </w:p>
    <w:p w:rsidR="0054694D" w:rsidRPr="002F30DF" w:rsidRDefault="0054694D" w:rsidP="0054694D">
      <w:pPr>
        <w:rPr>
          <w:rFonts w:cs="Arial"/>
          <w:sz w:val="20"/>
          <w:szCs w:val="20"/>
        </w:rPr>
      </w:pPr>
    </w:p>
    <w:p w:rsidR="00736A33" w:rsidRPr="002F30DF" w:rsidRDefault="00736A33" w:rsidP="00736A33">
      <w:pPr>
        <w:pStyle w:val="Naslov2"/>
        <w:keepNext w:val="0"/>
        <w:keepLines w:val="0"/>
        <w:numPr>
          <w:ilvl w:val="1"/>
          <w:numId w:val="114"/>
        </w:numPr>
        <w:suppressAutoHyphens/>
        <w:spacing w:before="240" w:after="120" w:line="240" w:lineRule="auto"/>
        <w:ind w:left="578" w:hanging="578"/>
        <w:jc w:val="both"/>
        <w:rPr>
          <w:rFonts w:ascii="Arial" w:hAnsi="Arial" w:cs="Arial"/>
          <w:szCs w:val="20"/>
        </w:rPr>
      </w:pPr>
      <w:r w:rsidRPr="002F30DF">
        <w:rPr>
          <w:rFonts w:ascii="Arial" w:hAnsi="Arial" w:cs="Arial"/>
          <w:szCs w:val="20"/>
        </w:rPr>
        <w:t xml:space="preserve"> Informacije o trgu</w:t>
      </w:r>
    </w:p>
    <w:p w:rsidR="00736A33" w:rsidRPr="002F30DF" w:rsidRDefault="00736A33" w:rsidP="00736A33">
      <w:pPr>
        <w:shd w:val="clear" w:color="auto" w:fill="FFFFFF"/>
        <w:ind w:right="65"/>
        <w:rPr>
          <w:rFonts w:eastAsia="Arial" w:cs="Arial"/>
          <w:spacing w:val="-1"/>
          <w:sz w:val="20"/>
          <w:szCs w:val="20"/>
        </w:rPr>
      </w:pPr>
      <w:r w:rsidRPr="002F30DF">
        <w:rPr>
          <w:rFonts w:eastAsia="Arial" w:cs="Arial"/>
          <w:spacing w:val="-1"/>
          <w:sz w:val="20"/>
          <w:szCs w:val="20"/>
        </w:rPr>
        <w:t>V tej točki priglasitelj navede podatke in informacije upoštevnega geografskega trga Republike Slovenije. V kolikor pa priglasitelj meni, da je upoštevni geografski trg širši od območja Republike Slovenije, mora prikazati podatke za celotni (širši) predlagani upoštevni geografski trg in pri tem ločeno prikazati podatke za območje Republike Slovenije.</w:t>
      </w: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Velikost trga</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oceno velikosti posameznih upoštevnih trgov, opredeljenih v točkah 6.1.1 in 6.1.2, glede na vrednost (v eurih) in količinski obseg (v enotah) prodaje za vsako od preteklih treh let in oceno, kako se bodo upoštevni trgi razvijali v prihodnjih treh letih.</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oceno velikosti posameznih upoštevnih trgov, opredeljenih v točki 6.1.3 glede na vrednost (v eurih) in količinski obseg (v enotah) prodaje za vsako od preteklih treh let in oceno, kako se bodo upoštevni trgi razvijali v prihodnjih treh letih.</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oceno velikosti posameznih upoštevnih/sosednjih trgov, opredeljenih v točki 6.1.4, glede na vrednost (v eurih) in količinski obseg (v enotah) prodaje za vsako od preteklih treh let in oceno, kako se bodo upoštevni/sosednji trgi razvijali v primerjavi z drugimi upoštevnimi trgi, navedenimi v točki 6.1.</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podlago in vire izračunov, na katerih temeljijo predstavljene ocene. Predložite kopije uporabljenih virov, ki potrjujejo te izračune, če so na voljo in predstavite uporabljeno metodologijo.</w:t>
      </w:r>
    </w:p>
    <w:p w:rsidR="00736A33" w:rsidRPr="002F30DF" w:rsidRDefault="00736A33" w:rsidP="00736A33">
      <w:pPr>
        <w:rPr>
          <w:rFonts w:cs="Arial"/>
          <w:sz w:val="20"/>
          <w:szCs w:val="20"/>
        </w:rPr>
      </w:pP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Obseg in vrednost prodaje ter tržni delež</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vrednost in količinski obseg prodaje vsakega v koncentraciji udeleženega podjetja in drugih podjetij v skupini in ocenite njihove tržne deleže na upoštevnih trgih, opredeljenih v točkah 6.1.1 in 6.1.2, ločeno za vsako od zadnjih treh let.</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Ocenite tržne deleže vsakega v koncentraciji udeleženega podjetja in drugih podjetij v skupini na upoštevnih trgih, opredeljenih v točki 6.1.3, ločeno za vsako od zadnjih treh let.</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Ocenite tržne deleže vsakega v koncentraciji udeleženega podjetja in drugih podjetij v skupini na upoštevnih/sosednjih trgih, opredeljenih v točki 6.1.4, ločeno za vsako od zadnjih treh let.</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podlago in vire izračunov, na katerih temeljijo predstavljene ocene. Predložite kopije uporabljenih virov, ki potrjujejo te izračune, če so na voljo in predstavite uporabljeno metodologijo.</w:t>
      </w:r>
    </w:p>
    <w:p w:rsidR="00736A33" w:rsidRPr="002F30DF" w:rsidRDefault="00736A33" w:rsidP="00736A33">
      <w:pPr>
        <w:rPr>
          <w:rFonts w:cs="Arial"/>
          <w:sz w:val="20"/>
          <w:szCs w:val="20"/>
        </w:rPr>
      </w:pPr>
    </w:p>
    <w:p w:rsidR="00736A33" w:rsidRPr="002F30DF" w:rsidRDefault="00736A33" w:rsidP="00736A33">
      <w:pPr>
        <w:pStyle w:val="Naslov3"/>
        <w:keepLines w:val="0"/>
        <w:numPr>
          <w:ilvl w:val="2"/>
          <w:numId w:val="114"/>
        </w:numPr>
        <w:suppressAutoHyphens/>
        <w:spacing w:before="240" w:after="120" w:line="240" w:lineRule="auto"/>
        <w:jc w:val="both"/>
        <w:rPr>
          <w:rFonts w:ascii="Arial" w:hAnsi="Arial" w:cs="Arial"/>
        </w:rPr>
      </w:pPr>
      <w:r w:rsidRPr="002F30DF">
        <w:rPr>
          <w:rFonts w:ascii="Arial" w:hAnsi="Arial" w:cs="Arial"/>
        </w:rPr>
        <w:t>Najpomembnejši konkurenti</w:t>
      </w:r>
    </w:p>
    <w:p w:rsidR="00736A33" w:rsidRPr="002F30DF" w:rsidRDefault="00736A33" w:rsidP="00736A33">
      <w:pPr>
        <w:pStyle w:val="Naslov4"/>
        <w:keepNext/>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oceno tržnih deležev po vrednosti (in po potrebi po količini) vseh konkurentov (vključno z uvozniki), katerih tržni delež na posameznem upoštevnem trgu dosega najmanj 5 %. Informacije se pošljejo ločeno za vsako od zadnjih treh let.</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podlago in vire izračunov, na katerih temeljijo predstavljene ocene. Predložite kopije uporabljenih virov, ki potrjujejo te izračune, če so na voljo in predstavite uporabljeno metodologijo.</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firmo, naslov, številko telefona in elektronski naslov konkurentov, ki ste jih navedli pod točko 6.2.3.1.</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Opišite obseg vertikalne integracije v koncentraciji udeleženih podjetij in drugih podjetij v skupini v primerjavi z njihovimi največjimi konkurenti.</w:t>
      </w:r>
    </w:p>
    <w:p w:rsidR="00736A33" w:rsidRPr="002F30DF" w:rsidRDefault="00736A33" w:rsidP="00736A33">
      <w:pPr>
        <w:rPr>
          <w:rFonts w:cs="Arial"/>
          <w:sz w:val="20"/>
          <w:szCs w:val="20"/>
        </w:rPr>
      </w:pP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Pomen uvoza in vnosa blaga na območje Republike Slovenije iz drugih držav članic Evropske unije</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lastRenderedPageBreak/>
        <w:t>Navedite oceno vrednosti in količinskega obsega uvoza in vnosa blaga na območje Republike Slovenije iz drugih držav članic Evropske unije ter vir uvoza in vnosa na območje Republike Slovenije in opredelite:</w:t>
      </w:r>
    </w:p>
    <w:p w:rsidR="00736A33" w:rsidRPr="002F30DF" w:rsidRDefault="00736A33" w:rsidP="00736A33">
      <w:pPr>
        <w:numPr>
          <w:ilvl w:val="0"/>
          <w:numId w:val="117"/>
        </w:numPr>
        <w:suppressAutoHyphens/>
        <w:overflowPunct/>
        <w:autoSpaceDE/>
        <w:autoSpaceDN/>
        <w:adjustRightInd/>
        <w:textAlignment w:val="auto"/>
        <w:rPr>
          <w:rFonts w:cs="Arial"/>
          <w:spacing w:val="1"/>
          <w:sz w:val="20"/>
          <w:szCs w:val="20"/>
        </w:rPr>
      </w:pPr>
      <w:r w:rsidRPr="002F30DF">
        <w:rPr>
          <w:rFonts w:cs="Arial"/>
          <w:sz w:val="20"/>
          <w:szCs w:val="20"/>
        </w:rPr>
        <w:t xml:space="preserve">delež uvoza in vnosa blaga na območje Republike Slovenije, ki izhaja iz v koncentraciji </w:t>
      </w:r>
      <w:r w:rsidRPr="002F30DF">
        <w:rPr>
          <w:rFonts w:cs="Arial"/>
          <w:spacing w:val="-5"/>
          <w:sz w:val="20"/>
          <w:szCs w:val="20"/>
        </w:rPr>
        <w:t>udeleženih podjetij in drugih podjetij v skupini;</w:t>
      </w:r>
    </w:p>
    <w:p w:rsidR="00736A33" w:rsidRPr="002F30DF" w:rsidRDefault="00736A33" w:rsidP="00736A33">
      <w:pPr>
        <w:numPr>
          <w:ilvl w:val="0"/>
          <w:numId w:val="117"/>
        </w:numPr>
        <w:suppressAutoHyphens/>
        <w:overflowPunct/>
        <w:autoSpaceDE/>
        <w:autoSpaceDN/>
        <w:adjustRightInd/>
        <w:textAlignment w:val="auto"/>
        <w:rPr>
          <w:rFonts w:cs="Arial"/>
          <w:spacing w:val="-5"/>
          <w:sz w:val="20"/>
          <w:szCs w:val="20"/>
        </w:rPr>
      </w:pPr>
      <w:r w:rsidRPr="002F30DF">
        <w:rPr>
          <w:rFonts w:cs="Arial"/>
          <w:spacing w:val="1"/>
          <w:sz w:val="20"/>
          <w:szCs w:val="20"/>
        </w:rPr>
        <w:t xml:space="preserve">oceno, kako vplivajo na uvoz količinske omejitve, carinske stopnje, uvozne </w:t>
      </w:r>
      <w:r w:rsidRPr="002F30DF">
        <w:rPr>
          <w:rFonts w:cs="Arial"/>
          <w:spacing w:val="-5"/>
          <w:sz w:val="20"/>
          <w:szCs w:val="20"/>
        </w:rPr>
        <w:t>dajatve in druge tarifne in netarifne omejitve;</w:t>
      </w:r>
    </w:p>
    <w:p w:rsidR="00736A33" w:rsidRPr="002F30DF" w:rsidRDefault="00736A33" w:rsidP="00736A33">
      <w:pPr>
        <w:numPr>
          <w:ilvl w:val="0"/>
          <w:numId w:val="117"/>
        </w:numPr>
        <w:suppressAutoHyphens/>
        <w:overflowPunct/>
        <w:autoSpaceDE/>
        <w:autoSpaceDN/>
        <w:adjustRightInd/>
        <w:textAlignment w:val="auto"/>
        <w:rPr>
          <w:rFonts w:cs="Arial"/>
          <w:spacing w:val="-5"/>
          <w:sz w:val="20"/>
          <w:szCs w:val="20"/>
        </w:rPr>
      </w:pPr>
      <w:r w:rsidRPr="002F30DF">
        <w:rPr>
          <w:rFonts w:cs="Arial"/>
          <w:spacing w:val="-5"/>
          <w:sz w:val="20"/>
          <w:szCs w:val="20"/>
        </w:rPr>
        <w:t>oceno, kako vplivajo na vnos netarifne omejitve;</w:t>
      </w:r>
    </w:p>
    <w:p w:rsidR="00736A33" w:rsidRPr="002F30DF" w:rsidRDefault="00736A33" w:rsidP="00736A33">
      <w:pPr>
        <w:numPr>
          <w:ilvl w:val="0"/>
          <w:numId w:val="117"/>
        </w:numPr>
        <w:suppressAutoHyphens/>
        <w:overflowPunct/>
        <w:autoSpaceDE/>
        <w:autoSpaceDN/>
        <w:adjustRightInd/>
        <w:textAlignment w:val="auto"/>
        <w:rPr>
          <w:rFonts w:cs="Arial"/>
          <w:sz w:val="20"/>
          <w:szCs w:val="20"/>
        </w:rPr>
      </w:pPr>
      <w:r w:rsidRPr="002F30DF">
        <w:rPr>
          <w:rFonts w:cs="Arial"/>
          <w:spacing w:val="-5"/>
          <w:sz w:val="20"/>
          <w:szCs w:val="20"/>
        </w:rPr>
        <w:t>oceno, kako vplivajo na uvoz in vnos transportni in drugi stroški.</w:t>
      </w:r>
    </w:p>
    <w:p w:rsidR="00736A33" w:rsidRPr="002F30DF" w:rsidRDefault="00736A33" w:rsidP="00736A33">
      <w:pPr>
        <w:rPr>
          <w:rFonts w:cs="Arial"/>
          <w:sz w:val="20"/>
          <w:szCs w:val="20"/>
        </w:rPr>
      </w:pPr>
    </w:p>
    <w:p w:rsidR="00736A33" w:rsidRPr="002F30DF" w:rsidRDefault="00736A33" w:rsidP="00736A33">
      <w:pPr>
        <w:ind w:left="709" w:firstLine="11"/>
        <w:rPr>
          <w:rFonts w:cs="Arial"/>
          <w:spacing w:val="-5"/>
          <w:sz w:val="20"/>
          <w:szCs w:val="20"/>
        </w:rPr>
      </w:pPr>
      <w:r w:rsidRPr="002F30DF">
        <w:rPr>
          <w:rFonts w:cs="Arial"/>
          <w:sz w:val="20"/>
          <w:szCs w:val="20"/>
        </w:rPr>
        <w:t xml:space="preserve">Informacije se pošljejo za vsako od preteklih treh let. Če je mogoče, navedite </w:t>
      </w:r>
      <w:r w:rsidRPr="002F30DF">
        <w:rPr>
          <w:rFonts w:cs="Arial"/>
          <w:spacing w:val="-4"/>
          <w:sz w:val="20"/>
          <w:szCs w:val="20"/>
        </w:rPr>
        <w:t xml:space="preserve">oceno, kako bodo količinske omejitve, carinske stopnje, uvozne dajatve in druge </w:t>
      </w:r>
      <w:r w:rsidRPr="002F30DF">
        <w:rPr>
          <w:rFonts w:cs="Arial"/>
          <w:spacing w:val="-5"/>
          <w:sz w:val="20"/>
          <w:szCs w:val="20"/>
        </w:rPr>
        <w:t>tarifne in netarifne omejitve vplivale na uvoz ali vnos v (vsaj) naslednjih treh letih.</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podlago in vire izračunov, na katerih temeljijo predstavljene ocene. Predložite kopije uporabljenih virov, ki potrjujejo te izračune, če so na voljo.</w:t>
      </w:r>
    </w:p>
    <w:p w:rsidR="00736A33" w:rsidRPr="002F30DF" w:rsidRDefault="00736A33" w:rsidP="00736A33">
      <w:pPr>
        <w:rPr>
          <w:rFonts w:cs="Arial"/>
          <w:sz w:val="20"/>
          <w:szCs w:val="20"/>
        </w:rPr>
      </w:pP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Poslovanje podjetij</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primerjavo cenovnih ravni, ki jih dosegajo v koncentraciji udeležena podjetja in druga podjetja v skupini na območju Republike Slovenije in drugih območjih na katerih poslujejo.</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rStyle w:val="Naslov4Znak"/>
          <w:color w:val="auto"/>
          <w:sz w:val="20"/>
          <w:szCs w:val="20"/>
        </w:rPr>
        <w:t>Navedite primerjavo cenovnih ravni med v koncentraciji udeleženimi podjetji in drugimi</w:t>
      </w:r>
      <w:r w:rsidRPr="002F30DF">
        <w:rPr>
          <w:color w:val="auto"/>
          <w:sz w:val="20"/>
          <w:szCs w:val="20"/>
        </w:rPr>
        <w:t xml:space="preserve"> podjetji v skupini na eni strani in njihovimi največjimi konkurenti na drugi strani na vsakem upoštevnem trgu.</w:t>
      </w:r>
    </w:p>
    <w:p w:rsidR="00736A33" w:rsidRPr="002F30DF" w:rsidRDefault="00736A33" w:rsidP="00736A33">
      <w:pPr>
        <w:pStyle w:val="Odstavek"/>
        <w:rPr>
          <w:sz w:val="20"/>
          <w:szCs w:val="20"/>
        </w:rPr>
      </w:pP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Najpomembnejši kupci in dobavitelji</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pet najpomembnejših kupcev, ki ne pripadajo isti skupini podjetij kot v koncentraciji udeležena podjetja, na vsakem izmed upoštevnih trgov, opredeljenih v točki 6.1, delež nakupov vsakega kupca v prihodkih od prodaje vsakega v koncentraciji udeleženega podjetja in drugih podjetij v skupini. Informacije se pošljejo za vsako od preteklih treh let.</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lastRenderedPageBreak/>
        <w:t>Navedite pet najpomembnejših dobaviteljev, ki ne pripadajo isti skupini podjetij kot v koncentraciji udeležena podjetja, na vsakem od upoštevnih trgov, opredeljenih v točki 6.1, ter delež vsakega dobavitelja v celotni nabavi vsakega v koncentraciji udeleženega podjetja in drugih podjetij v skupini. Informacije se pošljejo za vsako od preteklih treh let.</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ime ali firmo, naslov, številko telefona ter elektronski naslov kupcev in dobaviteljev, ki ste jih navedli v točkah 6.2.6.1 in 6.2.6.2.</w:t>
      </w:r>
    </w:p>
    <w:p w:rsidR="00736A33" w:rsidRPr="002F30DF" w:rsidRDefault="00736A33" w:rsidP="00736A33">
      <w:pPr>
        <w:rPr>
          <w:rFonts w:cs="Arial"/>
          <w:sz w:val="20"/>
          <w:szCs w:val="20"/>
        </w:rPr>
      </w:pPr>
    </w:p>
    <w:p w:rsidR="00736A33" w:rsidRPr="002F30DF" w:rsidRDefault="00736A33" w:rsidP="00736A33">
      <w:pPr>
        <w:pStyle w:val="Naslov3"/>
        <w:keepNext w:val="0"/>
        <w:keepLines w:val="0"/>
        <w:numPr>
          <w:ilvl w:val="2"/>
          <w:numId w:val="114"/>
        </w:numPr>
        <w:suppressAutoHyphens/>
        <w:spacing w:before="240" w:after="120" w:line="240" w:lineRule="auto"/>
        <w:jc w:val="both"/>
        <w:rPr>
          <w:rFonts w:ascii="Arial" w:hAnsi="Arial" w:cs="Arial"/>
        </w:rPr>
      </w:pPr>
      <w:r w:rsidRPr="002F30DF">
        <w:rPr>
          <w:rFonts w:ascii="Arial" w:hAnsi="Arial" w:cs="Arial"/>
        </w:rPr>
        <w:t>Struktura ponudbe in povpraševanja</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120" w:afterAutospacing="0"/>
        <w:jc w:val="both"/>
        <w:rPr>
          <w:color w:val="auto"/>
          <w:spacing w:val="1"/>
          <w:sz w:val="20"/>
          <w:szCs w:val="20"/>
        </w:rPr>
      </w:pPr>
      <w:r w:rsidRPr="002F30DF">
        <w:rPr>
          <w:color w:val="auto"/>
          <w:sz w:val="20"/>
          <w:szCs w:val="20"/>
        </w:rPr>
        <w:t>Pojasnite distribucijske poti in mreže servisnih storitev, ki obstajajo na upoštevnih trgih na območju Republike Slovenije. Pri tem po potrebi upoštevajte:</w:t>
      </w:r>
    </w:p>
    <w:p w:rsidR="00736A33" w:rsidRPr="002F30DF" w:rsidRDefault="00736A33" w:rsidP="00736A33">
      <w:pPr>
        <w:numPr>
          <w:ilvl w:val="0"/>
          <w:numId w:val="118"/>
        </w:numPr>
        <w:suppressAutoHyphens/>
        <w:overflowPunct/>
        <w:autoSpaceDE/>
        <w:autoSpaceDN/>
        <w:adjustRightInd/>
        <w:spacing w:after="120"/>
        <w:textAlignment w:val="auto"/>
        <w:rPr>
          <w:rFonts w:cs="Arial"/>
          <w:spacing w:val="1"/>
          <w:sz w:val="20"/>
          <w:szCs w:val="20"/>
        </w:rPr>
      </w:pPr>
      <w:r w:rsidRPr="002F30DF">
        <w:rPr>
          <w:rFonts w:cs="Arial"/>
          <w:spacing w:val="4"/>
          <w:sz w:val="20"/>
          <w:szCs w:val="20"/>
        </w:rPr>
        <w:t xml:space="preserve">distribucijske sisteme, ki prevladujejo na upoštevnih trgih, in njihov pomen. V kakšnem </w:t>
      </w:r>
      <w:r w:rsidRPr="002F30DF">
        <w:rPr>
          <w:rFonts w:cs="Arial"/>
          <w:sz w:val="20"/>
          <w:szCs w:val="20"/>
        </w:rPr>
        <w:t>obsegu distribucijo izvajajo v koncentraciji udeležena podjetja in druga podjetja v skupini oziroma v kakšnem obsegu to izvajajo tretja podjetja;</w:t>
      </w:r>
    </w:p>
    <w:p w:rsidR="00736A33" w:rsidRPr="002F30DF" w:rsidRDefault="00736A33" w:rsidP="00736A33">
      <w:pPr>
        <w:numPr>
          <w:ilvl w:val="0"/>
          <w:numId w:val="118"/>
        </w:numPr>
        <w:suppressAutoHyphens/>
        <w:overflowPunct/>
        <w:autoSpaceDE/>
        <w:autoSpaceDN/>
        <w:adjustRightInd/>
        <w:textAlignment w:val="auto"/>
        <w:rPr>
          <w:rFonts w:cs="Arial"/>
          <w:spacing w:val="4"/>
          <w:sz w:val="20"/>
          <w:szCs w:val="20"/>
        </w:rPr>
      </w:pPr>
      <w:r w:rsidRPr="002F30DF">
        <w:rPr>
          <w:rFonts w:cs="Arial"/>
          <w:spacing w:val="4"/>
          <w:sz w:val="20"/>
          <w:szCs w:val="20"/>
        </w:rPr>
        <w:t>mreže servisnih storitev (na primer vzdrževanje in popravila), ki prevladujejo na upoštevnih trgih, in njihov pomen. V kakšnem obsegu te storitve izvajajo v koncentraciji udeležena podjetja in druga podjetja v skupini oziroma v kakšnem obsegu to izvajajo tretja podjetja.</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oceno skupnih razpoložljivih proizvodnih zmogljivosti na upoštevnih trgih za zadnja tri leta. Navedite, kolikšen del proizvodnih zmogljivosti se pripisuje v koncentraciji udeleženim podjetjem in drugim podjetjem v skupini in kakšne so bile stopnje izrabe teh zmogljivosti. Po potrebi navedite lokacijo in zmogljivost proizvodnih mest v koncentraciji udeleženih podjetij in drugih podjetij v skupini.</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ali ima katero od v koncentraciji udeleženih podjetij in katero drugo podjetje v skupini ali kateri od konkurentov razvojne proizvode, proizvode, ki bodo verjetno v kratkem na upoštevnih trgih, ali načrte za razširitev (ali skrčenje) obsega proizvodnje ali prodaje. Če je tako, navedite oceno načrtovane prodaje in tržnih deležev v koncentraciji udeleženih podjetij in drugih podjetij v skupini v naslednjih treh do petih letih.</w:t>
      </w:r>
    </w:p>
    <w:p w:rsidR="00736A33" w:rsidRPr="002F30DF" w:rsidRDefault="00736A33" w:rsidP="00736A33">
      <w:pPr>
        <w:pStyle w:val="Naslov4"/>
        <w:framePr w:vSpace="0" w:wrap="auto" w:vAnchor="margin" w:hAnchor="text" w:xAlign="left" w:yAlign="inline"/>
        <w:numPr>
          <w:ilvl w:val="3"/>
          <w:numId w:val="114"/>
        </w:numPr>
        <w:suppressAutoHyphens/>
        <w:spacing w:before="240" w:beforeAutospacing="0" w:after="120" w:afterAutospacing="0"/>
        <w:jc w:val="both"/>
        <w:rPr>
          <w:color w:val="auto"/>
          <w:sz w:val="20"/>
          <w:szCs w:val="20"/>
        </w:rPr>
      </w:pPr>
      <w:r w:rsidRPr="002F30DF">
        <w:rPr>
          <w:color w:val="auto"/>
          <w:sz w:val="20"/>
          <w:szCs w:val="20"/>
        </w:rPr>
        <w:t xml:space="preserve"> Razložite strukturo povpraševanja glede na:</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pacing w:val="-1"/>
          <w:sz w:val="20"/>
          <w:szCs w:val="20"/>
        </w:rPr>
      </w:pPr>
      <w:r w:rsidRPr="002F30DF">
        <w:rPr>
          <w:rFonts w:cs="Arial"/>
          <w:sz w:val="20"/>
          <w:szCs w:val="20"/>
        </w:rPr>
        <w:lastRenderedPageBreak/>
        <w:t xml:space="preserve">cikel trga (na primer v zagonu, širitvi, zrelosti ali upadu) ter napovejte stopnjo </w:t>
      </w:r>
      <w:r w:rsidRPr="002F30DF">
        <w:rPr>
          <w:rFonts w:cs="Arial"/>
          <w:spacing w:val="-3"/>
          <w:sz w:val="20"/>
          <w:szCs w:val="20"/>
        </w:rPr>
        <w:t>rasti povpraševanja;</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pacing w:val="-1"/>
          <w:sz w:val="20"/>
          <w:szCs w:val="20"/>
        </w:rPr>
      </w:pPr>
      <w:r w:rsidRPr="002F30DF">
        <w:rPr>
          <w:rFonts w:cs="Arial"/>
          <w:spacing w:val="-1"/>
          <w:sz w:val="20"/>
          <w:szCs w:val="20"/>
        </w:rPr>
        <w:t>pomen preferenc kupcev (na primer glede zvestobe blagovni znamki, pred- in po- prodajnih storitev, ponudbe celotne palete proizvodov ali mrežnih učinkov);</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z w:val="20"/>
          <w:szCs w:val="20"/>
        </w:rPr>
      </w:pPr>
      <w:r w:rsidRPr="002F30DF">
        <w:rPr>
          <w:rFonts w:cs="Arial"/>
          <w:sz w:val="20"/>
          <w:szCs w:val="20"/>
        </w:rPr>
        <w:t>vlogo</w:t>
      </w:r>
      <w:r w:rsidRPr="002F30DF">
        <w:rPr>
          <w:rFonts w:cs="Arial"/>
          <w:spacing w:val="-1"/>
          <w:sz w:val="20"/>
          <w:szCs w:val="20"/>
        </w:rPr>
        <w:t xml:space="preserve"> diferenciacije proizvodov glede lastnosti ali kakovosti in glede na obseg, </w:t>
      </w:r>
      <w:r w:rsidRPr="002F30DF">
        <w:rPr>
          <w:rFonts w:cs="Arial"/>
          <w:spacing w:val="1"/>
          <w:sz w:val="20"/>
          <w:szCs w:val="20"/>
        </w:rPr>
        <w:t xml:space="preserve">v katerem so proizvodi v koncentraciji udeleženih podjetij in drugih podjetij v </w:t>
      </w:r>
      <w:r w:rsidRPr="002F30DF">
        <w:rPr>
          <w:rFonts w:cs="Arial"/>
          <w:spacing w:val="-1"/>
          <w:sz w:val="20"/>
          <w:szCs w:val="20"/>
        </w:rPr>
        <w:t>skupini med seboj tesni substituti;</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pacing w:val="-1"/>
          <w:sz w:val="20"/>
          <w:szCs w:val="20"/>
        </w:rPr>
      </w:pPr>
      <w:r w:rsidRPr="002F30DF">
        <w:rPr>
          <w:rFonts w:cs="Arial"/>
          <w:sz w:val="20"/>
          <w:szCs w:val="20"/>
        </w:rPr>
        <w:t xml:space="preserve">vlogo stroškov prehoda (v časovnem in stroškovnem/izdatkovnem smislu) za </w:t>
      </w:r>
      <w:r w:rsidRPr="002F30DF">
        <w:rPr>
          <w:rFonts w:cs="Arial"/>
          <w:spacing w:val="-1"/>
          <w:sz w:val="20"/>
          <w:szCs w:val="20"/>
        </w:rPr>
        <w:t>kupce, kadar preidejo od enega dobavitelja k drugemu;</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z w:val="20"/>
          <w:szCs w:val="20"/>
        </w:rPr>
      </w:pPr>
      <w:r w:rsidRPr="002F30DF">
        <w:rPr>
          <w:rFonts w:cs="Arial"/>
          <w:sz w:val="20"/>
          <w:szCs w:val="20"/>
        </w:rPr>
        <w:t>stopnjo koncentracije ali razpršenosti kupcev;</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z w:val="20"/>
          <w:szCs w:val="20"/>
        </w:rPr>
      </w:pPr>
      <w:r w:rsidRPr="002F30DF">
        <w:rPr>
          <w:rFonts w:cs="Arial"/>
          <w:sz w:val="20"/>
          <w:szCs w:val="20"/>
        </w:rPr>
        <w:t>razdelitev kupcev v različne skupine, pri čemer opišite »značilnega kupca« za vsako skupino;</w:t>
      </w:r>
    </w:p>
    <w:p w:rsidR="00736A33" w:rsidRPr="002F30DF" w:rsidRDefault="00736A33" w:rsidP="00736A33">
      <w:pPr>
        <w:widowControl w:val="0"/>
        <w:numPr>
          <w:ilvl w:val="0"/>
          <w:numId w:val="119"/>
        </w:numPr>
        <w:suppressAutoHyphens/>
        <w:overflowPunct/>
        <w:autoSpaceDE/>
        <w:autoSpaceDN/>
        <w:adjustRightInd/>
        <w:spacing w:after="120"/>
        <w:textAlignment w:val="auto"/>
        <w:rPr>
          <w:rFonts w:cs="Arial"/>
          <w:sz w:val="20"/>
          <w:szCs w:val="20"/>
        </w:rPr>
      </w:pPr>
      <w:r w:rsidRPr="002F30DF">
        <w:rPr>
          <w:rFonts w:cs="Arial"/>
          <w:sz w:val="20"/>
          <w:szCs w:val="20"/>
        </w:rPr>
        <w:t>pomen pogodb o ekskluzivni distribuciji in drugih vrst dolgoročnih pogodb;</w:t>
      </w:r>
    </w:p>
    <w:p w:rsidR="00736A33" w:rsidRPr="002F30DF" w:rsidRDefault="00736A33" w:rsidP="00736A33">
      <w:pPr>
        <w:widowControl w:val="0"/>
        <w:numPr>
          <w:ilvl w:val="0"/>
          <w:numId w:val="119"/>
        </w:numPr>
        <w:suppressAutoHyphens/>
        <w:overflowPunct/>
        <w:autoSpaceDE/>
        <w:autoSpaceDN/>
        <w:adjustRightInd/>
        <w:textAlignment w:val="auto"/>
        <w:rPr>
          <w:rFonts w:cs="Arial"/>
          <w:sz w:val="20"/>
          <w:szCs w:val="20"/>
        </w:rPr>
      </w:pPr>
      <w:r w:rsidRPr="002F30DF">
        <w:rPr>
          <w:rFonts w:cs="Arial"/>
          <w:sz w:val="20"/>
          <w:szCs w:val="20"/>
        </w:rPr>
        <w:t>pomen javnega sektorja kot kupca.</w:t>
      </w:r>
    </w:p>
    <w:p w:rsidR="00736A33" w:rsidRPr="002F30DF" w:rsidRDefault="00736A33" w:rsidP="00736A33">
      <w:pPr>
        <w:shd w:val="clear" w:color="auto" w:fill="FFFFFF"/>
        <w:tabs>
          <w:tab w:val="left" w:pos="706"/>
        </w:tabs>
        <w:ind w:left="720"/>
        <w:rPr>
          <w:rFonts w:cs="Arial"/>
          <w:spacing w:val="-1"/>
          <w:sz w:val="20"/>
          <w:szCs w:val="20"/>
        </w:rPr>
      </w:pPr>
    </w:p>
    <w:p w:rsidR="00736A33" w:rsidRPr="002F30DF" w:rsidRDefault="00736A33" w:rsidP="00736A33">
      <w:pPr>
        <w:pStyle w:val="Naslov3"/>
        <w:keepNext w:val="0"/>
        <w:keepLines w:val="0"/>
        <w:widowControl w:val="0"/>
        <w:numPr>
          <w:ilvl w:val="2"/>
          <w:numId w:val="114"/>
        </w:numPr>
        <w:suppressAutoHyphens/>
        <w:spacing w:before="240" w:after="120" w:line="240" w:lineRule="auto"/>
        <w:jc w:val="both"/>
        <w:rPr>
          <w:rFonts w:ascii="Arial" w:hAnsi="Arial" w:cs="Arial"/>
        </w:rPr>
      </w:pPr>
      <w:r w:rsidRPr="002F30DF">
        <w:rPr>
          <w:rFonts w:ascii="Arial" w:hAnsi="Arial" w:cs="Arial"/>
        </w:rPr>
        <w:t>Vstop na upoštevne trge, umik s teh trgov in dejavniki, ki na to vplivajo</w:t>
      </w:r>
    </w:p>
    <w:p w:rsidR="00736A33" w:rsidRPr="002F30DF" w:rsidRDefault="00736A33" w:rsidP="00736A33">
      <w:pPr>
        <w:pStyle w:val="Naslov4"/>
        <w:framePr w:vSpace="0" w:wrap="auto" w:vAnchor="margin" w:hAnchor="text" w:xAlign="left" w:yAlign="inline"/>
        <w:widowControl w:val="0"/>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podjetja, če jih poznate, ki so v zadnjih petih letih vstopila na upoštevne trge ali se z njih umaknila. Navedite ime ali firmo, naslov, številko telefona ter elektronski naslov podjetij, ki so vstopila, in ocenite trenutni tržni delež vsakega od teh podjetij. Če je katero od v koncentraciji udeleženih podjetij ali drugih podjetij v skupini v zadnjih petih letih vstopilo na upoštevne trge, navedite analizo ovir za vstop.</w:t>
      </w:r>
    </w:p>
    <w:p w:rsidR="00736A33" w:rsidRPr="002F30DF" w:rsidRDefault="00736A33" w:rsidP="00736A33">
      <w:pPr>
        <w:pStyle w:val="Naslov4"/>
        <w:framePr w:vSpace="0" w:wrap="auto" w:vAnchor="margin" w:hAnchor="text" w:xAlign="left" w:yAlign="inline"/>
        <w:widowControl w:val="0"/>
        <w:numPr>
          <w:ilvl w:val="3"/>
          <w:numId w:val="114"/>
        </w:numPr>
        <w:suppressAutoHyphens/>
        <w:spacing w:before="240" w:beforeAutospacing="0" w:after="60" w:afterAutospacing="0"/>
        <w:jc w:val="both"/>
        <w:rPr>
          <w:color w:val="auto"/>
          <w:sz w:val="20"/>
          <w:szCs w:val="20"/>
        </w:rPr>
      </w:pPr>
      <w:r w:rsidRPr="002F30DF">
        <w:rPr>
          <w:color w:val="auto"/>
          <w:sz w:val="20"/>
          <w:szCs w:val="20"/>
        </w:rPr>
        <w:t>Navedite podjetja, če jih poznate, za katera je verjetno, da bodo v prihodnje vstopila na upoštevne trge. Navedite ime ali firmo, naslov, številko telefona ter elektronski naslov teh podjetij. Pojasnite, zakaj je tak vstop verjeten, in predvidite čas verjetnega vstopa.</w:t>
      </w:r>
    </w:p>
    <w:p w:rsidR="00736A33" w:rsidRPr="002F30DF" w:rsidRDefault="00736A33" w:rsidP="00736A33">
      <w:pPr>
        <w:pStyle w:val="Naslov4"/>
        <w:framePr w:vSpace="0" w:wrap="auto" w:vAnchor="margin" w:hAnchor="text" w:xAlign="left" w:yAlign="inline"/>
        <w:widowControl w:val="0"/>
        <w:numPr>
          <w:ilvl w:val="3"/>
          <w:numId w:val="114"/>
        </w:numPr>
        <w:suppressAutoHyphens/>
        <w:spacing w:before="240" w:beforeAutospacing="0" w:after="120" w:afterAutospacing="0"/>
        <w:jc w:val="both"/>
        <w:rPr>
          <w:color w:val="auto"/>
          <w:sz w:val="20"/>
          <w:szCs w:val="20"/>
        </w:rPr>
      </w:pPr>
      <w:r w:rsidRPr="002F30DF">
        <w:rPr>
          <w:color w:val="auto"/>
          <w:sz w:val="20"/>
          <w:szCs w:val="20"/>
        </w:rPr>
        <w:t>Navedite dejavnike, ki vplivajo na vstop ali na umik na posamezne upoštevne trge, pri čemer upoštevajte proizvodni in geografski vidik. Pri tem po potrebi upoštevajte:</w:t>
      </w:r>
    </w:p>
    <w:p w:rsidR="00736A33" w:rsidRPr="002F30DF" w:rsidRDefault="00736A33" w:rsidP="00736A33">
      <w:pPr>
        <w:widowControl w:val="0"/>
        <w:numPr>
          <w:ilvl w:val="0"/>
          <w:numId w:val="120"/>
        </w:numPr>
        <w:suppressAutoHyphens/>
        <w:overflowPunct/>
        <w:autoSpaceDE/>
        <w:autoSpaceDN/>
        <w:adjustRightInd/>
        <w:spacing w:after="120"/>
        <w:textAlignment w:val="auto"/>
        <w:rPr>
          <w:rFonts w:cs="Arial"/>
          <w:sz w:val="20"/>
          <w:szCs w:val="20"/>
        </w:rPr>
      </w:pPr>
      <w:r w:rsidRPr="002F30DF">
        <w:rPr>
          <w:rFonts w:cs="Arial"/>
          <w:sz w:val="20"/>
          <w:szCs w:val="20"/>
        </w:rPr>
        <w:t xml:space="preserve">skupne stroške vstopa (raziskave in razvoj, proizvodnja, vzpostavitev distribucijskih sistemov, oglaševanje, servisiranje ipd.), ocenjene glede na pomembnega sposobnega konkurenta, pri čemer navedite tržni delež </w:t>
      </w:r>
      <w:r w:rsidRPr="002F30DF">
        <w:rPr>
          <w:rFonts w:cs="Arial"/>
          <w:sz w:val="20"/>
          <w:szCs w:val="20"/>
        </w:rPr>
        <w:lastRenderedPageBreak/>
        <w:t>takega konkurenta;</w:t>
      </w:r>
    </w:p>
    <w:p w:rsidR="00736A33" w:rsidRPr="002F30DF" w:rsidRDefault="00736A33" w:rsidP="00736A33">
      <w:pPr>
        <w:widowControl w:val="0"/>
        <w:numPr>
          <w:ilvl w:val="0"/>
          <w:numId w:val="120"/>
        </w:numPr>
        <w:suppressAutoHyphens/>
        <w:overflowPunct/>
        <w:autoSpaceDE/>
        <w:autoSpaceDN/>
        <w:adjustRightInd/>
        <w:spacing w:after="120"/>
        <w:textAlignment w:val="auto"/>
        <w:rPr>
          <w:rFonts w:cs="Arial"/>
          <w:sz w:val="20"/>
          <w:szCs w:val="20"/>
        </w:rPr>
      </w:pPr>
      <w:r w:rsidRPr="002F30DF">
        <w:rPr>
          <w:rFonts w:cs="Arial"/>
          <w:sz w:val="20"/>
          <w:szCs w:val="20"/>
        </w:rPr>
        <w:t>vse pravne ovire za vstop na upoštevne trge, na primer dovoljenje vlade, določanje standardov, ovire, ki so posledica postopkov certifikacije proizvodov, zahteve po dokazih o preteklem poslovanju, priporočilih;</w:t>
      </w:r>
    </w:p>
    <w:p w:rsidR="00736A33" w:rsidRPr="002F30DF" w:rsidRDefault="00736A33" w:rsidP="00736A33">
      <w:pPr>
        <w:widowControl w:val="0"/>
        <w:numPr>
          <w:ilvl w:val="0"/>
          <w:numId w:val="120"/>
        </w:numPr>
        <w:suppressAutoHyphens/>
        <w:overflowPunct/>
        <w:autoSpaceDE/>
        <w:autoSpaceDN/>
        <w:adjustRightInd/>
        <w:spacing w:after="120"/>
        <w:textAlignment w:val="auto"/>
        <w:rPr>
          <w:rFonts w:cs="Arial"/>
          <w:sz w:val="20"/>
          <w:szCs w:val="20"/>
        </w:rPr>
      </w:pPr>
      <w:r w:rsidRPr="002F30DF">
        <w:rPr>
          <w:rFonts w:cs="Arial"/>
          <w:sz w:val="20"/>
          <w:szCs w:val="20"/>
        </w:rPr>
        <w:t>omejitve zaradi obstoja patentov, znanja in izkušenj ter drugih pravic intelektualne lastnine na teh upoštevnih trgih ter morebitne omejitve, ki jih povzroča prenos takih pravic;</w:t>
      </w:r>
    </w:p>
    <w:p w:rsidR="00736A33" w:rsidRPr="002F30DF" w:rsidRDefault="00736A33" w:rsidP="00736A33">
      <w:pPr>
        <w:widowControl w:val="0"/>
        <w:numPr>
          <w:ilvl w:val="0"/>
          <w:numId w:val="120"/>
        </w:numPr>
        <w:suppressAutoHyphens/>
        <w:overflowPunct/>
        <w:autoSpaceDE/>
        <w:autoSpaceDN/>
        <w:adjustRightInd/>
        <w:spacing w:after="120"/>
        <w:textAlignment w:val="auto"/>
        <w:rPr>
          <w:rFonts w:cs="Arial"/>
          <w:sz w:val="20"/>
          <w:szCs w:val="20"/>
        </w:rPr>
      </w:pPr>
      <w:r w:rsidRPr="002F30DF">
        <w:rPr>
          <w:rFonts w:cs="Arial"/>
          <w:sz w:val="20"/>
          <w:szCs w:val="20"/>
        </w:rPr>
        <w:t>obseg, v katerem je vsako od v koncentraciji udeleženih podjetij ali drugih podjetij v skupini imetnik, dajalec ali pridobitelj licence za patent, znanje in izkušnje ter drugih pravic industrijske lastnine na upoštevnih trgih;</w:t>
      </w:r>
    </w:p>
    <w:p w:rsidR="00736A33" w:rsidRPr="002F30DF" w:rsidRDefault="00736A33" w:rsidP="00736A33">
      <w:pPr>
        <w:widowControl w:val="0"/>
        <w:numPr>
          <w:ilvl w:val="0"/>
          <w:numId w:val="120"/>
        </w:numPr>
        <w:suppressAutoHyphens/>
        <w:overflowPunct/>
        <w:autoSpaceDE/>
        <w:autoSpaceDN/>
        <w:adjustRightInd/>
        <w:spacing w:after="120"/>
        <w:textAlignment w:val="auto"/>
        <w:rPr>
          <w:rFonts w:cs="Arial"/>
          <w:sz w:val="20"/>
          <w:szCs w:val="20"/>
        </w:rPr>
      </w:pPr>
      <w:r w:rsidRPr="002F30DF">
        <w:rPr>
          <w:rFonts w:cs="Arial"/>
          <w:sz w:val="20"/>
          <w:szCs w:val="20"/>
        </w:rPr>
        <w:t>pomen ekonomije obsega za proizvodnjo ali distribucijo na upoštevnih trgih;</w:t>
      </w:r>
    </w:p>
    <w:p w:rsidR="00736A33" w:rsidRPr="002F30DF" w:rsidRDefault="00736A33" w:rsidP="00736A33">
      <w:pPr>
        <w:widowControl w:val="0"/>
        <w:numPr>
          <w:ilvl w:val="0"/>
          <w:numId w:val="120"/>
        </w:numPr>
        <w:suppressAutoHyphens/>
        <w:overflowPunct/>
        <w:autoSpaceDE/>
        <w:autoSpaceDN/>
        <w:adjustRightInd/>
        <w:textAlignment w:val="auto"/>
        <w:rPr>
          <w:rFonts w:cs="Arial"/>
          <w:sz w:val="20"/>
          <w:szCs w:val="20"/>
        </w:rPr>
      </w:pPr>
      <w:r w:rsidRPr="002F30DF">
        <w:rPr>
          <w:rFonts w:cs="Arial"/>
          <w:sz w:val="20"/>
          <w:szCs w:val="20"/>
        </w:rPr>
        <w:t>dostop do virov nabave (na primer razpoložljivost surovin, ustrezne tehnologije in potrebna infrastruktura).</w:t>
      </w:r>
    </w:p>
    <w:p w:rsidR="00736A33" w:rsidRPr="002F30DF" w:rsidRDefault="00736A33" w:rsidP="00736A33">
      <w:pPr>
        <w:rPr>
          <w:rFonts w:cs="Arial"/>
          <w:sz w:val="20"/>
          <w:szCs w:val="20"/>
        </w:rPr>
      </w:pPr>
    </w:p>
    <w:p w:rsidR="00736A33" w:rsidRPr="002F30DF" w:rsidRDefault="00736A33" w:rsidP="00736A33">
      <w:pPr>
        <w:pStyle w:val="Naslov3"/>
        <w:keepNext w:val="0"/>
        <w:keepLines w:val="0"/>
        <w:widowControl w:val="0"/>
        <w:numPr>
          <w:ilvl w:val="2"/>
          <w:numId w:val="114"/>
        </w:numPr>
        <w:suppressAutoHyphens/>
        <w:spacing w:before="240" w:after="120" w:line="240" w:lineRule="auto"/>
        <w:jc w:val="both"/>
        <w:rPr>
          <w:rFonts w:ascii="Arial" w:hAnsi="Arial" w:cs="Arial"/>
        </w:rPr>
      </w:pPr>
      <w:r w:rsidRPr="002F30DF">
        <w:rPr>
          <w:rFonts w:ascii="Arial" w:hAnsi="Arial" w:cs="Arial"/>
        </w:rPr>
        <w:t>Raziskave in razvoj</w:t>
      </w:r>
    </w:p>
    <w:p w:rsidR="00736A33" w:rsidRPr="002F30DF" w:rsidRDefault="00736A33" w:rsidP="00736A33">
      <w:pPr>
        <w:shd w:val="clear" w:color="auto" w:fill="FFFFFF"/>
        <w:spacing w:after="120"/>
        <w:ind w:right="50"/>
        <w:rPr>
          <w:rFonts w:eastAsia="Arial" w:cs="Arial"/>
          <w:spacing w:val="-3"/>
          <w:sz w:val="20"/>
          <w:szCs w:val="20"/>
        </w:rPr>
      </w:pPr>
      <w:r w:rsidRPr="002F30DF">
        <w:rPr>
          <w:rFonts w:cs="Arial"/>
          <w:spacing w:val="2"/>
          <w:sz w:val="20"/>
          <w:szCs w:val="20"/>
        </w:rPr>
        <w:t>Opi</w:t>
      </w:r>
      <w:r w:rsidRPr="002F30DF">
        <w:rPr>
          <w:rFonts w:eastAsia="Arial" w:cs="Arial"/>
          <w:spacing w:val="2"/>
          <w:sz w:val="20"/>
          <w:szCs w:val="20"/>
        </w:rPr>
        <w:t xml:space="preserve">šite pomen raziskav in razvoja z vidika sposobnosti podjetja, ki posluje na upoštevnih </w:t>
      </w:r>
      <w:r w:rsidRPr="002F30DF">
        <w:rPr>
          <w:rFonts w:eastAsia="Arial" w:cs="Arial"/>
          <w:spacing w:val="-1"/>
          <w:sz w:val="20"/>
          <w:szCs w:val="20"/>
        </w:rPr>
        <w:t xml:space="preserve">trgih, da konkurira dolgoročno. Razložite naravo raziskav in razvoja, ki jih na upoštevnih trgih opravljajo v koncentraciji udeležena podjetja ali druga podjetja v skupini. Pri tem po potrebi </w:t>
      </w:r>
      <w:r w:rsidRPr="002F30DF">
        <w:rPr>
          <w:rFonts w:eastAsia="Arial" w:cs="Arial"/>
          <w:spacing w:val="-3"/>
          <w:sz w:val="20"/>
          <w:szCs w:val="20"/>
        </w:rPr>
        <w:t>upoštevajte:</w:t>
      </w:r>
    </w:p>
    <w:p w:rsidR="00736A33" w:rsidRPr="002F30DF" w:rsidRDefault="00736A33" w:rsidP="00736A33">
      <w:pPr>
        <w:widowControl w:val="0"/>
        <w:numPr>
          <w:ilvl w:val="0"/>
          <w:numId w:val="121"/>
        </w:numPr>
        <w:suppressAutoHyphens/>
        <w:overflowPunct/>
        <w:autoSpaceDE/>
        <w:autoSpaceDN/>
        <w:adjustRightInd/>
        <w:spacing w:after="120"/>
        <w:textAlignment w:val="auto"/>
        <w:rPr>
          <w:rFonts w:cs="Arial"/>
          <w:sz w:val="20"/>
          <w:szCs w:val="20"/>
        </w:rPr>
      </w:pPr>
      <w:r w:rsidRPr="002F30DF">
        <w:rPr>
          <w:rFonts w:cs="Arial"/>
          <w:sz w:val="20"/>
          <w:szCs w:val="20"/>
        </w:rPr>
        <w:t>smer razvoja in intenzivnost raziskav in razvoja (intenzivnost raziskav in razvoja je opredeljena kot delež za raziskave in razvoj v skupnem prometu v koncentraciji udeleženih podjetij skupaj z drugimi podjetji v skupini) na teh trgih ter za v koncentraciji udeležena podjetja ali druga podjetja v skupini;</w:t>
      </w:r>
    </w:p>
    <w:p w:rsidR="00736A33" w:rsidRPr="002F30DF" w:rsidRDefault="00736A33" w:rsidP="00736A33">
      <w:pPr>
        <w:widowControl w:val="0"/>
        <w:numPr>
          <w:ilvl w:val="0"/>
          <w:numId w:val="121"/>
        </w:numPr>
        <w:suppressAutoHyphens/>
        <w:overflowPunct/>
        <w:autoSpaceDE/>
        <w:autoSpaceDN/>
        <w:adjustRightInd/>
        <w:spacing w:after="120"/>
        <w:textAlignment w:val="auto"/>
        <w:rPr>
          <w:rFonts w:cs="Arial"/>
          <w:sz w:val="20"/>
          <w:szCs w:val="20"/>
        </w:rPr>
      </w:pPr>
      <w:r w:rsidRPr="002F30DF">
        <w:rPr>
          <w:rFonts w:cs="Arial"/>
          <w:sz w:val="20"/>
          <w:szCs w:val="20"/>
        </w:rPr>
        <w:t>potek tehnološkega razvoja za te trge v ustreznem časovnem obdobju (vključno z razvijanjem proizvodov in/ali storitev, proizvodnih postopkov, distribucijskih sistemov ipd.);</w:t>
      </w:r>
    </w:p>
    <w:p w:rsidR="00736A33" w:rsidRPr="002F30DF" w:rsidRDefault="00736A33" w:rsidP="00736A33">
      <w:pPr>
        <w:widowControl w:val="0"/>
        <w:numPr>
          <w:ilvl w:val="0"/>
          <w:numId w:val="121"/>
        </w:numPr>
        <w:suppressAutoHyphens/>
        <w:overflowPunct/>
        <w:autoSpaceDE/>
        <w:autoSpaceDN/>
        <w:adjustRightInd/>
        <w:spacing w:after="120"/>
        <w:textAlignment w:val="auto"/>
        <w:rPr>
          <w:rFonts w:cs="Arial"/>
          <w:sz w:val="20"/>
          <w:szCs w:val="20"/>
        </w:rPr>
      </w:pPr>
      <w:r w:rsidRPr="002F30DF">
        <w:rPr>
          <w:rFonts w:cs="Arial"/>
          <w:sz w:val="20"/>
          <w:szCs w:val="20"/>
        </w:rPr>
        <w:t>najpomembnejše inovacije na upoštevnih trgih ter podjetja, ki so nosilna pri inovacijah;</w:t>
      </w:r>
    </w:p>
    <w:p w:rsidR="00736A33" w:rsidRPr="002F30DF" w:rsidRDefault="00736A33" w:rsidP="00736A33">
      <w:pPr>
        <w:widowControl w:val="0"/>
        <w:numPr>
          <w:ilvl w:val="0"/>
          <w:numId w:val="121"/>
        </w:numPr>
        <w:suppressAutoHyphens/>
        <w:overflowPunct/>
        <w:autoSpaceDE/>
        <w:autoSpaceDN/>
        <w:adjustRightInd/>
        <w:textAlignment w:val="auto"/>
        <w:rPr>
          <w:rFonts w:cs="Arial"/>
          <w:sz w:val="20"/>
          <w:szCs w:val="20"/>
        </w:rPr>
      </w:pPr>
      <w:r w:rsidRPr="002F30DF">
        <w:rPr>
          <w:rFonts w:cs="Arial"/>
          <w:sz w:val="20"/>
          <w:szCs w:val="20"/>
        </w:rPr>
        <w:t>inovacijski cikel na upoštevnih trgih in na kateri stopnji cikla so v koncentraciji udeležena podjetja ali druga podjetja v skupini.</w:t>
      </w:r>
    </w:p>
    <w:p w:rsidR="00736A33" w:rsidRPr="002F30DF" w:rsidRDefault="00736A33" w:rsidP="00736A33">
      <w:pPr>
        <w:shd w:val="clear" w:color="auto" w:fill="FFFFFF"/>
        <w:tabs>
          <w:tab w:val="left" w:pos="1426"/>
        </w:tabs>
        <w:rPr>
          <w:rFonts w:cs="Arial"/>
          <w:sz w:val="20"/>
          <w:szCs w:val="20"/>
        </w:rPr>
      </w:pPr>
    </w:p>
    <w:p w:rsidR="00736A33" w:rsidRPr="002F30DF" w:rsidRDefault="00736A33" w:rsidP="00736A33">
      <w:pPr>
        <w:pStyle w:val="Naslov3"/>
        <w:keepNext w:val="0"/>
        <w:keepLines w:val="0"/>
        <w:widowControl w:val="0"/>
        <w:numPr>
          <w:ilvl w:val="2"/>
          <w:numId w:val="114"/>
        </w:numPr>
        <w:suppressAutoHyphens/>
        <w:spacing w:before="240" w:after="120" w:line="240" w:lineRule="auto"/>
        <w:jc w:val="both"/>
        <w:rPr>
          <w:rFonts w:ascii="Arial" w:hAnsi="Arial" w:cs="Arial"/>
        </w:rPr>
      </w:pPr>
      <w:r w:rsidRPr="002F30DF">
        <w:rPr>
          <w:rFonts w:ascii="Arial" w:hAnsi="Arial" w:cs="Arial"/>
        </w:rPr>
        <w:t>Sporazumi o sodelovanju</w:t>
      </w:r>
    </w:p>
    <w:p w:rsidR="00736A33" w:rsidRPr="002F30DF" w:rsidRDefault="00736A33" w:rsidP="00736A33">
      <w:pPr>
        <w:pStyle w:val="Naslov4"/>
        <w:keepNext/>
        <w:framePr w:vSpace="0" w:wrap="auto" w:vAnchor="margin" w:hAnchor="text" w:xAlign="left" w:yAlign="inline"/>
        <w:widowControl w:val="0"/>
        <w:numPr>
          <w:ilvl w:val="3"/>
          <w:numId w:val="114"/>
        </w:numPr>
        <w:suppressAutoHyphens/>
        <w:spacing w:before="240" w:beforeAutospacing="0" w:after="60" w:afterAutospacing="0"/>
        <w:ind w:left="851" w:hanging="851"/>
        <w:jc w:val="both"/>
        <w:rPr>
          <w:color w:val="auto"/>
          <w:sz w:val="20"/>
          <w:szCs w:val="20"/>
        </w:rPr>
      </w:pPr>
      <w:r w:rsidRPr="002F30DF">
        <w:rPr>
          <w:color w:val="auto"/>
          <w:sz w:val="20"/>
          <w:szCs w:val="20"/>
        </w:rPr>
        <w:lastRenderedPageBreak/>
        <w:t>V kakšnem obsegu obstajajo na upoštevnih trgih sporazumi o sodelovanju (horizontalni, vertikalni ali drugi)</w:t>
      </w:r>
    </w:p>
    <w:p w:rsidR="00736A33" w:rsidRPr="002F30DF" w:rsidRDefault="00736A33" w:rsidP="00736A33">
      <w:pPr>
        <w:pStyle w:val="Naslov4"/>
        <w:keepNext/>
        <w:framePr w:vSpace="0" w:wrap="auto" w:vAnchor="margin" w:hAnchor="text" w:xAlign="left" w:yAlign="inline"/>
        <w:widowControl w:val="0"/>
        <w:numPr>
          <w:ilvl w:val="3"/>
          <w:numId w:val="114"/>
        </w:numPr>
        <w:suppressAutoHyphens/>
        <w:spacing w:before="240" w:beforeAutospacing="0" w:after="60" w:afterAutospacing="0"/>
        <w:ind w:left="851" w:hanging="851"/>
        <w:jc w:val="both"/>
        <w:rPr>
          <w:color w:val="auto"/>
          <w:sz w:val="20"/>
          <w:szCs w:val="20"/>
        </w:rPr>
      </w:pPr>
      <w:r w:rsidRPr="002F30DF">
        <w:rPr>
          <w:color w:val="auto"/>
          <w:sz w:val="20"/>
          <w:szCs w:val="20"/>
        </w:rPr>
        <w:t>Navedite najpomembnejše sporazume o sodelovanju, v katere so vključena v koncentraciji udeležena podjetja ali druga podjetja v skupini na upoštevnih trgih (na primer sporazumi o raziskavah in razvoju, licenciranju, skupni proizvodnji, specializaciji, distribuciji, dolgoročni dobavi in izmenjavi podatkov).</w:t>
      </w:r>
    </w:p>
    <w:p w:rsidR="00736A33" w:rsidRPr="002F30DF" w:rsidRDefault="00736A33" w:rsidP="00736A33">
      <w:pPr>
        <w:pStyle w:val="Naslov3"/>
        <w:keepLines w:val="0"/>
        <w:widowControl w:val="0"/>
        <w:numPr>
          <w:ilvl w:val="2"/>
          <w:numId w:val="114"/>
        </w:numPr>
        <w:suppressAutoHyphens/>
        <w:spacing w:before="240" w:after="120" w:line="240" w:lineRule="auto"/>
        <w:jc w:val="both"/>
        <w:rPr>
          <w:rFonts w:ascii="Arial" w:hAnsi="Arial" w:cs="Arial"/>
        </w:rPr>
      </w:pPr>
      <w:r w:rsidRPr="002F30DF">
        <w:rPr>
          <w:rFonts w:ascii="Arial" w:hAnsi="Arial" w:cs="Arial"/>
        </w:rPr>
        <w:t>Podjetniška združenja</w:t>
      </w:r>
    </w:p>
    <w:p w:rsidR="00736A33" w:rsidRPr="002F30DF" w:rsidRDefault="00736A33" w:rsidP="00736A33">
      <w:pPr>
        <w:pStyle w:val="Naslov4"/>
        <w:keepNext/>
        <w:framePr w:vSpace="0" w:wrap="auto" w:vAnchor="margin" w:hAnchor="text" w:xAlign="left" w:yAlign="inline"/>
        <w:widowControl w:val="0"/>
        <w:numPr>
          <w:ilvl w:val="3"/>
          <w:numId w:val="114"/>
        </w:numPr>
        <w:suppressAutoHyphens/>
        <w:spacing w:before="240" w:beforeAutospacing="0" w:after="60" w:afterAutospacing="0"/>
        <w:ind w:left="851" w:hanging="851"/>
        <w:jc w:val="both"/>
        <w:rPr>
          <w:color w:val="auto"/>
          <w:sz w:val="20"/>
          <w:szCs w:val="20"/>
        </w:rPr>
      </w:pPr>
      <w:r w:rsidRPr="002F30DF">
        <w:rPr>
          <w:color w:val="auto"/>
          <w:sz w:val="20"/>
          <w:szCs w:val="20"/>
        </w:rPr>
        <w:t>V zvezi s podjetniškimi združenji, ki delujejo na upoštevnih trgih, navedite:</w:t>
      </w:r>
    </w:p>
    <w:p w:rsidR="00736A33" w:rsidRPr="002F30DF" w:rsidRDefault="00736A33" w:rsidP="00736A33">
      <w:pPr>
        <w:widowControl w:val="0"/>
        <w:numPr>
          <w:ilvl w:val="0"/>
          <w:numId w:val="122"/>
        </w:numPr>
        <w:suppressAutoHyphens/>
        <w:overflowPunct/>
        <w:autoSpaceDE/>
        <w:autoSpaceDN/>
        <w:adjustRightInd/>
        <w:textAlignment w:val="auto"/>
        <w:rPr>
          <w:rFonts w:cs="Arial"/>
          <w:spacing w:val="4"/>
          <w:sz w:val="20"/>
          <w:szCs w:val="20"/>
        </w:rPr>
      </w:pPr>
      <w:r w:rsidRPr="002F30DF">
        <w:rPr>
          <w:rFonts w:cs="Arial"/>
          <w:sz w:val="20"/>
          <w:szCs w:val="20"/>
        </w:rPr>
        <w:t>podjetniška združenja, v katera so včlanjena v koncentraciji udeležena podjetja ali druga podjetja v skupini;</w:t>
      </w:r>
    </w:p>
    <w:p w:rsidR="00736A33" w:rsidRPr="002F30DF" w:rsidRDefault="00736A33" w:rsidP="00736A33">
      <w:pPr>
        <w:widowControl w:val="0"/>
        <w:numPr>
          <w:ilvl w:val="0"/>
          <w:numId w:val="122"/>
        </w:numPr>
        <w:suppressAutoHyphens/>
        <w:overflowPunct/>
        <w:autoSpaceDE/>
        <w:autoSpaceDN/>
        <w:adjustRightInd/>
        <w:textAlignment w:val="auto"/>
        <w:rPr>
          <w:rFonts w:cs="Arial"/>
          <w:spacing w:val="4"/>
          <w:sz w:val="20"/>
          <w:szCs w:val="20"/>
        </w:rPr>
      </w:pPr>
      <w:r w:rsidRPr="002F30DF">
        <w:rPr>
          <w:rFonts w:cs="Arial"/>
          <w:spacing w:val="7"/>
          <w:sz w:val="20"/>
          <w:szCs w:val="20"/>
        </w:rPr>
        <w:t>najpomembnej</w:t>
      </w:r>
      <w:r w:rsidRPr="002F30DF">
        <w:rPr>
          <w:rFonts w:eastAsia="Arial" w:cs="Arial"/>
          <w:spacing w:val="7"/>
          <w:sz w:val="20"/>
          <w:szCs w:val="20"/>
        </w:rPr>
        <w:t xml:space="preserve">ša podjetniška združenja, v katera so včlanjeni kupci in </w:t>
      </w:r>
      <w:r w:rsidRPr="002F30DF">
        <w:rPr>
          <w:rFonts w:eastAsia="Arial" w:cs="Arial"/>
          <w:spacing w:val="-1"/>
          <w:sz w:val="20"/>
          <w:szCs w:val="20"/>
        </w:rPr>
        <w:t>dobavitelji v koncentraciji udeleženih podjetij ali drugih podjetij v skupini.</w:t>
      </w:r>
    </w:p>
    <w:p w:rsidR="00736A33" w:rsidRPr="002F30DF" w:rsidRDefault="00736A33" w:rsidP="00736A33">
      <w:pPr>
        <w:widowControl w:val="0"/>
        <w:numPr>
          <w:ilvl w:val="0"/>
          <w:numId w:val="122"/>
        </w:numPr>
        <w:suppressAutoHyphens/>
        <w:overflowPunct/>
        <w:autoSpaceDE/>
        <w:autoSpaceDN/>
        <w:adjustRightInd/>
        <w:textAlignment w:val="auto"/>
        <w:rPr>
          <w:rFonts w:eastAsia="Arial" w:cs="Arial"/>
          <w:spacing w:val="-1"/>
          <w:sz w:val="20"/>
          <w:szCs w:val="20"/>
        </w:rPr>
      </w:pPr>
      <w:r w:rsidRPr="002F30DF">
        <w:rPr>
          <w:rFonts w:cs="Arial"/>
          <w:spacing w:val="4"/>
          <w:sz w:val="20"/>
          <w:szCs w:val="20"/>
        </w:rPr>
        <w:t xml:space="preserve">Navedite ime ali firmo, naslov oziroma poslovni naslov, </w:t>
      </w:r>
      <w:r w:rsidRPr="002F30DF">
        <w:rPr>
          <w:rFonts w:eastAsia="Arial" w:cs="Arial"/>
          <w:spacing w:val="4"/>
          <w:sz w:val="20"/>
          <w:szCs w:val="20"/>
        </w:rPr>
        <w:t xml:space="preserve">številko telefona ter </w:t>
      </w:r>
      <w:r w:rsidRPr="002F30DF">
        <w:rPr>
          <w:rFonts w:eastAsia="Arial" w:cs="Arial"/>
          <w:spacing w:val="-1"/>
          <w:sz w:val="20"/>
          <w:szCs w:val="20"/>
        </w:rPr>
        <w:t>elektronski naslov teh podjetniških združenj.</w:t>
      </w:r>
    </w:p>
    <w:p w:rsidR="00736A33" w:rsidRPr="002F30DF" w:rsidRDefault="00736A33" w:rsidP="00736A33">
      <w:pPr>
        <w:shd w:val="clear" w:color="auto" w:fill="FFFFFF"/>
        <w:ind w:left="130"/>
        <w:rPr>
          <w:rFonts w:cs="Arial"/>
          <w:sz w:val="20"/>
          <w:szCs w:val="20"/>
        </w:rPr>
      </w:pPr>
    </w:p>
    <w:p w:rsidR="00736A33" w:rsidRPr="002F30DF" w:rsidRDefault="00736A33" w:rsidP="00736A33">
      <w:pPr>
        <w:pStyle w:val="Naslov3"/>
        <w:keepLines w:val="0"/>
        <w:widowControl w:val="0"/>
        <w:numPr>
          <w:ilvl w:val="2"/>
          <w:numId w:val="114"/>
        </w:numPr>
        <w:suppressAutoHyphens/>
        <w:spacing w:before="240" w:after="120" w:line="240" w:lineRule="auto"/>
        <w:jc w:val="both"/>
        <w:rPr>
          <w:rFonts w:ascii="Arial" w:hAnsi="Arial" w:cs="Arial"/>
        </w:rPr>
      </w:pPr>
      <w:r w:rsidRPr="002F30DF">
        <w:rPr>
          <w:rFonts w:ascii="Arial" w:hAnsi="Arial" w:cs="Arial"/>
        </w:rPr>
        <w:t xml:space="preserve"> Razmere na upoštevnih trgih in povečanje učinkovitosti</w:t>
      </w:r>
    </w:p>
    <w:p w:rsidR="00736A33" w:rsidRPr="002F30DF" w:rsidRDefault="00736A33" w:rsidP="00736A33">
      <w:pPr>
        <w:pStyle w:val="Naslov4"/>
        <w:keepNext/>
        <w:framePr w:vSpace="0" w:wrap="auto" w:vAnchor="margin" w:hAnchor="text" w:xAlign="left" w:yAlign="inline"/>
        <w:widowControl w:val="0"/>
        <w:numPr>
          <w:ilvl w:val="3"/>
          <w:numId w:val="114"/>
        </w:numPr>
        <w:suppressAutoHyphens/>
        <w:spacing w:before="240" w:beforeAutospacing="0" w:after="60" w:afterAutospacing="0"/>
        <w:ind w:left="851" w:hanging="851"/>
        <w:jc w:val="both"/>
        <w:rPr>
          <w:color w:val="auto"/>
          <w:sz w:val="20"/>
          <w:szCs w:val="20"/>
        </w:rPr>
      </w:pPr>
      <w:r w:rsidRPr="002F30DF">
        <w:rPr>
          <w:color w:val="auto"/>
          <w:sz w:val="20"/>
          <w:szCs w:val="20"/>
        </w:rPr>
        <w:t>Opišite, kako bi predlagana koncentracija vplivala na interese vmesnih in končnih potrošnikov ter na tehnološki in gospodarski napredek.</w:t>
      </w:r>
    </w:p>
    <w:p w:rsidR="00736A33" w:rsidRPr="002F30DF" w:rsidRDefault="00736A33" w:rsidP="00736A33">
      <w:pPr>
        <w:pStyle w:val="Naslov4"/>
        <w:keepNext/>
        <w:framePr w:vSpace="0" w:wrap="auto" w:vAnchor="margin" w:hAnchor="text" w:xAlign="left" w:yAlign="inline"/>
        <w:widowControl w:val="0"/>
        <w:numPr>
          <w:ilvl w:val="3"/>
          <w:numId w:val="114"/>
        </w:numPr>
        <w:suppressAutoHyphens/>
        <w:spacing w:before="240" w:beforeAutospacing="0" w:after="60" w:afterAutospacing="0"/>
        <w:jc w:val="both"/>
        <w:rPr>
          <w:color w:val="auto"/>
          <w:sz w:val="20"/>
          <w:szCs w:val="20"/>
        </w:rPr>
      </w:pPr>
      <w:r w:rsidRPr="002F30DF">
        <w:rPr>
          <w:color w:val="auto"/>
          <w:sz w:val="20"/>
          <w:szCs w:val="20"/>
        </w:rPr>
        <w:t>Če se sklicujete na povečanje učinkovitosti, ki ga ustvarja koncentracija, t.j., da bi učinkovitost, ki jo ustvarja koncentracija, verjetno povečala sposobnost in spodbudila nov subjekt, da bi ravnal prokonkurenčno v korist potrošnikov, predložite opis vsakega povečanja učinkovitosti in dodatne dokumente, povezane z njim (med drugim tudi glede prihrankov pri stroških, uvedbe novih proizvodov in izboljšave storitev ali proizvodov, ki bo posledica predlagane koncentracije, za vsak posamezen proizvod).</w:t>
      </w:r>
    </w:p>
    <w:p w:rsidR="00736A33" w:rsidRPr="002F30DF" w:rsidRDefault="00736A33" w:rsidP="00736A33">
      <w:pPr>
        <w:shd w:val="clear" w:color="auto" w:fill="FFFFFF"/>
        <w:ind w:firstLine="720"/>
        <w:rPr>
          <w:rFonts w:cs="Arial"/>
          <w:spacing w:val="4"/>
          <w:sz w:val="20"/>
          <w:szCs w:val="20"/>
        </w:rPr>
      </w:pPr>
    </w:p>
    <w:p w:rsidR="00736A33" w:rsidRPr="002F30DF" w:rsidRDefault="00736A33" w:rsidP="00736A33">
      <w:pPr>
        <w:shd w:val="clear" w:color="auto" w:fill="FFFFFF"/>
        <w:spacing w:after="120"/>
        <w:ind w:firstLine="720"/>
        <w:rPr>
          <w:rFonts w:cs="Arial"/>
          <w:spacing w:val="4"/>
          <w:sz w:val="20"/>
          <w:szCs w:val="20"/>
        </w:rPr>
      </w:pPr>
      <w:r w:rsidRPr="002F30DF">
        <w:rPr>
          <w:rFonts w:cs="Arial"/>
          <w:spacing w:val="4"/>
          <w:sz w:val="20"/>
          <w:szCs w:val="20"/>
        </w:rPr>
        <w:t>Za vsako navedeno povečanje učinkovitosti navedite:</w:t>
      </w:r>
    </w:p>
    <w:p w:rsidR="00736A33" w:rsidRPr="002F30DF" w:rsidRDefault="00736A33" w:rsidP="00736A33">
      <w:pPr>
        <w:widowControl w:val="0"/>
        <w:numPr>
          <w:ilvl w:val="0"/>
          <w:numId w:val="123"/>
        </w:numPr>
        <w:suppressAutoHyphens/>
        <w:overflowPunct/>
        <w:autoSpaceDE/>
        <w:autoSpaceDN/>
        <w:adjustRightInd/>
        <w:spacing w:after="120"/>
        <w:textAlignment w:val="auto"/>
        <w:rPr>
          <w:rFonts w:cs="Arial"/>
          <w:spacing w:val="3"/>
          <w:sz w:val="20"/>
          <w:szCs w:val="20"/>
        </w:rPr>
      </w:pPr>
      <w:r w:rsidRPr="002F30DF">
        <w:rPr>
          <w:rFonts w:cs="Arial"/>
          <w:spacing w:val="2"/>
          <w:sz w:val="20"/>
          <w:szCs w:val="20"/>
        </w:rPr>
        <w:t xml:space="preserve">podrobno obrazložitev, kako bo predlagana koncentracija omogočila novemu </w:t>
      </w:r>
      <w:r w:rsidRPr="002F30DF">
        <w:rPr>
          <w:rFonts w:cs="Arial"/>
          <w:sz w:val="20"/>
          <w:szCs w:val="20"/>
        </w:rPr>
        <w:t xml:space="preserve">subjektu, da bo dosegel povečanje učinkovitosti. Podrobno navedite ukrepe, ki jih v koncentraciji udeležena podjetja nameravajo sprejeti za povečanje </w:t>
      </w:r>
      <w:r w:rsidRPr="002F30DF">
        <w:rPr>
          <w:rFonts w:cs="Arial"/>
          <w:spacing w:val="-1"/>
          <w:sz w:val="20"/>
          <w:szCs w:val="20"/>
        </w:rPr>
        <w:t xml:space="preserve">učinkovitosti, tveganja, ki so povezana s tem, in </w:t>
      </w:r>
      <w:r w:rsidRPr="002F30DF">
        <w:rPr>
          <w:rFonts w:cs="Arial"/>
          <w:spacing w:val="-1"/>
          <w:sz w:val="20"/>
          <w:szCs w:val="20"/>
        </w:rPr>
        <w:lastRenderedPageBreak/>
        <w:t>potreben čas ter stroške;</w:t>
      </w:r>
    </w:p>
    <w:p w:rsidR="00736A33" w:rsidRPr="002F30DF" w:rsidRDefault="00736A33" w:rsidP="00736A33">
      <w:pPr>
        <w:widowControl w:val="0"/>
        <w:numPr>
          <w:ilvl w:val="0"/>
          <w:numId w:val="123"/>
        </w:numPr>
        <w:suppressAutoHyphens/>
        <w:overflowPunct/>
        <w:autoSpaceDE/>
        <w:autoSpaceDN/>
        <w:adjustRightInd/>
        <w:spacing w:after="120"/>
        <w:textAlignment w:val="auto"/>
        <w:rPr>
          <w:rFonts w:cs="Arial"/>
          <w:spacing w:val="2"/>
          <w:sz w:val="20"/>
          <w:szCs w:val="20"/>
        </w:rPr>
      </w:pPr>
      <w:r w:rsidRPr="002F30DF">
        <w:rPr>
          <w:rFonts w:cs="Arial"/>
          <w:spacing w:val="3"/>
          <w:sz w:val="20"/>
          <w:szCs w:val="20"/>
        </w:rPr>
        <w:t xml:space="preserve">če je mogoče, količinsko opredelitev povečanja učinkovitosti in podrobno </w:t>
      </w:r>
      <w:r w:rsidRPr="002F30DF">
        <w:rPr>
          <w:rFonts w:cs="Arial"/>
          <w:spacing w:val="2"/>
          <w:sz w:val="20"/>
          <w:szCs w:val="20"/>
        </w:rPr>
        <w:t xml:space="preserve">obrazložitev izračuna količinske opredelitve. Kadar je pomembno, pošljite tudi </w:t>
      </w:r>
      <w:r w:rsidRPr="002F30DF">
        <w:rPr>
          <w:rFonts w:cs="Arial"/>
          <w:sz w:val="20"/>
          <w:szCs w:val="20"/>
        </w:rPr>
        <w:t xml:space="preserve">oceno o pomembnosti povečanja učinkovitosti glede uvedbe novih proizvodov ali izboljšanja kakovosti. Za povečanje učinkovitosti, ki je povezano s prihranki pri stroških, posebej navedite enkratni prihranek pri fiksnih stroških, ponavljajoče se prihranke pri fiksnih stroških in prihranke pri variabilnih stroških </w:t>
      </w:r>
      <w:r w:rsidRPr="002F30DF">
        <w:rPr>
          <w:rFonts w:cs="Arial"/>
          <w:spacing w:val="-1"/>
          <w:sz w:val="20"/>
          <w:szCs w:val="20"/>
        </w:rPr>
        <w:t>(v eurih na enoto in eurih na leto);</w:t>
      </w:r>
    </w:p>
    <w:p w:rsidR="00736A33" w:rsidRPr="002F30DF" w:rsidRDefault="00736A33" w:rsidP="00736A33">
      <w:pPr>
        <w:widowControl w:val="0"/>
        <w:numPr>
          <w:ilvl w:val="0"/>
          <w:numId w:val="123"/>
        </w:numPr>
        <w:suppressAutoHyphens/>
        <w:overflowPunct/>
        <w:autoSpaceDE/>
        <w:autoSpaceDN/>
        <w:adjustRightInd/>
        <w:spacing w:after="120"/>
        <w:textAlignment w:val="auto"/>
        <w:rPr>
          <w:rFonts w:cs="Arial"/>
          <w:spacing w:val="4"/>
          <w:sz w:val="20"/>
          <w:szCs w:val="20"/>
        </w:rPr>
      </w:pPr>
      <w:r w:rsidRPr="002F30DF">
        <w:rPr>
          <w:rFonts w:cs="Arial"/>
          <w:spacing w:val="2"/>
          <w:sz w:val="20"/>
          <w:szCs w:val="20"/>
        </w:rPr>
        <w:t xml:space="preserve">obseg verjetnih koristi povečanja učinkovitosti za potrošnike in podrobno </w:t>
      </w:r>
      <w:r w:rsidRPr="002F30DF">
        <w:rPr>
          <w:rFonts w:cs="Arial"/>
          <w:spacing w:val="-1"/>
          <w:sz w:val="20"/>
          <w:szCs w:val="20"/>
        </w:rPr>
        <w:t>obrazložitev, kako ste to ugotovili;</w:t>
      </w:r>
    </w:p>
    <w:p w:rsidR="00736A33" w:rsidRPr="002F30DF" w:rsidRDefault="00736A33" w:rsidP="00736A33">
      <w:pPr>
        <w:widowControl w:val="0"/>
        <w:numPr>
          <w:ilvl w:val="0"/>
          <w:numId w:val="123"/>
        </w:numPr>
        <w:suppressAutoHyphens/>
        <w:overflowPunct/>
        <w:autoSpaceDE/>
        <w:autoSpaceDN/>
        <w:adjustRightInd/>
        <w:textAlignment w:val="auto"/>
        <w:rPr>
          <w:rFonts w:cs="Arial"/>
          <w:spacing w:val="-3"/>
          <w:sz w:val="20"/>
          <w:szCs w:val="20"/>
        </w:rPr>
      </w:pPr>
      <w:r w:rsidRPr="002F30DF">
        <w:rPr>
          <w:rFonts w:cs="Arial"/>
          <w:spacing w:val="4"/>
          <w:sz w:val="20"/>
          <w:szCs w:val="20"/>
        </w:rPr>
        <w:t xml:space="preserve">razlog, zaradi katerega v koncentraciji udeležena podjetja ne morejo doseči </w:t>
      </w:r>
      <w:r w:rsidRPr="002F30DF">
        <w:rPr>
          <w:rFonts w:cs="Arial"/>
          <w:spacing w:val="-1"/>
          <w:sz w:val="20"/>
          <w:szCs w:val="20"/>
        </w:rPr>
        <w:t xml:space="preserve">povečanja učinkovitosti v podobnem obsegu drugače kot s predlagano </w:t>
      </w:r>
      <w:r w:rsidRPr="002F30DF">
        <w:rPr>
          <w:rFonts w:cs="Arial"/>
          <w:spacing w:val="4"/>
          <w:sz w:val="20"/>
          <w:szCs w:val="20"/>
        </w:rPr>
        <w:t xml:space="preserve">koncentracijo, in na način, za katerega bi bilo verjetno, da ni sporen z vidike </w:t>
      </w:r>
      <w:r w:rsidRPr="002F30DF">
        <w:rPr>
          <w:rFonts w:cs="Arial"/>
          <w:spacing w:val="-3"/>
          <w:sz w:val="20"/>
          <w:szCs w:val="20"/>
        </w:rPr>
        <w:t>konkurence.</w:t>
      </w:r>
    </w:p>
    <w:p w:rsidR="00736A33" w:rsidRPr="002F30DF" w:rsidRDefault="00736A33" w:rsidP="00736A33">
      <w:pPr>
        <w:pStyle w:val="Naslov1"/>
        <w:widowControl w:val="0"/>
        <w:numPr>
          <w:ilvl w:val="0"/>
          <w:numId w:val="114"/>
        </w:numPr>
        <w:suppressAutoHyphens/>
        <w:spacing w:before="480" w:after="360" w:line="240" w:lineRule="auto"/>
        <w:ind w:left="284" w:hanging="284"/>
        <w:jc w:val="both"/>
        <w:rPr>
          <w:rFonts w:cs="Arial"/>
          <w:sz w:val="20"/>
          <w:szCs w:val="20"/>
        </w:rPr>
      </w:pPr>
      <w:r w:rsidRPr="002F30DF">
        <w:rPr>
          <w:rFonts w:cs="Arial"/>
          <w:sz w:val="20"/>
          <w:szCs w:val="20"/>
        </w:rPr>
        <w:t>NUJNO POTREBNE POMOŽNE OMEJITVE PRI KONCENTRACIJAH</w:t>
      </w:r>
    </w:p>
    <w:p w:rsidR="00736A33" w:rsidRPr="002F30DF" w:rsidRDefault="00736A33" w:rsidP="00736A33">
      <w:pPr>
        <w:shd w:val="clear" w:color="auto" w:fill="FFFFFF"/>
        <w:ind w:right="122"/>
        <w:rPr>
          <w:rFonts w:eastAsia="Arial" w:cs="Arial"/>
          <w:spacing w:val="-2"/>
          <w:sz w:val="20"/>
          <w:szCs w:val="20"/>
        </w:rPr>
      </w:pPr>
      <w:r w:rsidRPr="002F30DF">
        <w:rPr>
          <w:rFonts w:cs="Arial"/>
          <w:spacing w:val="3"/>
          <w:sz w:val="20"/>
          <w:szCs w:val="20"/>
        </w:rPr>
        <w:t>Navedite posamezno vse pomo</w:t>
      </w:r>
      <w:r w:rsidRPr="002F30DF">
        <w:rPr>
          <w:rFonts w:eastAsia="Arial" w:cs="Arial"/>
          <w:spacing w:val="3"/>
          <w:sz w:val="20"/>
          <w:szCs w:val="20"/>
        </w:rPr>
        <w:t xml:space="preserve">žne omejitve v sporazumih, ki jih prilagate priglasitvi, za </w:t>
      </w:r>
      <w:r w:rsidRPr="002F30DF">
        <w:rPr>
          <w:rFonts w:eastAsia="Arial" w:cs="Arial"/>
          <w:spacing w:val="2"/>
          <w:sz w:val="20"/>
          <w:szCs w:val="20"/>
        </w:rPr>
        <w:t xml:space="preserve">katere prosite za oceno skupaj s koncentracijo, in pojasnite, zakaj so nujno potrebne za </w:t>
      </w:r>
      <w:r w:rsidRPr="002F30DF">
        <w:rPr>
          <w:rFonts w:eastAsia="Arial" w:cs="Arial"/>
          <w:spacing w:val="-2"/>
          <w:sz w:val="20"/>
          <w:szCs w:val="20"/>
        </w:rPr>
        <w:t>izvedbo koncentracije.</w:t>
      </w:r>
    </w:p>
    <w:p w:rsidR="00736A33" w:rsidRPr="002F30DF" w:rsidRDefault="00736A33" w:rsidP="00736A33">
      <w:pPr>
        <w:pStyle w:val="Naslov1"/>
        <w:widowControl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SKUPNO PODJETJE</w:t>
      </w:r>
    </w:p>
    <w:p w:rsidR="00736A33" w:rsidRPr="002F30DF" w:rsidRDefault="00736A33" w:rsidP="00736A33">
      <w:pPr>
        <w:pStyle w:val="Naslov2"/>
        <w:keepLines w:val="0"/>
        <w:widowControl w:val="0"/>
        <w:numPr>
          <w:ilvl w:val="1"/>
          <w:numId w:val="114"/>
        </w:numPr>
        <w:suppressAutoHyphens/>
        <w:spacing w:before="240" w:after="120" w:line="240" w:lineRule="auto"/>
        <w:ind w:left="284" w:hanging="284"/>
        <w:jc w:val="both"/>
        <w:rPr>
          <w:rFonts w:ascii="Arial" w:hAnsi="Arial" w:cs="Arial"/>
          <w:szCs w:val="20"/>
        </w:rPr>
      </w:pPr>
      <w:r w:rsidRPr="002F30DF">
        <w:rPr>
          <w:rFonts w:ascii="Arial" w:hAnsi="Arial" w:cs="Arial"/>
          <w:szCs w:val="20"/>
        </w:rPr>
        <w:t xml:space="preserve"> Ali dve ali več podjetij, ki ustanavljajo skupno podjetje, v precejšnjem obsegu ohranjajo dejavnost na istem upoštevnem trgu kot skupno podjetje ali na sosednji/vertikalno upoštevnem trgu, ki je z upoštevnim trgom skupnega podjetja vertikalno povezan ali je njegov sosednji trg?</w:t>
      </w:r>
    </w:p>
    <w:p w:rsidR="00736A33" w:rsidRPr="002F30DF" w:rsidRDefault="00736A33" w:rsidP="00736A33">
      <w:pPr>
        <w:shd w:val="clear" w:color="auto" w:fill="FFFFFF"/>
        <w:ind w:firstLine="578"/>
        <w:rPr>
          <w:rFonts w:cs="Arial"/>
          <w:spacing w:val="-3"/>
          <w:sz w:val="20"/>
          <w:szCs w:val="20"/>
        </w:rPr>
      </w:pPr>
      <w:r w:rsidRPr="002F30DF">
        <w:rPr>
          <w:rFonts w:eastAsia="Arial" w:cs="Arial"/>
          <w:spacing w:val="-1"/>
          <w:sz w:val="20"/>
          <w:szCs w:val="20"/>
        </w:rPr>
        <w:t>Če je odgovor pritrdilen, za vsakega od naštetih upoštevnih trgov navedite te podatke:</w:t>
      </w:r>
    </w:p>
    <w:p w:rsidR="00736A33" w:rsidRPr="002F30DF" w:rsidRDefault="00736A33" w:rsidP="00736A33">
      <w:pPr>
        <w:widowControl w:val="0"/>
        <w:numPr>
          <w:ilvl w:val="0"/>
          <w:numId w:val="124"/>
        </w:numPr>
        <w:suppressAutoHyphens/>
        <w:overflowPunct/>
        <w:autoSpaceDE/>
        <w:autoSpaceDN/>
        <w:adjustRightInd/>
        <w:textAlignment w:val="auto"/>
        <w:rPr>
          <w:rFonts w:cs="Arial"/>
          <w:spacing w:val="-1"/>
          <w:sz w:val="20"/>
          <w:szCs w:val="20"/>
        </w:rPr>
      </w:pPr>
      <w:r w:rsidRPr="002F30DF">
        <w:rPr>
          <w:rFonts w:cs="Arial"/>
          <w:sz w:val="20"/>
          <w:szCs w:val="20"/>
        </w:rPr>
        <w:t>letni promet vsakega podjetja, ki ustanavlja skupno podjetje, v prehodnem poslovnem letu;</w:t>
      </w:r>
    </w:p>
    <w:p w:rsidR="00736A33" w:rsidRPr="002F30DF" w:rsidRDefault="00736A33" w:rsidP="00736A33">
      <w:pPr>
        <w:widowControl w:val="0"/>
        <w:numPr>
          <w:ilvl w:val="0"/>
          <w:numId w:val="124"/>
        </w:numPr>
        <w:suppressAutoHyphens/>
        <w:overflowPunct/>
        <w:autoSpaceDE/>
        <w:autoSpaceDN/>
        <w:adjustRightInd/>
        <w:textAlignment w:val="auto"/>
        <w:rPr>
          <w:rFonts w:cs="Arial"/>
          <w:spacing w:val="-5"/>
          <w:sz w:val="20"/>
          <w:szCs w:val="20"/>
        </w:rPr>
      </w:pPr>
      <w:r w:rsidRPr="002F30DF">
        <w:rPr>
          <w:rFonts w:cs="Arial"/>
          <w:spacing w:val="-1"/>
          <w:sz w:val="20"/>
          <w:szCs w:val="20"/>
        </w:rPr>
        <w:t>gospodarski pomen dejavnosti skupnega podjetja glede na ta promet;</w:t>
      </w:r>
    </w:p>
    <w:p w:rsidR="00736A33" w:rsidRPr="002F30DF" w:rsidRDefault="00736A33" w:rsidP="00736A33">
      <w:pPr>
        <w:widowControl w:val="0"/>
        <w:numPr>
          <w:ilvl w:val="0"/>
          <w:numId w:val="124"/>
        </w:numPr>
        <w:suppressAutoHyphens/>
        <w:overflowPunct/>
        <w:autoSpaceDE/>
        <w:autoSpaceDN/>
        <w:adjustRightInd/>
        <w:textAlignment w:val="auto"/>
        <w:rPr>
          <w:rFonts w:cs="Arial"/>
          <w:spacing w:val="-7"/>
          <w:sz w:val="20"/>
          <w:szCs w:val="20"/>
        </w:rPr>
      </w:pPr>
      <w:r w:rsidRPr="002F30DF">
        <w:rPr>
          <w:rFonts w:cs="Arial"/>
          <w:spacing w:val="-2"/>
          <w:sz w:val="20"/>
          <w:szCs w:val="20"/>
        </w:rPr>
        <w:t>tr</w:t>
      </w:r>
      <w:r w:rsidRPr="002F30DF">
        <w:rPr>
          <w:rFonts w:eastAsia="Arial" w:cs="Arial"/>
          <w:spacing w:val="-2"/>
          <w:sz w:val="20"/>
          <w:szCs w:val="20"/>
        </w:rPr>
        <w:t xml:space="preserve">žni delež vsakega podjetja, ki ustanavlja skupno podjetje. </w:t>
      </w:r>
    </w:p>
    <w:p w:rsidR="00736A33" w:rsidRPr="002F30DF" w:rsidRDefault="00736A33" w:rsidP="00736A33">
      <w:pPr>
        <w:ind w:left="1080"/>
        <w:rPr>
          <w:rFonts w:cs="Arial"/>
          <w:spacing w:val="-7"/>
          <w:sz w:val="20"/>
          <w:szCs w:val="20"/>
        </w:rPr>
      </w:pPr>
    </w:p>
    <w:p w:rsidR="00736A33" w:rsidRPr="002F30DF" w:rsidRDefault="00736A33" w:rsidP="00736A33">
      <w:pPr>
        <w:ind w:firstLine="720"/>
        <w:rPr>
          <w:rFonts w:eastAsia="Arial" w:cs="Arial"/>
          <w:spacing w:val="-1"/>
          <w:sz w:val="20"/>
          <w:szCs w:val="20"/>
        </w:rPr>
      </w:pPr>
      <w:r w:rsidRPr="002F30DF">
        <w:rPr>
          <w:rFonts w:eastAsia="Arial" w:cs="Arial"/>
          <w:spacing w:val="-1"/>
          <w:sz w:val="20"/>
          <w:szCs w:val="20"/>
        </w:rPr>
        <w:t>Če je odgovor nikalen, ga utemeljite.</w:t>
      </w:r>
    </w:p>
    <w:p w:rsidR="00736A33" w:rsidRPr="002F30DF" w:rsidRDefault="00736A33" w:rsidP="00736A33">
      <w:pPr>
        <w:pStyle w:val="Naslov2"/>
        <w:keepNext w:val="0"/>
        <w:keepLines w:val="0"/>
        <w:widowControl w:val="0"/>
        <w:numPr>
          <w:ilvl w:val="1"/>
          <w:numId w:val="114"/>
        </w:numPr>
        <w:suppressAutoHyphens/>
        <w:spacing w:before="240" w:after="120" w:line="240" w:lineRule="auto"/>
        <w:ind w:left="284" w:hanging="284"/>
        <w:jc w:val="both"/>
        <w:rPr>
          <w:rFonts w:ascii="Arial" w:hAnsi="Arial" w:cs="Arial"/>
          <w:szCs w:val="20"/>
        </w:rPr>
      </w:pPr>
      <w:r w:rsidRPr="002F30DF">
        <w:rPr>
          <w:rFonts w:ascii="Arial" w:hAnsi="Arial" w:cs="Arial"/>
          <w:szCs w:val="20"/>
        </w:rPr>
        <w:lastRenderedPageBreak/>
        <w:t xml:space="preserve"> Če je odgovor pod točko 8.1 pritrdilen in po vašem mnenju ustanovitev skupnega podjetja ne vodi v usklajevanje med neodvisnimi podjetji, ki bi omejevalo konkurenco v smislu prvega odstavka 5. člena zakona, navedite razloge.</w:t>
      </w:r>
    </w:p>
    <w:p w:rsidR="00736A33" w:rsidRPr="002F30DF" w:rsidRDefault="00736A33" w:rsidP="00736A33">
      <w:pPr>
        <w:pStyle w:val="Naslov1"/>
        <w:widowControl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PRIGLASITEV KONCENTRACIJE DRUGIM PRISTOJNIM ORGANOM</w:t>
      </w:r>
    </w:p>
    <w:p w:rsidR="00736A33" w:rsidRPr="002F30DF" w:rsidRDefault="00736A33" w:rsidP="00736A33">
      <w:pPr>
        <w:pStyle w:val="Naslov2"/>
        <w:keepLines w:val="0"/>
        <w:widowControl w:val="0"/>
        <w:numPr>
          <w:ilvl w:val="1"/>
          <w:numId w:val="114"/>
        </w:numPr>
        <w:suppressAutoHyphens/>
        <w:spacing w:before="240" w:after="120" w:line="240" w:lineRule="auto"/>
        <w:ind w:left="284" w:hanging="284"/>
        <w:jc w:val="both"/>
        <w:rPr>
          <w:rFonts w:ascii="Arial" w:hAnsi="Arial" w:cs="Arial"/>
          <w:szCs w:val="20"/>
        </w:rPr>
      </w:pPr>
      <w:r w:rsidRPr="002F30DF">
        <w:rPr>
          <w:rFonts w:ascii="Arial" w:hAnsi="Arial" w:cs="Arial"/>
          <w:szCs w:val="20"/>
        </w:rPr>
        <w:t xml:space="preserve"> Priglašena koncentracija nima razsežnosti Skupnosti, ker:</w:t>
      </w:r>
    </w:p>
    <w:p w:rsidR="00736A33" w:rsidRPr="002F30DF" w:rsidRDefault="00736A33" w:rsidP="00736A33">
      <w:pPr>
        <w:widowControl w:val="0"/>
        <w:numPr>
          <w:ilvl w:val="0"/>
          <w:numId w:val="125"/>
        </w:numPr>
        <w:suppressAutoHyphens/>
        <w:overflowPunct/>
        <w:autoSpaceDE/>
        <w:autoSpaceDN/>
        <w:adjustRightInd/>
        <w:spacing w:after="120"/>
        <w:ind w:left="714" w:hanging="357"/>
        <w:textAlignment w:val="auto"/>
        <w:rPr>
          <w:rFonts w:cs="Arial"/>
          <w:sz w:val="20"/>
          <w:szCs w:val="20"/>
        </w:rPr>
      </w:pPr>
      <w:r w:rsidRPr="002F30DF">
        <w:rPr>
          <w:rFonts w:cs="Arial"/>
          <w:sz w:val="20"/>
          <w:szCs w:val="20"/>
        </w:rPr>
        <w:t>niso doseženi pragovi iz drugega odstavka 1. člena Uredbe Sveta (ES) št. 139/2004 z dne 20. januarja 2004 o nadzoru koncentracij podjetij (UL L št. 24 z dne 29. 1. 2004, str. 1, v nadaljnjem besedilu: uredba 139/2004/ES);</w:t>
      </w:r>
    </w:p>
    <w:p w:rsidR="00736A33" w:rsidRPr="002F30DF" w:rsidRDefault="00736A33" w:rsidP="00736A33">
      <w:pPr>
        <w:widowControl w:val="0"/>
        <w:numPr>
          <w:ilvl w:val="0"/>
          <w:numId w:val="125"/>
        </w:numPr>
        <w:suppressAutoHyphens/>
        <w:overflowPunct/>
        <w:autoSpaceDE/>
        <w:autoSpaceDN/>
        <w:adjustRightInd/>
        <w:spacing w:after="120"/>
        <w:ind w:left="714" w:hanging="357"/>
        <w:textAlignment w:val="auto"/>
        <w:rPr>
          <w:rFonts w:cs="Arial"/>
          <w:sz w:val="20"/>
          <w:szCs w:val="20"/>
        </w:rPr>
      </w:pPr>
      <w:r w:rsidRPr="002F30DF">
        <w:rPr>
          <w:rFonts w:cs="Arial"/>
          <w:sz w:val="20"/>
          <w:szCs w:val="20"/>
        </w:rPr>
        <w:t>niso doseženi pragovi iz tretjega odstavka 1. člena uredbe 139/2004/ES;</w:t>
      </w:r>
    </w:p>
    <w:p w:rsidR="00736A33" w:rsidRPr="002F30DF" w:rsidRDefault="00736A33" w:rsidP="00736A33">
      <w:pPr>
        <w:widowControl w:val="0"/>
        <w:numPr>
          <w:ilvl w:val="0"/>
          <w:numId w:val="125"/>
        </w:numPr>
        <w:suppressAutoHyphens/>
        <w:overflowPunct/>
        <w:autoSpaceDE/>
        <w:autoSpaceDN/>
        <w:adjustRightInd/>
        <w:textAlignment w:val="auto"/>
        <w:rPr>
          <w:rFonts w:cs="Arial"/>
          <w:sz w:val="20"/>
          <w:szCs w:val="20"/>
        </w:rPr>
      </w:pPr>
      <w:r w:rsidRPr="002F30DF">
        <w:rPr>
          <w:rFonts w:cs="Arial"/>
          <w:sz w:val="20"/>
          <w:szCs w:val="20"/>
        </w:rPr>
        <w:t>kljub temu da so doseženi pragovi iz prvega ali tretjega odstavka 1. člena uredbe 139/2004/ES, vsako od v koncentraciji udeleženih podjetij ustvari več kakor dve tretjini svojega skupnega prometa na trgu Skupnosti v eni in isti državi članici.</w:t>
      </w:r>
    </w:p>
    <w:p w:rsidR="00736A33" w:rsidRPr="002F30DF" w:rsidRDefault="00736A33" w:rsidP="00736A33">
      <w:pPr>
        <w:pStyle w:val="Naslov2"/>
        <w:keepLines w:val="0"/>
        <w:widowControl w:val="0"/>
        <w:numPr>
          <w:ilvl w:val="1"/>
          <w:numId w:val="114"/>
        </w:numPr>
        <w:suppressAutoHyphens/>
        <w:spacing w:before="240" w:after="120" w:line="240" w:lineRule="auto"/>
        <w:ind w:left="284" w:hanging="284"/>
        <w:jc w:val="both"/>
        <w:rPr>
          <w:rFonts w:ascii="Arial" w:hAnsi="Arial" w:cs="Arial"/>
          <w:szCs w:val="20"/>
        </w:rPr>
      </w:pPr>
      <w:r w:rsidRPr="002F30DF">
        <w:rPr>
          <w:rFonts w:ascii="Arial" w:hAnsi="Arial" w:cs="Arial"/>
          <w:szCs w:val="20"/>
        </w:rPr>
        <w:t xml:space="preserve"> Navedite, ali je treba priglašeno koncentracijo predložiti Evropski komisiji v skladu s četrtim odstavkom 4. člena ali 9. členom uredbe 139/2004/ES.</w:t>
      </w:r>
    </w:p>
    <w:p w:rsidR="00736A33" w:rsidRPr="002F30DF" w:rsidRDefault="00736A33" w:rsidP="00736A33">
      <w:pPr>
        <w:pStyle w:val="Naslov2"/>
        <w:keepLines w:val="0"/>
        <w:widowControl w:val="0"/>
        <w:numPr>
          <w:ilvl w:val="1"/>
          <w:numId w:val="114"/>
        </w:numPr>
        <w:suppressAutoHyphens/>
        <w:spacing w:before="240" w:after="120" w:line="240" w:lineRule="auto"/>
        <w:ind w:left="284" w:hanging="284"/>
        <w:jc w:val="both"/>
        <w:rPr>
          <w:rFonts w:ascii="Arial" w:hAnsi="Arial" w:cs="Arial"/>
          <w:szCs w:val="20"/>
        </w:rPr>
      </w:pPr>
      <w:r w:rsidRPr="002F30DF">
        <w:rPr>
          <w:rFonts w:ascii="Arial" w:hAnsi="Arial" w:cs="Arial"/>
          <w:szCs w:val="20"/>
        </w:rPr>
        <w:t xml:space="preserve"> Navedite organe, pristojne za varstvo konkurence drugih držav, in druge pristojne slovenske organe, ki so jim udeleženci priglasili ali jim morajo priglasiti koncentracijo ali pri katerih so zaprosili ali morajo zaprositi za dovoljenje za koncentracijo. Za vsak pristojni organ predložite ime, naslov, številko telefona, datum oziroma načrtovani datum vložitve priglasitve, datum oziroma predvideni datum odločitve organa. Če so postopki končani, predložite kopijo odločitve v izvirnem jeziku s priloženim slovenskim prevodom.</w:t>
      </w:r>
    </w:p>
    <w:p w:rsidR="00736A33" w:rsidRPr="002F30DF" w:rsidRDefault="00736A33" w:rsidP="00736A33">
      <w:pPr>
        <w:pStyle w:val="Naslov1"/>
        <w:widowControl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DRUGE INFORMACIJE V ZVEZI S KONCENTRACIJO</w:t>
      </w:r>
    </w:p>
    <w:p w:rsidR="00736A33" w:rsidRPr="002F30DF" w:rsidRDefault="00736A33" w:rsidP="00736A33">
      <w:pPr>
        <w:shd w:val="clear" w:color="auto" w:fill="FFFFFF"/>
        <w:ind w:left="50"/>
        <w:rPr>
          <w:rFonts w:cs="Arial"/>
          <w:sz w:val="20"/>
          <w:szCs w:val="20"/>
        </w:rPr>
      </w:pPr>
      <w:r w:rsidRPr="002F30DF">
        <w:rPr>
          <w:rFonts w:cs="Arial"/>
          <w:spacing w:val="3"/>
          <w:sz w:val="20"/>
          <w:szCs w:val="20"/>
        </w:rPr>
        <w:t>Udele</w:t>
      </w:r>
      <w:r w:rsidRPr="002F30DF">
        <w:rPr>
          <w:rFonts w:eastAsia="Arial" w:cs="Arial"/>
          <w:spacing w:val="3"/>
          <w:sz w:val="20"/>
          <w:szCs w:val="20"/>
        </w:rPr>
        <w:t xml:space="preserve">ženci koncentracije lahko predložijo tudi druge informacije, za katere menijo, da so </w:t>
      </w:r>
      <w:r w:rsidRPr="002F30DF">
        <w:rPr>
          <w:rFonts w:eastAsia="Arial" w:cs="Arial"/>
          <w:spacing w:val="-1"/>
          <w:sz w:val="20"/>
          <w:szCs w:val="20"/>
        </w:rPr>
        <w:t>potrebne za celovito presojo koncentracije.</w:t>
      </w:r>
    </w:p>
    <w:p w:rsidR="00736A33" w:rsidRPr="002F30DF" w:rsidRDefault="00736A33" w:rsidP="00736A33">
      <w:pPr>
        <w:pStyle w:val="Naslov1"/>
        <w:widowControl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lastRenderedPageBreak/>
        <w:t>IZJAVA</w:t>
      </w:r>
    </w:p>
    <w:p w:rsidR="00736A33" w:rsidRPr="002F30DF" w:rsidRDefault="00736A33" w:rsidP="00736A33">
      <w:pPr>
        <w:shd w:val="clear" w:color="auto" w:fill="FFFFFF"/>
        <w:ind w:left="50"/>
        <w:rPr>
          <w:rFonts w:eastAsia="Arial" w:cs="Arial"/>
          <w:spacing w:val="-1"/>
          <w:sz w:val="20"/>
          <w:szCs w:val="20"/>
        </w:rPr>
      </w:pPr>
      <w:r w:rsidRPr="002F30DF">
        <w:rPr>
          <w:rFonts w:eastAsia="Arial" w:cs="Arial"/>
          <w:spacing w:val="-1"/>
          <w:sz w:val="20"/>
          <w:szCs w:val="20"/>
        </w:rPr>
        <w:t>Priglasitelj s podpisom tega obrazca izjavlja, da so podatki v priglasitvi resnični in da so izvodi priloženih dokumentov, ki jih zahteva ta obrazec, verodostojni in popolni. Priglasitelj nadalje izjavlja, da so vse posredovane ocene najboljše mogoče ocene na podlagi razpoložljivih podatkov.</w:t>
      </w:r>
    </w:p>
    <w:p w:rsidR="00736A33" w:rsidRPr="002F30DF" w:rsidRDefault="00736A33" w:rsidP="00736A33">
      <w:pPr>
        <w:pStyle w:val="Naslov1"/>
        <w:widowControl w:val="0"/>
        <w:numPr>
          <w:ilvl w:val="0"/>
          <w:numId w:val="114"/>
        </w:numPr>
        <w:suppressAutoHyphens/>
        <w:spacing w:before="480" w:after="360" w:line="240" w:lineRule="auto"/>
        <w:ind w:left="431" w:hanging="431"/>
        <w:jc w:val="both"/>
        <w:rPr>
          <w:rFonts w:cs="Arial"/>
          <w:sz w:val="20"/>
          <w:szCs w:val="20"/>
        </w:rPr>
      </w:pPr>
      <w:r w:rsidRPr="002F30DF">
        <w:rPr>
          <w:rFonts w:cs="Arial"/>
          <w:sz w:val="20"/>
          <w:szCs w:val="20"/>
        </w:rPr>
        <w:t>SOGLASJE</w:t>
      </w:r>
    </w:p>
    <w:p w:rsidR="00736A33" w:rsidRPr="002F30DF" w:rsidRDefault="00736A33" w:rsidP="00736A33">
      <w:pPr>
        <w:shd w:val="clear" w:color="auto" w:fill="FFFFFF"/>
        <w:rPr>
          <w:rFonts w:cs="Arial"/>
          <w:spacing w:val="3"/>
          <w:sz w:val="20"/>
          <w:szCs w:val="20"/>
        </w:rPr>
      </w:pPr>
      <w:r w:rsidRPr="002F30DF">
        <w:rPr>
          <w:rFonts w:cs="Arial"/>
          <w:spacing w:val="3"/>
          <w:sz w:val="20"/>
          <w:szCs w:val="20"/>
        </w:rPr>
        <w:t xml:space="preserve">Priglasitev mora vsebovati sledečo informacijo glede objave podatkov o priglašeni koncentraciji na spletni strani agencije (v nadaljevanju </w:t>
      </w:r>
      <w:r w:rsidRPr="002F30DF">
        <w:rPr>
          <w:rFonts w:cs="Arial"/>
          <w:spacing w:val="3"/>
          <w:sz w:val="20"/>
          <w:szCs w:val="20"/>
          <w:u w:val="single"/>
        </w:rPr>
        <w:t>ustrezno obkroži</w:t>
      </w:r>
      <w:r w:rsidRPr="002F30DF">
        <w:rPr>
          <w:rFonts w:cs="Arial"/>
          <w:spacing w:val="3"/>
          <w:sz w:val="20"/>
          <w:szCs w:val="20"/>
        </w:rPr>
        <w:t>):</w:t>
      </w:r>
    </w:p>
    <w:p w:rsidR="00736A33" w:rsidRPr="002F30DF" w:rsidRDefault="00736A33" w:rsidP="00736A33">
      <w:pPr>
        <w:shd w:val="clear" w:color="auto" w:fill="FFFFFF"/>
        <w:rPr>
          <w:rFonts w:cs="Arial"/>
          <w:spacing w:val="3"/>
          <w:sz w:val="20"/>
          <w:szCs w:val="20"/>
        </w:rPr>
      </w:pPr>
      <w:r w:rsidRPr="002F30DF">
        <w:rPr>
          <w:rFonts w:cs="Arial"/>
          <w:spacing w:val="3"/>
          <w:sz w:val="20"/>
          <w:szCs w:val="20"/>
        </w:rPr>
        <w:t>Priglasitelj:</w:t>
      </w:r>
    </w:p>
    <w:p w:rsidR="00736A33" w:rsidRPr="002F30DF" w:rsidRDefault="00736A33" w:rsidP="00736A33">
      <w:pPr>
        <w:shd w:val="clear" w:color="auto" w:fill="FFFFFF"/>
        <w:rPr>
          <w:rFonts w:cs="Arial"/>
          <w:i/>
          <w:spacing w:val="3"/>
          <w:sz w:val="20"/>
          <w:szCs w:val="20"/>
        </w:rPr>
      </w:pPr>
      <w:r w:rsidRPr="002F30DF">
        <w:rPr>
          <w:rFonts w:cs="Arial"/>
          <w:b/>
          <w:i/>
          <w:spacing w:val="3"/>
          <w:sz w:val="20"/>
          <w:szCs w:val="20"/>
        </w:rPr>
        <w:t>a) SOGLAŠA</w:t>
      </w:r>
      <w:r w:rsidRPr="002F30DF">
        <w:rPr>
          <w:rFonts w:cs="Arial"/>
          <w:i/>
          <w:spacing w:val="3"/>
          <w:sz w:val="20"/>
          <w:szCs w:val="20"/>
        </w:rPr>
        <w:t>,</w:t>
      </w:r>
    </w:p>
    <w:p w:rsidR="00736A33" w:rsidRPr="002F30DF" w:rsidRDefault="00736A33" w:rsidP="00736A33">
      <w:pPr>
        <w:shd w:val="clear" w:color="auto" w:fill="FFFFFF"/>
        <w:rPr>
          <w:rFonts w:cs="Arial"/>
          <w:spacing w:val="3"/>
          <w:sz w:val="20"/>
          <w:szCs w:val="20"/>
        </w:rPr>
      </w:pPr>
      <w:r w:rsidRPr="002F30DF">
        <w:rPr>
          <w:rFonts w:cs="Arial"/>
          <w:spacing w:val="3"/>
          <w:sz w:val="20"/>
          <w:szCs w:val="20"/>
        </w:rPr>
        <w:t>da agencija na svoji spletni strani objavi podatke o priglašeni koncentraciji z navedbo v koncentraciji udeleženih podjetij, datuma priglasitve, opravilno številko zadeve in gospodarskega sektorja, kjer so dejavna udeležena podjetja.</w:t>
      </w:r>
    </w:p>
    <w:p w:rsidR="00736A33" w:rsidRPr="002F30DF" w:rsidRDefault="00736A33" w:rsidP="00736A33">
      <w:pPr>
        <w:shd w:val="clear" w:color="auto" w:fill="FFFFFF"/>
        <w:rPr>
          <w:rFonts w:cs="Arial"/>
          <w:i/>
          <w:sz w:val="20"/>
          <w:szCs w:val="20"/>
        </w:rPr>
      </w:pPr>
      <w:r w:rsidRPr="002F30DF">
        <w:rPr>
          <w:rFonts w:cs="Arial"/>
          <w:i/>
          <w:sz w:val="20"/>
          <w:szCs w:val="20"/>
        </w:rPr>
        <w:t>(ali)</w:t>
      </w:r>
    </w:p>
    <w:p w:rsidR="00736A33" w:rsidRPr="002F30DF" w:rsidRDefault="00736A33" w:rsidP="00736A33">
      <w:pPr>
        <w:keepNext/>
        <w:shd w:val="clear" w:color="auto" w:fill="FFFFFF"/>
        <w:ind w:left="34"/>
        <w:rPr>
          <w:rFonts w:cs="Arial"/>
          <w:i/>
          <w:spacing w:val="3"/>
          <w:sz w:val="20"/>
          <w:szCs w:val="20"/>
        </w:rPr>
      </w:pPr>
      <w:r w:rsidRPr="002F30DF">
        <w:rPr>
          <w:rFonts w:cs="Arial"/>
          <w:b/>
          <w:i/>
          <w:spacing w:val="3"/>
          <w:sz w:val="20"/>
          <w:szCs w:val="20"/>
        </w:rPr>
        <w:t>b) NE SOGLAŠA</w:t>
      </w:r>
    </w:p>
    <w:p w:rsidR="00736A33" w:rsidRPr="002F30DF" w:rsidRDefault="00736A33" w:rsidP="00736A33">
      <w:pPr>
        <w:keepNext/>
        <w:shd w:val="clear" w:color="auto" w:fill="FFFFFF"/>
        <w:ind w:left="34"/>
        <w:rPr>
          <w:rFonts w:cs="Arial"/>
          <w:spacing w:val="3"/>
          <w:sz w:val="20"/>
          <w:szCs w:val="20"/>
        </w:rPr>
      </w:pPr>
      <w:r w:rsidRPr="002F30DF">
        <w:rPr>
          <w:rFonts w:eastAsia="Arial" w:cs="Arial"/>
          <w:spacing w:val="4"/>
          <w:sz w:val="20"/>
          <w:szCs w:val="20"/>
        </w:rPr>
        <w:t xml:space="preserve">z objavo podatkov o priglašeni koncentraciji </w:t>
      </w:r>
      <w:r w:rsidRPr="002F30DF">
        <w:rPr>
          <w:rFonts w:cs="Arial"/>
          <w:spacing w:val="3"/>
          <w:sz w:val="20"/>
          <w:szCs w:val="20"/>
        </w:rPr>
        <w:t>na spletni strani agencije ter navaja naslednje razloge za zavrnitev objave in jasno utemeljitev nastanka škode, ki bi nastala z objavo:</w:t>
      </w:r>
    </w:p>
    <w:p w:rsidR="00736A33" w:rsidRPr="002F30DF" w:rsidRDefault="00736A33" w:rsidP="00736A33">
      <w:pPr>
        <w:shd w:val="clear" w:color="auto" w:fill="FFFFFF"/>
        <w:ind w:left="36"/>
        <w:rPr>
          <w:rFonts w:cs="Arial"/>
          <w:spacing w:val="3"/>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2"/>
      </w:tblGrid>
      <w:tr w:rsidR="00736A33" w:rsidRPr="002F30DF" w:rsidTr="006C303E">
        <w:trPr>
          <w:trHeight w:val="2708"/>
        </w:trPr>
        <w:tc>
          <w:tcPr>
            <w:tcW w:w="8892" w:type="dxa"/>
            <w:shd w:val="clear" w:color="auto" w:fill="auto"/>
          </w:tcPr>
          <w:p w:rsidR="00736A33" w:rsidRPr="002F30DF" w:rsidRDefault="00736A33" w:rsidP="006C303E">
            <w:pPr>
              <w:rPr>
                <w:rFonts w:cs="Arial"/>
                <w:i/>
                <w:sz w:val="20"/>
                <w:szCs w:val="20"/>
              </w:rPr>
            </w:pPr>
            <w:r w:rsidRPr="002F30DF">
              <w:rPr>
                <w:rFonts w:cs="Arial"/>
                <w:i/>
                <w:sz w:val="20"/>
                <w:szCs w:val="20"/>
              </w:rPr>
              <w:t>Utemeljitev razlogov za zavrnitev objave:</w:t>
            </w:r>
          </w:p>
          <w:p w:rsidR="00736A33" w:rsidRPr="002F30DF" w:rsidRDefault="00736A33" w:rsidP="006C303E">
            <w:pPr>
              <w:rPr>
                <w:rFonts w:cs="Arial"/>
                <w:sz w:val="20"/>
                <w:szCs w:val="20"/>
              </w:rPr>
            </w:pPr>
          </w:p>
          <w:p w:rsidR="00736A33" w:rsidRPr="002F30DF" w:rsidRDefault="00736A33" w:rsidP="006C303E">
            <w:pPr>
              <w:rPr>
                <w:rFonts w:cs="Arial"/>
                <w:sz w:val="20"/>
                <w:szCs w:val="20"/>
              </w:rPr>
            </w:pPr>
          </w:p>
        </w:tc>
      </w:tr>
    </w:tbl>
    <w:p w:rsidR="00736A33" w:rsidRPr="002F30DF" w:rsidRDefault="00736A33" w:rsidP="00736A33">
      <w:pPr>
        <w:tabs>
          <w:tab w:val="center" w:pos="6237"/>
        </w:tabs>
        <w:rPr>
          <w:rFonts w:cs="Arial"/>
          <w:sz w:val="20"/>
          <w:szCs w:val="20"/>
        </w:rPr>
      </w:pPr>
    </w:p>
    <w:p w:rsidR="00736A33" w:rsidRPr="002F30DF" w:rsidRDefault="00736A33" w:rsidP="00736A33">
      <w:pPr>
        <w:tabs>
          <w:tab w:val="center" w:pos="6237"/>
        </w:tabs>
        <w:rPr>
          <w:rFonts w:cs="Arial"/>
          <w:vanish/>
          <w:sz w:val="20"/>
          <w:szCs w:val="20"/>
        </w:rPr>
      </w:pPr>
    </w:p>
    <w:p w:rsidR="00736A33" w:rsidRPr="002F30DF" w:rsidRDefault="00736A33" w:rsidP="00736A33">
      <w:pPr>
        <w:shd w:val="clear" w:color="auto" w:fill="FFFFFF"/>
        <w:tabs>
          <w:tab w:val="center" w:pos="6237"/>
        </w:tabs>
        <w:ind w:left="55"/>
        <w:rPr>
          <w:rFonts w:cs="Arial"/>
          <w:sz w:val="20"/>
          <w:szCs w:val="20"/>
        </w:rPr>
      </w:pPr>
      <w:r w:rsidRPr="002F30DF">
        <w:rPr>
          <w:rFonts w:cs="Arial"/>
          <w:spacing w:val="2"/>
          <w:sz w:val="20"/>
          <w:szCs w:val="20"/>
        </w:rPr>
        <w:t xml:space="preserve">Kraj in datum: </w:t>
      </w:r>
      <w:r w:rsidRPr="002F30DF">
        <w:rPr>
          <w:rFonts w:cs="Arial"/>
          <w:spacing w:val="2"/>
          <w:sz w:val="20"/>
          <w:szCs w:val="20"/>
        </w:rPr>
        <w:tab/>
        <w:t>Ime, priimek in polo</w:t>
      </w:r>
      <w:r w:rsidRPr="002F30DF">
        <w:rPr>
          <w:rFonts w:eastAsia="Arial" w:cs="Arial"/>
          <w:spacing w:val="2"/>
          <w:sz w:val="20"/>
          <w:szCs w:val="20"/>
        </w:rPr>
        <w:t>žaj:</w:t>
      </w:r>
    </w:p>
    <w:p w:rsidR="00736A33" w:rsidRPr="002F30DF" w:rsidRDefault="00736A33" w:rsidP="00736A33">
      <w:pPr>
        <w:shd w:val="clear" w:color="auto" w:fill="FFFFFF"/>
        <w:tabs>
          <w:tab w:val="center" w:pos="6237"/>
        </w:tabs>
        <w:ind w:left="55"/>
        <w:rPr>
          <w:rFonts w:cs="Arial"/>
          <w:spacing w:val="-1"/>
          <w:sz w:val="20"/>
          <w:szCs w:val="20"/>
        </w:rPr>
      </w:pPr>
      <w:r w:rsidRPr="002F30DF">
        <w:rPr>
          <w:rFonts w:cs="Arial"/>
          <w:spacing w:val="-1"/>
          <w:sz w:val="20"/>
          <w:szCs w:val="20"/>
        </w:rPr>
        <w:tab/>
      </w:r>
    </w:p>
    <w:p w:rsidR="00736A33" w:rsidRPr="002F30DF" w:rsidRDefault="00736A33" w:rsidP="00736A33">
      <w:pPr>
        <w:shd w:val="clear" w:color="auto" w:fill="FFFFFF"/>
        <w:tabs>
          <w:tab w:val="center" w:pos="6237"/>
        </w:tabs>
        <w:ind w:left="55"/>
        <w:rPr>
          <w:rFonts w:cs="Arial"/>
          <w:sz w:val="20"/>
          <w:szCs w:val="20"/>
        </w:rPr>
      </w:pPr>
      <w:r w:rsidRPr="002F30DF">
        <w:rPr>
          <w:rFonts w:cs="Arial"/>
          <w:spacing w:val="-1"/>
          <w:sz w:val="20"/>
          <w:szCs w:val="20"/>
        </w:rPr>
        <w:tab/>
        <w:t>Podpis:</w:t>
      </w:r>
      <w:r w:rsidRPr="002F30DF">
        <w:rPr>
          <w:rFonts w:cs="Arial"/>
          <w:sz w:val="20"/>
          <w:szCs w:val="20"/>
        </w:rPr>
        <w:t xml:space="preserve"> </w:t>
      </w:r>
    </w:p>
    <w:p w:rsidR="00736A33" w:rsidRPr="002F30DF" w:rsidRDefault="00736A33" w:rsidP="00736A33">
      <w:pPr>
        <w:shd w:val="clear" w:color="auto" w:fill="FFFFFF"/>
        <w:tabs>
          <w:tab w:val="center" w:pos="6237"/>
        </w:tabs>
        <w:ind w:left="55"/>
        <w:rPr>
          <w:rFonts w:cs="Arial"/>
          <w:sz w:val="20"/>
          <w:szCs w:val="20"/>
        </w:rPr>
      </w:pPr>
    </w:p>
    <w:p w:rsidR="00736A33" w:rsidRPr="002F30DF" w:rsidRDefault="00736A33" w:rsidP="00736A33">
      <w:pPr>
        <w:shd w:val="clear" w:color="auto" w:fill="FFFFFF"/>
        <w:tabs>
          <w:tab w:val="center" w:pos="6237"/>
        </w:tabs>
        <w:ind w:left="55"/>
        <w:rPr>
          <w:rFonts w:cs="Arial"/>
          <w:sz w:val="20"/>
          <w:szCs w:val="20"/>
        </w:rPr>
      </w:pPr>
    </w:p>
    <w:p w:rsidR="0054694D" w:rsidRPr="002F30DF" w:rsidRDefault="0054694D" w:rsidP="00736A33">
      <w:pPr>
        <w:shd w:val="clear" w:color="auto" w:fill="FFFFFF"/>
        <w:tabs>
          <w:tab w:val="center" w:pos="6237"/>
        </w:tabs>
        <w:ind w:left="55"/>
        <w:rPr>
          <w:rFonts w:cs="Arial"/>
          <w:sz w:val="20"/>
          <w:szCs w:val="20"/>
        </w:rPr>
      </w:pPr>
    </w:p>
    <w:p w:rsidR="00736A33" w:rsidRPr="002F30DF" w:rsidRDefault="00736A33" w:rsidP="007B659A">
      <w:pPr>
        <w:shd w:val="clear" w:color="auto" w:fill="FFFFFF"/>
        <w:tabs>
          <w:tab w:val="center" w:pos="6237"/>
        </w:tabs>
        <w:rPr>
          <w:rFonts w:cs="Arial"/>
          <w:sz w:val="20"/>
          <w:szCs w:val="20"/>
        </w:rPr>
      </w:pPr>
    </w:p>
    <w:p w:rsidR="00682AD5" w:rsidRDefault="00682AD5">
      <w:pPr>
        <w:overflowPunct/>
        <w:autoSpaceDE/>
        <w:autoSpaceDN/>
        <w:adjustRightInd/>
        <w:jc w:val="left"/>
        <w:textAlignment w:val="auto"/>
        <w:rPr>
          <w:rFonts w:cs="Arial"/>
          <w:b/>
          <w:sz w:val="20"/>
          <w:szCs w:val="20"/>
        </w:rPr>
      </w:pPr>
      <w:r>
        <w:rPr>
          <w:rFonts w:cs="Arial"/>
          <w:b/>
          <w:sz w:val="20"/>
          <w:szCs w:val="20"/>
        </w:rPr>
        <w:br w:type="page"/>
      </w:r>
    </w:p>
    <w:p w:rsidR="00736A33" w:rsidRPr="002F30DF" w:rsidRDefault="00736A33" w:rsidP="00736A33">
      <w:pPr>
        <w:pStyle w:val="Odstavekseznama"/>
        <w:numPr>
          <w:ilvl w:val="0"/>
          <w:numId w:val="103"/>
        </w:numPr>
        <w:shd w:val="clear" w:color="auto" w:fill="D9D9D9" w:themeFill="background1" w:themeFillShade="D9"/>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lastRenderedPageBreak/>
        <w:t>UREDBA O POSTOPKU ODPUSTITVE IN ZNIŽANJA ADMINISTRATIVNE SANKCIJE IN GLOBE STORILCEM, KI SO UDELEŽENI V KARTELIH</w:t>
      </w:r>
    </w:p>
    <w:p w:rsidR="00736A33" w:rsidRPr="002F30DF" w:rsidRDefault="00736A33" w:rsidP="00736A33">
      <w:pPr>
        <w:spacing w:line="240" w:lineRule="exact"/>
        <w:ind w:left="426"/>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 xml:space="preserve">preambula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Na podlagi petega odstavka 9</w:t>
      </w:r>
      <w:r w:rsidR="005717F4" w:rsidRPr="002F30DF">
        <w:rPr>
          <w:rFonts w:cs="Arial"/>
          <w:sz w:val="20"/>
          <w:szCs w:val="20"/>
        </w:rPr>
        <w:t>1</w:t>
      </w:r>
      <w:r w:rsidRPr="002F30DF">
        <w:rPr>
          <w:rFonts w:cs="Arial"/>
          <w:sz w:val="20"/>
          <w:szCs w:val="20"/>
        </w:rPr>
        <w:t>. člena Zakona o preprečevanju omejevanja konkurence (Uradni list RS, št. _____) izdaja Vlada Republike Slovenije</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sz w:val="20"/>
          <w:szCs w:val="20"/>
        </w:rPr>
      </w:pPr>
      <w:r w:rsidRPr="002F30DF">
        <w:rPr>
          <w:rFonts w:cs="Arial"/>
          <w:b/>
          <w:sz w:val="20"/>
          <w:szCs w:val="20"/>
        </w:rPr>
        <w:t xml:space="preserve">okvirni naslov podzakonskega akta: </w:t>
      </w:r>
      <w:r w:rsidRPr="002F30DF">
        <w:rPr>
          <w:rFonts w:cs="Arial"/>
          <w:sz w:val="20"/>
          <w:szCs w:val="20"/>
        </w:rPr>
        <w:t>UREDBA O POSTOPKU ODPUSTITVE IN ZNIŽANJA ADMINISTRATIVNE SANKCIJE IN GLOBE STORILCEM, KI SO UDELEŽENI V KARTELIH</w:t>
      </w:r>
    </w:p>
    <w:p w:rsidR="00736A33" w:rsidRPr="002F30DF" w:rsidRDefault="00736A33" w:rsidP="00736A33">
      <w:pPr>
        <w:pStyle w:val="Odstavekseznama"/>
        <w:spacing w:line="240" w:lineRule="exact"/>
        <w:rPr>
          <w:rFonts w:cs="Arial"/>
          <w:b/>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vsebina, opisana po vsebinskih sklopih:</w:t>
      </w:r>
    </w:p>
    <w:p w:rsidR="00736A33" w:rsidRPr="002F30DF" w:rsidRDefault="00736A33" w:rsidP="00736A33">
      <w:pPr>
        <w:spacing w:line="240" w:lineRule="exact"/>
        <w:rPr>
          <w:rFonts w:cs="Arial"/>
          <w:b/>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PREDMET UREJANJA (VSEBINA AKTA)</w:t>
      </w:r>
    </w:p>
    <w:p w:rsidR="00736A33" w:rsidRPr="002F30DF" w:rsidRDefault="00736A33" w:rsidP="00736A33">
      <w:pPr>
        <w:pStyle w:val="Odstavekseznama"/>
        <w:tabs>
          <w:tab w:val="left" w:pos="567"/>
        </w:tabs>
        <w:spacing w:line="240" w:lineRule="exact"/>
        <w:ind w:left="567"/>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Vlada Republike Slovenije v skladu s petim odstavkom </w:t>
      </w:r>
      <w:r w:rsidR="005717F4" w:rsidRPr="002F30DF">
        <w:rPr>
          <w:rFonts w:cs="Arial"/>
          <w:sz w:val="20"/>
          <w:szCs w:val="20"/>
        </w:rPr>
        <w:t>1</w:t>
      </w:r>
      <w:r w:rsidR="00BC3E1D" w:rsidRPr="002F30DF">
        <w:rPr>
          <w:rFonts w:cs="Arial"/>
          <w:sz w:val="20"/>
          <w:szCs w:val="20"/>
        </w:rPr>
        <w:t>0</w:t>
      </w:r>
      <w:r w:rsidRPr="002F30DF">
        <w:rPr>
          <w:rFonts w:cs="Arial"/>
          <w:sz w:val="20"/>
          <w:szCs w:val="20"/>
        </w:rPr>
        <w:t>. člena Zakona o preprečevanju omejevanja konkurence (Uradni list RS, št________; v nadaljnjem besedilu: zakon) z uredbo predpiše postopek odpustitve in znižanja administrativne sankcije in globe storilcem, ki so udeleženi v kartelih.</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PREDSTAVITEV PO VSEBINSKIH SKLOPIH (ZA VSAK VSEBINSKI SKLOP POSEBEJ):</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i/>
          <w:sz w:val="20"/>
          <w:szCs w:val="20"/>
        </w:rPr>
      </w:pPr>
      <w:r w:rsidRPr="002F30DF">
        <w:rPr>
          <w:rFonts w:cs="Arial"/>
          <w:i/>
          <w:sz w:val="20"/>
          <w:szCs w:val="20"/>
        </w:rPr>
        <w:t>1. Opis ukrepa in rešitve</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 xml:space="preserve">Program za odpustitev in znižanje administrativne sankcije, za katerega Direktiva 2019/1 Evropskega parlamenta in Sveta z dne 11. decembra 2018 o krepitvi vloge organov držav članic, pristojnih za konkurenco, da bodo učinkoviteje uveljavljali pravila konkurence, in o zagotavljanju pravilnega delovanja notranjega trga (v nadaljnjem besedilu: Direktiva 2019/1) uporablja izraz program prizanesljivosti, je ključno orodje za odkrivanje kartelov ter s tem prispeva k učinkovitejšemu pregonu in izreku administrativne sankcije podjetju ter globe odgovorni osebi podjetja. Podjetja bodo razkrila kartele, v katerih so udeležena, le če imajo zadostno pravno varnost, da jim bo priznana odpustitev administrativne sankcije.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lastRenderedPageBreak/>
        <w:t xml:space="preserve">Pogoji za odpustitev in znižanje administrativne sankcije so urejeni v 92. členu zakona, s to uredbo pa se določa sam postopek.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Z uredbo se delno prenaša Direktiva 2019/1.</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i/>
          <w:sz w:val="20"/>
          <w:szCs w:val="20"/>
        </w:rPr>
      </w:pPr>
      <w:r w:rsidRPr="002F30DF">
        <w:rPr>
          <w:rFonts w:cs="Arial"/>
          <w:i/>
          <w:sz w:val="20"/>
          <w:szCs w:val="20"/>
        </w:rPr>
        <w:t>2. Naslovnik</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Naslovniki te uredbe so podjetja in odgovorne osebe podjetij, ki so udeleženi v kartelu in posredujejo agenciji, ki je pristojna za varstvo konkurence (v nadaljnjem besedilu: agencija) prijavo za odpustitev ali znižanje administrativne sankcije podjetju oziroma globe odgovorni osebi (v nadaljnjem besedilu: sankcija), pod pogojem, da so izpolnjeni zakonski pogoji.</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i/>
          <w:sz w:val="20"/>
          <w:szCs w:val="20"/>
        </w:rPr>
      </w:pPr>
      <w:r w:rsidRPr="002F30DF">
        <w:rPr>
          <w:rFonts w:cs="Arial"/>
          <w:i/>
          <w:sz w:val="20"/>
          <w:szCs w:val="20"/>
        </w:rPr>
        <w:t>3. Pravne posledice</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Predlog uredbe omogoča, da se podjetjem, ki so sodelovali v kartelu ali odgovornim osebam takšnih podjetij, odpusti ali zniža sankcija. Če so izpolnjeni zakonski pogoji za odpustitev sankcije, agencija podjetju oziroma odgovorni osebi v celoti odpusti sankcijo. Če niso izpolnjeni pogoji za odpustitev sankcije, ampak za znižanje sankcije, lahko agencija takšnemu podjetju oziroma odgovorni osebi, zniža sankcijo do 50 odstotkov. </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PREHODNI REŽIM</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Agencija prijave za odpustitev globe in znižanje globe prejete do dneva veljavnosti te uredbe, obravnava po dosedanjih predpisih.</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ZAČETEK VELJAVNOSTI</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 xml:space="preserve">Uredba začne veljati ______. </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normativni del</w:t>
      </w: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pStyle w:val="Vrstapredpisa"/>
        <w:spacing w:before="0" w:line="240" w:lineRule="exact"/>
        <w:rPr>
          <w:color w:val="auto"/>
          <w:sz w:val="20"/>
          <w:szCs w:val="20"/>
        </w:rPr>
      </w:pPr>
      <w:r w:rsidRPr="002F30DF">
        <w:rPr>
          <w:color w:val="auto"/>
          <w:sz w:val="20"/>
          <w:szCs w:val="20"/>
        </w:rPr>
        <w:t>UREDBA</w:t>
      </w:r>
    </w:p>
    <w:p w:rsidR="00736A33" w:rsidRPr="002F30DF" w:rsidRDefault="00736A33" w:rsidP="00736A33">
      <w:pPr>
        <w:pStyle w:val="Naslovpredpisa"/>
        <w:spacing w:line="240" w:lineRule="exact"/>
        <w:rPr>
          <w:sz w:val="20"/>
          <w:szCs w:val="20"/>
        </w:rPr>
      </w:pPr>
      <w:r w:rsidRPr="002F30DF">
        <w:rPr>
          <w:sz w:val="20"/>
          <w:szCs w:val="20"/>
        </w:rPr>
        <w:lastRenderedPageBreak/>
        <w:t>o postopku odpustitve in znižanja administrativne sankcije in globe storilcem, ki so udeleženi v kartelih</w:t>
      </w:r>
    </w:p>
    <w:p w:rsidR="00736A33" w:rsidRPr="002F30DF" w:rsidRDefault="00736A33" w:rsidP="00736A33">
      <w:pPr>
        <w:pStyle w:val="Naslovpredpisa"/>
        <w:spacing w:line="240" w:lineRule="exact"/>
        <w:rPr>
          <w:sz w:val="20"/>
          <w:szCs w:val="20"/>
        </w:rPr>
      </w:pPr>
    </w:p>
    <w:p w:rsidR="00736A33" w:rsidRPr="002F30DF" w:rsidRDefault="00736A33" w:rsidP="00736A33">
      <w:pPr>
        <w:pStyle w:val="Poglavje"/>
        <w:spacing w:before="0" w:line="240" w:lineRule="exact"/>
        <w:rPr>
          <w:sz w:val="20"/>
          <w:szCs w:val="20"/>
        </w:rPr>
      </w:pPr>
      <w:r w:rsidRPr="002F30DF">
        <w:rPr>
          <w:sz w:val="20"/>
          <w:szCs w:val="20"/>
        </w:rPr>
        <w:t>I. SPLOŠNE DOLOČBE</w:t>
      </w:r>
    </w:p>
    <w:p w:rsidR="00736A33" w:rsidRPr="002F30DF" w:rsidRDefault="00736A33" w:rsidP="00736A33">
      <w:pPr>
        <w:pStyle w:val="Poglavje"/>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 člen</w:t>
      </w:r>
    </w:p>
    <w:p w:rsidR="00736A33" w:rsidRPr="002F30DF" w:rsidRDefault="00736A33" w:rsidP="00736A33">
      <w:pPr>
        <w:pStyle w:val="len"/>
        <w:spacing w:before="0" w:line="240" w:lineRule="exact"/>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Ta uredba določa postopek odpustitve in znižanja administrativne sankcije podjetjem ter glob odgovornim osebam pravne osebe, odgovorni osebi samostojnega podjetnika posameznika ali odgovorni osebi posameznika, ki opravlja poklicno dejavnost, ki so udeleženi v kartelih.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O odpustitvi in znižanju administrativne sankcije in globe po tej uredbi odloča agencija, ki je pristojna za varstvo konkurence (v nadaljnjem besedilu: agencija) kot organ v upravnem postopku po zakonu, ki ureja preprečevanje omejevanja konkurence oziroma prekrškovni organ v hitrem postopku o prekršku.</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len"/>
        <w:spacing w:before="0" w:line="240" w:lineRule="exact"/>
        <w:rPr>
          <w:sz w:val="20"/>
          <w:szCs w:val="20"/>
        </w:rPr>
      </w:pPr>
      <w:r w:rsidRPr="002F30DF">
        <w:rPr>
          <w:sz w:val="20"/>
          <w:szCs w:val="20"/>
        </w:rPr>
        <w:t>2.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Izrazi, uporabljeni v tej uredbi, imajo naslednji pomen: </w:t>
      </w:r>
    </w:p>
    <w:p w:rsidR="00736A33" w:rsidRPr="002F30DF" w:rsidRDefault="00736A33" w:rsidP="00736A33">
      <w:pPr>
        <w:pStyle w:val="Alineazaodstavkom"/>
        <w:numPr>
          <w:ilvl w:val="0"/>
          <w:numId w:val="108"/>
        </w:numPr>
        <w:spacing w:line="240" w:lineRule="exact"/>
        <w:rPr>
          <w:sz w:val="20"/>
          <w:szCs w:val="20"/>
        </w:rPr>
      </w:pPr>
      <w:r w:rsidRPr="002F30DF">
        <w:rPr>
          <w:sz w:val="20"/>
          <w:szCs w:val="20"/>
        </w:rPr>
        <w:t xml:space="preserve">kršitev je kršitev 5. člena Zakona o preprečevanju omejevanja konkurence (Uradni list RS, št. ____; v nadaljnjem besedilu: zakon) in/ali 101. člena Pogodbe o delovanju Evropske unije (UL C št. 326 z dne 26. oktobra 2012; v nadaljnjem besedilu: Pogodba o delovanju Evropske unije); </w:t>
      </w:r>
    </w:p>
    <w:p w:rsidR="00736A33" w:rsidRPr="002F30DF" w:rsidRDefault="00736A33" w:rsidP="00736A33">
      <w:pPr>
        <w:pStyle w:val="Alineazaodstavkom"/>
        <w:numPr>
          <w:ilvl w:val="0"/>
          <w:numId w:val="108"/>
        </w:numPr>
        <w:spacing w:line="240" w:lineRule="exact"/>
        <w:rPr>
          <w:sz w:val="20"/>
          <w:szCs w:val="20"/>
        </w:rPr>
      </w:pPr>
      <w:r w:rsidRPr="002F30DF">
        <w:rPr>
          <w:sz w:val="20"/>
          <w:szCs w:val="20"/>
        </w:rPr>
        <w:t>preiskava je preiskava, ki jo pooblaščene osebe agencije izvedejo v skladu z določbami zakona, ali preiskava, izvedena v skladu z zakonom, ki ureja prekrške;</w:t>
      </w:r>
    </w:p>
    <w:p w:rsidR="00736A33" w:rsidRPr="002F30DF" w:rsidRDefault="00736A33" w:rsidP="00736A33">
      <w:pPr>
        <w:pStyle w:val="Alineazaodstavkom"/>
        <w:numPr>
          <w:ilvl w:val="0"/>
          <w:numId w:val="108"/>
        </w:numPr>
        <w:spacing w:line="240" w:lineRule="exact"/>
        <w:rPr>
          <w:sz w:val="20"/>
          <w:szCs w:val="20"/>
        </w:rPr>
      </w:pPr>
      <w:r w:rsidRPr="002F30DF">
        <w:rPr>
          <w:sz w:val="20"/>
          <w:szCs w:val="20"/>
        </w:rPr>
        <w:t>storilec se nanaša na podjetja ter na odgovorne osebe pravne osebe, samostojnega podjetnika posameznika ali posameznika, ki opravlja poklicno dejavnost, ki so udeležena v kartelih,</w:t>
      </w:r>
    </w:p>
    <w:p w:rsidR="00736A33" w:rsidRPr="002F30DF" w:rsidRDefault="00736A33" w:rsidP="00736A33">
      <w:pPr>
        <w:pStyle w:val="Alineazaodstavkom"/>
        <w:numPr>
          <w:ilvl w:val="0"/>
          <w:numId w:val="108"/>
        </w:numPr>
        <w:spacing w:line="240" w:lineRule="exact"/>
        <w:rPr>
          <w:sz w:val="20"/>
          <w:szCs w:val="20"/>
        </w:rPr>
      </w:pPr>
      <w:r w:rsidRPr="002F30DF">
        <w:rPr>
          <w:sz w:val="20"/>
          <w:szCs w:val="20"/>
        </w:rPr>
        <w:t xml:space="preserve">sankcija se nanaša na administrativne sankcije v obliki denarnih zneskov oziroma na globe.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Drugi izrazi, uporabljeni v tej uredbi, imajo enak pomen, kakor ga imajo v zakonu.</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Poglavje"/>
        <w:spacing w:before="0" w:line="240" w:lineRule="exact"/>
        <w:rPr>
          <w:sz w:val="20"/>
          <w:szCs w:val="20"/>
        </w:rPr>
      </w:pPr>
      <w:r w:rsidRPr="002F30DF">
        <w:rPr>
          <w:sz w:val="20"/>
          <w:szCs w:val="20"/>
        </w:rPr>
        <w:t>II. POSTOPEK Z IZJAVO ZARADI PRIZANESLJIVOSTI</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3.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Storilec mora za odpustitev oziroma znižanje sankcije izpolnjevati pogoje, določene v 92. členu zakona in tej uredbe, ter vložiti pri agenciji izjavo na obrazcu iz priloge 1, ki je sestavni del te uredbe, v skladu z določbami te uredbe. Izjava za odpustitev sankcije se lahko v primerih, ki jih določa ta uredba, vloži pri agenciji tudi na obrazcih iz priloge 2, 3 ali 4, ki so sestavni del te uredbe, v skladu z določbami te uredbe.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(2) Izjava, ki jo vloži podjetje, se nanaša tudi na njegove odgovorne osebe.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(3) Izjava, ki jo vloži odgovorna oseba, se ne nanaša tudi na podjetje, razen če iz izjave ne izhaja drugače.</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len"/>
        <w:spacing w:before="0" w:line="240" w:lineRule="exact"/>
        <w:rPr>
          <w:sz w:val="20"/>
          <w:szCs w:val="20"/>
        </w:rPr>
      </w:pPr>
      <w:r w:rsidRPr="002F30DF">
        <w:rPr>
          <w:sz w:val="20"/>
          <w:szCs w:val="20"/>
        </w:rPr>
        <w:t>4.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Storilec vloži izjavo zaradi prizanesljivosti tako, da: </w:t>
      </w:r>
    </w:p>
    <w:p w:rsidR="00736A33" w:rsidRPr="002F30DF" w:rsidRDefault="00736A33" w:rsidP="00736A33">
      <w:pPr>
        <w:pStyle w:val="Alineazaodstavkom"/>
        <w:numPr>
          <w:ilvl w:val="0"/>
          <w:numId w:val="109"/>
        </w:numPr>
        <w:spacing w:line="240" w:lineRule="exact"/>
        <w:rPr>
          <w:sz w:val="20"/>
          <w:szCs w:val="20"/>
        </w:rPr>
      </w:pPr>
      <w:r w:rsidRPr="002F30DF">
        <w:rPr>
          <w:sz w:val="20"/>
          <w:szCs w:val="20"/>
        </w:rPr>
        <w:t xml:space="preserve">jo pošlje v zaprti ovojnici in označeno z oznako »Ne odpiraj, poslovna skrivnost, za program prizanesljivosti.« po pošti na naslov agencije, </w:t>
      </w:r>
    </w:p>
    <w:p w:rsidR="00736A33" w:rsidRPr="002F30DF" w:rsidRDefault="00736A33" w:rsidP="00736A33">
      <w:pPr>
        <w:pStyle w:val="Alineazaodstavkom"/>
        <w:numPr>
          <w:ilvl w:val="0"/>
          <w:numId w:val="109"/>
        </w:numPr>
        <w:spacing w:line="240" w:lineRule="exact"/>
        <w:rPr>
          <w:sz w:val="20"/>
          <w:szCs w:val="20"/>
        </w:rPr>
      </w:pPr>
      <w:r w:rsidRPr="002F30DF">
        <w:rPr>
          <w:sz w:val="20"/>
          <w:szCs w:val="20"/>
        </w:rPr>
        <w:t xml:space="preserve">jo vloži pisno, osebno na agenciji, </w:t>
      </w:r>
    </w:p>
    <w:p w:rsidR="00736A33" w:rsidRPr="002F30DF" w:rsidRDefault="00736A33" w:rsidP="00736A33">
      <w:pPr>
        <w:pStyle w:val="Alineazaodstavkom"/>
        <w:numPr>
          <w:ilvl w:val="0"/>
          <w:numId w:val="109"/>
        </w:numPr>
        <w:spacing w:line="240" w:lineRule="exact"/>
        <w:rPr>
          <w:sz w:val="20"/>
          <w:szCs w:val="20"/>
        </w:rPr>
      </w:pPr>
      <w:r w:rsidRPr="002F30DF">
        <w:rPr>
          <w:sz w:val="20"/>
          <w:szCs w:val="20"/>
        </w:rPr>
        <w:t xml:space="preserve">jo vloži ustno, osebno na agenciji na zapisnik, če ta uredba ne določa drugače, </w:t>
      </w:r>
    </w:p>
    <w:p w:rsidR="00736A33" w:rsidRPr="002F30DF" w:rsidRDefault="00736A33" w:rsidP="00736A33">
      <w:pPr>
        <w:pStyle w:val="Alineazaodstavkom"/>
        <w:numPr>
          <w:ilvl w:val="0"/>
          <w:numId w:val="109"/>
        </w:numPr>
        <w:spacing w:line="240" w:lineRule="exact"/>
        <w:rPr>
          <w:sz w:val="20"/>
          <w:szCs w:val="20"/>
        </w:rPr>
      </w:pPr>
      <w:r w:rsidRPr="002F30DF">
        <w:rPr>
          <w:sz w:val="20"/>
          <w:szCs w:val="20"/>
        </w:rPr>
        <w:t xml:space="preserve">jo pošlje po telefaksu na posebno številko, ki je objavljena na spletni strani agencije.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(2) Storilec lahko vloži izjavo tudi tako, da obvesti pooblaščene osebe, ki opravljajo preiskavo, da želi vložiti izjavo v zvezi s kršitvijo, ki je predmet preiskave, in v 15 dneh vloži izjavo na enega izmed načinov iz prvega odstavka tega člena.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(3) Sestavni deli izjave so seznam prilog in seznam dokazov, ki so kot priloga 7, 8 oziroma 9 sestavni del te uredbe, ter dokazi, priloženi k izjavi.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(4) V primeru vložitve izjavo po pošti ali pisno, osebno na agenciji, storilec vloži pri agenciji izjavo in dve kopiji prijave. Na zahtevo storilca agencija na eno kopijo izjave potrdi prejem in jo vrne storilcu oziroma osebi za stike pri hipotetični prijavi. V primeru  vložitve izjave ustno na agenciji, agencija storilcu na njegovo zahtevo </w:t>
      </w:r>
      <w:r w:rsidRPr="002F30DF">
        <w:rPr>
          <w:sz w:val="20"/>
          <w:szCs w:val="20"/>
        </w:rPr>
        <w:lastRenderedPageBreak/>
        <w:t>izroči kopijo zapisnika. Izjava je del spisa v prekrškovnem postopku, kopija izjave pa del spisa v upravnem postopku.</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(5) Storilec vloži izjavo v slovenskem jeziku, razen če se storilec in agencija dogovorita, da se lahko izjava vloži v enem od uradnih jezikov Evropske unije.</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5.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Agencija izjavo in kopijo izjave označi z datumom, uro in minuto prejema ter posreduje storilcu oziroma osebi za stike pri hipotetični prijavi na njuno zahtevo potrdilo o prejemu iz priloge 6, ki je sestavni del te uredbe.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(2) Za dan vložitve izjave se šteje tudi dan, ko storilec med opravljanjem preiskave obvesti pooblaščene osebe, ki opravljajo preiskavo, da želi vložiti izjavo v zvezi s kršitvijo, ki je predmet preiskave, če v času, ki ga agencija za vsak posamezen primer določi, vloži pri agenciji izjavo na obrazcu iz priloge 1. Pooblaščena oseba izroči storilcu na njegovo zahtevo potrdilo o obvestitvi iz priloge 5, ki je sestavni del te uredbe.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(3) Izjave, ki se nanašajo na isto kršitev, se obravnavajo po vrstnem redu prejema izjav. Izjave za odpustitev sankcije in izjave za znižanje sankcije se obravnavajo ločeno. Izjave za znižanje sankcije se obravnavajo po tem, ko je odločeno o izjavah za odpustitev sankcije.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(4) Če izjava izpolnjuje pogoje za odpustitev sankcije, se izjave preostalih storilcev za znižanje sankcije upoštevajo v vrstnem redu prejema izjav. Če se izjava za odpustitev sankcije, ki ne izpolnjuje pogojev za odpustitev sankcije, ne nanaša tudi na znižanje sankcije, agencija o tem storilca pisno obvesti in mu vrne izjavo. Če izjava za znižanje sankcije ne izpolnjuje pogojev za znižanje sankcije, agencija o tem storilca pisno obvesti in mu vrne izjavo.</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6.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Izjava se šteje za poslovno skrivnost. Agencija lahko razkrije podatke in dokaze iz izjave zgolj podjetju, zoper katerega se vodi postopek ugotavljanja kršitve, po izdaji povzetka relevantnih dejstev v upravnem postopku in v skladu s 43. členom zakona.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Izjava se posreduje organom, pristojnim za varstvo konkurence druge države članice, v skladu s petim odstavkom 101. člena zakona</w:t>
      </w:r>
      <w:r w:rsidRPr="002F30DF" w:rsidDel="007670D5">
        <w:rPr>
          <w:sz w:val="20"/>
          <w:szCs w:val="20"/>
        </w:rPr>
        <w:t xml:space="preserve"> </w:t>
      </w:r>
      <w:r w:rsidRPr="002F30DF">
        <w:rPr>
          <w:sz w:val="20"/>
          <w:szCs w:val="20"/>
        </w:rPr>
        <w:t>.</w:t>
      </w:r>
    </w:p>
    <w:p w:rsidR="00736A33" w:rsidRPr="002F30DF" w:rsidRDefault="00736A33" w:rsidP="00736A33">
      <w:pPr>
        <w:pStyle w:val="Alineazaodstavkom"/>
        <w:numPr>
          <w:ilvl w:val="0"/>
          <w:numId w:val="0"/>
        </w:numPr>
        <w:spacing w:line="240" w:lineRule="exact"/>
        <w:ind w:left="425"/>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(3) Podatkov o izjava</w:t>
      </w:r>
      <w:r w:rsidR="00167C43" w:rsidRPr="002F30DF">
        <w:rPr>
          <w:sz w:val="20"/>
          <w:szCs w:val="20"/>
        </w:rPr>
        <w:t>h</w:t>
      </w:r>
      <w:r w:rsidRPr="002F30DF">
        <w:rPr>
          <w:sz w:val="20"/>
          <w:szCs w:val="20"/>
        </w:rPr>
        <w:t xml:space="preserve"> za odpustitev ali znižanje globe ali podatkov iz teh izjav, ki jih agencija pridobi od organov, pristojnih za varstvo konkurence drugih držav članic, v skladu z 11. členom Uredbe 1/2003/ES, agencija ne more uporabiti za uvedbo postopka v zvezi s to kršitvijo.</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7.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Storilec mora, da bi bil upravičen do odpustitve ali znižanja sankcije, od vložitve izjave sodelovati z agencijo med celotnim upravnim oziroma prekrškovnim postopkom, zlasti: </w:t>
      </w:r>
    </w:p>
    <w:p w:rsidR="00736A33" w:rsidRPr="002F30DF" w:rsidRDefault="00736A33" w:rsidP="00736A33">
      <w:pPr>
        <w:pStyle w:val="Alineazaodstavkom"/>
        <w:numPr>
          <w:ilvl w:val="0"/>
          <w:numId w:val="110"/>
        </w:numPr>
        <w:spacing w:line="240" w:lineRule="exact"/>
        <w:rPr>
          <w:sz w:val="20"/>
          <w:szCs w:val="20"/>
        </w:rPr>
      </w:pPr>
      <w:r w:rsidRPr="002F30DF">
        <w:rPr>
          <w:sz w:val="20"/>
          <w:szCs w:val="20"/>
        </w:rPr>
        <w:t>mora nemudoma zagotoviti agenciji vse pomembne informacije in dokaze v zvezi z domnevnim kartelom, ki jih pridobi v posest ali so mu na razpolago, zlasti: ime in naslov prijavitelja, imena vseh drugih podjetij, ki so udeležena ali so bila udeležena v domnevnem kartelu, podroben opis domnevnega kartela, vključno z zadevnimi proizvodi, zadevnimi ozemlji, trajanjem in naravo ravnanja domnevnega kartela, informacije o izjavah zaradi prizanesljivosti v zvezi z domnevnim kartelom, ki so bile ali morda bodo vložene pri organih, pristojnih za varstvo konkurence drugih držav članic, ali organih, pristojnih za varstvo konkurence, iz tretjih držav;</w:t>
      </w:r>
    </w:p>
    <w:p w:rsidR="00736A33" w:rsidRPr="002F30DF" w:rsidRDefault="00736A33" w:rsidP="00736A33">
      <w:pPr>
        <w:pStyle w:val="Alineazaodstavkom"/>
        <w:numPr>
          <w:ilvl w:val="0"/>
          <w:numId w:val="110"/>
        </w:numPr>
        <w:spacing w:line="240" w:lineRule="exact"/>
        <w:rPr>
          <w:sz w:val="20"/>
          <w:szCs w:val="20"/>
        </w:rPr>
      </w:pPr>
      <w:r w:rsidRPr="002F30DF">
        <w:rPr>
          <w:sz w:val="20"/>
          <w:szCs w:val="20"/>
        </w:rPr>
        <w:t xml:space="preserve">mora dati agenciji vse informacije, ki bi lahko prispevale k ugotavljanju dejstev; </w:t>
      </w:r>
    </w:p>
    <w:p w:rsidR="00736A33" w:rsidRPr="002F30DF" w:rsidRDefault="00736A33" w:rsidP="00736A33">
      <w:pPr>
        <w:pStyle w:val="Alineazaodstavkom"/>
        <w:numPr>
          <w:ilvl w:val="0"/>
          <w:numId w:val="110"/>
        </w:numPr>
        <w:spacing w:line="240" w:lineRule="exact"/>
        <w:rPr>
          <w:sz w:val="20"/>
          <w:szCs w:val="20"/>
        </w:rPr>
      </w:pPr>
      <w:r w:rsidRPr="002F30DF">
        <w:rPr>
          <w:sz w:val="20"/>
          <w:szCs w:val="20"/>
        </w:rPr>
        <w:t>ostane na razpolago agenciji, za vsa vprašanja, s katerimi bi lahko prispeval k ugotavljanju dejstev;</w:t>
      </w:r>
    </w:p>
    <w:p w:rsidR="00736A33" w:rsidRPr="002F30DF" w:rsidRDefault="00736A33" w:rsidP="00736A33">
      <w:pPr>
        <w:pStyle w:val="Alineazaodstavkom"/>
        <w:numPr>
          <w:ilvl w:val="0"/>
          <w:numId w:val="110"/>
        </w:numPr>
        <w:spacing w:line="240" w:lineRule="exact"/>
        <w:rPr>
          <w:sz w:val="20"/>
          <w:szCs w:val="20"/>
        </w:rPr>
      </w:pPr>
      <w:r w:rsidRPr="002F30DF">
        <w:rPr>
          <w:sz w:val="20"/>
          <w:szCs w:val="20"/>
        </w:rPr>
        <w:t xml:space="preserve">mora zagotoviti razpoložljivost vodilnih delavcev in drugih zaposlenih na razgovore in, če je to mogoče, v razumnih mejah poskusiti zagotoviti, da so za razgovore agenciji na voljo tudi nekdanji delavci in člani organov vodenja ali nadzora; </w:t>
      </w:r>
    </w:p>
    <w:p w:rsidR="00736A33" w:rsidRPr="002F30DF" w:rsidRDefault="00736A33" w:rsidP="00736A33">
      <w:pPr>
        <w:pStyle w:val="Alineazaodstavkom"/>
        <w:numPr>
          <w:ilvl w:val="0"/>
          <w:numId w:val="110"/>
        </w:numPr>
        <w:spacing w:line="240" w:lineRule="exact"/>
        <w:rPr>
          <w:sz w:val="20"/>
          <w:szCs w:val="20"/>
        </w:rPr>
      </w:pPr>
      <w:r w:rsidRPr="002F30DF">
        <w:rPr>
          <w:sz w:val="20"/>
          <w:szCs w:val="20"/>
        </w:rPr>
        <w:t xml:space="preserve">ne sme uničiti, poneverjati ali prikrivati informacij ali dokazov, povezanih z domnevnim kartelom, in </w:t>
      </w:r>
    </w:p>
    <w:p w:rsidR="00736A33" w:rsidRPr="002F30DF" w:rsidRDefault="00736A33" w:rsidP="00736A33">
      <w:pPr>
        <w:pStyle w:val="Alineazaodstavkom"/>
        <w:numPr>
          <w:ilvl w:val="0"/>
          <w:numId w:val="110"/>
        </w:numPr>
        <w:spacing w:line="240" w:lineRule="exact"/>
        <w:rPr>
          <w:sz w:val="20"/>
          <w:szCs w:val="20"/>
        </w:rPr>
      </w:pPr>
      <w:r w:rsidRPr="002F30DF">
        <w:rPr>
          <w:sz w:val="20"/>
          <w:szCs w:val="20"/>
        </w:rPr>
        <w:t xml:space="preserve">ne sme razkriti dejstva vložitve ali vsebine prijave, dokler agencija ne izda povzetka relevantnih dejstev v upravnem postopku, brez pisnega dovoljenja agencije.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lastRenderedPageBreak/>
        <w:t xml:space="preserve">(2) Storilec pred vložitvijo izjave ne sme: </w:t>
      </w:r>
    </w:p>
    <w:p w:rsidR="00736A33" w:rsidRPr="002F30DF" w:rsidRDefault="00736A33" w:rsidP="00736A33">
      <w:pPr>
        <w:pStyle w:val="Alineazaodstavkom"/>
        <w:numPr>
          <w:ilvl w:val="0"/>
          <w:numId w:val="112"/>
        </w:numPr>
        <w:spacing w:line="240" w:lineRule="exact"/>
        <w:rPr>
          <w:sz w:val="20"/>
          <w:szCs w:val="20"/>
        </w:rPr>
      </w:pPr>
      <w:r w:rsidRPr="002F30DF">
        <w:rPr>
          <w:sz w:val="20"/>
          <w:szCs w:val="20"/>
        </w:rPr>
        <w:t>uničiti, poneveriti ali skriti dokazov o domnevnem kartelu, na katerega se izjava nanaša, in</w:t>
      </w:r>
    </w:p>
    <w:p w:rsidR="00736A33" w:rsidRPr="002F30DF" w:rsidRDefault="00736A33" w:rsidP="00736A33">
      <w:pPr>
        <w:pStyle w:val="Alineazaodstavkom"/>
        <w:numPr>
          <w:ilvl w:val="0"/>
          <w:numId w:val="112"/>
        </w:numPr>
        <w:spacing w:line="240" w:lineRule="exact"/>
        <w:rPr>
          <w:sz w:val="20"/>
          <w:szCs w:val="20"/>
        </w:rPr>
      </w:pPr>
      <w:r w:rsidRPr="002F30DF">
        <w:rPr>
          <w:sz w:val="20"/>
          <w:szCs w:val="20"/>
        </w:rPr>
        <w:t>neposredno ali posredno razkriti dejstva, da namerava vložiti izjavo pri agenciji, oziroma razkriti vsebine načrtovane izjave, razen organom, pristojnih za varstvo konkurence drugih držav članic ali tretjih držav, in Evropski komisiji.</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8.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Če agencija ugotovi, da izjava za odpustitev sankcije izpolnjuje pogoje iz prvega odstavka 92. člena zakona, storilca o tem pisno obvesti in ga opozori na dolžnost sodelovanja v skladu s prejšnjim členom te uredbe.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Če agencija ugotovi, da izjava za znižanje sankcije izpolnjuje pogoje iz drugega odstavka 92. člena zakona, storilca pisno obvesti o razponu znižanja sankcije, do katerega je lahko upravičen, in ga opozori na dolžnost sodelovanja v skladu s prejšnjim členom te uredbe.</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9.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Agencija odpusti ali zniža sankcijo storilcu, če ta ob izdaji odločbe, s katero izreče administrativno sankcijo oziroma odločbe o prekršku izpolnjuje vse pogoje iz </w:t>
      </w:r>
      <w:r w:rsidR="005717F4" w:rsidRPr="002F30DF">
        <w:rPr>
          <w:sz w:val="20"/>
          <w:szCs w:val="20"/>
        </w:rPr>
        <w:t>90</w:t>
      </w:r>
      <w:r w:rsidRPr="002F30DF">
        <w:rPr>
          <w:sz w:val="20"/>
          <w:szCs w:val="20"/>
        </w:rPr>
        <w:t xml:space="preserve">. člena zakona in 7. člena te uredbe.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Agencija odloči o odpustitvi ali znižanju sankcije z odločbo, s katero izreče administrativno sankcijo oziroma odloči o prekršku. V odločbi, s katero izreče administrativno sankcijo oziroma odloči o prekršku agencija navede višino sankcije, ki bi jo izrekla storilcu administrativnega prestopka oziroma prekrška, če ta ne bi bila odpuščena ali znižana, višino sankcije, ki jo je izrekla, in odstotek znižanja sankcije.</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Poglavje"/>
        <w:spacing w:before="0" w:line="240" w:lineRule="exact"/>
        <w:rPr>
          <w:sz w:val="20"/>
          <w:szCs w:val="20"/>
        </w:rPr>
      </w:pPr>
      <w:r w:rsidRPr="002F30DF">
        <w:rPr>
          <w:sz w:val="20"/>
          <w:szCs w:val="20"/>
        </w:rPr>
        <w:t>III. ODPUSTITEV GLOBE</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10.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Storilcu se sankcija lahko odpusti, če izpolni pogoje iz prvega odstavka 9</w:t>
      </w:r>
      <w:r w:rsidR="005717F4" w:rsidRPr="002F30DF">
        <w:rPr>
          <w:sz w:val="20"/>
          <w:szCs w:val="20"/>
        </w:rPr>
        <w:t>0</w:t>
      </w:r>
      <w:r w:rsidRPr="002F30DF">
        <w:rPr>
          <w:sz w:val="20"/>
          <w:szCs w:val="20"/>
        </w:rPr>
        <w:t>. člena zakona in 7. člena te Uredbe.</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11.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Uspešnost ali dejanska izvedba preiskave ne vpliva na možnost odpustitve sankcije storilcu.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Agencija oceni, ali predloženi dokazi zadostujejo za ugotovitev kršitve glede na dokaze in dejstva, s katerimi razpolaga v trenutku odločanja o izjavi.</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12.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(1) Če storilec ne razpolaga s podatki, ki omogočajo vložitev popolne izjave za odpustitev sankcije, lahko vloži zahtevo za zaznambo vrstnega reda na obrazcu iz priloge 4, v kateri, če razpolaga z njimi, navede:</w:t>
      </w:r>
    </w:p>
    <w:p w:rsidR="00736A33" w:rsidRPr="002F30DF" w:rsidRDefault="00736A33" w:rsidP="00736A33">
      <w:pPr>
        <w:pStyle w:val="Odstavek"/>
        <w:numPr>
          <w:ilvl w:val="0"/>
          <w:numId w:val="111"/>
        </w:numPr>
        <w:spacing w:before="0" w:line="240" w:lineRule="exact"/>
        <w:rPr>
          <w:sz w:val="20"/>
          <w:szCs w:val="20"/>
        </w:rPr>
      </w:pPr>
      <w:r w:rsidRPr="002F30DF">
        <w:rPr>
          <w:sz w:val="20"/>
          <w:szCs w:val="20"/>
        </w:rPr>
        <w:t>ime in naslov prijavitelja;</w:t>
      </w:r>
    </w:p>
    <w:p w:rsidR="00736A33" w:rsidRPr="002F30DF" w:rsidRDefault="00736A33" w:rsidP="00736A33">
      <w:pPr>
        <w:pStyle w:val="Odstavek"/>
        <w:numPr>
          <w:ilvl w:val="0"/>
          <w:numId w:val="111"/>
        </w:numPr>
        <w:spacing w:before="0" w:line="240" w:lineRule="exact"/>
        <w:rPr>
          <w:sz w:val="20"/>
          <w:szCs w:val="20"/>
        </w:rPr>
      </w:pPr>
      <w:r w:rsidRPr="002F30DF">
        <w:rPr>
          <w:sz w:val="20"/>
          <w:szCs w:val="20"/>
        </w:rPr>
        <w:t>razlog za pomisleke, zaradi katerih je bila prošnja vložena;</w:t>
      </w:r>
    </w:p>
    <w:p w:rsidR="00736A33" w:rsidRPr="002F30DF" w:rsidRDefault="00736A33" w:rsidP="00736A33">
      <w:pPr>
        <w:pStyle w:val="Odstavek"/>
        <w:numPr>
          <w:ilvl w:val="0"/>
          <w:numId w:val="111"/>
        </w:numPr>
        <w:spacing w:before="0" w:line="240" w:lineRule="exact"/>
        <w:rPr>
          <w:sz w:val="20"/>
          <w:szCs w:val="20"/>
        </w:rPr>
      </w:pPr>
      <w:r w:rsidRPr="002F30DF">
        <w:rPr>
          <w:sz w:val="20"/>
          <w:szCs w:val="20"/>
        </w:rPr>
        <w:t>imena vseh drugih podjetij, ki so udeležena ali so bila udeležena v domnevnem kartelu;</w:t>
      </w:r>
    </w:p>
    <w:p w:rsidR="00736A33" w:rsidRPr="002F30DF" w:rsidRDefault="00736A33" w:rsidP="00736A33">
      <w:pPr>
        <w:pStyle w:val="Odstavek"/>
        <w:numPr>
          <w:ilvl w:val="0"/>
          <w:numId w:val="111"/>
        </w:numPr>
        <w:spacing w:before="0" w:line="240" w:lineRule="exact"/>
        <w:rPr>
          <w:sz w:val="20"/>
          <w:szCs w:val="20"/>
        </w:rPr>
      </w:pPr>
      <w:r w:rsidRPr="002F30DF">
        <w:rPr>
          <w:sz w:val="20"/>
          <w:szCs w:val="20"/>
        </w:rPr>
        <w:t>informacije o zadevnih proizvodih in ozemljih;</w:t>
      </w:r>
    </w:p>
    <w:p w:rsidR="00736A33" w:rsidRPr="002F30DF" w:rsidRDefault="00736A33" w:rsidP="00736A33">
      <w:pPr>
        <w:pStyle w:val="Odstavek"/>
        <w:numPr>
          <w:ilvl w:val="0"/>
          <w:numId w:val="111"/>
        </w:numPr>
        <w:spacing w:before="0" w:line="240" w:lineRule="exact"/>
        <w:rPr>
          <w:sz w:val="20"/>
          <w:szCs w:val="20"/>
        </w:rPr>
      </w:pPr>
      <w:r w:rsidRPr="002F30DF">
        <w:rPr>
          <w:sz w:val="20"/>
          <w:szCs w:val="20"/>
        </w:rPr>
        <w:t xml:space="preserve">trajanje in naravo domnevnega kartela; </w:t>
      </w:r>
    </w:p>
    <w:p w:rsidR="00736A33" w:rsidRPr="002F30DF" w:rsidRDefault="00736A33" w:rsidP="00736A33">
      <w:pPr>
        <w:pStyle w:val="Odstavek"/>
        <w:numPr>
          <w:ilvl w:val="0"/>
          <w:numId w:val="111"/>
        </w:numPr>
        <w:spacing w:before="0" w:line="240" w:lineRule="exact"/>
        <w:rPr>
          <w:sz w:val="20"/>
          <w:szCs w:val="20"/>
        </w:rPr>
      </w:pPr>
      <w:r w:rsidRPr="002F30DF">
        <w:rPr>
          <w:sz w:val="20"/>
          <w:szCs w:val="20"/>
        </w:rPr>
        <w:t>informacije o prijavah za prizanesljivost v zvezi z domnevnim kartelom, ki so bile ali morda bodo vložene pri organih, pristojnih za varstvo konkurence druge države članice, ali organih, pristojnih za varstvo konkurenco, iz tretjih držav.</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(2) Zahteve za zaznambo vrstnega reda ni mogoče vložiti ustno, osebno na agenciji.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(3) Za zaznambo vrstnega reda mora storilec utemeljiti vložitev zahteve za zaznambo vrstnega reda.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(4) Storilec vloži zahtevo za zaznambo vrstnega reda v slovenskem jeziku, razen če se storilec in agencija dogovorila, da se zahteva vloži v enem od uradnih jezikov Evropske unije.</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(5) Agencija lahko ugodi zahtevi za zaznambo vrstnega reda, če oceni, da je utemeljena, in določi rok, v katerem mora storilec prijavo dopolniti. Če agencija </w:t>
      </w:r>
      <w:r w:rsidRPr="002F30DF">
        <w:rPr>
          <w:sz w:val="20"/>
          <w:szCs w:val="20"/>
        </w:rPr>
        <w:lastRenderedPageBreak/>
        <w:t xml:space="preserve">zahtevi za zaznambo vrstnega reda ne ugodi, o tem pisno obvesti storilca in mu vrne zahtevo za zaznambo vrstnega reda.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(6) Zaznamba vrstnega reda v vmesnem času storilcu varuje vrstni red v vrsti prijav.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(7) Storilec, ki mu je odobrena zaznamba vrstnega reda, ne more dopolniti izjave s hipotetično prijavo.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(8) Če storilec ne dopolni izjave v roku, ki ga določi agencija, se zaznamba vrstnega reda izbriše iz vrstnega reda izjav, zahteva za zaznambo vrstnega reda pa se vrne storilcu.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(9) Če storilec dopolni izjavo v roku, ki ga določi agencija, se izjava obravnava v vrstnem redu, v kakršnem je bil zaznamovan. Šteje se, da je bila izjava vložena z dnem vložitve zahteve za zaznambo vrstnega reda.</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len"/>
        <w:spacing w:before="0" w:line="240" w:lineRule="exact"/>
        <w:rPr>
          <w:sz w:val="20"/>
          <w:szCs w:val="20"/>
        </w:rPr>
      </w:pPr>
      <w:r w:rsidRPr="002F30DF">
        <w:rPr>
          <w:sz w:val="20"/>
          <w:szCs w:val="20"/>
        </w:rPr>
        <w:t>13.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Storilec lahko vloži hipotetično prijavo na obrazcu iz priloge 2, v kateri se ne navede identiteta storilca in drugih udeležencev kartela ali natančni opis kršitve, navedejo pa se podatki o osebi za stike. Hipotetične prijave ni mogoče vložiti ustno, osebno na agenciji.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(2) Sestavni del hipotetične prijave je seznam dokazov iz priloge 9.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(3) Agencija hipotetično prijavo nemudoma pregleda in osebo za stike pisno obvesti, ali vsebina dokazov izpolnjuje pogoje za odpustitev sankcije, določene v 9</w:t>
      </w:r>
      <w:r w:rsidR="005717F4" w:rsidRPr="002F30DF">
        <w:rPr>
          <w:sz w:val="20"/>
          <w:szCs w:val="20"/>
        </w:rPr>
        <w:t>0</w:t>
      </w:r>
      <w:r w:rsidRPr="002F30DF">
        <w:rPr>
          <w:sz w:val="20"/>
          <w:szCs w:val="20"/>
        </w:rPr>
        <w:t>. členu zakona. Če storilec pozneje vloži prijavo, ki se nanaša na kršitev, ki je predmet hipotetične prijave, se šteje, da je bila prijava vložena v trenutku vložitve hipotetične prijave.</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14.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Storilec, ki je pri Evropski komisiji v obliki zahteve za zaznambo vrstnega reda ali celovite izjave za prizanesljivost vloži izjavo za odpustitev ali znižanje sankcije v zvezi z istim domnevnim kartelom, lahko pri agenciji vloži skrajšano prijavo na </w:t>
      </w:r>
      <w:r w:rsidRPr="002F30DF">
        <w:rPr>
          <w:sz w:val="20"/>
          <w:szCs w:val="20"/>
        </w:rPr>
        <w:lastRenderedPageBreak/>
        <w:t>obrazcu iz priloge 3, pod pogojem, da take skrajšane prijave zajemajo tri ali več držav članic.</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(2) Agencija sprejme skrajšano prijavo storilca, ki je v postopku vložitve izjave za odpustitve sankcije oziroma je vložil izjavo za odpustitev sankcije pri Evropski komisiji,  če: </w:t>
      </w:r>
    </w:p>
    <w:p w:rsidR="00736A33" w:rsidRPr="002F30DF" w:rsidRDefault="00736A33" w:rsidP="00736A33">
      <w:pPr>
        <w:pStyle w:val="Alineazaodstavkom"/>
        <w:numPr>
          <w:ilvl w:val="0"/>
          <w:numId w:val="107"/>
        </w:numPr>
        <w:spacing w:line="240" w:lineRule="exact"/>
        <w:rPr>
          <w:sz w:val="20"/>
          <w:szCs w:val="20"/>
        </w:rPr>
      </w:pPr>
      <w:r w:rsidRPr="002F30DF">
        <w:rPr>
          <w:sz w:val="20"/>
          <w:szCs w:val="20"/>
        </w:rPr>
        <w:t xml:space="preserve">domnevna kršitev ima ali bi lahko imela znaten učinek na konkurenco na ozemlju Republike Slovenije ali je izvršena na ali izhaja iz ozemlja Republike Slovenije, </w:t>
      </w:r>
    </w:p>
    <w:p w:rsidR="00736A33" w:rsidRPr="002F30DF" w:rsidRDefault="00736A33" w:rsidP="00736A33">
      <w:pPr>
        <w:pStyle w:val="Alineazaodstavkom"/>
        <w:numPr>
          <w:ilvl w:val="0"/>
          <w:numId w:val="107"/>
        </w:numPr>
        <w:spacing w:line="240" w:lineRule="exact"/>
        <w:rPr>
          <w:sz w:val="20"/>
          <w:szCs w:val="20"/>
        </w:rPr>
      </w:pPr>
      <w:r w:rsidRPr="002F30DF">
        <w:rPr>
          <w:sz w:val="20"/>
          <w:szCs w:val="20"/>
        </w:rPr>
        <w:t xml:space="preserve">agencija lahko učinkovito odpravi ugotovljeno kršitev in </w:t>
      </w:r>
    </w:p>
    <w:p w:rsidR="00736A33" w:rsidRPr="002F30DF" w:rsidRDefault="00736A33" w:rsidP="00736A33">
      <w:pPr>
        <w:pStyle w:val="Alineazaodstavkom"/>
        <w:numPr>
          <w:ilvl w:val="0"/>
          <w:numId w:val="107"/>
        </w:numPr>
        <w:spacing w:line="240" w:lineRule="exact"/>
        <w:rPr>
          <w:sz w:val="20"/>
          <w:szCs w:val="20"/>
        </w:rPr>
      </w:pPr>
      <w:r w:rsidRPr="002F30DF">
        <w:rPr>
          <w:sz w:val="20"/>
          <w:szCs w:val="20"/>
        </w:rPr>
        <w:t xml:space="preserve">agencija lahko pridobi vse dokaze, tudi s sodelovanjem drugih organov, ki so potrebni, da se ugotovi kršitev. </w:t>
      </w:r>
    </w:p>
    <w:p w:rsidR="00736A33" w:rsidRPr="002F30DF" w:rsidRDefault="00736A33" w:rsidP="00736A33">
      <w:pPr>
        <w:pStyle w:val="Alineazaodstavkom"/>
        <w:numPr>
          <w:ilvl w:val="0"/>
          <w:numId w:val="0"/>
        </w:numPr>
        <w:spacing w:line="240" w:lineRule="exact"/>
        <w:rPr>
          <w:sz w:val="20"/>
          <w:szCs w:val="20"/>
        </w:rPr>
      </w:pPr>
    </w:p>
    <w:p w:rsidR="00736A33" w:rsidRPr="002F30DF" w:rsidRDefault="00736A33" w:rsidP="00736A33">
      <w:pPr>
        <w:pStyle w:val="Alineazaodstavkom"/>
        <w:numPr>
          <w:ilvl w:val="0"/>
          <w:numId w:val="0"/>
        </w:numPr>
        <w:spacing w:line="240" w:lineRule="exact"/>
        <w:rPr>
          <w:sz w:val="20"/>
          <w:szCs w:val="20"/>
        </w:rPr>
      </w:pPr>
      <w:r w:rsidRPr="002F30DF">
        <w:rPr>
          <w:sz w:val="20"/>
          <w:szCs w:val="20"/>
        </w:rPr>
        <w:t>(3) Storilec v skrajšani prijavi navede kratek opis vseh naslednjih elementov:</w:t>
      </w:r>
    </w:p>
    <w:p w:rsidR="00736A33" w:rsidRPr="002F30DF" w:rsidRDefault="00736A33" w:rsidP="00736A33">
      <w:pPr>
        <w:pStyle w:val="Alineazaodstavkom"/>
        <w:numPr>
          <w:ilvl w:val="0"/>
          <w:numId w:val="106"/>
        </w:numPr>
        <w:spacing w:line="240" w:lineRule="exact"/>
        <w:rPr>
          <w:sz w:val="20"/>
          <w:szCs w:val="20"/>
        </w:rPr>
      </w:pPr>
      <w:r w:rsidRPr="002F30DF">
        <w:rPr>
          <w:sz w:val="20"/>
          <w:szCs w:val="20"/>
        </w:rPr>
        <w:t xml:space="preserve">ime in naslov prijavitelja; </w:t>
      </w:r>
    </w:p>
    <w:p w:rsidR="00736A33" w:rsidRPr="002F30DF" w:rsidRDefault="00736A33" w:rsidP="00736A33">
      <w:pPr>
        <w:pStyle w:val="Alineazaodstavkom"/>
        <w:numPr>
          <w:ilvl w:val="0"/>
          <w:numId w:val="106"/>
        </w:numPr>
        <w:spacing w:line="240" w:lineRule="exact"/>
        <w:rPr>
          <w:sz w:val="20"/>
          <w:szCs w:val="20"/>
        </w:rPr>
      </w:pPr>
      <w:r w:rsidRPr="002F30DF">
        <w:rPr>
          <w:sz w:val="20"/>
          <w:szCs w:val="20"/>
        </w:rPr>
        <w:t>imena drugih udeležencev v domnevnem skrivnem kartelu;</w:t>
      </w:r>
    </w:p>
    <w:p w:rsidR="00736A33" w:rsidRPr="002F30DF" w:rsidRDefault="00736A33" w:rsidP="00736A33">
      <w:pPr>
        <w:pStyle w:val="Alineazaodstavkom"/>
        <w:numPr>
          <w:ilvl w:val="0"/>
          <w:numId w:val="106"/>
        </w:numPr>
        <w:spacing w:line="240" w:lineRule="exact"/>
        <w:rPr>
          <w:sz w:val="20"/>
          <w:szCs w:val="20"/>
        </w:rPr>
      </w:pPr>
      <w:r w:rsidRPr="002F30DF">
        <w:rPr>
          <w:sz w:val="20"/>
          <w:szCs w:val="20"/>
        </w:rPr>
        <w:t>zadevni proizvodi in ozemlja;</w:t>
      </w:r>
    </w:p>
    <w:p w:rsidR="00736A33" w:rsidRPr="002F30DF" w:rsidRDefault="00736A33" w:rsidP="00736A33">
      <w:pPr>
        <w:pStyle w:val="Alineazaodstavkom"/>
        <w:numPr>
          <w:ilvl w:val="0"/>
          <w:numId w:val="106"/>
        </w:numPr>
        <w:spacing w:line="240" w:lineRule="exact"/>
        <w:rPr>
          <w:sz w:val="20"/>
          <w:szCs w:val="20"/>
        </w:rPr>
      </w:pPr>
      <w:r w:rsidRPr="002F30DF">
        <w:rPr>
          <w:sz w:val="20"/>
          <w:szCs w:val="20"/>
        </w:rPr>
        <w:t>trajanje in narava domnevnega skrivnega kartela;</w:t>
      </w:r>
    </w:p>
    <w:p w:rsidR="00736A33" w:rsidRPr="002F30DF" w:rsidRDefault="00736A33" w:rsidP="00736A33">
      <w:pPr>
        <w:pStyle w:val="Alineazaodstavkom"/>
        <w:numPr>
          <w:ilvl w:val="0"/>
          <w:numId w:val="106"/>
        </w:numPr>
        <w:spacing w:line="240" w:lineRule="exact"/>
        <w:rPr>
          <w:sz w:val="20"/>
          <w:szCs w:val="20"/>
        </w:rPr>
      </w:pPr>
      <w:r w:rsidRPr="002F30DF">
        <w:rPr>
          <w:sz w:val="20"/>
          <w:szCs w:val="20"/>
        </w:rPr>
        <w:t>država članica oziroma države članice, v katerih je verjetno, da se nahajajo dokazi domnevnega skrivnega kartela, ter</w:t>
      </w:r>
    </w:p>
    <w:p w:rsidR="00736A33" w:rsidRPr="002F30DF" w:rsidRDefault="00736A33" w:rsidP="00736A33">
      <w:pPr>
        <w:pStyle w:val="Alineazaodstavkom"/>
        <w:numPr>
          <w:ilvl w:val="0"/>
          <w:numId w:val="106"/>
        </w:numPr>
        <w:spacing w:line="240" w:lineRule="exact"/>
        <w:rPr>
          <w:sz w:val="20"/>
          <w:szCs w:val="20"/>
        </w:rPr>
      </w:pPr>
      <w:r w:rsidRPr="002F30DF">
        <w:rPr>
          <w:sz w:val="20"/>
          <w:szCs w:val="20"/>
        </w:rPr>
        <w:t>informacije o prijavah za prizanesljivost v zvezi z domnevnim skrivnim kartelom, ki so bile ali morda bodo vložene pri organih, pristojnih za varstvo konkurence drugih držav članic ali organih, pristojnih za konkurenco, iz tretjih držav.</w:t>
      </w:r>
    </w:p>
    <w:p w:rsidR="00736A33" w:rsidRPr="002F30DF" w:rsidRDefault="00736A33" w:rsidP="00736A33">
      <w:pPr>
        <w:pStyle w:val="Alineazaodstavkom"/>
        <w:tabs>
          <w:tab w:val="clear" w:pos="709"/>
          <w:tab w:val="num" w:pos="425"/>
        </w:tabs>
        <w:spacing w:line="240" w:lineRule="exact"/>
        <w:ind w:left="425"/>
        <w:rPr>
          <w:vanish/>
          <w:sz w:val="20"/>
          <w:szCs w:val="20"/>
        </w:rPr>
      </w:pPr>
    </w:p>
    <w:p w:rsidR="00736A33" w:rsidRPr="002F30DF" w:rsidRDefault="00736A33" w:rsidP="00736A33">
      <w:pPr>
        <w:pStyle w:val="Alineazaodstavkom"/>
        <w:numPr>
          <w:ilvl w:val="0"/>
          <w:numId w:val="0"/>
        </w:numPr>
        <w:spacing w:line="240" w:lineRule="exact"/>
        <w:rPr>
          <w:sz w:val="20"/>
          <w:szCs w:val="20"/>
        </w:rPr>
      </w:pPr>
    </w:p>
    <w:p w:rsidR="00736A33" w:rsidRPr="002F30DF" w:rsidRDefault="00736A33" w:rsidP="00736A33">
      <w:pPr>
        <w:pStyle w:val="Alineazaodstavkom"/>
        <w:numPr>
          <w:ilvl w:val="0"/>
          <w:numId w:val="0"/>
        </w:numPr>
        <w:spacing w:line="240" w:lineRule="exact"/>
        <w:rPr>
          <w:sz w:val="20"/>
          <w:szCs w:val="20"/>
        </w:rPr>
      </w:pPr>
      <w:r w:rsidRPr="002F30DF">
        <w:rPr>
          <w:sz w:val="20"/>
          <w:szCs w:val="20"/>
        </w:rPr>
        <w:t>(4) Če storilec ne razpolaga s podatki iz prejšnjega odstavka, lahko vloži zahtevo za zaznambo vrstnega reda na obrazcu iz priloge 4.</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(5) Po prejemu skrajšane prijave agencija preveri, ali je pred prejemom te prijave že prejela skrajšano ali celovito izjavo v zvezi z istim domnevnim kartelom od drugega storilca. Če agencija takšne izjave ni prejela od drugega storilca in meni, da skrajšana prijava izpolnjuje zahteve iz tretjega odstavka tega člena, o tem obvesti storilca.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(6) Dokler agencija ne zahteva vložitve celovite izjave skladno s sedmim odstavkom tega člena lahko agencija zahteva od storilca posebna pojasnila le glede informacij, določenih v tretjem odstavku tega člena.</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lastRenderedPageBreak/>
        <w:t xml:space="preserve">(7) Potem ko je Evropska komisija obvestila agencijo, da v celoti ali deloma ne namerava obravnavati zadeve, lahko storilec vloži pri agenciji celovito izjavo.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(8) V izrednih primerih, kadar je to nujno potrebno zaradi natančne opredelitve zadeve ali dodelitve zadeve, lahko agencija od storilca zahteva vložitev celovite izjave, še preden je Evropska komisija obvestila agencijo, da v celoti ali deloma ne namerava obravnavati zadeve.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(9) Če agencija uvede postopek ugotavljanja kršitve na podlagi skrajšane prijave, določi rok, v katerem mora storilec vložiti izjavo na obrazcu iz priloge 1. Če storilec vloži izjave, se šteje, da je bila vložena v trenutku vložitve skrajšane prijave. Storilec lahko vsak čas prostovoljno vloži izjavo na obrazcu iz priloge 1 še pred navedenim obdobjem.</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(10) Skrajšano prijavo lahko agencija brez privolitve storilca v skladu z drugo alinejo drugega odstavka 6. člena te uredbe posreduje organom, pristojnim za varstvo konkurence drugih držav članic.</w:t>
      </w:r>
    </w:p>
    <w:p w:rsidR="00736A33" w:rsidRPr="002F30DF" w:rsidRDefault="00736A33" w:rsidP="00736A33">
      <w:pPr>
        <w:pStyle w:val="Poglavje"/>
        <w:spacing w:before="0" w:line="240" w:lineRule="exact"/>
        <w:rPr>
          <w:sz w:val="20"/>
          <w:szCs w:val="20"/>
        </w:rPr>
      </w:pPr>
    </w:p>
    <w:p w:rsidR="00736A33" w:rsidRPr="002F30DF" w:rsidRDefault="00736A33" w:rsidP="00736A33">
      <w:pPr>
        <w:pStyle w:val="Poglavje"/>
        <w:spacing w:before="0" w:line="240" w:lineRule="exact"/>
        <w:rPr>
          <w:sz w:val="20"/>
          <w:szCs w:val="20"/>
        </w:rPr>
      </w:pPr>
      <w:r w:rsidRPr="002F30DF">
        <w:rPr>
          <w:sz w:val="20"/>
          <w:szCs w:val="20"/>
        </w:rPr>
        <w:t>IV. ZNIŽANJE SANKCIJE</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15.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Storilcu, ki ne izpolni pogojev za odpustitev sankcije oziroma vloži izjavo na agenciji po tem, ko je drugi storilec že izpolnil pogoje za odpustitev sankcije, se sankcija lahko zniža, če izpolnjuje pogoje iz drugega odstavka 9</w:t>
      </w:r>
      <w:r w:rsidR="005717F4" w:rsidRPr="002F30DF">
        <w:rPr>
          <w:sz w:val="20"/>
          <w:szCs w:val="20"/>
        </w:rPr>
        <w:t>0</w:t>
      </w:r>
      <w:r w:rsidRPr="002F30DF">
        <w:rPr>
          <w:sz w:val="20"/>
          <w:szCs w:val="20"/>
        </w:rPr>
        <w:t>. člena zakona in te uredbe.</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16.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Znatno dodano vrednost predstavljajo dokazi o obstoju kršitve, ki jih predloži storilec, v obsegu, v katerem po svoji naravi in/ali stopnji podrobnosti povečajo možnost, da agencija ugotovi kršitev glede na dokaze, ki jih že ima. Šteje se, da imajo večjo vrednost: </w:t>
      </w:r>
    </w:p>
    <w:p w:rsidR="00736A33" w:rsidRPr="002F30DF" w:rsidRDefault="00736A33" w:rsidP="00736A33">
      <w:pPr>
        <w:pStyle w:val="Alineazaodstavkom"/>
        <w:numPr>
          <w:ilvl w:val="0"/>
          <w:numId w:val="105"/>
        </w:numPr>
        <w:spacing w:line="240" w:lineRule="exact"/>
        <w:rPr>
          <w:sz w:val="20"/>
          <w:szCs w:val="20"/>
        </w:rPr>
      </w:pPr>
      <w:r w:rsidRPr="002F30DF">
        <w:rPr>
          <w:sz w:val="20"/>
          <w:szCs w:val="20"/>
        </w:rPr>
        <w:t xml:space="preserve">pisni dokazi, ki izhajajo iz obdobja izvršitve dejanja, ki pomeni kršitev, od dokazov, ki izhajajo iz obdobja po izvršitvi dejanja, ki pomeni kršitev, in se nanašajo na to dejanje; </w:t>
      </w:r>
    </w:p>
    <w:p w:rsidR="00736A33" w:rsidRPr="002F30DF" w:rsidRDefault="00736A33" w:rsidP="00736A33">
      <w:pPr>
        <w:pStyle w:val="Alineazaodstavkom"/>
        <w:numPr>
          <w:ilvl w:val="0"/>
          <w:numId w:val="105"/>
        </w:numPr>
        <w:spacing w:line="240" w:lineRule="exact"/>
        <w:rPr>
          <w:sz w:val="20"/>
          <w:szCs w:val="20"/>
        </w:rPr>
      </w:pPr>
      <w:r w:rsidRPr="002F30DF">
        <w:rPr>
          <w:sz w:val="20"/>
          <w:szCs w:val="20"/>
        </w:rPr>
        <w:lastRenderedPageBreak/>
        <w:t xml:space="preserve">obremenilni dokazi, ki se neposredno nanašajo na kršitev, od dokazov, ki so zgolj posredno povezani s kršitvijo; </w:t>
      </w:r>
    </w:p>
    <w:p w:rsidR="00736A33" w:rsidRPr="002F30DF" w:rsidRDefault="00736A33" w:rsidP="00736A33">
      <w:pPr>
        <w:pStyle w:val="Alineazaodstavkom"/>
        <w:numPr>
          <w:ilvl w:val="0"/>
          <w:numId w:val="105"/>
        </w:numPr>
        <w:spacing w:line="240" w:lineRule="exact"/>
        <w:rPr>
          <w:sz w:val="20"/>
          <w:szCs w:val="20"/>
        </w:rPr>
      </w:pPr>
      <w:r w:rsidRPr="002F30DF">
        <w:rPr>
          <w:sz w:val="20"/>
          <w:szCs w:val="20"/>
        </w:rPr>
        <w:t>dokazi, ki jih ni treba dopolniti, da bi se lahko uporabili zoper druge storilce, udeležene pri kršitvi.</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17.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 xml:space="preserve">(1) Pri določanju stopnje znižanja sankcije agencija upošteva čas predložitve dokazov agenciji, vrstni red izjav in prispevek predloženih dokazov k ugotovitvi kršitve. </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(2) Če storilec predloži prepričljive dokaze, ki jih agencija uporabi za dokazovanje dodatnih dejstev, ki privedejo do povišanja sankcij v primerjavi s sankcijami, ki bi se sicer izrekle udeležencem v kartelu, agencija pri določanju sankcij, ki se izreče storilcu za znižanje sankcije, ki je priskrbel ta dokaz, ne upošteva takih dodatnih dejstev.</w:t>
      </w:r>
    </w:p>
    <w:p w:rsidR="00736A33" w:rsidRPr="002F30DF" w:rsidRDefault="00736A33" w:rsidP="00736A33">
      <w:pPr>
        <w:pStyle w:val="Poglavje"/>
        <w:spacing w:before="0" w:line="240" w:lineRule="exact"/>
        <w:rPr>
          <w:sz w:val="20"/>
          <w:szCs w:val="20"/>
        </w:rPr>
      </w:pPr>
    </w:p>
    <w:p w:rsidR="00736A33" w:rsidRPr="002F30DF" w:rsidRDefault="00736A33" w:rsidP="00736A33">
      <w:pPr>
        <w:pStyle w:val="Poglavje"/>
        <w:spacing w:before="0" w:line="240" w:lineRule="exact"/>
        <w:rPr>
          <w:sz w:val="20"/>
          <w:szCs w:val="20"/>
        </w:rPr>
      </w:pPr>
      <w:r w:rsidRPr="002F30DF">
        <w:rPr>
          <w:sz w:val="20"/>
          <w:szCs w:val="20"/>
        </w:rPr>
        <w:t>V. KONČNA DOLOČBA</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18. člen</w:t>
      </w:r>
    </w:p>
    <w:p w:rsidR="00736A33" w:rsidRPr="002F30DF" w:rsidRDefault="00736A33" w:rsidP="00736A33">
      <w:pPr>
        <w:pStyle w:val="Odstavek"/>
        <w:spacing w:before="0" w:line="240" w:lineRule="exact"/>
        <w:ind w:firstLine="0"/>
        <w:rPr>
          <w:sz w:val="20"/>
          <w:szCs w:val="20"/>
        </w:rPr>
      </w:pPr>
    </w:p>
    <w:p w:rsidR="00736A33" w:rsidRPr="002F30DF" w:rsidRDefault="00736A33" w:rsidP="00736A33">
      <w:pPr>
        <w:pStyle w:val="Odstavek"/>
        <w:spacing w:before="0" w:line="240" w:lineRule="exact"/>
        <w:ind w:firstLine="0"/>
        <w:rPr>
          <w:sz w:val="20"/>
          <w:szCs w:val="20"/>
        </w:rPr>
      </w:pPr>
      <w:r w:rsidRPr="002F30DF">
        <w:rPr>
          <w:sz w:val="20"/>
          <w:szCs w:val="20"/>
        </w:rPr>
        <w:t>Postopki za odpustitev in znižanje globe, ki jih je agencija prejela do dneva začetka veljavnosti te uredbe, se dokončajo po dosedanjih predpisih.</w:t>
      </w:r>
    </w:p>
    <w:p w:rsidR="00736A33" w:rsidRPr="002F30DF" w:rsidRDefault="00736A33" w:rsidP="00736A33">
      <w:pPr>
        <w:pStyle w:val="len"/>
        <w:spacing w:before="0" w:line="240" w:lineRule="exact"/>
        <w:rPr>
          <w:sz w:val="20"/>
          <w:szCs w:val="20"/>
        </w:rPr>
      </w:pPr>
    </w:p>
    <w:p w:rsidR="00736A33" w:rsidRPr="002F30DF" w:rsidRDefault="00736A33" w:rsidP="00736A33">
      <w:pPr>
        <w:pStyle w:val="len"/>
        <w:spacing w:before="0" w:line="240" w:lineRule="exact"/>
        <w:rPr>
          <w:sz w:val="20"/>
          <w:szCs w:val="20"/>
        </w:rPr>
      </w:pPr>
      <w:r w:rsidRPr="002F30DF">
        <w:rPr>
          <w:sz w:val="20"/>
          <w:szCs w:val="20"/>
        </w:rPr>
        <w:t>19. člen</w:t>
      </w:r>
    </w:p>
    <w:p w:rsidR="00736A33" w:rsidRPr="002F30DF" w:rsidRDefault="00736A33" w:rsidP="00736A33">
      <w:pPr>
        <w:pStyle w:val="rta"/>
        <w:spacing w:before="0" w:line="240" w:lineRule="exact"/>
        <w:jc w:val="both"/>
        <w:rPr>
          <w:sz w:val="20"/>
          <w:szCs w:val="20"/>
        </w:rPr>
      </w:pPr>
    </w:p>
    <w:p w:rsidR="00736A33" w:rsidRPr="002F30DF" w:rsidRDefault="00736A33" w:rsidP="00736A33">
      <w:pPr>
        <w:pStyle w:val="rta"/>
        <w:spacing w:before="0" w:line="240" w:lineRule="exact"/>
        <w:jc w:val="both"/>
        <w:rPr>
          <w:sz w:val="20"/>
          <w:szCs w:val="20"/>
        </w:rPr>
      </w:pPr>
      <w:r w:rsidRPr="002F30DF">
        <w:rPr>
          <w:sz w:val="20"/>
          <w:szCs w:val="20"/>
        </w:rPr>
        <w:t>Ta uredba začne veljati ____________________.</w:t>
      </w:r>
    </w:p>
    <w:p w:rsidR="00736A33" w:rsidRPr="002F30DF" w:rsidRDefault="00736A33" w:rsidP="00736A33">
      <w:pPr>
        <w:pStyle w:val="Priloga"/>
        <w:spacing w:before="0" w:after="0" w:line="240" w:lineRule="exact"/>
        <w:rPr>
          <w:b/>
          <w:sz w:val="20"/>
          <w:szCs w:val="20"/>
        </w:rPr>
      </w:pP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1: Obrazec izjave za odpustitev in/ali znižanje globe</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2: Obrazec hipotetične prijave</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3: Obrazec skrajšane prijave</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4: Obrazec zahteve za zaznambo vrstnega reda</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5: Obrazec potrdila o obvestitvi</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6: Obrazec potrdila o prejemu</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7: Obrazec seznama prilog</w:t>
      </w:r>
    </w:p>
    <w:p w:rsidR="00736A33" w:rsidRPr="002F30DF" w:rsidRDefault="00736A33" w:rsidP="0054694D">
      <w:pPr>
        <w:pStyle w:val="Prehodneinkoncnedolocbe"/>
        <w:spacing w:before="0" w:after="0" w:line="240" w:lineRule="exact"/>
        <w:rPr>
          <w:rFonts w:cs="Arial"/>
          <w:b w:val="0"/>
          <w:sz w:val="20"/>
          <w:szCs w:val="20"/>
        </w:rPr>
      </w:pPr>
      <w:r w:rsidRPr="002F30DF">
        <w:rPr>
          <w:rFonts w:cs="Arial"/>
          <w:b w:val="0"/>
          <w:sz w:val="20"/>
          <w:szCs w:val="20"/>
        </w:rPr>
        <w:t>Priloga 8: Obrazec seznama dokazov</w:t>
      </w:r>
    </w:p>
    <w:p w:rsidR="00736A33" w:rsidRPr="002F30DF" w:rsidRDefault="00736A33" w:rsidP="0054694D">
      <w:pPr>
        <w:pStyle w:val="Prehodneinkoncnedolocbe"/>
        <w:spacing w:before="0" w:after="0" w:line="240" w:lineRule="exact"/>
        <w:rPr>
          <w:rFonts w:cs="Arial"/>
          <w:sz w:val="20"/>
          <w:szCs w:val="20"/>
        </w:rPr>
      </w:pPr>
      <w:r w:rsidRPr="002F30DF">
        <w:rPr>
          <w:rFonts w:cs="Arial"/>
          <w:b w:val="0"/>
          <w:sz w:val="20"/>
          <w:szCs w:val="20"/>
        </w:rPr>
        <w:t>Priloga 9: Obrazec seznama dokazov, ki je priloga hipotetične prijave</w:t>
      </w:r>
      <w:r w:rsidRPr="002F30DF" w:rsidDel="004711B4">
        <w:rPr>
          <w:rFonts w:cs="Arial"/>
          <w:sz w:val="20"/>
          <w:szCs w:val="20"/>
        </w:rPr>
        <w:t xml:space="preserve">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br w:type="page"/>
      </w:r>
    </w:p>
    <w:p w:rsidR="00736A33" w:rsidRPr="002F30DF" w:rsidRDefault="00736A33" w:rsidP="00736A33">
      <w:pPr>
        <w:pStyle w:val="Odstavekseznama"/>
        <w:numPr>
          <w:ilvl w:val="0"/>
          <w:numId w:val="103"/>
        </w:numPr>
        <w:shd w:val="clear" w:color="auto" w:fill="D9D9D9" w:themeFill="background1" w:themeFillShade="D9"/>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lastRenderedPageBreak/>
        <w:t>PRAVILNIK O SLUŽBENI IZKAZNICI POOBLAŠČENE URADNE OSEBE JAVNE AGENCIJA REPUBLIKE SLOVENIJE ZA VARSTVO KONKURENCE</w:t>
      </w:r>
    </w:p>
    <w:p w:rsidR="00736A33" w:rsidRPr="002F30DF" w:rsidRDefault="00736A33" w:rsidP="00736A33">
      <w:pPr>
        <w:pStyle w:val="Odstavekseznama"/>
        <w:spacing w:line="240" w:lineRule="exact"/>
        <w:ind w:left="426"/>
        <w:rPr>
          <w:rFonts w:cs="Arial"/>
          <w:b/>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 xml:space="preserve">preambula </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Na podlagi tretjega odstavka 5</w:t>
      </w:r>
      <w:r w:rsidR="005717F4" w:rsidRPr="002F30DF">
        <w:rPr>
          <w:rFonts w:cs="Arial"/>
          <w:sz w:val="20"/>
          <w:szCs w:val="20"/>
        </w:rPr>
        <w:t>7</w:t>
      </w:r>
      <w:r w:rsidRPr="002F30DF">
        <w:rPr>
          <w:rFonts w:cs="Arial"/>
          <w:sz w:val="20"/>
          <w:szCs w:val="20"/>
        </w:rPr>
        <w:t>. člena Zakona o preprečevanju omejevanja konkurence (Uradni list RS, št. _____; ) izdaja minister za gospodarski razvoj in tehnologijo</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okvirni naslov podzakonskega akta: PRAVILNIK O SLUŽBENI IZKAZNICI POOBLAŠČENE URADNE OSEBE REPUBLIKE SLOVENIJE ZA VARSTVO KONKURENCE</w:t>
      </w: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vsebina, opisana po vsebinskih sklopih:</w:t>
      </w:r>
    </w:p>
    <w:p w:rsidR="00736A33" w:rsidRPr="002F30DF" w:rsidRDefault="00736A33" w:rsidP="00736A33">
      <w:pPr>
        <w:spacing w:line="240" w:lineRule="exact"/>
        <w:rPr>
          <w:rFonts w:cs="Arial"/>
          <w:b/>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PREDMET UREJANJA (VSEBINA AKTA)</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tabs>
          <w:tab w:val="left" w:pos="567"/>
        </w:tabs>
        <w:spacing w:line="240" w:lineRule="exact"/>
        <w:rPr>
          <w:rFonts w:cs="Arial"/>
          <w:sz w:val="20"/>
          <w:szCs w:val="20"/>
        </w:rPr>
      </w:pPr>
      <w:r w:rsidRPr="002F30DF">
        <w:rPr>
          <w:rFonts w:cs="Arial"/>
          <w:sz w:val="20"/>
          <w:szCs w:val="20"/>
        </w:rPr>
        <w:t>Minister za gospodarski razvoj in tehnologijo v skladu s tretjim odstavkom 5</w:t>
      </w:r>
      <w:r w:rsidR="005717F4" w:rsidRPr="002F30DF">
        <w:rPr>
          <w:rFonts w:cs="Arial"/>
          <w:sz w:val="20"/>
          <w:szCs w:val="20"/>
        </w:rPr>
        <w:t>7</w:t>
      </w:r>
      <w:r w:rsidRPr="002F30DF">
        <w:rPr>
          <w:rFonts w:cs="Arial"/>
          <w:sz w:val="20"/>
          <w:szCs w:val="20"/>
        </w:rPr>
        <w:t>. člena zakona o preprečevanju omejevanja konkurence (Uradni list RS, št. ______) predpiše obliko službene izkaznice in postopek za njeno izdajo.</w:t>
      </w:r>
    </w:p>
    <w:p w:rsidR="00736A33" w:rsidRPr="002F30DF" w:rsidRDefault="00736A33" w:rsidP="00736A33">
      <w:pPr>
        <w:pStyle w:val="Odstavekseznama"/>
        <w:tabs>
          <w:tab w:val="left" w:pos="567"/>
        </w:tabs>
        <w:spacing w:line="240" w:lineRule="exact"/>
        <w:ind w:left="567"/>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PREDSTAVITEV PO VSEBINSKIH SKLOPIH (ZA VSAK VSEBINSKI SKLOP POSEBEJ):</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i/>
          <w:sz w:val="20"/>
          <w:szCs w:val="20"/>
        </w:rPr>
      </w:pPr>
      <w:r w:rsidRPr="002F30DF">
        <w:rPr>
          <w:rFonts w:cs="Arial"/>
          <w:i/>
          <w:sz w:val="20"/>
          <w:szCs w:val="20"/>
        </w:rPr>
        <w:t>1. Opis ukrepa in rešitve</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Pravilnik ureja obliko službene izkaznice pooblaščene uradne osebe agencije ter postopek po katerem bo službena izkaznica izdana.</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i/>
          <w:sz w:val="20"/>
          <w:szCs w:val="20"/>
        </w:rPr>
      </w:pPr>
      <w:r w:rsidRPr="002F30DF">
        <w:rPr>
          <w:rFonts w:cs="Arial"/>
          <w:i/>
          <w:sz w:val="20"/>
          <w:szCs w:val="20"/>
        </w:rPr>
        <w:t>2. Naslovnik</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 xml:space="preserve">Naslovnik je agencija, ki bo pooblaščenim uradnim osebam izdala službene izkaznice po postopku navedenem v pravilniku. </w:t>
      </w:r>
    </w:p>
    <w:p w:rsidR="00736A33" w:rsidRPr="002F30DF" w:rsidRDefault="00736A33" w:rsidP="00736A33">
      <w:pPr>
        <w:spacing w:line="240" w:lineRule="exact"/>
        <w:rPr>
          <w:rFonts w:cs="Arial"/>
          <w:sz w:val="20"/>
          <w:szCs w:val="20"/>
        </w:rPr>
      </w:pPr>
    </w:p>
    <w:p w:rsidR="00736A33" w:rsidRPr="002F30DF" w:rsidRDefault="00736A33" w:rsidP="00736A33">
      <w:pPr>
        <w:tabs>
          <w:tab w:val="left" w:pos="567"/>
        </w:tabs>
        <w:spacing w:line="240" w:lineRule="exact"/>
        <w:rPr>
          <w:rFonts w:cs="Arial"/>
          <w:i/>
          <w:sz w:val="20"/>
          <w:szCs w:val="20"/>
        </w:rPr>
      </w:pPr>
      <w:r w:rsidRPr="002F30DF">
        <w:rPr>
          <w:rFonts w:cs="Arial"/>
          <w:i/>
          <w:sz w:val="20"/>
          <w:szCs w:val="20"/>
        </w:rPr>
        <w:t>3. Pravne posledice</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lastRenderedPageBreak/>
        <w:t>PREHODNI REŽIM</w:t>
      </w:r>
    </w:p>
    <w:p w:rsidR="00736A33" w:rsidRPr="002F30DF" w:rsidRDefault="00736A33" w:rsidP="00736A33">
      <w:pPr>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Predvideno bo, da v vmesnem času pooblaščene uradne osebe agencije izkazujejo pooblastilo za opravljanje preiskave s pisnim pooblastilom direktorja agencije, ki vsebuje tudi obseg pooblastil.</w:t>
      </w:r>
    </w:p>
    <w:p w:rsidR="00736A33" w:rsidRPr="002F30DF" w:rsidRDefault="00736A33" w:rsidP="00736A33">
      <w:pPr>
        <w:spacing w:line="240" w:lineRule="exact"/>
        <w:rPr>
          <w:rFonts w:cs="Arial"/>
          <w:sz w:val="20"/>
          <w:szCs w:val="20"/>
        </w:rPr>
      </w:pPr>
    </w:p>
    <w:p w:rsidR="00736A33" w:rsidRPr="002F30DF" w:rsidRDefault="00736A33" w:rsidP="00736A33">
      <w:pPr>
        <w:pStyle w:val="Odstavekseznama"/>
        <w:numPr>
          <w:ilvl w:val="1"/>
          <w:numId w:val="104"/>
        </w:numPr>
        <w:overflowPunct/>
        <w:autoSpaceDE/>
        <w:autoSpaceDN/>
        <w:adjustRightInd/>
        <w:spacing w:line="240" w:lineRule="exact"/>
        <w:ind w:left="709"/>
        <w:contextualSpacing/>
        <w:textAlignment w:val="auto"/>
        <w:rPr>
          <w:rFonts w:cs="Arial"/>
          <w:sz w:val="20"/>
          <w:szCs w:val="20"/>
          <w:u w:val="single"/>
        </w:rPr>
      </w:pPr>
      <w:r w:rsidRPr="002F30DF">
        <w:rPr>
          <w:rFonts w:cs="Arial"/>
          <w:sz w:val="20"/>
          <w:szCs w:val="20"/>
          <w:u w:val="single"/>
        </w:rPr>
        <w:t>ZAČETEK VELJAVNOSTI</w:t>
      </w:r>
    </w:p>
    <w:p w:rsidR="00736A33" w:rsidRPr="002F30DF" w:rsidRDefault="00736A33" w:rsidP="00736A33">
      <w:pPr>
        <w:tabs>
          <w:tab w:val="left" w:pos="567"/>
        </w:tabs>
        <w:spacing w:line="240" w:lineRule="exact"/>
        <w:rPr>
          <w:rFonts w:cs="Arial"/>
          <w:sz w:val="20"/>
          <w:szCs w:val="20"/>
        </w:rPr>
      </w:pPr>
    </w:p>
    <w:p w:rsidR="00736A33" w:rsidRPr="002F30DF" w:rsidRDefault="00736A33" w:rsidP="00736A33">
      <w:pPr>
        <w:spacing w:line="240" w:lineRule="exact"/>
        <w:rPr>
          <w:rFonts w:cs="Arial"/>
          <w:sz w:val="20"/>
          <w:szCs w:val="20"/>
        </w:rPr>
      </w:pPr>
      <w:r w:rsidRPr="002F30DF">
        <w:rPr>
          <w:rFonts w:cs="Arial"/>
          <w:sz w:val="20"/>
          <w:szCs w:val="20"/>
        </w:rPr>
        <w:t>Ta pravilnik začne veljati ________________.</w:t>
      </w: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pStyle w:val="Odstavekseznama"/>
        <w:numPr>
          <w:ilvl w:val="0"/>
          <w:numId w:val="104"/>
        </w:numPr>
        <w:overflowPunct/>
        <w:autoSpaceDE/>
        <w:autoSpaceDN/>
        <w:adjustRightInd/>
        <w:spacing w:line="240" w:lineRule="exact"/>
        <w:ind w:left="426"/>
        <w:contextualSpacing/>
        <w:textAlignment w:val="auto"/>
        <w:rPr>
          <w:rFonts w:cs="Arial"/>
          <w:b/>
          <w:sz w:val="20"/>
          <w:szCs w:val="20"/>
        </w:rPr>
      </w:pPr>
      <w:r w:rsidRPr="002F30DF">
        <w:rPr>
          <w:rFonts w:cs="Arial"/>
          <w:b/>
          <w:sz w:val="20"/>
          <w:szCs w:val="20"/>
        </w:rPr>
        <w:t>normativni del</w:t>
      </w: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tabs>
          <w:tab w:val="left" w:pos="708"/>
        </w:tabs>
        <w:spacing w:line="240" w:lineRule="exact"/>
        <w:rPr>
          <w:rFonts w:cs="Arial"/>
          <w:b/>
          <w:sz w:val="20"/>
          <w:szCs w:val="20"/>
        </w:rPr>
      </w:pPr>
      <w:r w:rsidRPr="002F30DF">
        <w:rPr>
          <w:rFonts w:cs="Arial"/>
          <w:b/>
          <w:sz w:val="20"/>
          <w:szCs w:val="20"/>
        </w:rPr>
        <w:t>NORMATIVNI DEL</w:t>
      </w:r>
    </w:p>
    <w:p w:rsidR="00736A33" w:rsidRPr="002F30DF" w:rsidRDefault="00736A33" w:rsidP="00736A33">
      <w:pPr>
        <w:tabs>
          <w:tab w:val="left" w:pos="708"/>
        </w:tabs>
        <w:spacing w:line="240" w:lineRule="exact"/>
        <w:rPr>
          <w:rFonts w:cs="Arial"/>
          <w:b/>
          <w:sz w:val="20"/>
          <w:szCs w:val="20"/>
        </w:rPr>
      </w:pPr>
    </w:p>
    <w:p w:rsidR="00736A33" w:rsidRPr="002F30DF" w:rsidRDefault="00736A33" w:rsidP="00736A33">
      <w:pPr>
        <w:tabs>
          <w:tab w:val="left" w:pos="708"/>
        </w:tabs>
        <w:spacing w:line="240" w:lineRule="exact"/>
        <w:jc w:val="center"/>
        <w:rPr>
          <w:rFonts w:cs="Arial"/>
          <w:b/>
          <w:sz w:val="20"/>
          <w:szCs w:val="20"/>
        </w:rPr>
      </w:pPr>
      <w:r w:rsidRPr="002F30DF">
        <w:rPr>
          <w:rFonts w:cs="Arial"/>
          <w:b/>
          <w:sz w:val="20"/>
          <w:szCs w:val="20"/>
        </w:rPr>
        <w:t>1.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S tem pravilnikom se ureja oblika službene izkaznice pooblaščene uradne osebe agencije, ki je pristojna za varstvo konkurence (v nadaljnjem besedilu: agencija) in postopek za njeno izdajo.</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2.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Službena izkaznica (v nadaljnjem besedilu: izkaznica) se izda pooblaščenim uradnim osebam agencije za opravljanje preiskave v skladu s pooblastili po Zakonu o preprečevanju omejevanja konkurence (Uradni list RS, št. __________; v nadaljnjem besedilu: zakon), ter se z njo izkazuje pooblaščenost za izvajanje teh pooblastil.</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3.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Izkaznica je vstavljena v usnjen ovitek, ki je sestavni del izkaznice.</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4.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Temno moder usnjeni ovitek v velikosti 100 x 70 mm ima:</w:t>
      </w:r>
    </w:p>
    <w:p w:rsidR="00736A33" w:rsidRPr="002F30DF" w:rsidRDefault="00736A33" w:rsidP="00736A33">
      <w:pPr>
        <w:pStyle w:val="Alineazaodstavkom"/>
        <w:numPr>
          <w:ilvl w:val="0"/>
          <w:numId w:val="127"/>
        </w:numPr>
        <w:rPr>
          <w:sz w:val="20"/>
          <w:szCs w:val="20"/>
        </w:rPr>
      </w:pPr>
      <w:r w:rsidRPr="002F30DF">
        <w:rPr>
          <w:sz w:val="20"/>
          <w:szCs w:val="20"/>
        </w:rPr>
        <w:lastRenderedPageBreak/>
        <w:t>na prvi strani v zlati barvi na vrhu vtisnjen grb Republike Slovenije, pod njim pa napisano besedilo: “REPUBLIKA SLOVENIJA”. Pod besedilom “REPUBLIKA SLOVENIJA” je napisan naziv: “JAVNA AGENCIJA REPUBLIKE SLOVENIJE ____________”;</w:t>
      </w:r>
    </w:p>
    <w:p w:rsidR="00736A33" w:rsidRPr="002F30DF" w:rsidRDefault="00736A33" w:rsidP="00736A33">
      <w:pPr>
        <w:pStyle w:val="Alineazaodstavkom"/>
        <w:numPr>
          <w:ilvl w:val="0"/>
          <w:numId w:val="127"/>
        </w:numPr>
        <w:rPr>
          <w:sz w:val="20"/>
          <w:szCs w:val="20"/>
        </w:rPr>
      </w:pPr>
      <w:r w:rsidRPr="002F30DF">
        <w:rPr>
          <w:sz w:val="20"/>
          <w:szCs w:val="20"/>
        </w:rPr>
        <w:t>drugo in zadnjo stran prazno;</w:t>
      </w:r>
    </w:p>
    <w:p w:rsidR="00736A33" w:rsidRPr="002F30DF" w:rsidRDefault="00736A33" w:rsidP="00736A33">
      <w:pPr>
        <w:pStyle w:val="Alineazaodstavkom"/>
        <w:numPr>
          <w:ilvl w:val="0"/>
          <w:numId w:val="127"/>
        </w:numPr>
        <w:rPr>
          <w:sz w:val="20"/>
          <w:szCs w:val="20"/>
        </w:rPr>
      </w:pPr>
      <w:r w:rsidRPr="002F30DF">
        <w:rPr>
          <w:sz w:val="20"/>
          <w:szCs w:val="20"/>
        </w:rPr>
        <w:t>na drugi strani pod prozornim ovitkom prostor za izkaznico.</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5.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(1) Obrazec izkaznice v velikosti 85 x 55 mm vsebuje:</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1.      na prvi strani:</w:t>
      </w:r>
    </w:p>
    <w:p w:rsidR="00736A33" w:rsidRPr="002F30DF" w:rsidRDefault="00736A33" w:rsidP="00736A33">
      <w:pPr>
        <w:ind w:firstLine="709"/>
        <w:rPr>
          <w:rFonts w:cs="Arial"/>
          <w:sz w:val="20"/>
          <w:szCs w:val="20"/>
        </w:rPr>
      </w:pPr>
      <w:r w:rsidRPr="002F30DF">
        <w:rPr>
          <w:rFonts w:cs="Arial"/>
          <w:sz w:val="20"/>
          <w:szCs w:val="20"/>
        </w:rPr>
        <w:t>a)  v levem zgornjem kotu prostor za fotografijo imetnika izkaznice v velikosti 25 x 30 mm;</w:t>
      </w:r>
    </w:p>
    <w:p w:rsidR="00736A33" w:rsidRPr="002F30DF" w:rsidRDefault="00736A33" w:rsidP="00736A33">
      <w:pPr>
        <w:ind w:firstLine="709"/>
        <w:rPr>
          <w:rFonts w:cs="Arial"/>
          <w:sz w:val="20"/>
          <w:szCs w:val="20"/>
        </w:rPr>
      </w:pPr>
      <w:r w:rsidRPr="002F30DF">
        <w:rPr>
          <w:rFonts w:cs="Arial"/>
          <w:sz w:val="20"/>
          <w:szCs w:val="20"/>
        </w:rPr>
        <w:t>b)  pod fotografijo imetnika izkaznice je prostor za vpis:</w:t>
      </w:r>
    </w:p>
    <w:p w:rsidR="00736A33" w:rsidRPr="002F30DF" w:rsidRDefault="00736A33" w:rsidP="00736A33">
      <w:pPr>
        <w:pStyle w:val="Alineazaodstavkom"/>
        <w:numPr>
          <w:ilvl w:val="0"/>
          <w:numId w:val="128"/>
        </w:numPr>
        <w:rPr>
          <w:sz w:val="20"/>
          <w:szCs w:val="20"/>
        </w:rPr>
      </w:pPr>
      <w:r w:rsidRPr="002F30DF">
        <w:rPr>
          <w:sz w:val="20"/>
          <w:szCs w:val="20"/>
        </w:rPr>
        <w:t>osebnega imena imetnika izkaznice,</w:t>
      </w:r>
    </w:p>
    <w:p w:rsidR="00736A33" w:rsidRPr="002F30DF" w:rsidRDefault="00736A33" w:rsidP="00736A33">
      <w:pPr>
        <w:pStyle w:val="Alineazaodstavkom"/>
        <w:numPr>
          <w:ilvl w:val="0"/>
          <w:numId w:val="128"/>
        </w:numPr>
        <w:rPr>
          <w:sz w:val="20"/>
          <w:szCs w:val="20"/>
        </w:rPr>
      </w:pPr>
      <w:r w:rsidRPr="002F30DF">
        <w:rPr>
          <w:sz w:val="20"/>
          <w:szCs w:val="20"/>
        </w:rPr>
        <w:t>registrske številke,</w:t>
      </w:r>
    </w:p>
    <w:p w:rsidR="00736A33" w:rsidRPr="002F30DF" w:rsidRDefault="00736A33" w:rsidP="00736A33">
      <w:pPr>
        <w:ind w:left="1134" w:hanging="425"/>
        <w:rPr>
          <w:rFonts w:cs="Arial"/>
          <w:sz w:val="20"/>
          <w:szCs w:val="20"/>
        </w:rPr>
      </w:pPr>
      <w:r w:rsidRPr="002F30DF">
        <w:rPr>
          <w:rFonts w:cs="Arial"/>
          <w:sz w:val="20"/>
          <w:szCs w:val="20"/>
        </w:rPr>
        <w:t>c)   desno od prostora za fotografijo je grb Republike Slovenije in napis: “REPUBLIKA SLOVENIJA”, pod njim pa napis “JAVNA AGENCIJA REPUBLIKE SLOVENIJE _____________”;</w:t>
      </w:r>
    </w:p>
    <w:p w:rsidR="00736A33" w:rsidRPr="002F30DF" w:rsidRDefault="00736A33" w:rsidP="00736A33">
      <w:pPr>
        <w:ind w:left="1134" w:hanging="425"/>
        <w:rPr>
          <w:rFonts w:cs="Arial"/>
          <w:sz w:val="20"/>
          <w:szCs w:val="20"/>
        </w:rPr>
      </w:pPr>
      <w:r w:rsidRPr="002F30DF">
        <w:rPr>
          <w:rFonts w:cs="Arial"/>
          <w:sz w:val="20"/>
          <w:szCs w:val="20"/>
        </w:rPr>
        <w:t>č)  poleg fotografije v srednjem delu napis “SLUŽBENA IZKAZNICA”;</w:t>
      </w:r>
    </w:p>
    <w:p w:rsidR="00736A33" w:rsidRPr="002F30DF" w:rsidRDefault="00736A33" w:rsidP="00736A33">
      <w:pPr>
        <w:ind w:left="1134" w:hanging="425"/>
        <w:rPr>
          <w:rFonts w:cs="Arial"/>
          <w:sz w:val="20"/>
          <w:szCs w:val="20"/>
        </w:rPr>
      </w:pPr>
      <w:r w:rsidRPr="002F30DF">
        <w:rPr>
          <w:rFonts w:cs="Arial"/>
          <w:sz w:val="20"/>
          <w:szCs w:val="20"/>
        </w:rPr>
        <w:t>d) v spodnjem desnem kotu je prostor za podpis izdajatelja izkaznice, pod njim pa prostor za datum izdaje izkaznice;</w:t>
      </w:r>
    </w:p>
    <w:p w:rsidR="00736A33" w:rsidRPr="002F30DF" w:rsidRDefault="00736A33" w:rsidP="00736A33">
      <w:pPr>
        <w:ind w:left="1134" w:hanging="425"/>
        <w:rPr>
          <w:rFonts w:cs="Arial"/>
          <w:sz w:val="20"/>
          <w:szCs w:val="20"/>
        </w:rPr>
      </w:pPr>
      <w:r w:rsidRPr="002F30DF">
        <w:rPr>
          <w:rFonts w:cs="Arial"/>
          <w:sz w:val="20"/>
          <w:szCs w:val="20"/>
        </w:rPr>
        <w:t>e) v sredini spodaj je prostor za žig izdajatelja.</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2.      Na hrbtni strani izkaznice je navedeno naslednje besedilo:</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“Imetnik te izkaznice je pooblaščen, da v primerih in na način, kot je določeno z zakonom, ki ureja preprečevanje omejevanja konkurence, izvaja pooblastila na celotnem območju Republike Slovenije”.</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(2) Osnovna barva izkaznice je svetlo modra, barva tiska oziroma napisov pa črna.</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6.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(1) O izdanih, zamenjanih, izgubljenih in uničenih izkaznicah se vodi evidenca v organizacijski enoti agencije, pristojni za kadrovske zadeve.</w:t>
      </w:r>
    </w:p>
    <w:p w:rsidR="00736A33" w:rsidRPr="002F30DF" w:rsidRDefault="00736A33" w:rsidP="00736A33">
      <w:pPr>
        <w:rPr>
          <w:rFonts w:cs="Arial"/>
          <w:sz w:val="20"/>
          <w:szCs w:val="20"/>
        </w:rPr>
      </w:pPr>
      <w:r w:rsidRPr="002F30DF">
        <w:rPr>
          <w:rFonts w:cs="Arial"/>
          <w:sz w:val="20"/>
          <w:szCs w:val="20"/>
        </w:rPr>
        <w:lastRenderedPageBreak/>
        <w:t>(2) Evidenca o izkaznicah vsebuje:</w:t>
      </w:r>
    </w:p>
    <w:p w:rsidR="00736A33" w:rsidRPr="002F30DF" w:rsidRDefault="00736A33" w:rsidP="00736A33">
      <w:pPr>
        <w:rPr>
          <w:rFonts w:cs="Arial"/>
          <w:sz w:val="20"/>
          <w:szCs w:val="20"/>
        </w:rPr>
      </w:pPr>
      <w:r w:rsidRPr="002F30DF">
        <w:rPr>
          <w:rFonts w:cs="Arial"/>
          <w:sz w:val="20"/>
          <w:szCs w:val="20"/>
        </w:rPr>
        <w:t>1.      osebno ime in priimek imetnika izkaznice;</w:t>
      </w:r>
    </w:p>
    <w:p w:rsidR="00736A33" w:rsidRPr="002F30DF" w:rsidRDefault="00736A33" w:rsidP="00736A33">
      <w:pPr>
        <w:rPr>
          <w:rFonts w:cs="Arial"/>
          <w:sz w:val="20"/>
          <w:szCs w:val="20"/>
        </w:rPr>
      </w:pPr>
      <w:r w:rsidRPr="002F30DF">
        <w:rPr>
          <w:rFonts w:cs="Arial"/>
          <w:sz w:val="20"/>
          <w:szCs w:val="20"/>
        </w:rPr>
        <w:t>2.      datum izdaje;</w:t>
      </w:r>
    </w:p>
    <w:p w:rsidR="00736A33" w:rsidRPr="002F30DF" w:rsidRDefault="00736A33" w:rsidP="00736A33">
      <w:pPr>
        <w:rPr>
          <w:rFonts w:cs="Arial"/>
          <w:sz w:val="20"/>
          <w:szCs w:val="20"/>
        </w:rPr>
      </w:pPr>
      <w:r w:rsidRPr="002F30DF">
        <w:rPr>
          <w:rFonts w:cs="Arial"/>
          <w:sz w:val="20"/>
          <w:szCs w:val="20"/>
        </w:rPr>
        <w:t>3.      registrsko številko;</w:t>
      </w:r>
    </w:p>
    <w:p w:rsidR="00736A33" w:rsidRPr="002F30DF" w:rsidRDefault="00736A33" w:rsidP="00736A33">
      <w:pPr>
        <w:rPr>
          <w:rFonts w:cs="Arial"/>
          <w:sz w:val="20"/>
          <w:szCs w:val="20"/>
        </w:rPr>
      </w:pPr>
      <w:r w:rsidRPr="002F30DF">
        <w:rPr>
          <w:rFonts w:cs="Arial"/>
          <w:sz w:val="20"/>
          <w:szCs w:val="20"/>
        </w:rPr>
        <w:t>4.      datum prenehanja veljavnosti ali zamenjave izkaznice;</w:t>
      </w:r>
    </w:p>
    <w:p w:rsidR="00736A33" w:rsidRPr="002F30DF" w:rsidRDefault="00736A33" w:rsidP="00736A33">
      <w:pPr>
        <w:rPr>
          <w:rFonts w:cs="Arial"/>
          <w:sz w:val="20"/>
          <w:szCs w:val="20"/>
        </w:rPr>
      </w:pPr>
      <w:r w:rsidRPr="002F30DF">
        <w:rPr>
          <w:rFonts w:cs="Arial"/>
          <w:sz w:val="20"/>
          <w:szCs w:val="20"/>
        </w:rPr>
        <w:t>5.      razlog za prenehanje veljavnosti oziroma zamenjavo izkaznice ter</w:t>
      </w:r>
    </w:p>
    <w:p w:rsidR="00736A33" w:rsidRPr="002F30DF" w:rsidRDefault="00736A33" w:rsidP="00736A33">
      <w:pPr>
        <w:rPr>
          <w:rFonts w:cs="Arial"/>
          <w:sz w:val="20"/>
          <w:szCs w:val="20"/>
        </w:rPr>
      </w:pPr>
      <w:r w:rsidRPr="002F30DF">
        <w:rPr>
          <w:rFonts w:cs="Arial"/>
          <w:sz w:val="20"/>
          <w:szCs w:val="20"/>
        </w:rPr>
        <w:t>6.      izkaznice v hranjenju zaradi težje disciplinske kršitve pooblaščene uradne osebe.</w:t>
      </w:r>
    </w:p>
    <w:p w:rsidR="00736A33" w:rsidRPr="002F30DF" w:rsidRDefault="00736A33" w:rsidP="00736A33">
      <w:pPr>
        <w:rPr>
          <w:rFonts w:cs="Arial"/>
          <w:sz w:val="20"/>
          <w:szCs w:val="20"/>
        </w:rPr>
      </w:pP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7. člen</w:t>
      </w:r>
    </w:p>
    <w:p w:rsidR="00736A33" w:rsidRPr="002F30DF" w:rsidRDefault="00736A33" w:rsidP="00736A33">
      <w:pPr>
        <w:rPr>
          <w:rFonts w:cs="Arial"/>
          <w:sz w:val="20"/>
          <w:szCs w:val="20"/>
        </w:rPr>
      </w:pPr>
      <w:r w:rsidRPr="002F30DF">
        <w:rPr>
          <w:rFonts w:cs="Arial"/>
          <w:sz w:val="20"/>
          <w:szCs w:val="20"/>
        </w:rPr>
        <w:t>(1) Izkaznica preneha veljati z dnem:</w:t>
      </w:r>
    </w:p>
    <w:p w:rsidR="00736A33" w:rsidRPr="002F30DF" w:rsidRDefault="00736A33" w:rsidP="00736A33">
      <w:pPr>
        <w:pStyle w:val="Alineazaodstavkom"/>
        <w:numPr>
          <w:ilvl w:val="0"/>
          <w:numId w:val="129"/>
        </w:numPr>
        <w:ind w:left="714" w:hanging="357"/>
        <w:rPr>
          <w:sz w:val="20"/>
          <w:szCs w:val="20"/>
        </w:rPr>
      </w:pPr>
      <w:r w:rsidRPr="002F30DF">
        <w:rPr>
          <w:sz w:val="20"/>
          <w:szCs w:val="20"/>
        </w:rPr>
        <w:t>prenehanja delovnega razmerja imetnika izkaznice v agenciji;</w:t>
      </w:r>
    </w:p>
    <w:p w:rsidR="00736A33" w:rsidRPr="002F30DF" w:rsidRDefault="00736A33" w:rsidP="00736A33">
      <w:pPr>
        <w:pStyle w:val="Alineazaodstavkom"/>
        <w:numPr>
          <w:ilvl w:val="0"/>
          <w:numId w:val="129"/>
        </w:numPr>
        <w:ind w:left="714" w:hanging="357"/>
        <w:rPr>
          <w:sz w:val="20"/>
          <w:szCs w:val="20"/>
        </w:rPr>
      </w:pPr>
      <w:r w:rsidRPr="002F30DF">
        <w:rPr>
          <w:sz w:val="20"/>
          <w:szCs w:val="20"/>
        </w:rPr>
        <w:t>razporeditve imetnika izkaznice na delovno mesto, za katero ni predpisanih pooblastil.</w:t>
      </w:r>
    </w:p>
    <w:p w:rsidR="00736A33" w:rsidRPr="002F30DF" w:rsidRDefault="00736A33" w:rsidP="00736A33">
      <w:pPr>
        <w:rPr>
          <w:rFonts w:cs="Arial"/>
          <w:sz w:val="20"/>
          <w:szCs w:val="20"/>
        </w:rPr>
      </w:pPr>
    </w:p>
    <w:p w:rsidR="00736A33" w:rsidRPr="002F30DF" w:rsidRDefault="00736A33" w:rsidP="00736A33">
      <w:pPr>
        <w:rPr>
          <w:rFonts w:cs="Arial"/>
          <w:sz w:val="20"/>
          <w:szCs w:val="20"/>
        </w:rPr>
      </w:pPr>
      <w:r w:rsidRPr="002F30DF">
        <w:rPr>
          <w:rFonts w:cs="Arial"/>
          <w:sz w:val="20"/>
          <w:szCs w:val="20"/>
        </w:rPr>
        <w:t>(2) V primerih iz prejšnjega odstavka mora imetnik izkaznico takoj vrniti pristojni organizacijski enoti iz prvega odstavka 6. člena tega pravilnika.</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8. člen</w:t>
      </w:r>
    </w:p>
    <w:p w:rsidR="00736A33" w:rsidRPr="002F30DF" w:rsidRDefault="00736A33" w:rsidP="00736A33">
      <w:pPr>
        <w:rPr>
          <w:rFonts w:cs="Arial"/>
          <w:sz w:val="20"/>
          <w:szCs w:val="20"/>
        </w:rPr>
      </w:pPr>
      <w:r w:rsidRPr="002F30DF">
        <w:rPr>
          <w:rFonts w:cs="Arial"/>
          <w:sz w:val="20"/>
          <w:szCs w:val="20"/>
        </w:rPr>
        <w:t>(1) Izkaznica se zamenja oziroma izda nova, če:</w:t>
      </w:r>
    </w:p>
    <w:p w:rsidR="00736A33" w:rsidRPr="002F30DF" w:rsidRDefault="00736A33" w:rsidP="00736A33">
      <w:pPr>
        <w:pStyle w:val="Alineazaodstavkom"/>
        <w:numPr>
          <w:ilvl w:val="0"/>
          <w:numId w:val="130"/>
        </w:numPr>
        <w:rPr>
          <w:sz w:val="20"/>
          <w:szCs w:val="20"/>
        </w:rPr>
      </w:pPr>
      <w:r w:rsidRPr="002F30DF">
        <w:rPr>
          <w:sz w:val="20"/>
          <w:szCs w:val="20"/>
        </w:rPr>
        <w:t>jo imetnik izgubi ali mu je bila odtujena;</w:t>
      </w:r>
    </w:p>
    <w:p w:rsidR="00736A33" w:rsidRPr="002F30DF" w:rsidRDefault="00736A33" w:rsidP="00736A33">
      <w:pPr>
        <w:pStyle w:val="Alineazaodstavkom"/>
        <w:numPr>
          <w:ilvl w:val="0"/>
          <w:numId w:val="130"/>
        </w:numPr>
        <w:rPr>
          <w:sz w:val="20"/>
          <w:szCs w:val="20"/>
        </w:rPr>
      </w:pPr>
      <w:r w:rsidRPr="002F30DF">
        <w:rPr>
          <w:sz w:val="20"/>
          <w:szCs w:val="20"/>
        </w:rPr>
        <w:t>je izkaznica poškodovana;</w:t>
      </w:r>
    </w:p>
    <w:p w:rsidR="00736A33" w:rsidRPr="002F30DF" w:rsidRDefault="00736A33" w:rsidP="00736A33">
      <w:pPr>
        <w:pStyle w:val="Alineazaodstavkom"/>
        <w:numPr>
          <w:ilvl w:val="0"/>
          <w:numId w:val="130"/>
        </w:numPr>
        <w:rPr>
          <w:sz w:val="20"/>
          <w:szCs w:val="20"/>
        </w:rPr>
      </w:pPr>
      <w:r w:rsidRPr="002F30DF">
        <w:rPr>
          <w:sz w:val="20"/>
          <w:szCs w:val="20"/>
        </w:rPr>
        <w:t>se spremenijo podatki imetnika.</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(2) Imetnik mora v primeru katerega koli razloga iz prejšnjega odstavka to dejstvo nemudoma sporočiti pristojni organizacijski enoti iz prvega odstavka 6. člena tega pravilnika, da to označi v svojih evidencah.</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9.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Izkaznica se pooblaščeni uradni osebi agencije odvzame za čas do dokončnosti odločbe o disciplinski odgovornosti, ko zaradi težje disciplinske kršitve ne sme opravljati nalog nadzora.</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10.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lastRenderedPageBreak/>
        <w:t>Vrnjene izkaznice po 7. in 8. členu tega pravilnika se komisijsko uničijo. Komisijo za uničenje izkaznic določi pristojni minister. O uničenju se sestavi zapisnik. Za uničenje se šteje večkratno preluknjanje izkaznice.</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11.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Ovitek in obrazec izkaznice po določbah tega pravilnika sta objavljena v Prilogi 1, ki je kot priloga sestavni del tega pravilnika.</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PREHODNA IN KONČNA DOLOČBA</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12.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Izkaznice morajo biti izdane pooblaščenim uradnim osebam agencije v roku dveh mesecev po uveljavitvi tega pravilnika, do takrat pa le-te izkazujejo pooblastilo za opravljanje preiskave s pisnim pooblastilom direktorja agencije, ki vsebuje tudi obseg pooblastil.</w:t>
      </w:r>
    </w:p>
    <w:p w:rsidR="00736A33" w:rsidRPr="002F30DF" w:rsidRDefault="00736A33" w:rsidP="00736A33">
      <w:pPr>
        <w:spacing w:before="100" w:beforeAutospacing="1" w:after="100" w:afterAutospacing="1"/>
        <w:jc w:val="center"/>
        <w:rPr>
          <w:rFonts w:cs="Arial"/>
          <w:b/>
          <w:sz w:val="20"/>
          <w:szCs w:val="20"/>
        </w:rPr>
      </w:pPr>
      <w:r w:rsidRPr="002F30DF">
        <w:rPr>
          <w:rFonts w:cs="Arial"/>
          <w:b/>
          <w:sz w:val="20"/>
          <w:szCs w:val="20"/>
        </w:rPr>
        <w:t>13. člen</w:t>
      </w:r>
    </w:p>
    <w:p w:rsidR="00736A33" w:rsidRPr="002F30DF" w:rsidRDefault="00736A33" w:rsidP="00736A33">
      <w:pPr>
        <w:spacing w:before="100" w:beforeAutospacing="1" w:after="100" w:afterAutospacing="1"/>
        <w:rPr>
          <w:rFonts w:cs="Arial"/>
          <w:sz w:val="20"/>
          <w:szCs w:val="20"/>
        </w:rPr>
      </w:pPr>
      <w:r w:rsidRPr="002F30DF">
        <w:rPr>
          <w:rFonts w:cs="Arial"/>
          <w:sz w:val="20"/>
          <w:szCs w:val="20"/>
        </w:rPr>
        <w:t>Ta pravilnik začne veljati _______________.</w:t>
      </w:r>
    </w:p>
    <w:p w:rsidR="00736A33" w:rsidRPr="002F30DF" w:rsidRDefault="008F0D7B" w:rsidP="00736A33">
      <w:pPr>
        <w:spacing w:before="100" w:beforeAutospacing="1" w:after="100" w:afterAutospacing="1"/>
        <w:rPr>
          <w:rFonts w:cs="Arial"/>
          <w:bCs/>
          <w:sz w:val="20"/>
          <w:szCs w:val="20"/>
        </w:rPr>
      </w:pPr>
      <w:hyperlink r:id="rId142" w:history="1">
        <w:r w:rsidR="00736A33" w:rsidRPr="002F30DF">
          <w:rPr>
            <w:rFonts w:cs="Arial"/>
            <w:bCs/>
            <w:sz w:val="20"/>
            <w:szCs w:val="20"/>
          </w:rPr>
          <w:t>Priloga 1: Službena izkaznica pooblaščene uradne osebe Javne agencije Republike Slovenije za varstvo konkurence</w:t>
        </w:r>
      </w:hyperlink>
    </w:p>
    <w:p w:rsidR="00736A33" w:rsidRPr="002F30DF" w:rsidRDefault="00736A33" w:rsidP="00736A33">
      <w:pPr>
        <w:pStyle w:val="Oddelek"/>
        <w:suppressAutoHyphens/>
        <w:spacing w:before="0" w:line="260" w:lineRule="exact"/>
        <w:jc w:val="both"/>
        <w:outlineLvl w:val="3"/>
        <w:rPr>
          <w:b/>
          <w:sz w:val="20"/>
          <w:szCs w:val="20"/>
        </w:rPr>
      </w:pPr>
    </w:p>
    <w:p w:rsidR="00430B57" w:rsidRPr="002F30DF" w:rsidRDefault="00430B57" w:rsidP="00736A33">
      <w:pPr>
        <w:pStyle w:val="Oddelek"/>
        <w:suppressAutoHyphens/>
        <w:spacing w:before="0" w:line="260" w:lineRule="exact"/>
        <w:jc w:val="both"/>
        <w:outlineLvl w:val="3"/>
        <w:rPr>
          <w:b/>
          <w:sz w:val="20"/>
          <w:szCs w:val="20"/>
        </w:rPr>
      </w:pPr>
    </w:p>
    <w:p w:rsidR="00430B57" w:rsidRPr="002F30DF" w:rsidRDefault="00430B57" w:rsidP="00736A33">
      <w:pPr>
        <w:pStyle w:val="Oddelek"/>
        <w:suppressAutoHyphens/>
        <w:spacing w:before="0" w:line="260" w:lineRule="exact"/>
        <w:jc w:val="both"/>
        <w:outlineLvl w:val="3"/>
        <w:rPr>
          <w:b/>
          <w:sz w:val="20"/>
          <w:szCs w:val="20"/>
        </w:rPr>
      </w:pPr>
    </w:p>
    <w:p w:rsidR="00430B57" w:rsidRPr="002F30DF" w:rsidRDefault="00430B57" w:rsidP="00736A33">
      <w:pPr>
        <w:pStyle w:val="Oddelek"/>
        <w:suppressAutoHyphens/>
        <w:spacing w:before="0" w:line="260" w:lineRule="exact"/>
        <w:jc w:val="both"/>
        <w:outlineLvl w:val="3"/>
        <w:rPr>
          <w:b/>
          <w:sz w:val="20"/>
          <w:szCs w:val="20"/>
        </w:rPr>
      </w:pPr>
    </w:p>
    <w:p w:rsidR="00430B57" w:rsidRPr="002F30DF" w:rsidRDefault="00430B57" w:rsidP="00736A33">
      <w:pPr>
        <w:pStyle w:val="Oddelek"/>
        <w:suppressAutoHyphens/>
        <w:spacing w:before="0" w:line="260" w:lineRule="exact"/>
        <w:jc w:val="both"/>
        <w:outlineLvl w:val="3"/>
        <w:rPr>
          <w:b/>
          <w:sz w:val="20"/>
          <w:szCs w:val="20"/>
        </w:rPr>
      </w:pPr>
    </w:p>
    <w:sectPr w:rsidR="00430B57" w:rsidRPr="002F30DF" w:rsidSect="00342150">
      <w:footerReference w:type="default" r:id="rId143"/>
      <w:pgSz w:w="11907" w:h="16840" w:code="9"/>
      <w:pgMar w:top="1418" w:right="1418" w:bottom="1418" w:left="1418" w:header="709" w:footer="709"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0D7B" w:rsidRDefault="008F0D7B" w:rsidP="00443548">
      <w:r>
        <w:separator/>
      </w:r>
    </w:p>
    <w:p w:rsidR="008F0D7B" w:rsidRDefault="008F0D7B"/>
  </w:endnote>
  <w:endnote w:type="continuationSeparator" w:id="0">
    <w:p w:rsidR="008F0D7B" w:rsidRDefault="008F0D7B" w:rsidP="00443548">
      <w:r>
        <w:continuationSeparator/>
      </w:r>
    </w:p>
    <w:p w:rsidR="008F0D7B" w:rsidRDefault="008F0D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1"/>
    <w:family w:val="roman"/>
    <w:notTrueType/>
    <w:pitch w:val="variable"/>
    <w:sig w:usb0="00002000" w:usb1="00000000" w:usb2="00000000" w:usb3="00000000" w:csb0="0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Consolas">
    <w:panose1 w:val="020B0609020204030204"/>
    <w:charset w:val="EE"/>
    <w:family w:val="modern"/>
    <w:pitch w:val="fixed"/>
    <w:sig w:usb0="E00006FF" w:usb1="0000FCFF" w:usb2="00000001" w:usb3="00000000" w:csb0="0000019F" w:csb1="00000000"/>
  </w:font>
  <w:font w:name="Myriad Pro">
    <w:altName w:val="Arial"/>
    <w:panose1 w:val="00000000000000000000"/>
    <w:charset w:val="00"/>
    <w:family w:val="swiss"/>
    <w:notTrueType/>
    <w:pitch w:val="variable"/>
    <w:sig w:usb0="20000287" w:usb1="00000001" w:usb2="00000000" w:usb3="00000000" w:csb0="0000019F" w:csb1="00000000"/>
  </w:font>
  <w:font w:name="Frutiger">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etaNormalCELF-Roman">
    <w:altName w:val="Times New Roman"/>
    <w:panose1 w:val="00000000000000000000"/>
    <w:charset w:val="EE"/>
    <w:family w:val="auto"/>
    <w:notTrueType/>
    <w:pitch w:val="variable"/>
    <w:sig w:usb0="00000001" w:usb1="00000000" w:usb2="00000000" w:usb3="00000000" w:csb0="00000003" w:csb1="00000000"/>
  </w:font>
  <w:font w:name="Batang">
    <w:altName w:val="바탕"/>
    <w:panose1 w:val="02030600000101010101"/>
    <w:charset w:val="81"/>
    <w:family w:val="auto"/>
    <w:notTrueType/>
    <w:pitch w:val="fixed"/>
    <w:sig w:usb0="00000001" w:usb1="09060000" w:usb2="00000010" w:usb3="00000000" w:csb0="00080000" w:csb1="00000000"/>
  </w:font>
  <w:font w:name="MetaBlackCELF-Roman">
    <w:panose1 w:val="00000000000000000000"/>
    <w:charset w:val="EE"/>
    <w:family w:val="auto"/>
    <w:notTrueType/>
    <w:pitch w:val="variable"/>
    <w:sig w:usb0="00000007" w:usb1="00000000" w:usb2="00000000" w:usb3="00000000" w:csb0="00000003" w:csb1="00000000"/>
  </w:font>
  <w:font w:name="Humnst777 Lt BT">
    <w:altName w:val="Arial"/>
    <w:panose1 w:val="00000000000000000000"/>
    <w:charset w:val="00"/>
    <w:family w:val="swiss"/>
    <w:notTrueType/>
    <w:pitch w:val="default"/>
    <w:sig w:usb0="00000007" w:usb1="00000000" w:usb2="00000000" w:usb3="00000000" w:csb0="00000003"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imesNewRoman">
    <w:altName w:val="MS Mincho"/>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4569091"/>
      <w:docPartObj>
        <w:docPartGallery w:val="Page Numbers (Bottom of Page)"/>
        <w:docPartUnique/>
      </w:docPartObj>
    </w:sdtPr>
    <w:sdtEndPr>
      <w:rPr>
        <w:sz w:val="18"/>
        <w:szCs w:val="18"/>
      </w:rPr>
    </w:sdtEndPr>
    <w:sdtContent>
      <w:p w:rsidR="008F0D7B" w:rsidRPr="00925BCB" w:rsidRDefault="008F0D7B">
        <w:pPr>
          <w:pStyle w:val="Noga"/>
          <w:jc w:val="right"/>
          <w:rPr>
            <w:sz w:val="18"/>
            <w:szCs w:val="18"/>
          </w:rPr>
        </w:pPr>
        <w:r w:rsidRPr="00925BCB">
          <w:rPr>
            <w:sz w:val="18"/>
            <w:szCs w:val="18"/>
          </w:rPr>
          <w:fldChar w:fldCharType="begin"/>
        </w:r>
        <w:r w:rsidRPr="00925BCB">
          <w:rPr>
            <w:sz w:val="18"/>
            <w:szCs w:val="18"/>
          </w:rPr>
          <w:instrText>PAGE   \* MERGEFORMAT</w:instrText>
        </w:r>
        <w:r w:rsidRPr="00925BCB">
          <w:rPr>
            <w:sz w:val="18"/>
            <w:szCs w:val="18"/>
          </w:rPr>
          <w:fldChar w:fldCharType="separate"/>
        </w:r>
        <w:r w:rsidR="009A557B">
          <w:rPr>
            <w:noProof/>
            <w:sz w:val="18"/>
            <w:szCs w:val="18"/>
          </w:rPr>
          <w:t>2</w:t>
        </w:r>
        <w:r w:rsidRPr="00925BCB">
          <w:rPr>
            <w:noProof/>
            <w:sz w:val="18"/>
            <w:szCs w:val="18"/>
          </w:rPr>
          <w:fldChar w:fldCharType="end"/>
        </w:r>
      </w:p>
    </w:sdtContent>
  </w:sdt>
  <w:p w:rsidR="008F0D7B" w:rsidRDefault="008F0D7B">
    <w:pPr>
      <w:pStyle w:val="Noga"/>
    </w:pPr>
  </w:p>
  <w:p w:rsidR="008F0D7B" w:rsidRDefault="008F0D7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0D7B" w:rsidRDefault="008F0D7B" w:rsidP="00443548">
      <w:r>
        <w:separator/>
      </w:r>
    </w:p>
    <w:p w:rsidR="008F0D7B" w:rsidRDefault="008F0D7B"/>
  </w:footnote>
  <w:footnote w:type="continuationSeparator" w:id="0">
    <w:p w:rsidR="008F0D7B" w:rsidRDefault="008F0D7B" w:rsidP="00443548">
      <w:r>
        <w:continuationSeparator/>
      </w:r>
    </w:p>
    <w:p w:rsidR="008F0D7B" w:rsidRDefault="008F0D7B"/>
  </w:footnote>
  <w:footnote w:id="1">
    <w:p w:rsidR="008F0D7B" w:rsidRPr="00697EF5" w:rsidRDefault="008F0D7B" w:rsidP="00AC6E15">
      <w:pPr>
        <w:pStyle w:val="Sprotnaopomba-besedilo"/>
        <w:jc w:val="both"/>
        <w:rPr>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w:t>
      </w:r>
      <w:hyperlink r:id="rId1" w:history="1">
        <w:r w:rsidRPr="00697EF5">
          <w:rPr>
            <w:rStyle w:val="Hiperpovezava"/>
            <w:rFonts w:ascii="Arial" w:hAnsi="Arial" w:cs="Arial"/>
            <w:b w:val="0"/>
            <w:i/>
            <w:color w:val="auto"/>
            <w:sz w:val="16"/>
            <w:szCs w:val="16"/>
            <w:u w:val="none"/>
          </w:rPr>
          <w:t>http://ec.europa.eu/about/index_en.htm</w:t>
        </w:r>
      </w:hyperlink>
      <w:r w:rsidRPr="00697EF5">
        <w:rPr>
          <w:rFonts w:ascii="Arial" w:hAnsi="Arial" w:cs="Arial"/>
          <w:b/>
          <w:i/>
          <w:sz w:val="16"/>
          <w:szCs w:val="16"/>
        </w:rPr>
        <w:t>.</w:t>
      </w:r>
    </w:p>
  </w:footnote>
  <w:footnote w:id="2">
    <w:p w:rsidR="008F0D7B" w:rsidRPr="00697EF5" w:rsidRDefault="008F0D7B" w:rsidP="00AC6E15">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Glej opombo št. 34 v zadevi SCHENKER.</w:t>
      </w:r>
    </w:p>
  </w:footnote>
  <w:footnote w:id="3">
    <w:p w:rsidR="008F0D7B" w:rsidRPr="00697EF5" w:rsidRDefault="008F0D7B" w:rsidP="00D93182">
      <w:pPr>
        <w:rPr>
          <w:rFonts w:cs="Arial"/>
          <w:sz w:val="16"/>
        </w:rPr>
      </w:pPr>
      <w:r w:rsidRPr="00697EF5">
        <w:rPr>
          <w:rStyle w:val="Sprotnaopomba-sklic"/>
          <w:rFonts w:cs="Arial"/>
          <w:i/>
          <w:sz w:val="16"/>
        </w:rPr>
        <w:footnoteRef/>
      </w:r>
      <w:r w:rsidRPr="00697EF5">
        <w:rPr>
          <w:rFonts w:cs="Arial"/>
          <w:i/>
          <w:sz w:val="16"/>
        </w:rPr>
        <w:t xml:space="preserve"> </w:t>
      </w:r>
      <w:hyperlink r:id="rId2" w:history="1">
        <w:r w:rsidRPr="00697EF5">
          <w:rPr>
            <w:rStyle w:val="Hiperpovezava"/>
            <w:rFonts w:cs="Arial"/>
            <w:b w:val="0"/>
            <w:i/>
            <w:color w:val="auto"/>
            <w:sz w:val="16"/>
          </w:rPr>
          <w:t>http://www.aztn.hr/trzisno-natjecanje/29/zakonodavni-okvir-rh/</w:t>
        </w:r>
      </w:hyperlink>
      <w:r w:rsidRPr="00697EF5">
        <w:rPr>
          <w:rFonts w:cs="Arial"/>
          <w:b/>
          <w:i/>
          <w:sz w:val="16"/>
        </w:rPr>
        <w:t>.</w:t>
      </w:r>
    </w:p>
  </w:footnote>
  <w:footnote w:id="4">
    <w:p w:rsidR="008F0D7B" w:rsidRPr="00B571B9" w:rsidRDefault="008F0D7B" w:rsidP="007522E3">
      <w:pPr>
        <w:pStyle w:val="Sprotnaopomba-besedilo"/>
        <w:jc w:val="both"/>
        <w:rPr>
          <w:rFonts w:ascii="Arial" w:hAnsi="Arial" w:cs="Arial"/>
          <w:sz w:val="16"/>
          <w:szCs w:val="16"/>
        </w:rPr>
      </w:pPr>
      <w:r w:rsidRPr="00B571B9">
        <w:rPr>
          <w:rStyle w:val="Sprotnaopomba-sklic"/>
          <w:rFonts w:ascii="Arial" w:hAnsi="Arial" w:cs="Arial"/>
          <w:sz w:val="16"/>
          <w:szCs w:val="16"/>
        </w:rPr>
        <w:footnoteRef/>
      </w:r>
      <w:r w:rsidRPr="00B571B9">
        <w:rPr>
          <w:rFonts w:ascii="Arial" w:hAnsi="Arial" w:cs="Arial"/>
          <w:sz w:val="16"/>
          <w:szCs w:val="16"/>
        </w:rPr>
        <w:t xml:space="preserve"> </w:t>
      </w:r>
      <w:r w:rsidRPr="00B571B9">
        <w:rPr>
          <w:rFonts w:ascii="Arial" w:hAnsi="Arial" w:cs="Arial"/>
          <w:i/>
          <w:sz w:val="16"/>
          <w:szCs w:val="16"/>
        </w:rPr>
        <w:t>Sodba z dne 20. 9. 2001, C-453/99, Courage/Crehan, EU:C:2001:465; Sodba z dne 14. 6. 2011, C-360/09, Pfleiderer/Bundeskartellamt, EU:C:2011:389; Sodba z dne 6. 6. 2013, C-536/11, Bundeswettbewerbsbehörde/Donau ChemieG, EU:C:2013:366; Sodba z dne 27. 2. 2014, C-365/12, Komisija/EnBW Energie Baden</w:t>
      </w:r>
      <w:r w:rsidRPr="00B571B9">
        <w:rPr>
          <w:rFonts w:ascii="MS Gothic" w:eastAsia="MS Gothic" w:hAnsi="MS Gothic" w:cs="MS Gothic" w:hint="eastAsia"/>
          <w:i/>
          <w:sz w:val="16"/>
          <w:szCs w:val="16"/>
        </w:rPr>
        <w:t>‑</w:t>
      </w:r>
      <w:r w:rsidRPr="00B571B9">
        <w:rPr>
          <w:rFonts w:ascii="Arial" w:hAnsi="Arial" w:cs="Arial"/>
          <w:i/>
          <w:sz w:val="16"/>
          <w:szCs w:val="16"/>
        </w:rPr>
        <w:t>Württemberg, EU:C:2014:112.</w:t>
      </w:r>
    </w:p>
  </w:footnote>
  <w:footnote w:id="5">
    <w:p w:rsidR="008F0D7B" w:rsidRPr="00697EF5" w:rsidRDefault="008F0D7B" w:rsidP="00B571B9">
      <w:pPr>
        <w:rPr>
          <w:rFonts w:cs="Arial"/>
          <w:i/>
          <w:sz w:val="16"/>
        </w:rPr>
      </w:pPr>
      <w:r w:rsidRPr="00697EF5">
        <w:rPr>
          <w:rStyle w:val="Sprotnaopomba-sklic"/>
          <w:rFonts w:cs="Arial"/>
          <w:i/>
          <w:sz w:val="16"/>
        </w:rPr>
        <w:footnoteRef/>
      </w:r>
      <w:r w:rsidRPr="00697EF5">
        <w:rPr>
          <w:rFonts w:cs="Arial"/>
          <w:i/>
          <w:sz w:val="16"/>
        </w:rPr>
        <w:t xml:space="preserve"> Uradni list </w:t>
      </w:r>
      <w:r w:rsidRPr="00697EF5">
        <w:rPr>
          <w:rFonts w:cs="Arial"/>
          <w:i/>
          <w:iCs/>
          <w:sz w:val="16"/>
        </w:rPr>
        <w:t>OJ C 291, 30.8.2014, p. 1–4.</w:t>
      </w:r>
    </w:p>
    <w:p w:rsidR="008F0D7B" w:rsidRPr="00697EF5" w:rsidRDefault="008F0D7B" w:rsidP="007522E3">
      <w:pPr>
        <w:pStyle w:val="Sprotnaopomba-besedilo"/>
        <w:rPr>
          <w:rFonts w:ascii="Arial" w:hAnsi="Arial" w:cs="Arial"/>
        </w:rPr>
      </w:pPr>
    </w:p>
  </w:footnote>
  <w:footnote w:id="6">
    <w:p w:rsidR="008F0D7B" w:rsidRPr="00C4449A" w:rsidRDefault="008F0D7B" w:rsidP="007522E3">
      <w:pPr>
        <w:pStyle w:val="Sprotnaopomba-besedilo"/>
        <w:rPr>
          <w:rFonts w:ascii="Arial" w:hAnsi="Arial" w:cs="Arial"/>
        </w:rPr>
      </w:pPr>
      <w:r w:rsidRPr="00C4449A">
        <w:rPr>
          <w:rStyle w:val="Sprotnaopomba-sklic"/>
          <w:rFonts w:ascii="Arial" w:hAnsi="Arial" w:cs="Arial"/>
          <w:sz w:val="16"/>
          <w:szCs w:val="16"/>
        </w:rPr>
        <w:footnoteRef/>
      </w:r>
      <w:r w:rsidRPr="00C4449A">
        <w:rPr>
          <w:rStyle w:val="Sprotnaopomba-sklic"/>
          <w:rFonts w:ascii="Arial" w:hAnsi="Arial" w:cs="Arial"/>
          <w:sz w:val="16"/>
          <w:szCs w:val="16"/>
        </w:rPr>
        <w:t xml:space="preserve"> </w:t>
      </w:r>
      <w:r w:rsidRPr="00C4449A">
        <w:rPr>
          <w:rFonts w:ascii="Arial" w:hAnsi="Arial" w:cs="Arial"/>
          <w:i/>
          <w:sz w:val="16"/>
          <w:szCs w:val="16"/>
        </w:rPr>
        <w:t>Franchet in Byk proti Komisija, sodba T-48/05, EU:T:2008:257, točka 75.</w:t>
      </w:r>
    </w:p>
  </w:footnote>
  <w:footnote w:id="7">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Obvestilo Komisije o dobrih praksah za izvajanje postopkov v zvezi s členoma 101 in 102 PDEU, ULEU C 308, 20.10.2011, str. 6–32, op. 42, Sodba Sodišča 155/79 z dne 18. maja 1982 AM &amp; S Europe Limited proti Komisiji Evropskih skupnosti, ECLI:EU:C:1982:157, tč. 28.</w:t>
      </w:r>
    </w:p>
  </w:footnote>
  <w:footnote w:id="8">
    <w:p w:rsidR="008F0D7B" w:rsidRPr="00697EF5" w:rsidRDefault="008F0D7B" w:rsidP="007522E3">
      <w:pPr>
        <w:rPr>
          <w:rFonts w:cs="Arial"/>
          <w:i/>
          <w:sz w:val="16"/>
        </w:rPr>
      </w:pPr>
      <w:r w:rsidRPr="00B571B9">
        <w:rPr>
          <w:i/>
          <w:iCs/>
          <w:sz w:val="16"/>
          <w:vertAlign w:val="superscript"/>
        </w:rPr>
        <w:footnoteRef/>
      </w:r>
      <w:r w:rsidRPr="00B571B9">
        <w:rPr>
          <w:rFonts w:cs="Arial"/>
          <w:i/>
          <w:iCs/>
          <w:sz w:val="16"/>
        </w:rPr>
        <w:t xml:space="preserve"> Wouter P.J. Wils, The undertaking as subject of E.C. competition law and the imputation of infringements to natural or legal</w:t>
      </w:r>
      <w:r w:rsidRPr="00697EF5">
        <w:rPr>
          <w:rFonts w:cs="Arial"/>
          <w:i/>
          <w:iCs/>
          <w:sz w:val="16"/>
        </w:rPr>
        <w:t xml:space="preserve"> persons, European Law Review, let. 25, št. 2, 2000, str. 109–111.</w:t>
      </w:r>
    </w:p>
  </w:footnote>
  <w:footnote w:id="9">
    <w:p w:rsidR="008F0D7B" w:rsidRPr="00697EF5" w:rsidRDefault="008F0D7B" w:rsidP="007522E3">
      <w:pPr>
        <w:rPr>
          <w:i/>
          <w:sz w:val="16"/>
        </w:rPr>
      </w:pPr>
      <w:r w:rsidRPr="00697EF5">
        <w:rPr>
          <w:rFonts w:cs="Arial"/>
          <w:i/>
          <w:iCs/>
          <w:sz w:val="16"/>
          <w:vertAlign w:val="superscript"/>
        </w:rPr>
        <w:footnoteRef/>
      </w:r>
      <w:r w:rsidRPr="00697EF5">
        <w:rPr>
          <w:rFonts w:cs="Arial"/>
          <w:i/>
          <w:iCs/>
          <w:sz w:val="16"/>
          <w:vertAlign w:val="superscript"/>
        </w:rPr>
        <w:t xml:space="preserve"> </w:t>
      </w:r>
      <w:r w:rsidRPr="00697EF5">
        <w:rPr>
          <w:rFonts w:cs="Arial"/>
          <w:i/>
          <w:iCs/>
          <w:sz w:val="16"/>
        </w:rPr>
        <w:t>Inštitut za primerjalno pravo pri Pravni fakulteti v Ljubljani, Pravno mnenje na temo sprememb Zakona o preprečevanju omejevanja konkurence, november 2019, str. 6.</w:t>
      </w:r>
    </w:p>
  </w:footnote>
  <w:footnote w:id="10">
    <w:p w:rsidR="008F0D7B" w:rsidRPr="00697EF5" w:rsidRDefault="008F0D7B" w:rsidP="007522E3">
      <w:pPr>
        <w:rPr>
          <w:i/>
          <w:sz w:val="16"/>
        </w:rPr>
      </w:pPr>
      <w:r w:rsidRPr="00697EF5">
        <w:rPr>
          <w:rFonts w:cs="Arial"/>
          <w:i/>
          <w:iCs/>
          <w:sz w:val="16"/>
          <w:vertAlign w:val="superscript"/>
        </w:rPr>
        <w:footnoteRef/>
      </w:r>
      <w:r w:rsidRPr="00697EF5">
        <w:rPr>
          <w:rFonts w:cs="Arial"/>
          <w:i/>
          <w:iCs/>
          <w:sz w:val="16"/>
        </w:rPr>
        <w:t xml:space="preserve"> Ibid.</w:t>
      </w:r>
    </w:p>
  </w:footnote>
  <w:footnote w:id="11">
    <w:p w:rsidR="008F0D7B" w:rsidRPr="00697EF5" w:rsidRDefault="008F0D7B" w:rsidP="007522E3">
      <w:r w:rsidRPr="00697EF5">
        <w:rPr>
          <w:rFonts w:cs="Arial"/>
          <w:i/>
          <w:iCs/>
          <w:sz w:val="16"/>
          <w:vertAlign w:val="superscript"/>
        </w:rPr>
        <w:footnoteRef/>
      </w:r>
      <w:r w:rsidRPr="00697EF5">
        <w:rPr>
          <w:rFonts w:cs="Arial"/>
          <w:i/>
          <w:iCs/>
          <w:sz w:val="16"/>
        </w:rPr>
        <w:t xml:space="preserve"> Inštitut za primerjalno pravo pri Pravni fakulteti v Ljubljani, Pravno mnenje na temo sprememb Zakona o preprečevanju omejevanja konkurence, november 2019, str. 7.</w:t>
      </w:r>
    </w:p>
  </w:footnote>
  <w:footnote w:id="12">
    <w:p w:rsidR="008F0D7B" w:rsidRPr="00B571B9" w:rsidRDefault="008F0D7B" w:rsidP="007522E3">
      <w:pPr>
        <w:rPr>
          <w:i/>
        </w:rPr>
      </w:pPr>
      <w:r w:rsidRPr="00B571B9">
        <w:rPr>
          <w:rFonts w:cs="Arial"/>
          <w:i/>
          <w:iCs/>
          <w:sz w:val="16"/>
          <w:vertAlign w:val="superscript"/>
        </w:rPr>
        <w:footnoteRef/>
      </w:r>
      <w:r w:rsidRPr="00B571B9">
        <w:rPr>
          <w:rFonts w:cs="Arial"/>
          <w:i/>
          <w:iCs/>
          <w:sz w:val="16"/>
        </w:rPr>
        <w:t xml:space="preserve"> Sodišče EU je v zadevo Volkswagen  AG proti Komisiji (T-388/00, točka 98.) zavzelo stališče, da ugotavljanje naklepne kršitve ne zahteva identifikacije oseb, ki so v podjetju ravnale nepravilno ali ki bi morale da bi bil odgovoren za pomanjkljivo organizacijo podjetja.</w:t>
      </w:r>
    </w:p>
  </w:footnote>
  <w:footnote w:id="13">
    <w:p w:rsidR="008F0D7B" w:rsidRPr="00697EF5" w:rsidRDefault="008F0D7B" w:rsidP="007522E3">
      <w:r w:rsidRPr="00B571B9">
        <w:rPr>
          <w:rStyle w:val="Sprotnaopomba-sklic"/>
          <w:i/>
          <w:sz w:val="16"/>
        </w:rPr>
        <w:footnoteRef/>
      </w:r>
      <w:r w:rsidRPr="00B571B9">
        <w:rPr>
          <w:i/>
          <w:sz w:val="16"/>
        </w:rPr>
        <w:t xml:space="preserve"> </w:t>
      </w:r>
      <w:r w:rsidRPr="00B571B9">
        <w:rPr>
          <w:rFonts w:cs="Arial"/>
          <w:i/>
          <w:iCs/>
          <w:sz w:val="16"/>
        </w:rPr>
        <w:t>Inštitut za primerjalno pravo pri Pravni fakulteti v Ljubljani, Pravno mnenje na temo sprememb Zakona o preprečevanju omejevanja konkurence, november 2019, str. 15 in 16.</w:t>
      </w:r>
    </w:p>
  </w:footnote>
  <w:footnote w:id="14">
    <w:p w:rsidR="008F0D7B" w:rsidRPr="00697EF5" w:rsidRDefault="008F0D7B" w:rsidP="002D6008">
      <w:pPr>
        <w:rPr>
          <w:rFonts w:cs="Arial"/>
          <w:i/>
          <w:sz w:val="16"/>
        </w:rPr>
      </w:pPr>
      <w:r w:rsidRPr="00697EF5">
        <w:rPr>
          <w:rFonts w:cs="Arial"/>
          <w:i/>
          <w:sz w:val="16"/>
          <w:vertAlign w:val="superscript"/>
        </w:rPr>
        <w:footnoteRef/>
      </w:r>
      <w:r w:rsidRPr="00697EF5">
        <w:rPr>
          <w:rFonts w:cs="Arial"/>
          <w:i/>
          <w:sz w:val="16"/>
        </w:rPr>
        <w:t xml:space="preserve"> Sodba Sodišča EU v zadevi C-338/00 P Volkswagen AG proti Evropski komisiji z dne 18. 9. 2003, 98. točka.</w:t>
      </w:r>
    </w:p>
  </w:footnote>
  <w:footnote w:id="15">
    <w:p w:rsidR="008F0D7B" w:rsidRPr="00697EF5" w:rsidRDefault="008F0D7B" w:rsidP="002D6008">
      <w:pPr>
        <w:rPr>
          <w:rFonts w:cs="Arial"/>
          <w:sz w:val="16"/>
        </w:rPr>
      </w:pPr>
      <w:r w:rsidRPr="00697EF5">
        <w:rPr>
          <w:rFonts w:cs="Arial"/>
          <w:i/>
          <w:sz w:val="16"/>
          <w:vertAlign w:val="superscript"/>
        </w:rPr>
        <w:footnoteRef/>
      </w:r>
      <w:r w:rsidRPr="00697EF5">
        <w:rPr>
          <w:rFonts w:cs="Arial"/>
          <w:i/>
          <w:sz w:val="16"/>
        </w:rPr>
        <w:t xml:space="preserve"> Sodba Sodišča EU v zadevi C-542/14, VM Remonts,  EU:C:2016:578.</w:t>
      </w:r>
    </w:p>
  </w:footnote>
  <w:footnote w:id="16">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z dne 28. Junija 2005 v združenih zadevah Dansk Rørindustri in drugi proti Komisiji, C-189/02 P, C</w:t>
      </w:r>
      <w:r w:rsidRPr="00697EF5">
        <w:rPr>
          <w:rFonts w:ascii="Arial" w:hAnsi="Arial" w:cs="Arial"/>
          <w:i/>
          <w:sz w:val="16"/>
          <w:szCs w:val="16"/>
        </w:rPr>
        <w:noBreakHyphen/>
        <w:t>202/02 P, od C-205/02 P do C-208/02 P in C-213/02 P, ZOdl., str. I-5425, točka 112; z dne 10. januarja 2006 v zadevi Cassa di Risparmio di Firenze in drugi, C-222/04, ZOdl., str. I-289, točka 107, in z dne 11. julija 2006 v zadevi FENIN proti Komisiji, C-205/03 P, ZOdl., str. I-6295, točka 25.</w:t>
      </w:r>
    </w:p>
  </w:footnote>
  <w:footnote w:id="17">
    <w:p w:rsidR="008F0D7B" w:rsidRPr="00697EF5" w:rsidRDefault="008F0D7B" w:rsidP="00B571B9">
      <w:pPr>
        <w:pStyle w:val="Sprotnaopomba-besedilo"/>
        <w:jc w:val="both"/>
        <w:rPr>
          <w:rFonts w:ascii="Arial" w:hAnsi="Arial" w:cs="Arial"/>
          <w:i/>
          <w:sz w:val="18"/>
          <w:szCs w:val="18"/>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EU, HFB in drugi proti Komisiji, T-9/99, točka 54.</w:t>
      </w:r>
      <w:r w:rsidRPr="00697EF5">
        <w:rPr>
          <w:rFonts w:ascii="Arial" w:hAnsi="Arial" w:cs="Arial"/>
          <w:i/>
          <w:sz w:val="18"/>
          <w:szCs w:val="18"/>
        </w:rPr>
        <w:t xml:space="preserve"> </w:t>
      </w:r>
    </w:p>
  </w:footnote>
  <w:footnote w:id="18">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M. Repas: Konkurenčno pravo v teoriji in praksi, 2010, str.143.</w:t>
      </w:r>
    </w:p>
  </w:footnote>
  <w:footnote w:id="19">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P. Grilc v: Grilc, Bratina, Galič, Kerševan, Kocmut, Podobnik, Vlahek, Zabel, Zakon o preprečevanju omejevanja konkurence s komentarjem, 2009, str. 62.</w:t>
      </w:r>
    </w:p>
  </w:footnote>
  <w:footnote w:id="20">
    <w:p w:rsidR="008F0D7B" w:rsidRPr="00697EF5" w:rsidRDefault="008F0D7B" w:rsidP="00B571B9">
      <w:pPr>
        <w:pStyle w:val="Sprotnaopomba-besedilo"/>
        <w:jc w:val="both"/>
        <w:rPr>
          <w:rFonts w:ascii="Arial" w:hAnsi="Arial" w:cs="Arial"/>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ECLI:SI:IPRS:2016:I.U.306.2015.</w:t>
      </w:r>
    </w:p>
  </w:footnote>
  <w:footnote w:id="21">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General Química in drugi/Komisija, C</w:t>
      </w:r>
      <w:r w:rsidRPr="00697EF5">
        <w:rPr>
          <w:rFonts w:ascii="MS Gothic" w:eastAsia="MS Gothic" w:hAnsi="MS Gothic" w:cs="MS Gothic" w:hint="eastAsia"/>
          <w:i/>
          <w:sz w:val="16"/>
          <w:szCs w:val="16"/>
        </w:rPr>
        <w:t>‑</w:t>
      </w:r>
      <w:r w:rsidRPr="00697EF5">
        <w:rPr>
          <w:rFonts w:ascii="Arial" w:hAnsi="Arial" w:cs="Arial"/>
          <w:i/>
          <w:sz w:val="16"/>
          <w:szCs w:val="16"/>
        </w:rPr>
        <w:t>90/09 P, EU:C:2011:21.</w:t>
      </w:r>
    </w:p>
    <w:p w:rsidR="008F0D7B" w:rsidRPr="00697EF5" w:rsidRDefault="008F0D7B" w:rsidP="00B571B9">
      <w:pPr>
        <w:pStyle w:val="Sprotnaopomba-besedilo"/>
        <w:jc w:val="both"/>
        <w:rPr>
          <w:rFonts w:ascii="Arial" w:hAnsi="Arial" w:cs="Arial"/>
          <w:i/>
          <w:sz w:val="16"/>
          <w:szCs w:val="16"/>
        </w:rPr>
      </w:pPr>
      <w:r w:rsidRPr="00697EF5">
        <w:rPr>
          <w:rFonts w:ascii="Arial" w:hAnsi="Arial" w:cs="Arial"/>
          <w:i/>
          <w:sz w:val="16"/>
          <w:szCs w:val="16"/>
        </w:rPr>
        <w:t>»87 V takem položaju so namreč holdinška družba, vmesna družba in zadnja hčerinska družba del istega gospodarskega subjekta in so torej eno samo podjetje v smislu konkurenčnega prava Unije.</w:t>
      </w:r>
    </w:p>
    <w:p w:rsidR="008F0D7B" w:rsidRPr="00697EF5" w:rsidRDefault="008F0D7B" w:rsidP="00B571B9">
      <w:pPr>
        <w:pStyle w:val="Sprotnaopomba-besedilo"/>
        <w:jc w:val="both"/>
        <w:rPr>
          <w:rFonts w:ascii="Arial" w:hAnsi="Arial" w:cs="Arial"/>
          <w:i/>
          <w:sz w:val="16"/>
          <w:szCs w:val="16"/>
        </w:rPr>
      </w:pPr>
      <w:r w:rsidRPr="00697EF5">
        <w:rPr>
          <w:rFonts w:ascii="Arial" w:hAnsi="Arial" w:cs="Arial"/>
          <w:i/>
          <w:sz w:val="16"/>
          <w:szCs w:val="16"/>
        </w:rPr>
        <w:t xml:space="preserve">88 Iz navedenega je razvidno – kot je navedel generalni pravobranilec branilec v točkah 62 in 63 sklepnih predlogov – da obstaja v posebnem primeru, ko ima holdinška družba v lasti 100 % kapitala vmesne družbe, ki ima sama v lasti 100 % kapitala hčerinske družbe iz njene skupine, ta hčerinska družba pa je kršila pravila konkurenčnega prava Unije, izpodbojna domneva, da ta holdinška družba odločilno vpliva na ravnanja vmesne družbe in posredno – prek te vmesne družbe – tudi na ravnanje te hčerinske družbe.« </w:t>
      </w:r>
    </w:p>
  </w:footnote>
  <w:footnote w:id="22">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Akzo Nobel NV in drugi proti Komisiji Evropskih skupnosti, C-97/08 P, ECLI:EU:C:2009:536, 60. točka: »V posebnem primeru, ko je matična družba stoodstotna lastnica kapitala svoje hčerinske družbe, ki je kršila konkurenčna pravila Skupnosti, ta matična družba po eni strani lahko odločilno vpliva na ravnanje te hčerinske družbe (glej v tem smislu zgoraj navedeno sodbo Imperial Chemicals Industries proti Komisiji, točki 136 in 137), po drugi strani pa obstaja ovrgljiva domneva, da ta matična družba dejansko odločilno vpliva na njeno ravnanje (glej v tem smislu zgoraj navedeni sodbi AEG-Telefunken proti Komisiji, točka 50, in Stora, točka 29).«.</w:t>
      </w:r>
    </w:p>
  </w:footnote>
  <w:footnote w:id="23">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Elf Aquitaine SA proti Evropski komisiji, T-299/08, ECLI:EU:T:2011:217, 76. točka:</w:t>
      </w:r>
    </w:p>
    <w:p w:rsidR="008F0D7B" w:rsidRPr="00697EF5" w:rsidRDefault="008F0D7B" w:rsidP="00B571B9">
      <w:pPr>
        <w:pStyle w:val="Sprotnaopomba-besedilo"/>
        <w:jc w:val="both"/>
        <w:rPr>
          <w:rFonts w:ascii="Arial" w:hAnsi="Arial" w:cs="Arial"/>
          <w:i/>
          <w:sz w:val="16"/>
          <w:szCs w:val="16"/>
        </w:rPr>
      </w:pPr>
      <w:r w:rsidRPr="00697EF5">
        <w:rPr>
          <w:rFonts w:ascii="Arial" w:hAnsi="Arial" w:cs="Arial"/>
          <w:i/>
          <w:sz w:val="16"/>
          <w:szCs w:val="16"/>
        </w:rPr>
        <w:t>»76   V skladu s sodno prakso, navedeno v točkah od 52 do 55 zgoraj, Komisija domneve o odločilnem vplivu ni dolžna potrditi z dodatnimi dokazi, pri čemer lahko domnevo uporabi, kadar ima matična družba v lasti celoten ali skoraj celoten kapital hčerinske družbe, vendar pa mora nasprotno tožeča stranka, da bi to domnevo izpodbila, predložiti zadostne dokaze, da njene hčerinska družba na trgu ravna samostojno.«</w:t>
      </w:r>
    </w:p>
  </w:footnote>
  <w:footnote w:id="24">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Sodišče EU je v zadevi General Química in drugi/Komisija, C</w:t>
      </w:r>
      <w:r w:rsidRPr="00697EF5">
        <w:rPr>
          <w:rFonts w:ascii="MS Gothic" w:eastAsia="MS Gothic" w:hAnsi="MS Gothic" w:cs="MS Gothic" w:hint="eastAsia"/>
          <w:i/>
          <w:sz w:val="16"/>
          <w:szCs w:val="16"/>
        </w:rPr>
        <w:t>‑</w:t>
      </w:r>
      <w:r w:rsidRPr="00697EF5">
        <w:rPr>
          <w:rFonts w:ascii="Arial" w:hAnsi="Arial" w:cs="Arial"/>
          <w:i/>
          <w:sz w:val="16"/>
          <w:szCs w:val="16"/>
        </w:rPr>
        <w:t xml:space="preserve">90/09 P, EU:C:2011:21 v točki 40. in 41. odločilo: </w:t>
      </w:r>
    </w:p>
    <w:p w:rsidR="008F0D7B" w:rsidRPr="00697EF5" w:rsidRDefault="008F0D7B" w:rsidP="00B571B9">
      <w:pPr>
        <w:pStyle w:val="Sprotnaopomba-besedilo"/>
        <w:jc w:val="both"/>
        <w:rPr>
          <w:rFonts w:ascii="Arial" w:hAnsi="Arial" w:cs="Arial"/>
          <w:i/>
          <w:sz w:val="16"/>
          <w:szCs w:val="16"/>
        </w:rPr>
      </w:pPr>
      <w:r w:rsidRPr="00697EF5">
        <w:rPr>
          <w:rFonts w:ascii="Arial" w:hAnsi="Arial" w:cs="Arial"/>
          <w:i/>
          <w:sz w:val="16"/>
          <w:szCs w:val="16"/>
        </w:rPr>
        <w:t>»40   V teh okoliščinah za domnevo, da matična družba odločilno vpliva na poslovno politiko hčerinske družbe, zadostuje, da Komisija dokaže, da je ves kapital hčerinske družbe v lasti matične družbe. Nato lahko Komisija matično družbo šteje za solidarno odgovorno za plačilo globe, naložene njeni hčerinski družbi, razen če ta matična družba, ki mora to domnevo izpodbiti, ne predloži zadostnih dokazov, da njena hčerinska družba na trgu ravna samostojno (glej zgoraj navedeni sodbi Stora Kopparbergs Bergslags proti Komisiji, točka 29, in Akzo Nobel in drugi proti Komisiji, točka 61).</w:t>
      </w:r>
    </w:p>
    <w:p w:rsidR="008F0D7B" w:rsidRPr="00697EF5" w:rsidRDefault="008F0D7B" w:rsidP="00B571B9">
      <w:pPr>
        <w:pStyle w:val="Sprotnaopomba-besedilo"/>
        <w:jc w:val="both"/>
        <w:rPr>
          <w:rFonts w:ascii="Arial" w:hAnsi="Arial" w:cs="Arial"/>
          <w:i/>
          <w:sz w:val="16"/>
          <w:szCs w:val="16"/>
        </w:rPr>
      </w:pPr>
      <w:r w:rsidRPr="00697EF5">
        <w:rPr>
          <w:rFonts w:ascii="Arial" w:hAnsi="Arial" w:cs="Arial"/>
          <w:i/>
          <w:sz w:val="16"/>
          <w:szCs w:val="16"/>
        </w:rPr>
        <w:t>41   Splošno sodišče je v nasprotju s trditvami pritožnic v točki 60 izpodbijane sodbe pravilno navedlo, da čeprav je res, da se je Sodišče v točkah 28 in 29 zgoraj navedene sodbe Stora Kopparbergs Bergslags proti Komisiji poleg tega, da se je sklicevalo na stoodstotno lastništvo kapitala hčerinske družbe, sklicevalo tudi na druge okoliščine, kot sta to, da v zvezi z vplivom, ki ga matična družba izvaja na poslovno politiko hčerinske družbe, ni bilo oporekanja in to, da sta bili družbi v upravnem postopku skupno zastopani, je Sodišče te okoliščine vendar poudarilo zgolj zato, da bi predstavilo vse okoliščine, s katerimi je Splošno sodišče utemeljilo svoje sklepanje, in ne zato, da bi uporabo zgoraj navedene domneve pogojevalo s predložitvijo dodatnih dokazov glede dejanskega izvajanja vpliva matične družbe na njeno hčerinsko družbo (glej v tem smislu zgoraj navedeno sodbo Akzo Nobel in drugi proti Komisiji, točka 62).«.</w:t>
      </w:r>
    </w:p>
  </w:footnote>
  <w:footnote w:id="25">
    <w:p w:rsidR="008F0D7B" w:rsidRPr="00697EF5" w:rsidRDefault="008F0D7B" w:rsidP="007C054D">
      <w:pPr>
        <w:pStyle w:val="Sprotnaopomba-besedilo"/>
        <w:jc w:val="both"/>
        <w:rPr>
          <w:rFonts w:ascii="Arial" w:hAnsi="Arial" w:cs="Arial"/>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Evropska komisija proti Parker Hannifin Manufacturing Srl in Parker-Hannifin Corp., v zadevi C</w:t>
      </w:r>
      <w:r w:rsidRPr="00697EF5">
        <w:rPr>
          <w:rFonts w:ascii="Arial" w:hAnsi="Arial" w:cs="Arial"/>
          <w:i/>
          <w:sz w:val="16"/>
          <w:szCs w:val="16"/>
        </w:rPr>
        <w:noBreakHyphen/>
        <w:t>434/13 P, ECLI:EU:C:2014:2456, točka 51.</w:t>
      </w:r>
    </w:p>
  </w:footnote>
  <w:footnote w:id="26">
    <w:p w:rsidR="008F0D7B" w:rsidRPr="00EF509E" w:rsidRDefault="008F0D7B">
      <w:pPr>
        <w:pStyle w:val="Sprotnaopomba-besedilo"/>
        <w:rPr>
          <w:rFonts w:ascii="Arial" w:hAnsi="Arial" w:cs="Arial"/>
          <w:i/>
          <w:sz w:val="16"/>
          <w:szCs w:val="16"/>
        </w:rPr>
      </w:pPr>
      <w:r w:rsidRPr="00EF509E">
        <w:rPr>
          <w:rStyle w:val="Sprotnaopomba-sklic"/>
          <w:rFonts w:ascii="Arial" w:hAnsi="Arial" w:cs="Arial"/>
          <w:i/>
          <w:sz w:val="16"/>
          <w:szCs w:val="16"/>
        </w:rPr>
        <w:footnoteRef/>
      </w:r>
      <w:r w:rsidRPr="00EF509E">
        <w:rPr>
          <w:rFonts w:ascii="Arial" w:hAnsi="Arial" w:cs="Arial"/>
          <w:i/>
          <w:sz w:val="16"/>
          <w:szCs w:val="16"/>
        </w:rPr>
        <w:t xml:space="preserve"> Sodba v zadevi Komisija proti Nemčiji z dne 11. julija 1985, C-107/84, Recueil, stran 2655, točki 14 in 15.</w:t>
      </w:r>
    </w:p>
  </w:footnote>
  <w:footnote w:id="27">
    <w:p w:rsidR="008F0D7B" w:rsidRPr="00697EF5" w:rsidRDefault="008F0D7B"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Recylex SA in drugi proti Evropski komisiji, T-222/17, </w:t>
      </w:r>
      <w:r w:rsidRPr="00697EF5">
        <w:rPr>
          <w:rStyle w:val="outputecliaff"/>
          <w:rFonts w:ascii="Arial" w:hAnsi="Arial" w:cs="Arial"/>
          <w:i/>
          <w:sz w:val="16"/>
          <w:szCs w:val="16"/>
        </w:rPr>
        <w:t>ECLI:EU:T:2019:356.</w:t>
      </w:r>
    </w:p>
  </w:footnote>
  <w:footnote w:id="28">
    <w:p w:rsidR="008F0D7B" w:rsidRPr="00697EF5" w:rsidRDefault="008F0D7B" w:rsidP="007522E3">
      <w:pPr>
        <w:pStyle w:val="Sprotnaopomba-besedilo"/>
        <w:rPr>
          <w:rFonts w:ascii="Arial" w:hAnsi="Arial" w:cs="Arial"/>
          <w:sz w:val="16"/>
          <w:szCs w:val="16"/>
        </w:rPr>
      </w:pPr>
      <w:r w:rsidRPr="00697EF5">
        <w:rPr>
          <w:rStyle w:val="Sprotnaopomba-sklic"/>
          <w:rFonts w:ascii="Arial" w:hAnsi="Arial" w:cs="Arial"/>
          <w:sz w:val="16"/>
          <w:szCs w:val="16"/>
        </w:rPr>
        <w:footnoteRef/>
      </w:r>
      <w:r w:rsidRPr="00697EF5">
        <w:rPr>
          <w:rFonts w:ascii="Arial" w:hAnsi="Arial" w:cs="Arial"/>
          <w:sz w:val="16"/>
          <w:szCs w:val="16"/>
        </w:rPr>
        <w:t xml:space="preserve"> </w:t>
      </w:r>
      <w:r w:rsidRPr="00697EF5">
        <w:rPr>
          <w:rFonts w:ascii="Arial" w:eastAsia="Calibri" w:hAnsi="Arial" w:cs="Arial"/>
          <w:i/>
          <w:sz w:val="16"/>
          <w:szCs w:val="16"/>
          <w:lang w:eastAsia="en-US"/>
        </w:rPr>
        <w:t>Odločba Ustavnega sodišča Republike Slovenije, U-I-2019/03-25 z dne 1.12.2005, str. 10.</w:t>
      </w:r>
    </w:p>
  </w:footnote>
  <w:footnote w:id="29">
    <w:p w:rsidR="008F0D7B" w:rsidRPr="00697EF5" w:rsidRDefault="008F0D7B"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Ibid, točka 31.</w:t>
      </w:r>
    </w:p>
  </w:footnote>
  <w:footnote w:id="30">
    <w:p w:rsidR="008F0D7B" w:rsidRPr="00697EF5" w:rsidRDefault="008F0D7B" w:rsidP="007522E3">
      <w:pPr>
        <w:pStyle w:val="Sprotnaopomba-besedilo"/>
        <w:rPr>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Ibid, točka 33.</w:t>
      </w:r>
    </w:p>
  </w:footnote>
  <w:footnote w:id="31">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Burrows, Sander, The Likely Impact of the EU Directive of the EU Damages Actions - Competition Litigation 2016.</w:t>
      </w:r>
    </w:p>
  </w:footnote>
  <w:footnote w:id="32">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Akzo Nobel, EU:T:2015:50, točka 65; Sodba Bank Austria Creditanstalt, EU:T:2006:136, točka 71; Sodba Pergan Hilfsstoffe, EU:T:2007:306, točka 62.</w:t>
      </w:r>
    </w:p>
  </w:footnote>
  <w:footnote w:id="33">
    <w:p w:rsidR="008F0D7B" w:rsidRPr="00697EF5" w:rsidRDefault="008F0D7B" w:rsidP="00B571B9">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Akzo Nobel, EU:C:2010:512, točka 113 – 115.</w:t>
      </w:r>
    </w:p>
  </w:footnote>
  <w:footnote w:id="34">
    <w:p w:rsidR="008F0D7B" w:rsidRPr="00697EF5" w:rsidRDefault="008F0D7B" w:rsidP="00B571B9">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Sodba z dne 18. 5. 1982, C - 155/79, AM &amp; S, EU:C:1982:157; Sodba Akzo Nobel, EU:C:2010:512, točka 41.</w:t>
      </w:r>
    </w:p>
  </w:footnote>
  <w:footnote w:id="35">
    <w:p w:rsidR="008F0D7B" w:rsidRPr="00697EF5" w:rsidRDefault="008F0D7B" w:rsidP="00B571B9">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Vlahek, Nova Direktiva 2014/104 o nekaterih pravilih glede odškodninskih zahtevkov in postopka zaradi kršitev evropskega in nacionalnega antitrusta, 2015.</w:t>
      </w:r>
    </w:p>
  </w:footnote>
  <w:footnote w:id="36">
    <w:p w:rsidR="008F0D7B" w:rsidRPr="00697EF5" w:rsidRDefault="008F0D7B"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Ibid.</w:t>
      </w:r>
    </w:p>
  </w:footnote>
  <w:footnote w:id="37">
    <w:p w:rsidR="008F0D7B" w:rsidRPr="00697EF5" w:rsidRDefault="008F0D7B" w:rsidP="007522E3">
      <w:pPr>
        <w:pStyle w:val="Sprotnaopomba-besedilo"/>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OJ L 124, 20.5.2003, p. 36–41.</w:t>
      </w:r>
    </w:p>
  </w:footnote>
  <w:footnote w:id="38">
    <w:p w:rsidR="008F0D7B" w:rsidRPr="00697EF5" w:rsidRDefault="008F0D7B"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Vlahek, Nova Direktiva 2014/104 o nekaterih pravilih glede odškodninskih zahtevkov in postopka zaradi kršitev evropskega in nacionalnega antitrusta, 2015.</w:t>
      </w:r>
    </w:p>
  </w:footnote>
  <w:footnote w:id="39">
    <w:p w:rsidR="008F0D7B" w:rsidRPr="00697EF5" w:rsidRDefault="008F0D7B" w:rsidP="007522E3">
      <w:pPr>
        <w:pStyle w:val="Sprotnaopomba-besedilo"/>
        <w:jc w:val="both"/>
        <w:rPr>
          <w:rFonts w:ascii="Arial" w:hAnsi="Arial" w:cs="Arial"/>
          <w:sz w:val="16"/>
          <w:szCs w:val="16"/>
        </w:rPr>
      </w:pPr>
      <w:r w:rsidRPr="00697EF5">
        <w:rPr>
          <w:rStyle w:val="Sprotnaopomba-sklic"/>
          <w:rFonts w:ascii="Arial" w:hAnsi="Arial" w:cs="Arial"/>
          <w:sz w:val="16"/>
          <w:szCs w:val="16"/>
        </w:rPr>
        <w:footnoteRef/>
      </w:r>
      <w:r w:rsidRPr="00697EF5">
        <w:rPr>
          <w:rFonts w:ascii="Arial" w:hAnsi="Arial" w:cs="Arial"/>
          <w:sz w:val="16"/>
          <w:szCs w:val="16"/>
        </w:rPr>
        <w:t xml:space="preserve"> </w:t>
      </w:r>
      <w:r w:rsidRPr="00697EF5">
        <w:rPr>
          <w:rFonts w:ascii="Arial" w:hAnsi="Arial" w:cs="Arial"/>
          <w:i/>
          <w:sz w:val="16"/>
          <w:szCs w:val="16"/>
        </w:rPr>
        <w:t>Vlahek, Nova Direktiva 2014/104 o nekaterih pravilih glede odškodninskih zahtevkov in postopka zaradi kršitev evropskega in nacionalnega antitrusta, 2015.</w:t>
      </w:r>
    </w:p>
  </w:footnote>
  <w:footnote w:id="40">
    <w:p w:rsidR="008F0D7B" w:rsidRPr="00697EF5" w:rsidRDefault="008F0D7B"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Vlahek, Nova Direktiva 2014/104 o nekaterih pravilih glede odškodninskih zahtevkov in postopka zaradi kršitev evropskega in nacionalnega antitrusta, 2015.</w:t>
      </w:r>
    </w:p>
  </w:footnote>
  <w:footnote w:id="41">
    <w:p w:rsidR="008F0D7B" w:rsidRPr="00697EF5" w:rsidRDefault="008F0D7B" w:rsidP="007522E3">
      <w:pPr>
        <w:pStyle w:val="Sprotnaopomba-besedilo"/>
        <w:rPr>
          <w:rFonts w:ascii="Arial" w:hAnsi="Arial" w:cs="Arial"/>
        </w:rPr>
      </w:pPr>
      <w:r w:rsidRPr="00697EF5">
        <w:rPr>
          <w:rStyle w:val="Sprotnaopomba-sklic"/>
          <w:rFonts w:ascii="Arial" w:hAnsi="Arial" w:cs="Arial"/>
          <w:i/>
          <w:sz w:val="16"/>
          <w:szCs w:val="16"/>
        </w:rPr>
        <w:footnoteRef/>
      </w:r>
      <w:r w:rsidRPr="00697EF5">
        <w:rPr>
          <w:rFonts w:ascii="Arial" w:hAnsi="Arial" w:cs="Arial"/>
          <w:i/>
          <w:sz w:val="16"/>
          <w:szCs w:val="16"/>
        </w:rPr>
        <w:t xml:space="preserve"> Zlobec v: Ude, Betetto, Galič, Rijavec, Wedam Lukić, Zobec: Pravdni postopek: zakon s komentarjem, 2. knjiga, str. 343-356.</w:t>
      </w:r>
    </w:p>
  </w:footnote>
  <w:footnote w:id="42">
    <w:p w:rsidR="008F0D7B" w:rsidRPr="00697EF5" w:rsidRDefault="008F0D7B" w:rsidP="007522E3">
      <w:pPr>
        <w:pStyle w:val="Sprotnaopomba-besedilo"/>
        <w:jc w:val="both"/>
        <w:rPr>
          <w:rFonts w:ascii="Arial" w:hAnsi="Arial" w:cs="Arial"/>
          <w:i/>
          <w:sz w:val="16"/>
          <w:szCs w:val="16"/>
        </w:rPr>
      </w:pPr>
      <w:r w:rsidRPr="00697EF5">
        <w:rPr>
          <w:rFonts w:ascii="Arial" w:hAnsi="Arial" w:cs="Arial"/>
          <w:i/>
          <w:sz w:val="16"/>
          <w:szCs w:val="16"/>
          <w:vertAlign w:val="superscript"/>
        </w:rPr>
        <w:footnoteRef/>
      </w:r>
      <w:r w:rsidRPr="00697EF5">
        <w:rPr>
          <w:rFonts w:ascii="Arial" w:hAnsi="Arial" w:cs="Arial"/>
          <w:i/>
          <w:sz w:val="16"/>
          <w:szCs w:val="16"/>
        </w:rPr>
        <w:t xml:space="preserve"> Vlahek: Novosti na področju odškodninskih tožb zaradi kršitev Evropskega antitrusta v: Pravnik št. 7/8 (2016), str. 547-590, 620-621.</w:t>
      </w:r>
    </w:p>
  </w:footnote>
  <w:footnote w:id="43">
    <w:p w:rsidR="008F0D7B" w:rsidRPr="00697EF5" w:rsidRDefault="008F0D7B" w:rsidP="007522E3">
      <w:pPr>
        <w:pStyle w:val="Sprotnaopomba-besedilo"/>
        <w:jc w:val="both"/>
        <w:rPr>
          <w:rFonts w:ascii="Arial" w:hAnsi="Arial" w:cs="Arial"/>
          <w:sz w:val="16"/>
          <w:szCs w:val="16"/>
        </w:rPr>
      </w:pPr>
      <w:r w:rsidRPr="00697EF5">
        <w:rPr>
          <w:rFonts w:ascii="Arial" w:hAnsi="Arial" w:cs="Arial"/>
          <w:i/>
          <w:sz w:val="16"/>
          <w:szCs w:val="16"/>
          <w:vertAlign w:val="superscript"/>
        </w:rPr>
        <w:footnoteRef/>
      </w:r>
      <w:r w:rsidRPr="00697EF5">
        <w:rPr>
          <w:rFonts w:ascii="Arial" w:hAnsi="Arial" w:cs="Arial"/>
          <w:i/>
          <w:sz w:val="16"/>
          <w:szCs w:val="16"/>
        </w:rPr>
        <w:t xml:space="preserve"> Vlahek, Nova Direktiva 2014/104 o nekaterih pravilih glede odškodninskih zahtevkov in postopka zaradi kršitev evropskega in nacionalnega antitrusta, v: Grilc, et al.: Izbrani vidiki razvoja slovenskega gospodarskega in civilnega prava od srede 20. stoletja do danes (liber amicorum Bojan Zabel), Pravna fakulteta, Ljubljana, 2015, str. 171–200.</w:t>
      </w:r>
    </w:p>
  </w:footnote>
  <w:footnote w:id="44">
    <w:p w:rsidR="008F0D7B" w:rsidRPr="00697EF5" w:rsidRDefault="008F0D7B"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Na pravilno razlikovanje je opozorilo tudi Sodišče EU v Sodbi z dne 11. 6. 2009, Inspecteur van de Belastingdienst v X BV, EU:C:2009:359; tako tudi Vlahek, v Amicus curiae, sodelovanje med slovenskimi sodišči, UVK in Evropsko komisijo v konkurenčnopravnih zadevah, Pravosodni bilten, 2009, str. 301-330.</w:t>
      </w:r>
    </w:p>
  </w:footnote>
  <w:footnote w:id="45">
    <w:p w:rsidR="008F0D7B" w:rsidRPr="00E17882" w:rsidRDefault="008F0D7B" w:rsidP="007522E3">
      <w:pPr>
        <w:pStyle w:val="Sprotnaopomba-besedilo"/>
        <w:jc w:val="both"/>
        <w:rPr>
          <w:rFonts w:ascii="Arial" w:hAnsi="Arial" w:cs="Arial"/>
          <w:i/>
          <w:sz w:val="16"/>
          <w:szCs w:val="16"/>
        </w:rPr>
      </w:pPr>
      <w:r w:rsidRPr="00697EF5">
        <w:rPr>
          <w:rStyle w:val="Sprotnaopomba-sklic"/>
          <w:rFonts w:ascii="Arial" w:hAnsi="Arial" w:cs="Arial"/>
          <w:i/>
          <w:sz w:val="16"/>
          <w:szCs w:val="16"/>
        </w:rPr>
        <w:footnoteRef/>
      </w:r>
      <w:r w:rsidRPr="00697EF5">
        <w:rPr>
          <w:rFonts w:ascii="Arial" w:hAnsi="Arial" w:cs="Arial"/>
          <w:i/>
          <w:sz w:val="16"/>
          <w:szCs w:val="16"/>
        </w:rPr>
        <w:t xml:space="preserve"> Slovenska različica Direktive 2014/104/EU uporablja izraz »bistvene določbe«, kar pa ni ustrezen prevod, angleška različica namreč določa »substantive provisions«, francoska »dispositions substantielles«, nemška pa »den materiell-rechtlichen«.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2F786D3A"/>
    <w:lvl w:ilvl="0">
      <w:start w:val="1"/>
      <w:numFmt w:val="bullet"/>
      <w:pStyle w:val="Oznaenseznam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66D09FEE"/>
    <w:lvl w:ilvl="0">
      <w:start w:val="1"/>
      <w:numFmt w:val="bullet"/>
      <w:pStyle w:val="Oznaenseznam"/>
      <w:lvlText w:val=""/>
      <w:lvlJc w:val="left"/>
      <w:pPr>
        <w:tabs>
          <w:tab w:val="num" w:pos="360"/>
        </w:tabs>
        <w:ind w:left="360" w:hanging="360"/>
      </w:pPr>
      <w:rPr>
        <w:rFonts w:ascii="Symbol" w:hAnsi="Symbol" w:hint="default"/>
      </w:rPr>
    </w:lvl>
  </w:abstractNum>
  <w:abstractNum w:abstractNumId="2" w15:restartNumberingAfterBreak="0">
    <w:nsid w:val="FFFFFFFB"/>
    <w:multiLevelType w:val="multilevel"/>
    <w:tmpl w:val="98BAC3DA"/>
    <w:lvl w:ilvl="0">
      <w:start w:val="1"/>
      <w:numFmt w:val="decimal"/>
      <w:pStyle w:val="StyleHeading116ptJustifiedLinespacingMultiple12li"/>
      <w:lvlText w:val="%1."/>
      <w:lvlJc w:val="left"/>
      <w:pPr>
        <w:tabs>
          <w:tab w:val="num" w:pos="0"/>
        </w:tabs>
        <w:ind w:left="680" w:hanging="680"/>
      </w:pPr>
    </w:lvl>
    <w:lvl w:ilvl="1">
      <w:start w:val="1"/>
      <w:numFmt w:val="decimal"/>
      <w:pStyle w:val="StyleHeading2TimesNewRomanNotItalicBefore0ptAfter"/>
      <w:lvlText w:val="%1.%2"/>
      <w:lvlJc w:val="left"/>
      <w:pPr>
        <w:tabs>
          <w:tab w:val="num" w:pos="0"/>
        </w:tabs>
        <w:ind w:left="0" w:firstLine="0"/>
      </w:pPr>
    </w:lvl>
    <w:lvl w:ilvl="2">
      <w:start w:val="1"/>
      <w:numFmt w:val="decimal"/>
      <w:pStyle w:val="StyleHeading3TimesNewRoman12ptJustifiedBefore0pt"/>
      <w:lvlText w:val="%1.%2.%3"/>
      <w:lvlJc w:val="left"/>
      <w:pPr>
        <w:tabs>
          <w:tab w:val="num" w:pos="0"/>
        </w:tabs>
        <w:ind w:left="0" w:firstLine="0"/>
      </w:p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3" w15:restartNumberingAfterBreak="0">
    <w:nsid w:val="007F4945"/>
    <w:multiLevelType w:val="hybridMultilevel"/>
    <w:tmpl w:val="6512BD04"/>
    <w:lvl w:ilvl="0" w:tplc="AFC6F45E">
      <w:start w:val="1"/>
      <w:numFmt w:val="bullet"/>
      <w:lvlText w:val="‒"/>
      <w:lvlJc w:val="left"/>
      <w:pPr>
        <w:ind w:left="720" w:hanging="360"/>
      </w:pPr>
      <w:rPr>
        <w:rFonts w:ascii="Arial" w:hAnsi="Arial" w:cs="Arial" w:hint="default"/>
        <w:sz w:val="20"/>
        <w:szCs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2657BCC"/>
    <w:multiLevelType w:val="hybridMultilevel"/>
    <w:tmpl w:val="06D0CA44"/>
    <w:lvl w:ilvl="0" w:tplc="F3F0FB00">
      <w:start w:val="1"/>
      <w:numFmt w:val="bullet"/>
      <w:lvlText w:val=""/>
      <w:lvlJc w:val="left"/>
      <w:pPr>
        <w:ind w:left="5747"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5" w15:restartNumberingAfterBreak="0">
    <w:nsid w:val="030F0A19"/>
    <w:multiLevelType w:val="hybridMultilevel"/>
    <w:tmpl w:val="52805A34"/>
    <w:lvl w:ilvl="0" w:tplc="F3F0FB00">
      <w:start w:val="1"/>
      <w:numFmt w:val="bullet"/>
      <w:lvlText w:val=""/>
      <w:lvlJc w:val="left"/>
      <w:pPr>
        <w:ind w:left="5180" w:hanging="360"/>
      </w:pPr>
      <w:rPr>
        <w:rFonts w:ascii="Symbol" w:hAnsi="Symbol" w:hint="default"/>
      </w:rPr>
    </w:lvl>
    <w:lvl w:ilvl="1" w:tplc="D21C1C5E">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3515F6F"/>
    <w:multiLevelType w:val="hybridMultilevel"/>
    <w:tmpl w:val="C19AE12A"/>
    <w:lvl w:ilvl="0" w:tplc="8774E99E">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394038D"/>
    <w:multiLevelType w:val="hybridMultilevel"/>
    <w:tmpl w:val="B9CC689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4F26C9D"/>
    <w:multiLevelType w:val="hybridMultilevel"/>
    <w:tmpl w:val="1DF0FB9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59F5D7C"/>
    <w:multiLevelType w:val="hybridMultilevel"/>
    <w:tmpl w:val="42E46F0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6023024"/>
    <w:multiLevelType w:val="hybridMultilevel"/>
    <w:tmpl w:val="40BE42C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88202A"/>
    <w:multiLevelType w:val="hybridMultilevel"/>
    <w:tmpl w:val="22A2EFA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7A16B8C"/>
    <w:multiLevelType w:val="hybridMultilevel"/>
    <w:tmpl w:val="484ABAA4"/>
    <w:lvl w:ilvl="0" w:tplc="6324F6FE">
      <w:start w:val="1"/>
      <w:numFmt w:val="lowerLetter"/>
      <w:lvlText w:val="%1)"/>
      <w:lvlJc w:val="left"/>
      <w:pPr>
        <w:ind w:left="936" w:hanging="360"/>
      </w:pPr>
      <w:rPr>
        <w:rFonts w:hint="default"/>
      </w:rPr>
    </w:lvl>
    <w:lvl w:ilvl="1" w:tplc="04240019" w:tentative="1">
      <w:start w:val="1"/>
      <w:numFmt w:val="lowerLetter"/>
      <w:lvlText w:val="%2."/>
      <w:lvlJc w:val="left"/>
      <w:pPr>
        <w:ind w:left="1656" w:hanging="360"/>
      </w:pPr>
    </w:lvl>
    <w:lvl w:ilvl="2" w:tplc="0424001B" w:tentative="1">
      <w:start w:val="1"/>
      <w:numFmt w:val="lowerRoman"/>
      <w:lvlText w:val="%3."/>
      <w:lvlJc w:val="right"/>
      <w:pPr>
        <w:ind w:left="2376" w:hanging="180"/>
      </w:pPr>
    </w:lvl>
    <w:lvl w:ilvl="3" w:tplc="0424000F" w:tentative="1">
      <w:start w:val="1"/>
      <w:numFmt w:val="decimal"/>
      <w:lvlText w:val="%4."/>
      <w:lvlJc w:val="left"/>
      <w:pPr>
        <w:ind w:left="3096" w:hanging="360"/>
      </w:pPr>
    </w:lvl>
    <w:lvl w:ilvl="4" w:tplc="04240019" w:tentative="1">
      <w:start w:val="1"/>
      <w:numFmt w:val="lowerLetter"/>
      <w:lvlText w:val="%5."/>
      <w:lvlJc w:val="left"/>
      <w:pPr>
        <w:ind w:left="3816" w:hanging="360"/>
      </w:pPr>
    </w:lvl>
    <w:lvl w:ilvl="5" w:tplc="0424001B" w:tentative="1">
      <w:start w:val="1"/>
      <w:numFmt w:val="lowerRoman"/>
      <w:lvlText w:val="%6."/>
      <w:lvlJc w:val="right"/>
      <w:pPr>
        <w:ind w:left="4536" w:hanging="180"/>
      </w:pPr>
    </w:lvl>
    <w:lvl w:ilvl="6" w:tplc="0424000F" w:tentative="1">
      <w:start w:val="1"/>
      <w:numFmt w:val="decimal"/>
      <w:lvlText w:val="%7."/>
      <w:lvlJc w:val="left"/>
      <w:pPr>
        <w:ind w:left="5256" w:hanging="360"/>
      </w:pPr>
    </w:lvl>
    <w:lvl w:ilvl="7" w:tplc="04240019" w:tentative="1">
      <w:start w:val="1"/>
      <w:numFmt w:val="lowerLetter"/>
      <w:lvlText w:val="%8."/>
      <w:lvlJc w:val="left"/>
      <w:pPr>
        <w:ind w:left="5976" w:hanging="360"/>
      </w:pPr>
    </w:lvl>
    <w:lvl w:ilvl="8" w:tplc="0424001B" w:tentative="1">
      <w:start w:val="1"/>
      <w:numFmt w:val="lowerRoman"/>
      <w:lvlText w:val="%9."/>
      <w:lvlJc w:val="right"/>
      <w:pPr>
        <w:ind w:left="6696" w:hanging="180"/>
      </w:pPr>
    </w:lvl>
  </w:abstractNum>
  <w:abstractNum w:abstractNumId="13" w15:restartNumberingAfterBreak="0">
    <w:nsid w:val="08717FD1"/>
    <w:multiLevelType w:val="hybridMultilevel"/>
    <w:tmpl w:val="9FB8F6E4"/>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9220668"/>
    <w:multiLevelType w:val="hybridMultilevel"/>
    <w:tmpl w:val="2594ED6C"/>
    <w:lvl w:ilvl="0" w:tplc="EAB83DBE">
      <w:start w:val="1"/>
      <w:numFmt w:val="decimal"/>
      <w:pStyle w:val="SlogNaslov1Calibri12pt"/>
      <w:lvlText w:val="%1."/>
      <w:lvlJc w:val="left"/>
      <w:pPr>
        <w:tabs>
          <w:tab w:val="num" w:pos="1068"/>
        </w:tabs>
        <w:ind w:left="1068" w:hanging="70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0969274E"/>
    <w:multiLevelType w:val="hybridMultilevel"/>
    <w:tmpl w:val="48DEF41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096B0695"/>
    <w:multiLevelType w:val="hybridMultilevel"/>
    <w:tmpl w:val="6BBEBF9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99E1756"/>
    <w:multiLevelType w:val="hybridMultilevel"/>
    <w:tmpl w:val="CE7E6040"/>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BDC29DD"/>
    <w:multiLevelType w:val="hybridMultilevel"/>
    <w:tmpl w:val="646A9EF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E1C7146"/>
    <w:multiLevelType w:val="hybridMultilevel"/>
    <w:tmpl w:val="A2843708"/>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F270358"/>
    <w:multiLevelType w:val="hybridMultilevel"/>
    <w:tmpl w:val="B060015E"/>
    <w:lvl w:ilvl="0" w:tplc="91A4CA62">
      <w:start w:val="1"/>
      <w:numFmt w:val="decimal"/>
      <w:lvlText w:val="%1."/>
      <w:lvlJc w:val="left"/>
      <w:pPr>
        <w:ind w:left="4188"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FF02886"/>
    <w:multiLevelType w:val="hybridMultilevel"/>
    <w:tmpl w:val="C58C0F7C"/>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0512DFE"/>
    <w:multiLevelType w:val="hybridMultilevel"/>
    <w:tmpl w:val="690C901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243C25"/>
    <w:multiLevelType w:val="hybridMultilevel"/>
    <w:tmpl w:val="2FEAA31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17B4634"/>
    <w:multiLevelType w:val="hybridMultilevel"/>
    <w:tmpl w:val="FCD044CC"/>
    <w:lvl w:ilvl="0" w:tplc="F3F0FB00">
      <w:start w:val="1"/>
      <w:numFmt w:val="bullet"/>
      <w:lvlText w:val=""/>
      <w:lvlJc w:val="left"/>
      <w:pPr>
        <w:ind w:left="5464" w:hanging="360"/>
      </w:pPr>
      <w:rPr>
        <w:rFonts w:ascii="Symbol" w:hAnsi="Symbol" w:hint="default"/>
        <w:b/>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4860122"/>
    <w:multiLevelType w:val="singleLevel"/>
    <w:tmpl w:val="2D207AE6"/>
    <w:lvl w:ilvl="0">
      <w:start w:val="1"/>
      <w:numFmt w:val="bullet"/>
      <w:pStyle w:val="Ppika"/>
      <w:lvlText w:val=""/>
      <w:lvlJc w:val="left"/>
      <w:pPr>
        <w:tabs>
          <w:tab w:val="num" w:pos="1701"/>
        </w:tabs>
        <w:ind w:left="1701" w:hanging="567"/>
      </w:pPr>
      <w:rPr>
        <w:rFonts w:ascii="Symbol" w:hAnsi="Symbol" w:hint="default"/>
      </w:rPr>
    </w:lvl>
  </w:abstractNum>
  <w:abstractNum w:abstractNumId="27" w15:restartNumberingAfterBreak="0">
    <w:nsid w:val="196E3D3F"/>
    <w:multiLevelType w:val="hybridMultilevel"/>
    <w:tmpl w:val="9FDAF566"/>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AE73D81"/>
    <w:multiLevelType w:val="hybridMultilevel"/>
    <w:tmpl w:val="9CEA64BA"/>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0" w15:restartNumberingAfterBreak="0">
    <w:nsid w:val="1B7B67BB"/>
    <w:multiLevelType w:val="hybridMultilevel"/>
    <w:tmpl w:val="6C824C74"/>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C3C5682"/>
    <w:multiLevelType w:val="multilevel"/>
    <w:tmpl w:val="C78A981E"/>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1D1D25F8"/>
    <w:multiLevelType w:val="hybridMultilevel"/>
    <w:tmpl w:val="B75262E2"/>
    <w:lvl w:ilvl="0" w:tplc="F3F0FB00">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3" w15:restartNumberingAfterBreak="0">
    <w:nsid w:val="1D532586"/>
    <w:multiLevelType w:val="hybridMultilevel"/>
    <w:tmpl w:val="608C788C"/>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E462488"/>
    <w:multiLevelType w:val="hybridMultilevel"/>
    <w:tmpl w:val="713A4B4E"/>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F5070EC"/>
    <w:multiLevelType w:val="hybridMultilevel"/>
    <w:tmpl w:val="A278837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14D3ACA"/>
    <w:multiLevelType w:val="hybridMultilevel"/>
    <w:tmpl w:val="423430EA"/>
    <w:lvl w:ilvl="0" w:tplc="F3F0FB00">
      <w:start w:val="1"/>
      <w:numFmt w:val="bullet"/>
      <w:lvlText w:val=""/>
      <w:lvlJc w:val="left"/>
      <w:pPr>
        <w:tabs>
          <w:tab w:val="num" w:pos="425"/>
        </w:tabs>
        <w:ind w:left="425" w:hanging="425"/>
      </w:pPr>
      <w:rPr>
        <w:rFonts w:ascii="Symbol" w:hAnsi="Symbo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16420B5"/>
    <w:multiLevelType w:val="hybridMultilevel"/>
    <w:tmpl w:val="F2EE204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21003F6"/>
    <w:multiLevelType w:val="hybridMultilevel"/>
    <w:tmpl w:val="4424850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24A2258"/>
    <w:multiLevelType w:val="hybridMultilevel"/>
    <w:tmpl w:val="6CDA5A40"/>
    <w:lvl w:ilvl="0" w:tplc="F3F0FB00">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40" w15:restartNumberingAfterBreak="0">
    <w:nsid w:val="23534E85"/>
    <w:multiLevelType w:val="hybridMultilevel"/>
    <w:tmpl w:val="1060B2D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15:restartNumberingAfterBreak="0">
    <w:nsid w:val="236A50F0"/>
    <w:multiLevelType w:val="hybridMultilevel"/>
    <w:tmpl w:val="84008FF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24AE70F2"/>
    <w:multiLevelType w:val="hybridMultilevel"/>
    <w:tmpl w:val="9CCEF1E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59049D6"/>
    <w:multiLevelType w:val="hybridMultilevel"/>
    <w:tmpl w:val="D0608AA8"/>
    <w:lvl w:ilvl="0" w:tplc="F3F0FB00">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45" w15:restartNumberingAfterBreak="0">
    <w:nsid w:val="268D1C4C"/>
    <w:multiLevelType w:val="hybridMultilevel"/>
    <w:tmpl w:val="8EBAFE7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7063867"/>
    <w:multiLevelType w:val="multilevel"/>
    <w:tmpl w:val="0424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7" w15:restartNumberingAfterBreak="0">
    <w:nsid w:val="27854CB7"/>
    <w:multiLevelType w:val="hybridMultilevel"/>
    <w:tmpl w:val="97E49EF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A123E6A"/>
    <w:multiLevelType w:val="hybridMultilevel"/>
    <w:tmpl w:val="A6882FA8"/>
    <w:lvl w:ilvl="0" w:tplc="C4C2DCE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2AC20D50"/>
    <w:multiLevelType w:val="hybridMultilevel"/>
    <w:tmpl w:val="8144A95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2B3B3475"/>
    <w:multiLevelType w:val="hybridMultilevel"/>
    <w:tmpl w:val="58A424D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1" w15:restartNumberingAfterBreak="0">
    <w:nsid w:val="2BE83132"/>
    <w:multiLevelType w:val="hybridMultilevel"/>
    <w:tmpl w:val="2C32CED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C74180C"/>
    <w:multiLevelType w:val="hybridMultilevel"/>
    <w:tmpl w:val="0C7C3D5A"/>
    <w:lvl w:ilvl="0" w:tplc="C4C2DCE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E2D3AA0"/>
    <w:multiLevelType w:val="hybridMultilevel"/>
    <w:tmpl w:val="76BA44A0"/>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2F2E3705"/>
    <w:multiLevelType w:val="hybridMultilevel"/>
    <w:tmpl w:val="E070B438"/>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2F6B5D5A"/>
    <w:multiLevelType w:val="hybridMultilevel"/>
    <w:tmpl w:val="2DC4FE6E"/>
    <w:lvl w:ilvl="0" w:tplc="AFC6F45E">
      <w:start w:val="1"/>
      <w:numFmt w:val="bullet"/>
      <w:lvlText w:val="‒"/>
      <w:lvlJc w:val="left"/>
      <w:pPr>
        <w:ind w:left="720" w:hanging="360"/>
      </w:pPr>
      <w:rPr>
        <w:rFonts w:ascii="Arial" w:hAnsi="Arial" w:cs="Arial" w:hint="default"/>
        <w:sz w:val="20"/>
        <w:szCs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31B945C8"/>
    <w:multiLevelType w:val="hybridMultilevel"/>
    <w:tmpl w:val="78DE658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1DD2F91"/>
    <w:multiLevelType w:val="hybridMultilevel"/>
    <w:tmpl w:val="2800D3FC"/>
    <w:lvl w:ilvl="0" w:tplc="F3F0FB0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21750B4"/>
    <w:multiLevelType w:val="hybridMultilevel"/>
    <w:tmpl w:val="978AFC6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25354AF"/>
    <w:multiLevelType w:val="hybridMultilevel"/>
    <w:tmpl w:val="F0EAEAE6"/>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330C1F28"/>
    <w:multiLevelType w:val="hybridMultilevel"/>
    <w:tmpl w:val="06B82EB6"/>
    <w:lvl w:ilvl="0" w:tplc="C4C2DCEC">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1" w15:restartNumberingAfterBreak="0">
    <w:nsid w:val="35B64861"/>
    <w:multiLevelType w:val="hybridMultilevel"/>
    <w:tmpl w:val="A70AC978"/>
    <w:lvl w:ilvl="0" w:tplc="F3F0FB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790577F"/>
    <w:multiLevelType w:val="hybridMultilevel"/>
    <w:tmpl w:val="15F22F7A"/>
    <w:lvl w:ilvl="0" w:tplc="66B80CBA">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4" w15:restartNumberingAfterBreak="0">
    <w:nsid w:val="38F00389"/>
    <w:multiLevelType w:val="hybridMultilevel"/>
    <w:tmpl w:val="7E8A193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8FD7649"/>
    <w:multiLevelType w:val="hybridMultilevel"/>
    <w:tmpl w:val="9DF0875E"/>
    <w:lvl w:ilvl="0" w:tplc="C4C2DCEC">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6" w15:restartNumberingAfterBreak="0">
    <w:nsid w:val="39745F03"/>
    <w:multiLevelType w:val="hybridMultilevel"/>
    <w:tmpl w:val="87ECF192"/>
    <w:lvl w:ilvl="0" w:tplc="A9AE070C">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A1B6A79"/>
    <w:multiLevelType w:val="hybridMultilevel"/>
    <w:tmpl w:val="DFB6C612"/>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3A854948"/>
    <w:multiLevelType w:val="hybridMultilevel"/>
    <w:tmpl w:val="47E238AE"/>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B5B6253"/>
    <w:multiLevelType w:val="hybridMultilevel"/>
    <w:tmpl w:val="A348B440"/>
    <w:lvl w:ilvl="0" w:tplc="F3F0FB00">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70" w15:restartNumberingAfterBreak="0">
    <w:nsid w:val="3C357929"/>
    <w:multiLevelType w:val="hybridMultilevel"/>
    <w:tmpl w:val="E446F204"/>
    <w:lvl w:ilvl="0" w:tplc="F3F0FB00">
      <w:start w:val="1"/>
      <w:numFmt w:val="bullet"/>
      <w:lvlText w:val=""/>
      <w:lvlJc w:val="left"/>
      <w:pPr>
        <w:ind w:left="1296" w:hanging="360"/>
      </w:pPr>
      <w:rPr>
        <w:rFonts w:ascii="Symbol" w:hAnsi="Symbol" w:hint="default"/>
      </w:rPr>
    </w:lvl>
    <w:lvl w:ilvl="1" w:tplc="04240003" w:tentative="1">
      <w:start w:val="1"/>
      <w:numFmt w:val="bullet"/>
      <w:lvlText w:val="o"/>
      <w:lvlJc w:val="left"/>
      <w:pPr>
        <w:ind w:left="2016" w:hanging="360"/>
      </w:pPr>
      <w:rPr>
        <w:rFonts w:ascii="Courier New" w:hAnsi="Courier New" w:cs="Courier New" w:hint="default"/>
      </w:rPr>
    </w:lvl>
    <w:lvl w:ilvl="2" w:tplc="04240005" w:tentative="1">
      <w:start w:val="1"/>
      <w:numFmt w:val="bullet"/>
      <w:lvlText w:val=""/>
      <w:lvlJc w:val="left"/>
      <w:pPr>
        <w:ind w:left="2736" w:hanging="360"/>
      </w:pPr>
      <w:rPr>
        <w:rFonts w:ascii="Wingdings" w:hAnsi="Wingdings" w:hint="default"/>
      </w:rPr>
    </w:lvl>
    <w:lvl w:ilvl="3" w:tplc="04240001" w:tentative="1">
      <w:start w:val="1"/>
      <w:numFmt w:val="bullet"/>
      <w:lvlText w:val=""/>
      <w:lvlJc w:val="left"/>
      <w:pPr>
        <w:ind w:left="3456" w:hanging="360"/>
      </w:pPr>
      <w:rPr>
        <w:rFonts w:ascii="Symbol" w:hAnsi="Symbol" w:hint="default"/>
      </w:rPr>
    </w:lvl>
    <w:lvl w:ilvl="4" w:tplc="04240003" w:tentative="1">
      <w:start w:val="1"/>
      <w:numFmt w:val="bullet"/>
      <w:lvlText w:val="o"/>
      <w:lvlJc w:val="left"/>
      <w:pPr>
        <w:ind w:left="4176" w:hanging="360"/>
      </w:pPr>
      <w:rPr>
        <w:rFonts w:ascii="Courier New" w:hAnsi="Courier New" w:cs="Courier New" w:hint="default"/>
      </w:rPr>
    </w:lvl>
    <w:lvl w:ilvl="5" w:tplc="04240005" w:tentative="1">
      <w:start w:val="1"/>
      <w:numFmt w:val="bullet"/>
      <w:lvlText w:val=""/>
      <w:lvlJc w:val="left"/>
      <w:pPr>
        <w:ind w:left="4896" w:hanging="360"/>
      </w:pPr>
      <w:rPr>
        <w:rFonts w:ascii="Wingdings" w:hAnsi="Wingdings" w:hint="default"/>
      </w:rPr>
    </w:lvl>
    <w:lvl w:ilvl="6" w:tplc="04240001" w:tentative="1">
      <w:start w:val="1"/>
      <w:numFmt w:val="bullet"/>
      <w:lvlText w:val=""/>
      <w:lvlJc w:val="left"/>
      <w:pPr>
        <w:ind w:left="5616" w:hanging="360"/>
      </w:pPr>
      <w:rPr>
        <w:rFonts w:ascii="Symbol" w:hAnsi="Symbol" w:hint="default"/>
      </w:rPr>
    </w:lvl>
    <w:lvl w:ilvl="7" w:tplc="04240003" w:tentative="1">
      <w:start w:val="1"/>
      <w:numFmt w:val="bullet"/>
      <w:lvlText w:val="o"/>
      <w:lvlJc w:val="left"/>
      <w:pPr>
        <w:ind w:left="6336" w:hanging="360"/>
      </w:pPr>
      <w:rPr>
        <w:rFonts w:ascii="Courier New" w:hAnsi="Courier New" w:cs="Courier New" w:hint="default"/>
      </w:rPr>
    </w:lvl>
    <w:lvl w:ilvl="8" w:tplc="04240005" w:tentative="1">
      <w:start w:val="1"/>
      <w:numFmt w:val="bullet"/>
      <w:lvlText w:val=""/>
      <w:lvlJc w:val="left"/>
      <w:pPr>
        <w:ind w:left="7056" w:hanging="360"/>
      </w:pPr>
      <w:rPr>
        <w:rFonts w:ascii="Wingdings" w:hAnsi="Wingdings" w:hint="default"/>
      </w:rPr>
    </w:lvl>
  </w:abstractNum>
  <w:abstractNum w:abstractNumId="71" w15:restartNumberingAfterBreak="0">
    <w:nsid w:val="3E6C6AA9"/>
    <w:multiLevelType w:val="hybridMultilevel"/>
    <w:tmpl w:val="2A7056E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3EBC7A4C"/>
    <w:multiLevelType w:val="hybridMultilevel"/>
    <w:tmpl w:val="9AE01DE2"/>
    <w:lvl w:ilvl="0" w:tplc="56F68B84">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3" w15:restartNumberingAfterBreak="0">
    <w:nsid w:val="3F211C7E"/>
    <w:multiLevelType w:val="hybridMultilevel"/>
    <w:tmpl w:val="C9DCA85A"/>
    <w:lvl w:ilvl="0" w:tplc="E6888A80">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1621636"/>
    <w:multiLevelType w:val="hybridMultilevel"/>
    <w:tmpl w:val="849CE56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41C56FCC"/>
    <w:multiLevelType w:val="hybridMultilevel"/>
    <w:tmpl w:val="6568BC6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44262FD5"/>
    <w:multiLevelType w:val="hybridMultilevel"/>
    <w:tmpl w:val="E29E8D56"/>
    <w:lvl w:ilvl="0" w:tplc="3174BCF6">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5993FCC"/>
    <w:multiLevelType w:val="hybridMultilevel"/>
    <w:tmpl w:val="78C20C3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99E685F"/>
    <w:multiLevelType w:val="hybridMultilevel"/>
    <w:tmpl w:val="0EFC16E8"/>
    <w:lvl w:ilvl="0" w:tplc="0424000F">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4DA213E3"/>
    <w:multiLevelType w:val="hybridMultilevel"/>
    <w:tmpl w:val="37DEBEF8"/>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4DEA4DC2"/>
    <w:multiLevelType w:val="hybridMultilevel"/>
    <w:tmpl w:val="C3C4D96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3" w15:restartNumberingAfterBreak="0">
    <w:nsid w:val="4DEE6CA6"/>
    <w:multiLevelType w:val="hybridMultilevel"/>
    <w:tmpl w:val="BFDCF542"/>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EAE2167"/>
    <w:multiLevelType w:val="multilevel"/>
    <w:tmpl w:val="99CA707C"/>
    <w:lvl w:ilvl="0">
      <w:start w:val="1"/>
      <w:numFmt w:val="decimal"/>
      <w:pStyle w:val="tevilnatoka"/>
      <w:lvlText w:val="%1."/>
      <w:lvlJc w:val="left"/>
      <w:pPr>
        <w:tabs>
          <w:tab w:val="num" w:pos="5954"/>
        </w:tabs>
        <w:ind w:left="5954"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4F182201"/>
    <w:multiLevelType w:val="hybridMultilevel"/>
    <w:tmpl w:val="9364CC4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509D5A97"/>
    <w:multiLevelType w:val="hybridMultilevel"/>
    <w:tmpl w:val="214E0FDE"/>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12F313D"/>
    <w:multiLevelType w:val="hybridMultilevel"/>
    <w:tmpl w:val="493AB47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521944AC"/>
    <w:multiLevelType w:val="hybridMultilevel"/>
    <w:tmpl w:val="589A7F3C"/>
    <w:lvl w:ilvl="0" w:tplc="5D04C1F6">
      <w:start w:val="1"/>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540E607B"/>
    <w:multiLevelType w:val="hybridMultilevel"/>
    <w:tmpl w:val="34E45F24"/>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5420DAE"/>
    <w:multiLevelType w:val="hybridMultilevel"/>
    <w:tmpl w:val="19A068F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1" w15:restartNumberingAfterBreak="0">
    <w:nsid w:val="562041BD"/>
    <w:multiLevelType w:val="hybridMultilevel"/>
    <w:tmpl w:val="887C890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584472E4"/>
    <w:multiLevelType w:val="hybridMultilevel"/>
    <w:tmpl w:val="BB286E24"/>
    <w:lvl w:ilvl="0" w:tplc="AFC6F45E">
      <w:start w:val="1"/>
      <w:numFmt w:val="bullet"/>
      <w:lvlText w:val="‒"/>
      <w:lvlJc w:val="left"/>
      <w:pPr>
        <w:ind w:left="720" w:hanging="360"/>
      </w:pPr>
      <w:rPr>
        <w:rFonts w:ascii="Arial" w:hAnsi="Arial" w:cs="Arial" w:hint="default"/>
        <w:sz w:val="20"/>
        <w:szCs w:val="20"/>
      </w:rPr>
    </w:lvl>
    <w:lvl w:ilvl="1" w:tplc="AFC6F45E">
      <w:start w:val="1"/>
      <w:numFmt w:val="bullet"/>
      <w:lvlText w:val="‒"/>
      <w:lvlJc w:val="left"/>
      <w:pPr>
        <w:ind w:left="1440" w:hanging="360"/>
      </w:pPr>
      <w:rPr>
        <w:rFonts w:ascii="Arial" w:hAnsi="Arial" w:cs="Arial" w:hint="default"/>
        <w:sz w:val="20"/>
        <w:szCs w:val="2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A5D5AFD"/>
    <w:multiLevelType w:val="hybridMultilevel"/>
    <w:tmpl w:val="C936C3F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B2F612F"/>
    <w:multiLevelType w:val="hybridMultilevel"/>
    <w:tmpl w:val="B600B7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DFD014F"/>
    <w:multiLevelType w:val="singleLevel"/>
    <w:tmpl w:val="03C29486"/>
    <w:lvl w:ilvl="0">
      <w:start w:val="1"/>
      <w:numFmt w:val="bullet"/>
      <w:pStyle w:val="Tiret1"/>
      <w:lvlText w:val="-"/>
      <w:lvlJc w:val="left"/>
      <w:pPr>
        <w:tabs>
          <w:tab w:val="num" w:pos="360"/>
        </w:tabs>
        <w:ind w:left="284" w:hanging="284"/>
      </w:pPr>
      <w:rPr>
        <w:rFonts w:ascii="Times New Roman" w:hAnsi="Times New Roman" w:cs="Times New Roman" w:hint="default"/>
      </w:rPr>
    </w:lvl>
  </w:abstractNum>
  <w:abstractNum w:abstractNumId="97" w15:restartNumberingAfterBreak="0">
    <w:nsid w:val="61A54583"/>
    <w:multiLevelType w:val="hybridMultilevel"/>
    <w:tmpl w:val="F2CC416E"/>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31156E0"/>
    <w:multiLevelType w:val="hybridMultilevel"/>
    <w:tmpl w:val="185624A0"/>
    <w:lvl w:ilvl="0" w:tplc="F3F0FB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63A15615"/>
    <w:multiLevelType w:val="hybridMultilevel"/>
    <w:tmpl w:val="AD44BD76"/>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F3F0FB00">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63EF1A7C"/>
    <w:multiLevelType w:val="hybridMultilevel"/>
    <w:tmpl w:val="5EE26E68"/>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65872A06"/>
    <w:multiLevelType w:val="hybridMultilevel"/>
    <w:tmpl w:val="9FF2B50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658E42EA"/>
    <w:multiLevelType w:val="hybridMultilevel"/>
    <w:tmpl w:val="BA1EA086"/>
    <w:lvl w:ilvl="0" w:tplc="AFC6F45E">
      <w:start w:val="1"/>
      <w:numFmt w:val="bullet"/>
      <w:lvlText w:val="‒"/>
      <w:lvlJc w:val="left"/>
      <w:pPr>
        <w:ind w:left="720" w:hanging="360"/>
      </w:pPr>
      <w:rPr>
        <w:rFonts w:ascii="Arial" w:hAnsi="Arial" w:cs="Arial" w:hint="default"/>
        <w:sz w:val="20"/>
        <w:szCs w:val="20"/>
      </w:rPr>
    </w:lvl>
    <w:lvl w:ilvl="1" w:tplc="AFC6F45E">
      <w:start w:val="1"/>
      <w:numFmt w:val="bullet"/>
      <w:lvlText w:val="‒"/>
      <w:lvlJc w:val="left"/>
      <w:pPr>
        <w:ind w:left="1440" w:hanging="360"/>
      </w:pPr>
      <w:rPr>
        <w:rFonts w:ascii="Arial" w:hAnsi="Arial" w:cs="Arial" w:hint="default"/>
        <w:sz w:val="20"/>
        <w:szCs w:val="2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65E84FAC"/>
    <w:multiLevelType w:val="hybridMultilevel"/>
    <w:tmpl w:val="9CD4FD02"/>
    <w:lvl w:ilvl="0" w:tplc="04240017">
      <w:start w:val="1"/>
      <w:numFmt w:val="lowerLetter"/>
      <w:lvlText w:val="%1)"/>
      <w:lvlJc w:val="left"/>
      <w:pPr>
        <w:ind w:left="107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4" w15:restartNumberingAfterBreak="0">
    <w:nsid w:val="664955E4"/>
    <w:multiLevelType w:val="hybridMultilevel"/>
    <w:tmpl w:val="A76C68A4"/>
    <w:lvl w:ilvl="0" w:tplc="04240017">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05" w15:restartNumberingAfterBreak="0">
    <w:nsid w:val="66632192"/>
    <w:multiLevelType w:val="hybridMultilevel"/>
    <w:tmpl w:val="3CFABE0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6FA51F5"/>
    <w:multiLevelType w:val="hybridMultilevel"/>
    <w:tmpl w:val="DDF22C1E"/>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678A6FB2"/>
    <w:multiLevelType w:val="hybridMultilevel"/>
    <w:tmpl w:val="7ED2BB3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87B104C"/>
    <w:multiLevelType w:val="hybridMultilevel"/>
    <w:tmpl w:val="1098F4FE"/>
    <w:lvl w:ilvl="0" w:tplc="FB2C8FD8">
      <w:start w:val="2"/>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69791463"/>
    <w:multiLevelType w:val="hybridMultilevel"/>
    <w:tmpl w:val="9C864EFC"/>
    <w:lvl w:ilvl="0" w:tplc="A0288848">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69801005"/>
    <w:multiLevelType w:val="hybridMultilevel"/>
    <w:tmpl w:val="63FC3AA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6A1566A6"/>
    <w:multiLevelType w:val="hybridMultilevel"/>
    <w:tmpl w:val="8ED63C42"/>
    <w:lvl w:ilvl="0" w:tplc="F3F0FB00">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6A51042F"/>
    <w:multiLevelType w:val="hybridMultilevel"/>
    <w:tmpl w:val="6B424B70"/>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6A870AC5"/>
    <w:multiLevelType w:val="hybridMultilevel"/>
    <w:tmpl w:val="97DE938C"/>
    <w:lvl w:ilvl="0" w:tplc="37DECC5E">
      <w:start w:val="1"/>
      <w:numFmt w:val="bullet"/>
      <w:pStyle w:val="Alineazaodstavkom"/>
      <w:lvlText w:val="-"/>
      <w:lvlJc w:val="left"/>
      <w:pPr>
        <w:tabs>
          <w:tab w:val="num" w:pos="709"/>
        </w:tabs>
        <w:ind w:left="709" w:hanging="425"/>
      </w:pPr>
      <w:rPr>
        <w:rFonts w:ascii="Arial" w:hAnsi="Arial" w:hint="default"/>
      </w:rPr>
    </w:lvl>
    <w:lvl w:ilvl="1" w:tplc="04240019">
      <w:start w:val="1"/>
      <w:numFmt w:val="bullet"/>
      <w:lvlText w:val="o"/>
      <w:lvlJc w:val="left"/>
      <w:pPr>
        <w:tabs>
          <w:tab w:val="num" w:pos="1724"/>
        </w:tabs>
        <w:ind w:left="1724" w:hanging="360"/>
      </w:pPr>
      <w:rPr>
        <w:rFonts w:ascii="Courier New" w:hAnsi="Courier New" w:cs="Courier New" w:hint="default"/>
      </w:rPr>
    </w:lvl>
    <w:lvl w:ilvl="2" w:tplc="0424001B" w:tentative="1">
      <w:start w:val="1"/>
      <w:numFmt w:val="bullet"/>
      <w:lvlText w:val=""/>
      <w:lvlJc w:val="left"/>
      <w:pPr>
        <w:tabs>
          <w:tab w:val="num" w:pos="2444"/>
        </w:tabs>
        <w:ind w:left="2444" w:hanging="360"/>
      </w:pPr>
      <w:rPr>
        <w:rFonts w:ascii="Wingdings" w:hAnsi="Wingdings" w:hint="default"/>
      </w:rPr>
    </w:lvl>
    <w:lvl w:ilvl="3" w:tplc="0424000F" w:tentative="1">
      <w:start w:val="1"/>
      <w:numFmt w:val="bullet"/>
      <w:lvlText w:val=""/>
      <w:lvlJc w:val="left"/>
      <w:pPr>
        <w:tabs>
          <w:tab w:val="num" w:pos="3164"/>
        </w:tabs>
        <w:ind w:left="3164" w:hanging="360"/>
      </w:pPr>
      <w:rPr>
        <w:rFonts w:ascii="Symbol" w:hAnsi="Symbol" w:hint="default"/>
      </w:rPr>
    </w:lvl>
    <w:lvl w:ilvl="4" w:tplc="04240019" w:tentative="1">
      <w:start w:val="1"/>
      <w:numFmt w:val="bullet"/>
      <w:lvlText w:val="o"/>
      <w:lvlJc w:val="left"/>
      <w:pPr>
        <w:tabs>
          <w:tab w:val="num" w:pos="3884"/>
        </w:tabs>
        <w:ind w:left="3884" w:hanging="360"/>
      </w:pPr>
      <w:rPr>
        <w:rFonts w:ascii="Courier New" w:hAnsi="Courier New" w:cs="Courier New" w:hint="default"/>
      </w:rPr>
    </w:lvl>
    <w:lvl w:ilvl="5" w:tplc="0424001B" w:tentative="1">
      <w:start w:val="1"/>
      <w:numFmt w:val="bullet"/>
      <w:lvlText w:val=""/>
      <w:lvlJc w:val="left"/>
      <w:pPr>
        <w:tabs>
          <w:tab w:val="num" w:pos="4604"/>
        </w:tabs>
        <w:ind w:left="4604" w:hanging="360"/>
      </w:pPr>
      <w:rPr>
        <w:rFonts w:ascii="Wingdings" w:hAnsi="Wingdings" w:hint="default"/>
      </w:rPr>
    </w:lvl>
    <w:lvl w:ilvl="6" w:tplc="0424000F" w:tentative="1">
      <w:start w:val="1"/>
      <w:numFmt w:val="bullet"/>
      <w:lvlText w:val=""/>
      <w:lvlJc w:val="left"/>
      <w:pPr>
        <w:tabs>
          <w:tab w:val="num" w:pos="5324"/>
        </w:tabs>
        <w:ind w:left="5324" w:hanging="360"/>
      </w:pPr>
      <w:rPr>
        <w:rFonts w:ascii="Symbol" w:hAnsi="Symbol" w:hint="default"/>
      </w:rPr>
    </w:lvl>
    <w:lvl w:ilvl="7" w:tplc="04240019" w:tentative="1">
      <w:start w:val="1"/>
      <w:numFmt w:val="bullet"/>
      <w:lvlText w:val="o"/>
      <w:lvlJc w:val="left"/>
      <w:pPr>
        <w:tabs>
          <w:tab w:val="num" w:pos="6044"/>
        </w:tabs>
        <w:ind w:left="6044" w:hanging="360"/>
      </w:pPr>
      <w:rPr>
        <w:rFonts w:ascii="Courier New" w:hAnsi="Courier New" w:cs="Courier New" w:hint="default"/>
      </w:rPr>
    </w:lvl>
    <w:lvl w:ilvl="8" w:tplc="0424001B" w:tentative="1">
      <w:start w:val="1"/>
      <w:numFmt w:val="bullet"/>
      <w:lvlText w:val=""/>
      <w:lvlJc w:val="left"/>
      <w:pPr>
        <w:tabs>
          <w:tab w:val="num" w:pos="6764"/>
        </w:tabs>
        <w:ind w:left="6764" w:hanging="360"/>
      </w:pPr>
      <w:rPr>
        <w:rFonts w:ascii="Wingdings" w:hAnsi="Wingdings" w:hint="default"/>
      </w:rPr>
    </w:lvl>
  </w:abstractNum>
  <w:abstractNum w:abstractNumId="115" w15:restartNumberingAfterBreak="0">
    <w:nsid w:val="6D727DBE"/>
    <w:multiLevelType w:val="hybridMultilevel"/>
    <w:tmpl w:val="6036898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6E3079E4"/>
    <w:multiLevelType w:val="multilevel"/>
    <w:tmpl w:val="F4BEA6C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7" w15:restartNumberingAfterBreak="0">
    <w:nsid w:val="6E8C37AC"/>
    <w:multiLevelType w:val="hybridMultilevel"/>
    <w:tmpl w:val="DB3877A6"/>
    <w:lvl w:ilvl="0" w:tplc="F3F0FB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6F641329"/>
    <w:multiLevelType w:val="hybridMultilevel"/>
    <w:tmpl w:val="63A055DA"/>
    <w:lvl w:ilvl="0" w:tplc="F3F0FB0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700F3F07"/>
    <w:multiLevelType w:val="hybridMultilevel"/>
    <w:tmpl w:val="83FA9D0C"/>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0105A60"/>
    <w:multiLevelType w:val="hybridMultilevel"/>
    <w:tmpl w:val="D6F893AA"/>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07913CE"/>
    <w:multiLevelType w:val="hybridMultilevel"/>
    <w:tmpl w:val="F370B1F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2" w15:restartNumberingAfterBreak="0">
    <w:nsid w:val="71CE4D3D"/>
    <w:multiLevelType w:val="hybridMultilevel"/>
    <w:tmpl w:val="B49429FC"/>
    <w:lvl w:ilvl="0" w:tplc="04240017">
      <w:start w:val="1"/>
      <w:numFmt w:val="lowerLetter"/>
      <w:lvlText w:val="%1)"/>
      <w:lvlJc w:val="left"/>
      <w:pPr>
        <w:ind w:left="933" w:hanging="360"/>
      </w:pPr>
    </w:lvl>
    <w:lvl w:ilvl="1" w:tplc="04240019">
      <w:start w:val="1"/>
      <w:numFmt w:val="lowerLetter"/>
      <w:lvlText w:val="%2."/>
      <w:lvlJc w:val="left"/>
      <w:pPr>
        <w:ind w:left="1653" w:hanging="360"/>
      </w:pPr>
    </w:lvl>
    <w:lvl w:ilvl="2" w:tplc="0424001B" w:tentative="1">
      <w:start w:val="1"/>
      <w:numFmt w:val="lowerRoman"/>
      <w:lvlText w:val="%3."/>
      <w:lvlJc w:val="right"/>
      <w:pPr>
        <w:ind w:left="2373" w:hanging="180"/>
      </w:pPr>
    </w:lvl>
    <w:lvl w:ilvl="3" w:tplc="0424000F" w:tentative="1">
      <w:start w:val="1"/>
      <w:numFmt w:val="decimal"/>
      <w:lvlText w:val="%4."/>
      <w:lvlJc w:val="left"/>
      <w:pPr>
        <w:ind w:left="3093" w:hanging="360"/>
      </w:pPr>
    </w:lvl>
    <w:lvl w:ilvl="4" w:tplc="04240019" w:tentative="1">
      <w:start w:val="1"/>
      <w:numFmt w:val="lowerLetter"/>
      <w:lvlText w:val="%5."/>
      <w:lvlJc w:val="left"/>
      <w:pPr>
        <w:ind w:left="3813" w:hanging="360"/>
      </w:pPr>
    </w:lvl>
    <w:lvl w:ilvl="5" w:tplc="0424001B" w:tentative="1">
      <w:start w:val="1"/>
      <w:numFmt w:val="lowerRoman"/>
      <w:lvlText w:val="%6."/>
      <w:lvlJc w:val="right"/>
      <w:pPr>
        <w:ind w:left="4533" w:hanging="180"/>
      </w:pPr>
    </w:lvl>
    <w:lvl w:ilvl="6" w:tplc="0424000F" w:tentative="1">
      <w:start w:val="1"/>
      <w:numFmt w:val="decimal"/>
      <w:lvlText w:val="%7."/>
      <w:lvlJc w:val="left"/>
      <w:pPr>
        <w:ind w:left="5253" w:hanging="360"/>
      </w:pPr>
    </w:lvl>
    <w:lvl w:ilvl="7" w:tplc="04240019" w:tentative="1">
      <w:start w:val="1"/>
      <w:numFmt w:val="lowerLetter"/>
      <w:lvlText w:val="%8."/>
      <w:lvlJc w:val="left"/>
      <w:pPr>
        <w:ind w:left="5973" w:hanging="360"/>
      </w:pPr>
    </w:lvl>
    <w:lvl w:ilvl="8" w:tplc="0424001B" w:tentative="1">
      <w:start w:val="1"/>
      <w:numFmt w:val="lowerRoman"/>
      <w:lvlText w:val="%9."/>
      <w:lvlJc w:val="right"/>
      <w:pPr>
        <w:ind w:left="6693" w:hanging="180"/>
      </w:pPr>
    </w:lvl>
  </w:abstractNum>
  <w:abstractNum w:abstractNumId="123" w15:restartNumberingAfterBreak="0">
    <w:nsid w:val="71D53F1D"/>
    <w:multiLevelType w:val="hybridMultilevel"/>
    <w:tmpl w:val="1D4C3896"/>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3221F07"/>
    <w:multiLevelType w:val="hybridMultilevel"/>
    <w:tmpl w:val="E9F285C2"/>
    <w:lvl w:ilvl="0" w:tplc="F3F0FB00">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5" w15:restartNumberingAfterBreak="0">
    <w:nsid w:val="745419C3"/>
    <w:multiLevelType w:val="hybridMultilevel"/>
    <w:tmpl w:val="B68E1F0A"/>
    <w:lvl w:ilvl="0" w:tplc="4ABEC96A">
      <w:start w:val="1"/>
      <w:numFmt w:val="decimal"/>
      <w:lvlText w:val="%1"/>
      <w:lvlJc w:val="left"/>
      <w:pPr>
        <w:ind w:left="1080" w:hanging="360"/>
      </w:pPr>
      <w:rPr>
        <w:rFonts w:hint="default"/>
        <w:b/>
        <w:i w:val="0"/>
        <w:u w:color="95B3D7"/>
      </w:rPr>
    </w:lvl>
    <w:lvl w:ilvl="1" w:tplc="04240019" w:tentative="1">
      <w:start w:val="1"/>
      <w:numFmt w:val="lowerLetter"/>
      <w:pStyle w:val="Slog2"/>
      <w:lvlText w:val="%2."/>
      <w:lvlJc w:val="left"/>
      <w:pPr>
        <w:ind w:left="1800" w:hanging="360"/>
      </w:pPr>
    </w:lvl>
    <w:lvl w:ilvl="2" w:tplc="0424001B" w:tentative="1">
      <w:start w:val="1"/>
      <w:numFmt w:val="lowerRoman"/>
      <w:pStyle w:val="Slog3"/>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6" w15:restartNumberingAfterBreak="0">
    <w:nsid w:val="7687707C"/>
    <w:multiLevelType w:val="hybridMultilevel"/>
    <w:tmpl w:val="0C989CF2"/>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7AB13004"/>
    <w:multiLevelType w:val="hybridMultilevel"/>
    <w:tmpl w:val="47B428D0"/>
    <w:lvl w:ilvl="0" w:tplc="F3F0FB00">
      <w:start w:val="1"/>
      <w:numFmt w:val="bullet"/>
      <w:lvlText w:val=""/>
      <w:lvlJc w:val="left"/>
      <w:pPr>
        <w:ind w:left="502" w:hanging="360"/>
      </w:pPr>
      <w:rPr>
        <w:rFonts w:ascii="Symbol" w:hAnsi="Symbol" w:hint="default"/>
      </w:rPr>
    </w:lvl>
    <w:lvl w:ilvl="1" w:tplc="40E8851A">
      <w:numFmt w:val="bullet"/>
      <w:lvlText w:val="–"/>
      <w:lvlJc w:val="left"/>
      <w:pPr>
        <w:ind w:left="1440" w:hanging="360"/>
      </w:pPr>
      <w:rPr>
        <w:rFonts w:ascii="Arial" w:eastAsia="Calibri" w:hAnsi="Arial" w:cs="Arial" w:hint="default"/>
        <w:u w:val="none"/>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7AC36C4E"/>
    <w:multiLevelType w:val="hybridMultilevel"/>
    <w:tmpl w:val="6C6CFB76"/>
    <w:lvl w:ilvl="0" w:tplc="C508806C">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413E3DEA" w:tentative="1">
      <w:start w:val="1"/>
      <w:numFmt w:val="lowerLetter"/>
      <w:lvlText w:val="%2."/>
      <w:lvlJc w:val="left"/>
      <w:pPr>
        <w:ind w:left="2222" w:hanging="360"/>
      </w:pPr>
    </w:lvl>
    <w:lvl w:ilvl="2" w:tplc="BEEE6724" w:tentative="1">
      <w:start w:val="1"/>
      <w:numFmt w:val="lowerRoman"/>
      <w:lvlText w:val="%3."/>
      <w:lvlJc w:val="right"/>
      <w:pPr>
        <w:ind w:left="2942" w:hanging="180"/>
      </w:pPr>
    </w:lvl>
    <w:lvl w:ilvl="3" w:tplc="38523256" w:tentative="1">
      <w:start w:val="1"/>
      <w:numFmt w:val="decimal"/>
      <w:lvlText w:val="%4."/>
      <w:lvlJc w:val="left"/>
      <w:pPr>
        <w:ind w:left="3662" w:hanging="360"/>
      </w:pPr>
    </w:lvl>
    <w:lvl w:ilvl="4" w:tplc="61488768" w:tentative="1">
      <w:start w:val="1"/>
      <w:numFmt w:val="lowerLetter"/>
      <w:lvlText w:val="%5."/>
      <w:lvlJc w:val="left"/>
      <w:pPr>
        <w:ind w:left="4382" w:hanging="360"/>
      </w:pPr>
    </w:lvl>
    <w:lvl w:ilvl="5" w:tplc="1E4A4318" w:tentative="1">
      <w:start w:val="1"/>
      <w:numFmt w:val="lowerRoman"/>
      <w:lvlText w:val="%6."/>
      <w:lvlJc w:val="right"/>
      <w:pPr>
        <w:ind w:left="5102" w:hanging="180"/>
      </w:pPr>
    </w:lvl>
    <w:lvl w:ilvl="6" w:tplc="44C212CA" w:tentative="1">
      <w:start w:val="1"/>
      <w:numFmt w:val="decimal"/>
      <w:lvlText w:val="%7."/>
      <w:lvlJc w:val="left"/>
      <w:pPr>
        <w:ind w:left="5822" w:hanging="360"/>
      </w:pPr>
    </w:lvl>
    <w:lvl w:ilvl="7" w:tplc="3904B094" w:tentative="1">
      <w:start w:val="1"/>
      <w:numFmt w:val="lowerLetter"/>
      <w:lvlText w:val="%8."/>
      <w:lvlJc w:val="left"/>
      <w:pPr>
        <w:ind w:left="6542" w:hanging="360"/>
      </w:pPr>
    </w:lvl>
    <w:lvl w:ilvl="8" w:tplc="B07C2824" w:tentative="1">
      <w:start w:val="1"/>
      <w:numFmt w:val="lowerRoman"/>
      <w:lvlText w:val="%9."/>
      <w:lvlJc w:val="right"/>
      <w:pPr>
        <w:ind w:left="7262" w:hanging="180"/>
      </w:pPr>
    </w:lvl>
  </w:abstractNum>
  <w:abstractNum w:abstractNumId="129" w15:restartNumberingAfterBreak="0">
    <w:nsid w:val="7C0F2862"/>
    <w:multiLevelType w:val="hybridMultilevel"/>
    <w:tmpl w:val="C26E6B0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0" w15:restartNumberingAfterBreak="0">
    <w:nsid w:val="7DD5290C"/>
    <w:multiLevelType w:val="hybridMultilevel"/>
    <w:tmpl w:val="1D68A3F6"/>
    <w:lvl w:ilvl="0" w:tplc="2DCAF686">
      <w:start w:val="1"/>
      <w:numFmt w:val="lowerLetter"/>
      <w:pStyle w:val="rkovnatokazatevilnotokoa2"/>
      <w:lvlText w:val="(%1)"/>
      <w:lvlJc w:val="left"/>
      <w:pPr>
        <w:tabs>
          <w:tab w:val="num" w:pos="782"/>
        </w:tabs>
        <w:ind w:left="782" w:hanging="357"/>
      </w:pPr>
      <w:rPr>
        <w:rFonts w:hint="default"/>
      </w:rPr>
    </w:lvl>
    <w:lvl w:ilvl="1" w:tplc="04240003"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131" w15:restartNumberingAfterBreak="0">
    <w:nsid w:val="7E0D1AFB"/>
    <w:multiLevelType w:val="hybridMultilevel"/>
    <w:tmpl w:val="82404D84"/>
    <w:lvl w:ilvl="0" w:tplc="F3F0FB00">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EB4090A"/>
    <w:multiLevelType w:val="hybridMultilevel"/>
    <w:tmpl w:val="C90A1A6E"/>
    <w:lvl w:ilvl="0" w:tplc="F3F0FB00">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2"/>
  </w:num>
  <w:num w:numId="2">
    <w:abstractNumId w:val="114"/>
  </w:num>
  <w:num w:numId="3">
    <w:abstractNumId w:val="48"/>
  </w:num>
  <w:num w:numId="4">
    <w:abstractNumId w:val="73"/>
  </w:num>
  <w:num w:numId="5">
    <w:abstractNumId w:val="130"/>
  </w:num>
  <w:num w:numId="6">
    <w:abstractNumId w:val="65"/>
  </w:num>
  <w:num w:numId="7">
    <w:abstractNumId w:val="29"/>
  </w:num>
  <w:num w:numId="8">
    <w:abstractNumId w:val="72"/>
  </w:num>
  <w:num w:numId="9">
    <w:abstractNumId w:val="66"/>
  </w:num>
  <w:num w:numId="10">
    <w:abstractNumId w:val="77"/>
  </w:num>
  <w:num w:numId="11">
    <w:abstractNumId w:val="79"/>
  </w:num>
  <w:num w:numId="12">
    <w:abstractNumId w:val="62"/>
    <w:lvlOverride w:ilvl="0">
      <w:lvl w:ilvl="0" w:tplc="66B80CBA">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84"/>
  </w:num>
  <w:num w:numId="14">
    <w:abstractNumId w:val="52"/>
  </w:num>
  <w:num w:numId="15">
    <w:abstractNumId w:val="110"/>
  </w:num>
  <w:num w:numId="16">
    <w:abstractNumId w:val="128"/>
  </w:num>
  <w:num w:numId="17">
    <w:abstractNumId w:val="60"/>
  </w:num>
  <w:num w:numId="1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num>
  <w:num w:numId="20">
    <w:abstractNumId w:val="20"/>
  </w:num>
  <w:num w:numId="21">
    <w:abstractNumId w:val="78"/>
  </w:num>
  <w:num w:numId="22">
    <w:abstractNumId w:val="5"/>
  </w:num>
  <w:num w:numId="23">
    <w:abstractNumId w:val="83"/>
  </w:num>
  <w:num w:numId="24">
    <w:abstractNumId w:val="86"/>
  </w:num>
  <w:num w:numId="25">
    <w:abstractNumId w:val="36"/>
  </w:num>
  <w:num w:numId="26">
    <w:abstractNumId w:val="126"/>
  </w:num>
  <w:num w:numId="27">
    <w:abstractNumId w:val="16"/>
  </w:num>
  <w:num w:numId="28">
    <w:abstractNumId w:val="85"/>
  </w:num>
  <w:num w:numId="29">
    <w:abstractNumId w:val="100"/>
  </w:num>
  <w:num w:numId="30">
    <w:abstractNumId w:val="69"/>
  </w:num>
  <w:num w:numId="31">
    <w:abstractNumId w:val="18"/>
  </w:num>
  <w:num w:numId="32">
    <w:abstractNumId w:val="91"/>
  </w:num>
  <w:num w:numId="33">
    <w:abstractNumId w:val="51"/>
  </w:num>
  <w:num w:numId="34">
    <w:abstractNumId w:val="41"/>
  </w:num>
  <w:num w:numId="35">
    <w:abstractNumId w:val="19"/>
  </w:num>
  <w:num w:numId="36">
    <w:abstractNumId w:val="101"/>
  </w:num>
  <w:num w:numId="37">
    <w:abstractNumId w:val="9"/>
  </w:num>
  <w:num w:numId="38">
    <w:abstractNumId w:val="112"/>
  </w:num>
  <w:num w:numId="39">
    <w:abstractNumId w:val="58"/>
  </w:num>
  <w:num w:numId="40">
    <w:abstractNumId w:val="107"/>
  </w:num>
  <w:num w:numId="41">
    <w:abstractNumId w:val="89"/>
  </w:num>
  <w:num w:numId="42">
    <w:abstractNumId w:val="120"/>
  </w:num>
  <w:num w:numId="43">
    <w:abstractNumId w:val="105"/>
  </w:num>
  <w:num w:numId="44">
    <w:abstractNumId w:val="74"/>
  </w:num>
  <w:num w:numId="45">
    <w:abstractNumId w:val="32"/>
  </w:num>
  <w:num w:numId="46">
    <w:abstractNumId w:val="87"/>
  </w:num>
  <w:num w:numId="47">
    <w:abstractNumId w:val="97"/>
  </w:num>
  <w:num w:numId="48">
    <w:abstractNumId w:val="115"/>
  </w:num>
  <w:num w:numId="49">
    <w:abstractNumId w:val="71"/>
  </w:num>
  <w:num w:numId="50">
    <w:abstractNumId w:val="111"/>
  </w:num>
  <w:num w:numId="51">
    <w:abstractNumId w:val="123"/>
  </w:num>
  <w:num w:numId="52">
    <w:abstractNumId w:val="10"/>
  </w:num>
  <w:num w:numId="53">
    <w:abstractNumId w:val="44"/>
  </w:num>
  <w:num w:numId="54">
    <w:abstractNumId w:val="132"/>
  </w:num>
  <w:num w:numId="55">
    <w:abstractNumId w:val="125"/>
  </w:num>
  <w:num w:numId="56">
    <w:abstractNumId w:val="96"/>
  </w:num>
  <w:num w:numId="57">
    <w:abstractNumId w:val="14"/>
  </w:num>
  <w:num w:numId="58">
    <w:abstractNumId w:val="2"/>
  </w:num>
  <w:num w:numId="59">
    <w:abstractNumId w:val="26"/>
  </w:num>
  <w:num w:numId="60">
    <w:abstractNumId w:val="1"/>
  </w:num>
  <w:num w:numId="61">
    <w:abstractNumId w:val="0"/>
  </w:num>
  <w:num w:numId="62">
    <w:abstractNumId w:val="6"/>
  </w:num>
  <w:num w:numId="63">
    <w:abstractNumId w:val="47"/>
  </w:num>
  <w:num w:numId="64">
    <w:abstractNumId w:val="34"/>
  </w:num>
  <w:num w:numId="65">
    <w:abstractNumId w:val="27"/>
  </w:num>
  <w:num w:numId="66">
    <w:abstractNumId w:val="81"/>
  </w:num>
  <w:num w:numId="67">
    <w:abstractNumId w:val="11"/>
  </w:num>
  <w:num w:numId="68">
    <w:abstractNumId w:val="59"/>
  </w:num>
  <w:num w:numId="69">
    <w:abstractNumId w:val="117"/>
  </w:num>
  <w:num w:numId="70">
    <w:abstractNumId w:val="7"/>
  </w:num>
  <w:num w:numId="71">
    <w:abstractNumId w:val="98"/>
  </w:num>
  <w:num w:numId="72">
    <w:abstractNumId w:val="21"/>
  </w:num>
  <w:num w:numId="73">
    <w:abstractNumId w:val="118"/>
  </w:num>
  <w:num w:numId="74">
    <w:abstractNumId w:val="57"/>
  </w:num>
  <w:num w:numId="75">
    <w:abstractNumId w:val="56"/>
  </w:num>
  <w:num w:numId="76">
    <w:abstractNumId w:val="113"/>
  </w:num>
  <w:num w:numId="77">
    <w:abstractNumId w:val="124"/>
  </w:num>
  <w:num w:numId="78">
    <w:abstractNumId w:val="63"/>
  </w:num>
  <w:num w:numId="79">
    <w:abstractNumId w:val="94"/>
  </w:num>
  <w:num w:numId="80">
    <w:abstractNumId w:val="31"/>
  </w:num>
  <w:num w:numId="81">
    <w:abstractNumId w:val="108"/>
  </w:num>
  <w:num w:numId="82">
    <w:abstractNumId w:val="133"/>
  </w:num>
  <w:num w:numId="83">
    <w:abstractNumId w:val="76"/>
  </w:num>
  <w:num w:numId="84">
    <w:abstractNumId w:val="49"/>
  </w:num>
  <w:num w:numId="85">
    <w:abstractNumId w:val="25"/>
  </w:num>
  <w:num w:numId="86">
    <w:abstractNumId w:val="28"/>
  </w:num>
  <w:num w:numId="87">
    <w:abstractNumId w:val="127"/>
  </w:num>
  <w:num w:numId="88">
    <w:abstractNumId w:val="99"/>
  </w:num>
  <w:num w:numId="89">
    <w:abstractNumId w:val="116"/>
  </w:num>
  <w:num w:numId="90">
    <w:abstractNumId w:val="45"/>
  </w:num>
  <w:num w:numId="91">
    <w:abstractNumId w:val="109"/>
  </w:num>
  <w:num w:numId="92">
    <w:abstractNumId w:val="8"/>
  </w:num>
  <w:num w:numId="93">
    <w:abstractNumId w:val="88"/>
  </w:num>
  <w:num w:numId="94">
    <w:abstractNumId w:val="38"/>
  </w:num>
  <w:num w:numId="95">
    <w:abstractNumId w:val="4"/>
  </w:num>
  <w:num w:numId="96">
    <w:abstractNumId w:val="68"/>
  </w:num>
  <w:num w:numId="97">
    <w:abstractNumId w:val="24"/>
  </w:num>
  <w:num w:numId="98">
    <w:abstractNumId w:val="54"/>
  </w:num>
  <w:num w:numId="99">
    <w:abstractNumId w:val="119"/>
  </w:num>
  <w:num w:numId="100">
    <w:abstractNumId w:val="13"/>
  </w:num>
  <w:num w:numId="101">
    <w:abstractNumId w:val="22"/>
  </w:num>
  <w:num w:numId="102">
    <w:abstractNumId w:val="93"/>
  </w:num>
  <w:num w:numId="103">
    <w:abstractNumId w:val="95"/>
  </w:num>
  <w:num w:numId="104">
    <w:abstractNumId w:val="61"/>
  </w:num>
  <w:num w:numId="105">
    <w:abstractNumId w:val="67"/>
  </w:num>
  <w:num w:numId="106">
    <w:abstractNumId w:val="17"/>
  </w:num>
  <w:num w:numId="107">
    <w:abstractNumId w:val="37"/>
  </w:num>
  <w:num w:numId="108">
    <w:abstractNumId w:val="131"/>
  </w:num>
  <w:num w:numId="109">
    <w:abstractNumId w:val="53"/>
  </w:num>
  <w:num w:numId="110">
    <w:abstractNumId w:val="35"/>
  </w:num>
  <w:num w:numId="111">
    <w:abstractNumId w:val="23"/>
  </w:num>
  <w:num w:numId="112">
    <w:abstractNumId w:val="106"/>
  </w:num>
  <w:num w:numId="113">
    <w:abstractNumId w:val="12"/>
  </w:num>
  <w:num w:numId="114">
    <w:abstractNumId w:val="46"/>
  </w:num>
  <w:num w:numId="115">
    <w:abstractNumId w:val="104"/>
  </w:num>
  <w:num w:numId="116">
    <w:abstractNumId w:val="122"/>
  </w:num>
  <w:num w:numId="117">
    <w:abstractNumId w:val="129"/>
  </w:num>
  <w:num w:numId="118">
    <w:abstractNumId w:val="15"/>
  </w:num>
  <w:num w:numId="119">
    <w:abstractNumId w:val="103"/>
  </w:num>
  <w:num w:numId="120">
    <w:abstractNumId w:val="82"/>
  </w:num>
  <w:num w:numId="121">
    <w:abstractNumId w:val="40"/>
  </w:num>
  <w:num w:numId="122">
    <w:abstractNumId w:val="50"/>
  </w:num>
  <w:num w:numId="123">
    <w:abstractNumId w:val="121"/>
  </w:num>
  <w:num w:numId="124">
    <w:abstractNumId w:val="90"/>
  </w:num>
  <w:num w:numId="125">
    <w:abstractNumId w:val="43"/>
  </w:num>
  <w:num w:numId="126">
    <w:abstractNumId w:val="70"/>
  </w:num>
  <w:num w:numId="127">
    <w:abstractNumId w:val="75"/>
  </w:num>
  <w:num w:numId="128">
    <w:abstractNumId w:val="39"/>
  </w:num>
  <w:num w:numId="129">
    <w:abstractNumId w:val="64"/>
  </w:num>
  <w:num w:numId="130">
    <w:abstractNumId w:val="33"/>
  </w:num>
  <w:num w:numId="131">
    <w:abstractNumId w:val="3"/>
  </w:num>
  <w:num w:numId="132">
    <w:abstractNumId w:val="102"/>
  </w:num>
  <w:num w:numId="133">
    <w:abstractNumId w:val="55"/>
  </w:num>
  <w:num w:numId="134">
    <w:abstractNumId w:val="92"/>
  </w:num>
  <w:num w:numId="135">
    <w:abstractNumId w:val="80"/>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hideGrammaticalErrors/>
  <w:activeWritingStyle w:appName="MSWord" w:lang="it-CH" w:vendorID="64" w:dllVersion="131078" w:nlCheck="1" w:checkStyle="0"/>
  <w:activeWritingStyle w:appName="MSWord" w:lang="it-IT" w:vendorID="64" w:dllVersion="131078" w:nlCheck="1" w:checkStyle="0"/>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952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ED5"/>
    <w:rsid w:val="0000062E"/>
    <w:rsid w:val="00000A0F"/>
    <w:rsid w:val="00000DD9"/>
    <w:rsid w:val="000010BA"/>
    <w:rsid w:val="000026B2"/>
    <w:rsid w:val="00002801"/>
    <w:rsid w:val="00003199"/>
    <w:rsid w:val="000035AE"/>
    <w:rsid w:val="00004282"/>
    <w:rsid w:val="00005146"/>
    <w:rsid w:val="0000541B"/>
    <w:rsid w:val="0000549C"/>
    <w:rsid w:val="000056F4"/>
    <w:rsid w:val="00006DF0"/>
    <w:rsid w:val="00007057"/>
    <w:rsid w:val="0000750B"/>
    <w:rsid w:val="00007D95"/>
    <w:rsid w:val="00007FB6"/>
    <w:rsid w:val="00010CDF"/>
    <w:rsid w:val="00011718"/>
    <w:rsid w:val="00012F75"/>
    <w:rsid w:val="000131FB"/>
    <w:rsid w:val="00013A7F"/>
    <w:rsid w:val="0001414F"/>
    <w:rsid w:val="00014217"/>
    <w:rsid w:val="00014346"/>
    <w:rsid w:val="00014D09"/>
    <w:rsid w:val="00014EA9"/>
    <w:rsid w:val="00015A9D"/>
    <w:rsid w:val="00015D71"/>
    <w:rsid w:val="00017301"/>
    <w:rsid w:val="000175F5"/>
    <w:rsid w:val="0001762E"/>
    <w:rsid w:val="00017E8F"/>
    <w:rsid w:val="00020418"/>
    <w:rsid w:val="0002091E"/>
    <w:rsid w:val="00020CDF"/>
    <w:rsid w:val="00020F34"/>
    <w:rsid w:val="000210BD"/>
    <w:rsid w:val="000210FC"/>
    <w:rsid w:val="000211F6"/>
    <w:rsid w:val="00021535"/>
    <w:rsid w:val="000216FA"/>
    <w:rsid w:val="00021A91"/>
    <w:rsid w:val="00021ECD"/>
    <w:rsid w:val="00021F9B"/>
    <w:rsid w:val="0002244A"/>
    <w:rsid w:val="00024277"/>
    <w:rsid w:val="00024FD9"/>
    <w:rsid w:val="0002554B"/>
    <w:rsid w:val="00025A88"/>
    <w:rsid w:val="00025F88"/>
    <w:rsid w:val="000269F7"/>
    <w:rsid w:val="000275B5"/>
    <w:rsid w:val="00027926"/>
    <w:rsid w:val="0003098E"/>
    <w:rsid w:val="0003157A"/>
    <w:rsid w:val="0003280D"/>
    <w:rsid w:val="000328DB"/>
    <w:rsid w:val="0003335F"/>
    <w:rsid w:val="00033E95"/>
    <w:rsid w:val="000348ED"/>
    <w:rsid w:val="00034A34"/>
    <w:rsid w:val="00034E97"/>
    <w:rsid w:val="00035D4B"/>
    <w:rsid w:val="00036538"/>
    <w:rsid w:val="000367DF"/>
    <w:rsid w:val="00036C07"/>
    <w:rsid w:val="00036FCA"/>
    <w:rsid w:val="00037A21"/>
    <w:rsid w:val="00037EEE"/>
    <w:rsid w:val="00040213"/>
    <w:rsid w:val="00040ED7"/>
    <w:rsid w:val="00041A56"/>
    <w:rsid w:val="00043179"/>
    <w:rsid w:val="0004377D"/>
    <w:rsid w:val="00044102"/>
    <w:rsid w:val="0004451F"/>
    <w:rsid w:val="0004576D"/>
    <w:rsid w:val="00045BFD"/>
    <w:rsid w:val="00046519"/>
    <w:rsid w:val="00046944"/>
    <w:rsid w:val="0005111D"/>
    <w:rsid w:val="0005198B"/>
    <w:rsid w:val="000520DD"/>
    <w:rsid w:val="00052D31"/>
    <w:rsid w:val="00052FE0"/>
    <w:rsid w:val="00053744"/>
    <w:rsid w:val="00053B13"/>
    <w:rsid w:val="00053E44"/>
    <w:rsid w:val="00054B27"/>
    <w:rsid w:val="00054E52"/>
    <w:rsid w:val="000552C0"/>
    <w:rsid w:val="00055500"/>
    <w:rsid w:val="00055E89"/>
    <w:rsid w:val="00056360"/>
    <w:rsid w:val="00056786"/>
    <w:rsid w:val="00056C27"/>
    <w:rsid w:val="000570AF"/>
    <w:rsid w:val="000573B9"/>
    <w:rsid w:val="000605BF"/>
    <w:rsid w:val="00061099"/>
    <w:rsid w:val="0006125E"/>
    <w:rsid w:val="000619EE"/>
    <w:rsid w:val="00061D45"/>
    <w:rsid w:val="000629BF"/>
    <w:rsid w:val="00062A89"/>
    <w:rsid w:val="00063A33"/>
    <w:rsid w:val="000648EA"/>
    <w:rsid w:val="00066F75"/>
    <w:rsid w:val="00067423"/>
    <w:rsid w:val="00070CBC"/>
    <w:rsid w:val="0007161C"/>
    <w:rsid w:val="00071B08"/>
    <w:rsid w:val="00071B6A"/>
    <w:rsid w:val="00072317"/>
    <w:rsid w:val="0007263C"/>
    <w:rsid w:val="000731B8"/>
    <w:rsid w:val="000733D3"/>
    <w:rsid w:val="00073549"/>
    <w:rsid w:val="0007364B"/>
    <w:rsid w:val="000748FE"/>
    <w:rsid w:val="00074E85"/>
    <w:rsid w:val="0007521F"/>
    <w:rsid w:val="0007678D"/>
    <w:rsid w:val="0007686D"/>
    <w:rsid w:val="000771DE"/>
    <w:rsid w:val="00077B18"/>
    <w:rsid w:val="00080675"/>
    <w:rsid w:val="000817F8"/>
    <w:rsid w:val="000827D2"/>
    <w:rsid w:val="00082F89"/>
    <w:rsid w:val="00083D74"/>
    <w:rsid w:val="0008474B"/>
    <w:rsid w:val="00084785"/>
    <w:rsid w:val="00084D94"/>
    <w:rsid w:val="00084DFF"/>
    <w:rsid w:val="00084EB1"/>
    <w:rsid w:val="00085742"/>
    <w:rsid w:val="00086D89"/>
    <w:rsid w:val="00086DF9"/>
    <w:rsid w:val="00086E41"/>
    <w:rsid w:val="00087E81"/>
    <w:rsid w:val="00090796"/>
    <w:rsid w:val="000907F8"/>
    <w:rsid w:val="0009184C"/>
    <w:rsid w:val="00091C1B"/>
    <w:rsid w:val="00092499"/>
    <w:rsid w:val="00092544"/>
    <w:rsid w:val="000927B1"/>
    <w:rsid w:val="00093F0E"/>
    <w:rsid w:val="00095021"/>
    <w:rsid w:val="00095248"/>
    <w:rsid w:val="00095564"/>
    <w:rsid w:val="00095D23"/>
    <w:rsid w:val="00095D80"/>
    <w:rsid w:val="00096C13"/>
    <w:rsid w:val="00097CBD"/>
    <w:rsid w:val="000A01F9"/>
    <w:rsid w:val="000A0DE9"/>
    <w:rsid w:val="000A1037"/>
    <w:rsid w:val="000A1A23"/>
    <w:rsid w:val="000A26E4"/>
    <w:rsid w:val="000A35CE"/>
    <w:rsid w:val="000A4635"/>
    <w:rsid w:val="000A4D9F"/>
    <w:rsid w:val="000A4E38"/>
    <w:rsid w:val="000A5A1D"/>
    <w:rsid w:val="000A65E7"/>
    <w:rsid w:val="000A6863"/>
    <w:rsid w:val="000A7125"/>
    <w:rsid w:val="000A75BD"/>
    <w:rsid w:val="000B088C"/>
    <w:rsid w:val="000B09DD"/>
    <w:rsid w:val="000B0DD8"/>
    <w:rsid w:val="000B0EFA"/>
    <w:rsid w:val="000B1B21"/>
    <w:rsid w:val="000B2BF9"/>
    <w:rsid w:val="000B3BB1"/>
    <w:rsid w:val="000B4B92"/>
    <w:rsid w:val="000B544E"/>
    <w:rsid w:val="000B54DA"/>
    <w:rsid w:val="000B5D72"/>
    <w:rsid w:val="000B5F04"/>
    <w:rsid w:val="000B6117"/>
    <w:rsid w:val="000B79B1"/>
    <w:rsid w:val="000C0282"/>
    <w:rsid w:val="000C0705"/>
    <w:rsid w:val="000C190F"/>
    <w:rsid w:val="000C2243"/>
    <w:rsid w:val="000C2CCB"/>
    <w:rsid w:val="000C3A6B"/>
    <w:rsid w:val="000C4827"/>
    <w:rsid w:val="000C48F6"/>
    <w:rsid w:val="000C5B30"/>
    <w:rsid w:val="000C5B94"/>
    <w:rsid w:val="000C7973"/>
    <w:rsid w:val="000D01A7"/>
    <w:rsid w:val="000D0761"/>
    <w:rsid w:val="000D0879"/>
    <w:rsid w:val="000D2224"/>
    <w:rsid w:val="000D33AA"/>
    <w:rsid w:val="000D389F"/>
    <w:rsid w:val="000D3D0F"/>
    <w:rsid w:val="000D43C9"/>
    <w:rsid w:val="000D4A74"/>
    <w:rsid w:val="000D4D24"/>
    <w:rsid w:val="000D5235"/>
    <w:rsid w:val="000D633F"/>
    <w:rsid w:val="000D6574"/>
    <w:rsid w:val="000D6BE3"/>
    <w:rsid w:val="000E01B9"/>
    <w:rsid w:val="000E0E2C"/>
    <w:rsid w:val="000E188F"/>
    <w:rsid w:val="000E191E"/>
    <w:rsid w:val="000E289D"/>
    <w:rsid w:val="000E2A9C"/>
    <w:rsid w:val="000E3708"/>
    <w:rsid w:val="000E427A"/>
    <w:rsid w:val="000E428A"/>
    <w:rsid w:val="000E5525"/>
    <w:rsid w:val="000E565C"/>
    <w:rsid w:val="000E57AA"/>
    <w:rsid w:val="000E5BFF"/>
    <w:rsid w:val="000E6424"/>
    <w:rsid w:val="000E654D"/>
    <w:rsid w:val="000E6D90"/>
    <w:rsid w:val="000E784F"/>
    <w:rsid w:val="000E7D84"/>
    <w:rsid w:val="000F02D3"/>
    <w:rsid w:val="000F082C"/>
    <w:rsid w:val="000F091D"/>
    <w:rsid w:val="000F111B"/>
    <w:rsid w:val="000F112E"/>
    <w:rsid w:val="000F143C"/>
    <w:rsid w:val="000F263D"/>
    <w:rsid w:val="000F2990"/>
    <w:rsid w:val="000F2CED"/>
    <w:rsid w:val="000F343A"/>
    <w:rsid w:val="000F3482"/>
    <w:rsid w:val="000F37D5"/>
    <w:rsid w:val="000F388D"/>
    <w:rsid w:val="000F3F83"/>
    <w:rsid w:val="000F433D"/>
    <w:rsid w:val="000F45F4"/>
    <w:rsid w:val="000F4AEE"/>
    <w:rsid w:val="000F58ED"/>
    <w:rsid w:val="000F5CF4"/>
    <w:rsid w:val="000F6831"/>
    <w:rsid w:val="000F6A61"/>
    <w:rsid w:val="000F6AA3"/>
    <w:rsid w:val="000F77AE"/>
    <w:rsid w:val="000F7F4D"/>
    <w:rsid w:val="00100551"/>
    <w:rsid w:val="00100C07"/>
    <w:rsid w:val="00100DD8"/>
    <w:rsid w:val="00100E15"/>
    <w:rsid w:val="00101136"/>
    <w:rsid w:val="0010124C"/>
    <w:rsid w:val="001015FF"/>
    <w:rsid w:val="00101DDF"/>
    <w:rsid w:val="001026F7"/>
    <w:rsid w:val="001030B2"/>
    <w:rsid w:val="00103C64"/>
    <w:rsid w:val="001049EE"/>
    <w:rsid w:val="00104ACD"/>
    <w:rsid w:val="00104BA3"/>
    <w:rsid w:val="00104C97"/>
    <w:rsid w:val="001055C4"/>
    <w:rsid w:val="00105B10"/>
    <w:rsid w:val="001061BD"/>
    <w:rsid w:val="00106B6F"/>
    <w:rsid w:val="00106D21"/>
    <w:rsid w:val="00106DCA"/>
    <w:rsid w:val="00106F22"/>
    <w:rsid w:val="00107F26"/>
    <w:rsid w:val="001136B6"/>
    <w:rsid w:val="00113E8A"/>
    <w:rsid w:val="00113FAD"/>
    <w:rsid w:val="001151C8"/>
    <w:rsid w:val="001157CC"/>
    <w:rsid w:val="001166A6"/>
    <w:rsid w:val="00116B64"/>
    <w:rsid w:val="00117891"/>
    <w:rsid w:val="00117F71"/>
    <w:rsid w:val="00117FC4"/>
    <w:rsid w:val="0012142C"/>
    <w:rsid w:val="0012186B"/>
    <w:rsid w:val="00121952"/>
    <w:rsid w:val="00122929"/>
    <w:rsid w:val="00122930"/>
    <w:rsid w:val="001230C2"/>
    <w:rsid w:val="001233B5"/>
    <w:rsid w:val="00123921"/>
    <w:rsid w:val="001239C1"/>
    <w:rsid w:val="00123CF6"/>
    <w:rsid w:val="00124A5D"/>
    <w:rsid w:val="0012534B"/>
    <w:rsid w:val="00126416"/>
    <w:rsid w:val="00126971"/>
    <w:rsid w:val="00126AAB"/>
    <w:rsid w:val="00126F23"/>
    <w:rsid w:val="00126F4C"/>
    <w:rsid w:val="00127E0C"/>
    <w:rsid w:val="001309AA"/>
    <w:rsid w:val="00131430"/>
    <w:rsid w:val="00131EBE"/>
    <w:rsid w:val="00131F91"/>
    <w:rsid w:val="00132003"/>
    <w:rsid w:val="0013214C"/>
    <w:rsid w:val="00132D91"/>
    <w:rsid w:val="00132EBA"/>
    <w:rsid w:val="00133A4E"/>
    <w:rsid w:val="00134138"/>
    <w:rsid w:val="00134944"/>
    <w:rsid w:val="00134DBF"/>
    <w:rsid w:val="001350A6"/>
    <w:rsid w:val="001358EC"/>
    <w:rsid w:val="0013649C"/>
    <w:rsid w:val="001373D0"/>
    <w:rsid w:val="001419E6"/>
    <w:rsid w:val="0014208D"/>
    <w:rsid w:val="00142639"/>
    <w:rsid w:val="001447AC"/>
    <w:rsid w:val="00144E07"/>
    <w:rsid w:val="00145601"/>
    <w:rsid w:val="00145983"/>
    <w:rsid w:val="0014599B"/>
    <w:rsid w:val="00146B56"/>
    <w:rsid w:val="0014712A"/>
    <w:rsid w:val="00147BF9"/>
    <w:rsid w:val="00153249"/>
    <w:rsid w:val="0015345A"/>
    <w:rsid w:val="00153E68"/>
    <w:rsid w:val="00153FD6"/>
    <w:rsid w:val="001552BA"/>
    <w:rsid w:val="00155E40"/>
    <w:rsid w:val="00155F2A"/>
    <w:rsid w:val="00156310"/>
    <w:rsid w:val="00156BED"/>
    <w:rsid w:val="001573DD"/>
    <w:rsid w:val="001574B6"/>
    <w:rsid w:val="00157E20"/>
    <w:rsid w:val="0016067D"/>
    <w:rsid w:val="00161767"/>
    <w:rsid w:val="0016182E"/>
    <w:rsid w:val="00161AFD"/>
    <w:rsid w:val="00161B15"/>
    <w:rsid w:val="00162BFD"/>
    <w:rsid w:val="00162D91"/>
    <w:rsid w:val="00163711"/>
    <w:rsid w:val="00165141"/>
    <w:rsid w:val="0016552D"/>
    <w:rsid w:val="00165C95"/>
    <w:rsid w:val="00166FB9"/>
    <w:rsid w:val="001670E8"/>
    <w:rsid w:val="001679DD"/>
    <w:rsid w:val="00167C43"/>
    <w:rsid w:val="00170604"/>
    <w:rsid w:val="00170A7C"/>
    <w:rsid w:val="00170F64"/>
    <w:rsid w:val="00171199"/>
    <w:rsid w:val="001711AE"/>
    <w:rsid w:val="0017135C"/>
    <w:rsid w:val="001718BD"/>
    <w:rsid w:val="00171948"/>
    <w:rsid w:val="00171A74"/>
    <w:rsid w:val="00172AC6"/>
    <w:rsid w:val="00172EA5"/>
    <w:rsid w:val="00173AA0"/>
    <w:rsid w:val="00174A65"/>
    <w:rsid w:val="00176791"/>
    <w:rsid w:val="00177BB4"/>
    <w:rsid w:val="00181A51"/>
    <w:rsid w:val="00182BA6"/>
    <w:rsid w:val="00182E31"/>
    <w:rsid w:val="00183B0C"/>
    <w:rsid w:val="00185E9A"/>
    <w:rsid w:val="0018645C"/>
    <w:rsid w:val="001864CD"/>
    <w:rsid w:val="00186657"/>
    <w:rsid w:val="00186D3B"/>
    <w:rsid w:val="001875E6"/>
    <w:rsid w:val="00187B5B"/>
    <w:rsid w:val="00190411"/>
    <w:rsid w:val="001907D1"/>
    <w:rsid w:val="00191DBD"/>
    <w:rsid w:val="0019232A"/>
    <w:rsid w:val="00192724"/>
    <w:rsid w:val="0019315D"/>
    <w:rsid w:val="0019334A"/>
    <w:rsid w:val="001935EA"/>
    <w:rsid w:val="00193FEA"/>
    <w:rsid w:val="001943B4"/>
    <w:rsid w:val="00194952"/>
    <w:rsid w:val="00194BB1"/>
    <w:rsid w:val="00194D2A"/>
    <w:rsid w:val="00194DA4"/>
    <w:rsid w:val="0019589D"/>
    <w:rsid w:val="00197A5B"/>
    <w:rsid w:val="00197DCF"/>
    <w:rsid w:val="001A0C02"/>
    <w:rsid w:val="001A0E78"/>
    <w:rsid w:val="001A169F"/>
    <w:rsid w:val="001A1BCF"/>
    <w:rsid w:val="001A1ECC"/>
    <w:rsid w:val="001A2135"/>
    <w:rsid w:val="001A255D"/>
    <w:rsid w:val="001A32A7"/>
    <w:rsid w:val="001A32E1"/>
    <w:rsid w:val="001A372A"/>
    <w:rsid w:val="001A4BF0"/>
    <w:rsid w:val="001A51AA"/>
    <w:rsid w:val="001A5E15"/>
    <w:rsid w:val="001B0192"/>
    <w:rsid w:val="001B0C4A"/>
    <w:rsid w:val="001B15AA"/>
    <w:rsid w:val="001B1605"/>
    <w:rsid w:val="001B20D2"/>
    <w:rsid w:val="001B2435"/>
    <w:rsid w:val="001B2802"/>
    <w:rsid w:val="001B2AD4"/>
    <w:rsid w:val="001B2F90"/>
    <w:rsid w:val="001B3F73"/>
    <w:rsid w:val="001B4052"/>
    <w:rsid w:val="001B5063"/>
    <w:rsid w:val="001B5733"/>
    <w:rsid w:val="001B6BB5"/>
    <w:rsid w:val="001B6E8B"/>
    <w:rsid w:val="001B7751"/>
    <w:rsid w:val="001B77C8"/>
    <w:rsid w:val="001B7943"/>
    <w:rsid w:val="001B7AC2"/>
    <w:rsid w:val="001C0EFE"/>
    <w:rsid w:val="001C0F05"/>
    <w:rsid w:val="001C206E"/>
    <w:rsid w:val="001C2C57"/>
    <w:rsid w:val="001C2FC4"/>
    <w:rsid w:val="001C330C"/>
    <w:rsid w:val="001C3DB2"/>
    <w:rsid w:val="001C42E3"/>
    <w:rsid w:val="001C4467"/>
    <w:rsid w:val="001C4F90"/>
    <w:rsid w:val="001C7237"/>
    <w:rsid w:val="001C7A02"/>
    <w:rsid w:val="001D06F4"/>
    <w:rsid w:val="001D0E95"/>
    <w:rsid w:val="001D154A"/>
    <w:rsid w:val="001D155E"/>
    <w:rsid w:val="001D161C"/>
    <w:rsid w:val="001D1C57"/>
    <w:rsid w:val="001D1E21"/>
    <w:rsid w:val="001D2307"/>
    <w:rsid w:val="001D33A4"/>
    <w:rsid w:val="001D37AE"/>
    <w:rsid w:val="001D3C21"/>
    <w:rsid w:val="001D4428"/>
    <w:rsid w:val="001D4CC2"/>
    <w:rsid w:val="001D4E25"/>
    <w:rsid w:val="001D5335"/>
    <w:rsid w:val="001D567A"/>
    <w:rsid w:val="001D6490"/>
    <w:rsid w:val="001D662B"/>
    <w:rsid w:val="001D7253"/>
    <w:rsid w:val="001E065C"/>
    <w:rsid w:val="001E0A68"/>
    <w:rsid w:val="001E10A7"/>
    <w:rsid w:val="001E11B9"/>
    <w:rsid w:val="001E11E0"/>
    <w:rsid w:val="001E243F"/>
    <w:rsid w:val="001E4B0C"/>
    <w:rsid w:val="001E5F19"/>
    <w:rsid w:val="001E68AD"/>
    <w:rsid w:val="001E6B10"/>
    <w:rsid w:val="001E6C3B"/>
    <w:rsid w:val="001E712E"/>
    <w:rsid w:val="001E7327"/>
    <w:rsid w:val="001E7FFD"/>
    <w:rsid w:val="001F0453"/>
    <w:rsid w:val="001F108D"/>
    <w:rsid w:val="001F1235"/>
    <w:rsid w:val="001F16F6"/>
    <w:rsid w:val="001F1B93"/>
    <w:rsid w:val="001F226B"/>
    <w:rsid w:val="001F317D"/>
    <w:rsid w:val="001F36D4"/>
    <w:rsid w:val="001F3909"/>
    <w:rsid w:val="001F4CE3"/>
    <w:rsid w:val="001F5531"/>
    <w:rsid w:val="001F6E0F"/>
    <w:rsid w:val="001F6ED5"/>
    <w:rsid w:val="001F70FD"/>
    <w:rsid w:val="001F7C8F"/>
    <w:rsid w:val="001F7E5F"/>
    <w:rsid w:val="0020080B"/>
    <w:rsid w:val="00200A25"/>
    <w:rsid w:val="00200B5B"/>
    <w:rsid w:val="002018B2"/>
    <w:rsid w:val="00202E68"/>
    <w:rsid w:val="0020306E"/>
    <w:rsid w:val="00203446"/>
    <w:rsid w:val="00203474"/>
    <w:rsid w:val="002038E2"/>
    <w:rsid w:val="00203B15"/>
    <w:rsid w:val="0020496A"/>
    <w:rsid w:val="00204B0A"/>
    <w:rsid w:val="00204D24"/>
    <w:rsid w:val="0020612D"/>
    <w:rsid w:val="002069DA"/>
    <w:rsid w:val="00207CE9"/>
    <w:rsid w:val="00207DB1"/>
    <w:rsid w:val="0021124E"/>
    <w:rsid w:val="002117A3"/>
    <w:rsid w:val="00211E5A"/>
    <w:rsid w:val="00212162"/>
    <w:rsid w:val="00212997"/>
    <w:rsid w:val="00213850"/>
    <w:rsid w:val="002144EA"/>
    <w:rsid w:val="00215377"/>
    <w:rsid w:val="0021650B"/>
    <w:rsid w:val="00216583"/>
    <w:rsid w:val="00216661"/>
    <w:rsid w:val="00216D71"/>
    <w:rsid w:val="00217275"/>
    <w:rsid w:val="00217ADA"/>
    <w:rsid w:val="00217DD0"/>
    <w:rsid w:val="002201A9"/>
    <w:rsid w:val="00220747"/>
    <w:rsid w:val="00220867"/>
    <w:rsid w:val="00220B61"/>
    <w:rsid w:val="002212DB"/>
    <w:rsid w:val="002227ED"/>
    <w:rsid w:val="00222A57"/>
    <w:rsid w:val="0022378F"/>
    <w:rsid w:val="002243C3"/>
    <w:rsid w:val="0022455D"/>
    <w:rsid w:val="0022484C"/>
    <w:rsid w:val="002250B3"/>
    <w:rsid w:val="002256AA"/>
    <w:rsid w:val="00225A24"/>
    <w:rsid w:val="002265C8"/>
    <w:rsid w:val="002266B3"/>
    <w:rsid w:val="00227267"/>
    <w:rsid w:val="00227303"/>
    <w:rsid w:val="00227316"/>
    <w:rsid w:val="002277C6"/>
    <w:rsid w:val="00227F58"/>
    <w:rsid w:val="00230834"/>
    <w:rsid w:val="002308C4"/>
    <w:rsid w:val="00230928"/>
    <w:rsid w:val="00230E1A"/>
    <w:rsid w:val="002316B4"/>
    <w:rsid w:val="00232104"/>
    <w:rsid w:val="00232A88"/>
    <w:rsid w:val="00232B16"/>
    <w:rsid w:val="00232C15"/>
    <w:rsid w:val="00232CFD"/>
    <w:rsid w:val="00234364"/>
    <w:rsid w:val="0023547F"/>
    <w:rsid w:val="00235B04"/>
    <w:rsid w:val="00236F74"/>
    <w:rsid w:val="0023701A"/>
    <w:rsid w:val="00237DD8"/>
    <w:rsid w:val="002407CA"/>
    <w:rsid w:val="00241862"/>
    <w:rsid w:val="00242076"/>
    <w:rsid w:val="00242138"/>
    <w:rsid w:val="00242ADD"/>
    <w:rsid w:val="0024345C"/>
    <w:rsid w:val="00244BC8"/>
    <w:rsid w:val="002454B7"/>
    <w:rsid w:val="00245B84"/>
    <w:rsid w:val="00245EB4"/>
    <w:rsid w:val="002461EA"/>
    <w:rsid w:val="0024653C"/>
    <w:rsid w:val="00246584"/>
    <w:rsid w:val="002466B0"/>
    <w:rsid w:val="002474B5"/>
    <w:rsid w:val="002504B5"/>
    <w:rsid w:val="0025074A"/>
    <w:rsid w:val="0025166A"/>
    <w:rsid w:val="00251AF3"/>
    <w:rsid w:val="00251DE2"/>
    <w:rsid w:val="00254218"/>
    <w:rsid w:val="00254BAA"/>
    <w:rsid w:val="00255F31"/>
    <w:rsid w:val="0025648A"/>
    <w:rsid w:val="002570A8"/>
    <w:rsid w:val="0025783B"/>
    <w:rsid w:val="00261112"/>
    <w:rsid w:val="0026173D"/>
    <w:rsid w:val="00263C3F"/>
    <w:rsid w:val="002644CC"/>
    <w:rsid w:val="00264876"/>
    <w:rsid w:val="00264EFA"/>
    <w:rsid w:val="0026591D"/>
    <w:rsid w:val="002659BA"/>
    <w:rsid w:val="00266296"/>
    <w:rsid w:val="00266DE9"/>
    <w:rsid w:val="002674E6"/>
    <w:rsid w:val="00270045"/>
    <w:rsid w:val="002700E4"/>
    <w:rsid w:val="0027028E"/>
    <w:rsid w:val="0027091D"/>
    <w:rsid w:val="00271AA4"/>
    <w:rsid w:val="00271ECE"/>
    <w:rsid w:val="00272693"/>
    <w:rsid w:val="002745D1"/>
    <w:rsid w:val="002749D7"/>
    <w:rsid w:val="00274D04"/>
    <w:rsid w:val="002752E3"/>
    <w:rsid w:val="0027643E"/>
    <w:rsid w:val="0027644F"/>
    <w:rsid w:val="002764B8"/>
    <w:rsid w:val="00277453"/>
    <w:rsid w:val="00277F6D"/>
    <w:rsid w:val="0028071D"/>
    <w:rsid w:val="002809CE"/>
    <w:rsid w:val="00280A0F"/>
    <w:rsid w:val="0028104C"/>
    <w:rsid w:val="00281D76"/>
    <w:rsid w:val="00282151"/>
    <w:rsid w:val="00282A6C"/>
    <w:rsid w:val="00283628"/>
    <w:rsid w:val="002839B3"/>
    <w:rsid w:val="00283E99"/>
    <w:rsid w:val="002840A7"/>
    <w:rsid w:val="002840BB"/>
    <w:rsid w:val="002848BC"/>
    <w:rsid w:val="00284C8F"/>
    <w:rsid w:val="00285BDC"/>
    <w:rsid w:val="002864D4"/>
    <w:rsid w:val="002900CB"/>
    <w:rsid w:val="002908B2"/>
    <w:rsid w:val="00290BD5"/>
    <w:rsid w:val="00290C16"/>
    <w:rsid w:val="00291357"/>
    <w:rsid w:val="00291B3E"/>
    <w:rsid w:val="00291E30"/>
    <w:rsid w:val="00293049"/>
    <w:rsid w:val="0029331C"/>
    <w:rsid w:val="002934DB"/>
    <w:rsid w:val="002937A6"/>
    <w:rsid w:val="00293A43"/>
    <w:rsid w:val="00293ABE"/>
    <w:rsid w:val="0029426E"/>
    <w:rsid w:val="002949A6"/>
    <w:rsid w:val="00294C25"/>
    <w:rsid w:val="0029534B"/>
    <w:rsid w:val="002959E0"/>
    <w:rsid w:val="00296C7B"/>
    <w:rsid w:val="00296F48"/>
    <w:rsid w:val="0029713A"/>
    <w:rsid w:val="00297913"/>
    <w:rsid w:val="002A0EF2"/>
    <w:rsid w:val="002A1175"/>
    <w:rsid w:val="002A380E"/>
    <w:rsid w:val="002A3C59"/>
    <w:rsid w:val="002A3E9D"/>
    <w:rsid w:val="002A4EDF"/>
    <w:rsid w:val="002A5F4F"/>
    <w:rsid w:val="002A657C"/>
    <w:rsid w:val="002A6921"/>
    <w:rsid w:val="002A6ABE"/>
    <w:rsid w:val="002A6B2C"/>
    <w:rsid w:val="002A74B2"/>
    <w:rsid w:val="002B07CF"/>
    <w:rsid w:val="002B0982"/>
    <w:rsid w:val="002B100C"/>
    <w:rsid w:val="002B188A"/>
    <w:rsid w:val="002B1F95"/>
    <w:rsid w:val="002B1FCB"/>
    <w:rsid w:val="002B29AF"/>
    <w:rsid w:val="002B2ACD"/>
    <w:rsid w:val="002B2D23"/>
    <w:rsid w:val="002B328B"/>
    <w:rsid w:val="002B49FC"/>
    <w:rsid w:val="002B4C11"/>
    <w:rsid w:val="002B5334"/>
    <w:rsid w:val="002B623B"/>
    <w:rsid w:val="002B769E"/>
    <w:rsid w:val="002B7B61"/>
    <w:rsid w:val="002C0117"/>
    <w:rsid w:val="002C0A89"/>
    <w:rsid w:val="002C0C3D"/>
    <w:rsid w:val="002C0DEF"/>
    <w:rsid w:val="002C1D77"/>
    <w:rsid w:val="002C2535"/>
    <w:rsid w:val="002C3281"/>
    <w:rsid w:val="002C3ACA"/>
    <w:rsid w:val="002C3EFC"/>
    <w:rsid w:val="002C4667"/>
    <w:rsid w:val="002C486A"/>
    <w:rsid w:val="002C4C34"/>
    <w:rsid w:val="002C4DE2"/>
    <w:rsid w:val="002C5549"/>
    <w:rsid w:val="002C5760"/>
    <w:rsid w:val="002C5BA0"/>
    <w:rsid w:val="002C5E22"/>
    <w:rsid w:val="002C5FAE"/>
    <w:rsid w:val="002C623B"/>
    <w:rsid w:val="002C630A"/>
    <w:rsid w:val="002C6808"/>
    <w:rsid w:val="002C68C5"/>
    <w:rsid w:val="002C71A1"/>
    <w:rsid w:val="002C72E3"/>
    <w:rsid w:val="002C78EB"/>
    <w:rsid w:val="002D0896"/>
    <w:rsid w:val="002D09EE"/>
    <w:rsid w:val="002D0E00"/>
    <w:rsid w:val="002D1079"/>
    <w:rsid w:val="002D14D6"/>
    <w:rsid w:val="002D1706"/>
    <w:rsid w:val="002D2B0A"/>
    <w:rsid w:val="002D37C5"/>
    <w:rsid w:val="002D4B8E"/>
    <w:rsid w:val="002D6008"/>
    <w:rsid w:val="002D6208"/>
    <w:rsid w:val="002D6B7A"/>
    <w:rsid w:val="002D7589"/>
    <w:rsid w:val="002E1302"/>
    <w:rsid w:val="002E182C"/>
    <w:rsid w:val="002E3443"/>
    <w:rsid w:val="002E3AE5"/>
    <w:rsid w:val="002E474C"/>
    <w:rsid w:val="002E47C8"/>
    <w:rsid w:val="002E51B3"/>
    <w:rsid w:val="002E5336"/>
    <w:rsid w:val="002E5D0C"/>
    <w:rsid w:val="002E5E24"/>
    <w:rsid w:val="002E5F86"/>
    <w:rsid w:val="002E62C0"/>
    <w:rsid w:val="002E7010"/>
    <w:rsid w:val="002E7891"/>
    <w:rsid w:val="002E796D"/>
    <w:rsid w:val="002F0FE5"/>
    <w:rsid w:val="002F1110"/>
    <w:rsid w:val="002F12C4"/>
    <w:rsid w:val="002F192F"/>
    <w:rsid w:val="002F19AD"/>
    <w:rsid w:val="002F1A19"/>
    <w:rsid w:val="002F202C"/>
    <w:rsid w:val="002F2E8C"/>
    <w:rsid w:val="002F30DF"/>
    <w:rsid w:val="002F3170"/>
    <w:rsid w:val="002F3AA5"/>
    <w:rsid w:val="002F3CFC"/>
    <w:rsid w:val="002F4027"/>
    <w:rsid w:val="002F43C6"/>
    <w:rsid w:val="002F4417"/>
    <w:rsid w:val="002F495D"/>
    <w:rsid w:val="002F4D57"/>
    <w:rsid w:val="002F4DB7"/>
    <w:rsid w:val="002F56CD"/>
    <w:rsid w:val="002F5FCF"/>
    <w:rsid w:val="002F69DB"/>
    <w:rsid w:val="002F6B8A"/>
    <w:rsid w:val="002F717D"/>
    <w:rsid w:val="002F7D29"/>
    <w:rsid w:val="00300A15"/>
    <w:rsid w:val="00300C1A"/>
    <w:rsid w:val="00300ED0"/>
    <w:rsid w:val="003015A9"/>
    <w:rsid w:val="00301923"/>
    <w:rsid w:val="00301BF7"/>
    <w:rsid w:val="00302324"/>
    <w:rsid w:val="00302386"/>
    <w:rsid w:val="003026A5"/>
    <w:rsid w:val="00302852"/>
    <w:rsid w:val="003031B8"/>
    <w:rsid w:val="003039EC"/>
    <w:rsid w:val="00304400"/>
    <w:rsid w:val="0030460D"/>
    <w:rsid w:val="00305400"/>
    <w:rsid w:val="00305541"/>
    <w:rsid w:val="00305B7B"/>
    <w:rsid w:val="00305E82"/>
    <w:rsid w:val="00307ACF"/>
    <w:rsid w:val="00307DFE"/>
    <w:rsid w:val="00310456"/>
    <w:rsid w:val="00310DF2"/>
    <w:rsid w:val="0031170B"/>
    <w:rsid w:val="00311AB8"/>
    <w:rsid w:val="00311B68"/>
    <w:rsid w:val="00312342"/>
    <w:rsid w:val="00312430"/>
    <w:rsid w:val="00313017"/>
    <w:rsid w:val="0031362C"/>
    <w:rsid w:val="0031462B"/>
    <w:rsid w:val="003151E2"/>
    <w:rsid w:val="003155ED"/>
    <w:rsid w:val="00315C6B"/>
    <w:rsid w:val="003167C8"/>
    <w:rsid w:val="00316C87"/>
    <w:rsid w:val="00317549"/>
    <w:rsid w:val="00317862"/>
    <w:rsid w:val="00320AD7"/>
    <w:rsid w:val="00320B17"/>
    <w:rsid w:val="003211D3"/>
    <w:rsid w:val="003215A5"/>
    <w:rsid w:val="00321704"/>
    <w:rsid w:val="0032217F"/>
    <w:rsid w:val="00322548"/>
    <w:rsid w:val="00322658"/>
    <w:rsid w:val="00322B09"/>
    <w:rsid w:val="00322B51"/>
    <w:rsid w:val="00323172"/>
    <w:rsid w:val="0032331E"/>
    <w:rsid w:val="00323B32"/>
    <w:rsid w:val="00323E74"/>
    <w:rsid w:val="0032416F"/>
    <w:rsid w:val="0032485D"/>
    <w:rsid w:val="00324AE1"/>
    <w:rsid w:val="00325C69"/>
    <w:rsid w:val="00325CE1"/>
    <w:rsid w:val="003272D5"/>
    <w:rsid w:val="003300E3"/>
    <w:rsid w:val="00331887"/>
    <w:rsid w:val="00331DBB"/>
    <w:rsid w:val="00331DC2"/>
    <w:rsid w:val="00331E11"/>
    <w:rsid w:val="0033207A"/>
    <w:rsid w:val="00332203"/>
    <w:rsid w:val="003327A1"/>
    <w:rsid w:val="00332F18"/>
    <w:rsid w:val="003334F4"/>
    <w:rsid w:val="003338FC"/>
    <w:rsid w:val="00333B34"/>
    <w:rsid w:val="00333E46"/>
    <w:rsid w:val="00334415"/>
    <w:rsid w:val="0033455E"/>
    <w:rsid w:val="00334A76"/>
    <w:rsid w:val="00335B62"/>
    <w:rsid w:val="00335CD6"/>
    <w:rsid w:val="00336671"/>
    <w:rsid w:val="00336EB6"/>
    <w:rsid w:val="003370C4"/>
    <w:rsid w:val="00337966"/>
    <w:rsid w:val="003402DA"/>
    <w:rsid w:val="003407BD"/>
    <w:rsid w:val="00340E88"/>
    <w:rsid w:val="003417D1"/>
    <w:rsid w:val="00342150"/>
    <w:rsid w:val="003424A0"/>
    <w:rsid w:val="00342912"/>
    <w:rsid w:val="00343172"/>
    <w:rsid w:val="0034328D"/>
    <w:rsid w:val="00343323"/>
    <w:rsid w:val="00343448"/>
    <w:rsid w:val="003437D5"/>
    <w:rsid w:val="00343AEB"/>
    <w:rsid w:val="0034511D"/>
    <w:rsid w:val="0034600F"/>
    <w:rsid w:val="00346A5E"/>
    <w:rsid w:val="00346FB3"/>
    <w:rsid w:val="0034791D"/>
    <w:rsid w:val="003532CB"/>
    <w:rsid w:val="0035356A"/>
    <w:rsid w:val="00353CDD"/>
    <w:rsid w:val="00355B2C"/>
    <w:rsid w:val="00355C11"/>
    <w:rsid w:val="00356F69"/>
    <w:rsid w:val="0035711D"/>
    <w:rsid w:val="00357591"/>
    <w:rsid w:val="00357B54"/>
    <w:rsid w:val="00360E2B"/>
    <w:rsid w:val="00361385"/>
    <w:rsid w:val="00361AE4"/>
    <w:rsid w:val="00361FEE"/>
    <w:rsid w:val="00362CB6"/>
    <w:rsid w:val="003632EB"/>
    <w:rsid w:val="003636BC"/>
    <w:rsid w:val="00363AFC"/>
    <w:rsid w:val="00363ED3"/>
    <w:rsid w:val="0036440B"/>
    <w:rsid w:val="003648A5"/>
    <w:rsid w:val="003648D4"/>
    <w:rsid w:val="00364C42"/>
    <w:rsid w:val="00365131"/>
    <w:rsid w:val="0036538A"/>
    <w:rsid w:val="0036584C"/>
    <w:rsid w:val="00366496"/>
    <w:rsid w:val="00366507"/>
    <w:rsid w:val="00366A3E"/>
    <w:rsid w:val="00367EB7"/>
    <w:rsid w:val="00367EE3"/>
    <w:rsid w:val="00370C51"/>
    <w:rsid w:val="00371283"/>
    <w:rsid w:val="003712BA"/>
    <w:rsid w:val="003725F1"/>
    <w:rsid w:val="00372AF7"/>
    <w:rsid w:val="00373626"/>
    <w:rsid w:val="00375931"/>
    <w:rsid w:val="0037600A"/>
    <w:rsid w:val="00376258"/>
    <w:rsid w:val="00376533"/>
    <w:rsid w:val="00376B3F"/>
    <w:rsid w:val="00377FDF"/>
    <w:rsid w:val="00380D2A"/>
    <w:rsid w:val="003816F4"/>
    <w:rsid w:val="00381D10"/>
    <w:rsid w:val="00383324"/>
    <w:rsid w:val="003839DD"/>
    <w:rsid w:val="00383A1E"/>
    <w:rsid w:val="00383ABB"/>
    <w:rsid w:val="00384FE5"/>
    <w:rsid w:val="00385AC8"/>
    <w:rsid w:val="00385FB7"/>
    <w:rsid w:val="00387674"/>
    <w:rsid w:val="003877F0"/>
    <w:rsid w:val="00387850"/>
    <w:rsid w:val="00390635"/>
    <w:rsid w:val="00390924"/>
    <w:rsid w:val="003917A8"/>
    <w:rsid w:val="003917BE"/>
    <w:rsid w:val="003920F2"/>
    <w:rsid w:val="00392D43"/>
    <w:rsid w:val="00393188"/>
    <w:rsid w:val="00393BA5"/>
    <w:rsid w:val="00393C0F"/>
    <w:rsid w:val="00394CD5"/>
    <w:rsid w:val="00396799"/>
    <w:rsid w:val="00397582"/>
    <w:rsid w:val="003976AA"/>
    <w:rsid w:val="00397F11"/>
    <w:rsid w:val="003A0201"/>
    <w:rsid w:val="003A0945"/>
    <w:rsid w:val="003A158C"/>
    <w:rsid w:val="003A18EB"/>
    <w:rsid w:val="003A1CB7"/>
    <w:rsid w:val="003A2DD4"/>
    <w:rsid w:val="003A3EA8"/>
    <w:rsid w:val="003A3EC6"/>
    <w:rsid w:val="003A578C"/>
    <w:rsid w:val="003A586D"/>
    <w:rsid w:val="003A65DC"/>
    <w:rsid w:val="003A7D8A"/>
    <w:rsid w:val="003B1037"/>
    <w:rsid w:val="003B1544"/>
    <w:rsid w:val="003B1DB4"/>
    <w:rsid w:val="003B2061"/>
    <w:rsid w:val="003B2827"/>
    <w:rsid w:val="003B2B2D"/>
    <w:rsid w:val="003B318A"/>
    <w:rsid w:val="003B37D7"/>
    <w:rsid w:val="003B3A62"/>
    <w:rsid w:val="003B43CE"/>
    <w:rsid w:val="003B47A8"/>
    <w:rsid w:val="003B4D5C"/>
    <w:rsid w:val="003B5F29"/>
    <w:rsid w:val="003C24B3"/>
    <w:rsid w:val="003C273F"/>
    <w:rsid w:val="003C2901"/>
    <w:rsid w:val="003C31E1"/>
    <w:rsid w:val="003C4588"/>
    <w:rsid w:val="003C4633"/>
    <w:rsid w:val="003C49F9"/>
    <w:rsid w:val="003C597B"/>
    <w:rsid w:val="003C6E61"/>
    <w:rsid w:val="003C70CA"/>
    <w:rsid w:val="003C7C6D"/>
    <w:rsid w:val="003D0586"/>
    <w:rsid w:val="003D1483"/>
    <w:rsid w:val="003D1CDB"/>
    <w:rsid w:val="003D2737"/>
    <w:rsid w:val="003D2DAC"/>
    <w:rsid w:val="003D31AE"/>
    <w:rsid w:val="003D3C8E"/>
    <w:rsid w:val="003D4287"/>
    <w:rsid w:val="003D49B1"/>
    <w:rsid w:val="003D4CCD"/>
    <w:rsid w:val="003D5B48"/>
    <w:rsid w:val="003D6986"/>
    <w:rsid w:val="003D749F"/>
    <w:rsid w:val="003D7914"/>
    <w:rsid w:val="003D79BD"/>
    <w:rsid w:val="003E0281"/>
    <w:rsid w:val="003E05D1"/>
    <w:rsid w:val="003E0A92"/>
    <w:rsid w:val="003E0BA7"/>
    <w:rsid w:val="003E1C8C"/>
    <w:rsid w:val="003E28B6"/>
    <w:rsid w:val="003E2A57"/>
    <w:rsid w:val="003E2D76"/>
    <w:rsid w:val="003E3BAC"/>
    <w:rsid w:val="003E413A"/>
    <w:rsid w:val="003E4141"/>
    <w:rsid w:val="003E4C24"/>
    <w:rsid w:val="003E5B79"/>
    <w:rsid w:val="003E5D52"/>
    <w:rsid w:val="003E6EEB"/>
    <w:rsid w:val="003E7307"/>
    <w:rsid w:val="003E7F16"/>
    <w:rsid w:val="003F0688"/>
    <w:rsid w:val="003F0FE2"/>
    <w:rsid w:val="003F0FE5"/>
    <w:rsid w:val="003F185E"/>
    <w:rsid w:val="003F1A25"/>
    <w:rsid w:val="003F3922"/>
    <w:rsid w:val="003F50B4"/>
    <w:rsid w:val="003F6450"/>
    <w:rsid w:val="003F65CE"/>
    <w:rsid w:val="003F71D9"/>
    <w:rsid w:val="003F7685"/>
    <w:rsid w:val="003F77AB"/>
    <w:rsid w:val="00400EA2"/>
    <w:rsid w:val="0040100E"/>
    <w:rsid w:val="004015C5"/>
    <w:rsid w:val="0040178B"/>
    <w:rsid w:val="00401D67"/>
    <w:rsid w:val="00402715"/>
    <w:rsid w:val="00402B6F"/>
    <w:rsid w:val="004058F4"/>
    <w:rsid w:val="00405CF0"/>
    <w:rsid w:val="00406147"/>
    <w:rsid w:val="00406704"/>
    <w:rsid w:val="00407384"/>
    <w:rsid w:val="00407D8A"/>
    <w:rsid w:val="00407FB5"/>
    <w:rsid w:val="00410274"/>
    <w:rsid w:val="004102E6"/>
    <w:rsid w:val="004106A1"/>
    <w:rsid w:val="00410EA3"/>
    <w:rsid w:val="00411060"/>
    <w:rsid w:val="004111E9"/>
    <w:rsid w:val="004111F5"/>
    <w:rsid w:val="004126E8"/>
    <w:rsid w:val="004128D0"/>
    <w:rsid w:val="00412EA0"/>
    <w:rsid w:val="00413091"/>
    <w:rsid w:val="00414C61"/>
    <w:rsid w:val="0041558C"/>
    <w:rsid w:val="00416162"/>
    <w:rsid w:val="00416837"/>
    <w:rsid w:val="004169B6"/>
    <w:rsid w:val="00417082"/>
    <w:rsid w:val="004201ED"/>
    <w:rsid w:val="004209E2"/>
    <w:rsid w:val="00420ECC"/>
    <w:rsid w:val="004216F4"/>
    <w:rsid w:val="00422093"/>
    <w:rsid w:val="0042277F"/>
    <w:rsid w:val="00423CF0"/>
    <w:rsid w:val="00423E3D"/>
    <w:rsid w:val="0042406C"/>
    <w:rsid w:val="004247DF"/>
    <w:rsid w:val="00425611"/>
    <w:rsid w:val="004259AD"/>
    <w:rsid w:val="004262BA"/>
    <w:rsid w:val="004267CE"/>
    <w:rsid w:val="004269AF"/>
    <w:rsid w:val="004308B6"/>
    <w:rsid w:val="00430B3C"/>
    <w:rsid w:val="00430B57"/>
    <w:rsid w:val="00431BAA"/>
    <w:rsid w:val="00432683"/>
    <w:rsid w:val="00432A42"/>
    <w:rsid w:val="00432C7A"/>
    <w:rsid w:val="00432DAB"/>
    <w:rsid w:val="004335DC"/>
    <w:rsid w:val="00433AC4"/>
    <w:rsid w:val="0043422E"/>
    <w:rsid w:val="004346E8"/>
    <w:rsid w:val="00434718"/>
    <w:rsid w:val="00435099"/>
    <w:rsid w:val="004351FF"/>
    <w:rsid w:val="004353D3"/>
    <w:rsid w:val="0043570E"/>
    <w:rsid w:val="00435EF1"/>
    <w:rsid w:val="00436AC4"/>
    <w:rsid w:val="004379F8"/>
    <w:rsid w:val="00437B7B"/>
    <w:rsid w:val="00437D8E"/>
    <w:rsid w:val="004407FF"/>
    <w:rsid w:val="0044089D"/>
    <w:rsid w:val="004409C3"/>
    <w:rsid w:val="00441682"/>
    <w:rsid w:val="004416E3"/>
    <w:rsid w:val="004417B9"/>
    <w:rsid w:val="00441BCE"/>
    <w:rsid w:val="00441D5A"/>
    <w:rsid w:val="00442203"/>
    <w:rsid w:val="00442B1D"/>
    <w:rsid w:val="0044334C"/>
    <w:rsid w:val="00443548"/>
    <w:rsid w:val="00443640"/>
    <w:rsid w:val="00445187"/>
    <w:rsid w:val="00445ED2"/>
    <w:rsid w:val="004460BD"/>
    <w:rsid w:val="004460C1"/>
    <w:rsid w:val="004469F0"/>
    <w:rsid w:val="00446DC7"/>
    <w:rsid w:val="00446F9F"/>
    <w:rsid w:val="00447A5E"/>
    <w:rsid w:val="00447B34"/>
    <w:rsid w:val="00450611"/>
    <w:rsid w:val="004506DD"/>
    <w:rsid w:val="00450AC4"/>
    <w:rsid w:val="00450CAF"/>
    <w:rsid w:val="004510E3"/>
    <w:rsid w:val="00451679"/>
    <w:rsid w:val="00451D29"/>
    <w:rsid w:val="00452316"/>
    <w:rsid w:val="0045247A"/>
    <w:rsid w:val="004525DF"/>
    <w:rsid w:val="0045284B"/>
    <w:rsid w:val="00452862"/>
    <w:rsid w:val="0045309B"/>
    <w:rsid w:val="00453386"/>
    <w:rsid w:val="00453FF8"/>
    <w:rsid w:val="004544DB"/>
    <w:rsid w:val="00454AA5"/>
    <w:rsid w:val="0045518E"/>
    <w:rsid w:val="00455573"/>
    <w:rsid w:val="0045645F"/>
    <w:rsid w:val="00456D35"/>
    <w:rsid w:val="004578CE"/>
    <w:rsid w:val="00457CE5"/>
    <w:rsid w:val="004603DF"/>
    <w:rsid w:val="0046052C"/>
    <w:rsid w:val="00460E09"/>
    <w:rsid w:val="0046161D"/>
    <w:rsid w:val="0046190F"/>
    <w:rsid w:val="00461D75"/>
    <w:rsid w:val="00462AAB"/>
    <w:rsid w:val="00462D61"/>
    <w:rsid w:val="00463640"/>
    <w:rsid w:val="00463E37"/>
    <w:rsid w:val="00463F7B"/>
    <w:rsid w:val="00464B19"/>
    <w:rsid w:val="00466405"/>
    <w:rsid w:val="00466ABF"/>
    <w:rsid w:val="00466C7F"/>
    <w:rsid w:val="0046725C"/>
    <w:rsid w:val="004677DA"/>
    <w:rsid w:val="00470600"/>
    <w:rsid w:val="004714A9"/>
    <w:rsid w:val="00471815"/>
    <w:rsid w:val="00471A80"/>
    <w:rsid w:val="00471E4B"/>
    <w:rsid w:val="00471FFD"/>
    <w:rsid w:val="00472702"/>
    <w:rsid w:val="004727EF"/>
    <w:rsid w:val="004732B8"/>
    <w:rsid w:val="0047342D"/>
    <w:rsid w:val="004734D8"/>
    <w:rsid w:val="00473EDF"/>
    <w:rsid w:val="00474044"/>
    <w:rsid w:val="004746E1"/>
    <w:rsid w:val="004757DE"/>
    <w:rsid w:val="00475AD8"/>
    <w:rsid w:val="00475F7C"/>
    <w:rsid w:val="004767F7"/>
    <w:rsid w:val="00477400"/>
    <w:rsid w:val="00477DCA"/>
    <w:rsid w:val="00477E1A"/>
    <w:rsid w:val="00480EE9"/>
    <w:rsid w:val="004836D6"/>
    <w:rsid w:val="00483952"/>
    <w:rsid w:val="00484E4A"/>
    <w:rsid w:val="00484EF9"/>
    <w:rsid w:val="00485304"/>
    <w:rsid w:val="00485AC1"/>
    <w:rsid w:val="00487ABE"/>
    <w:rsid w:val="0049015E"/>
    <w:rsid w:val="0049038A"/>
    <w:rsid w:val="004903D4"/>
    <w:rsid w:val="00490868"/>
    <w:rsid w:val="00490A75"/>
    <w:rsid w:val="00491150"/>
    <w:rsid w:val="00491EAB"/>
    <w:rsid w:val="00492506"/>
    <w:rsid w:val="00492A67"/>
    <w:rsid w:val="004931C9"/>
    <w:rsid w:val="00493EAD"/>
    <w:rsid w:val="004943BF"/>
    <w:rsid w:val="00494F8D"/>
    <w:rsid w:val="004951F9"/>
    <w:rsid w:val="00495E5D"/>
    <w:rsid w:val="00496040"/>
    <w:rsid w:val="0049669E"/>
    <w:rsid w:val="00496ADA"/>
    <w:rsid w:val="00496CB2"/>
    <w:rsid w:val="004974F2"/>
    <w:rsid w:val="00497B13"/>
    <w:rsid w:val="00497B2D"/>
    <w:rsid w:val="00497B33"/>
    <w:rsid w:val="004A1DED"/>
    <w:rsid w:val="004A22F1"/>
    <w:rsid w:val="004A24A0"/>
    <w:rsid w:val="004A2EB9"/>
    <w:rsid w:val="004A308E"/>
    <w:rsid w:val="004A4891"/>
    <w:rsid w:val="004A4921"/>
    <w:rsid w:val="004A5687"/>
    <w:rsid w:val="004A597F"/>
    <w:rsid w:val="004A5F24"/>
    <w:rsid w:val="004A6415"/>
    <w:rsid w:val="004A6EFD"/>
    <w:rsid w:val="004A7CBF"/>
    <w:rsid w:val="004B13D7"/>
    <w:rsid w:val="004B157B"/>
    <w:rsid w:val="004B1BAB"/>
    <w:rsid w:val="004B1D9C"/>
    <w:rsid w:val="004B23DE"/>
    <w:rsid w:val="004B2F93"/>
    <w:rsid w:val="004B31D8"/>
    <w:rsid w:val="004B3B1A"/>
    <w:rsid w:val="004B3DDF"/>
    <w:rsid w:val="004B46B4"/>
    <w:rsid w:val="004B4CF7"/>
    <w:rsid w:val="004B56A8"/>
    <w:rsid w:val="004B5886"/>
    <w:rsid w:val="004B63AA"/>
    <w:rsid w:val="004B6915"/>
    <w:rsid w:val="004B692E"/>
    <w:rsid w:val="004B6CE6"/>
    <w:rsid w:val="004B73AC"/>
    <w:rsid w:val="004B7877"/>
    <w:rsid w:val="004B7D46"/>
    <w:rsid w:val="004B7DE0"/>
    <w:rsid w:val="004C0846"/>
    <w:rsid w:val="004C111C"/>
    <w:rsid w:val="004C25BF"/>
    <w:rsid w:val="004C262F"/>
    <w:rsid w:val="004C274A"/>
    <w:rsid w:val="004C2D05"/>
    <w:rsid w:val="004C427B"/>
    <w:rsid w:val="004C4409"/>
    <w:rsid w:val="004C44DA"/>
    <w:rsid w:val="004C47D3"/>
    <w:rsid w:val="004C5226"/>
    <w:rsid w:val="004C5C27"/>
    <w:rsid w:val="004C6759"/>
    <w:rsid w:val="004D02CA"/>
    <w:rsid w:val="004D0805"/>
    <w:rsid w:val="004D0A32"/>
    <w:rsid w:val="004D0C7A"/>
    <w:rsid w:val="004D1322"/>
    <w:rsid w:val="004D13F6"/>
    <w:rsid w:val="004D186E"/>
    <w:rsid w:val="004D18DE"/>
    <w:rsid w:val="004D1B50"/>
    <w:rsid w:val="004D3599"/>
    <w:rsid w:val="004D4793"/>
    <w:rsid w:val="004D489C"/>
    <w:rsid w:val="004D50AE"/>
    <w:rsid w:val="004D5D73"/>
    <w:rsid w:val="004D5EC2"/>
    <w:rsid w:val="004D626D"/>
    <w:rsid w:val="004D657D"/>
    <w:rsid w:val="004D6705"/>
    <w:rsid w:val="004D67E9"/>
    <w:rsid w:val="004D6982"/>
    <w:rsid w:val="004D6F59"/>
    <w:rsid w:val="004D72D4"/>
    <w:rsid w:val="004D748A"/>
    <w:rsid w:val="004D77B2"/>
    <w:rsid w:val="004D78F5"/>
    <w:rsid w:val="004E095F"/>
    <w:rsid w:val="004E1157"/>
    <w:rsid w:val="004E14A2"/>
    <w:rsid w:val="004E15E0"/>
    <w:rsid w:val="004E2736"/>
    <w:rsid w:val="004E3CE6"/>
    <w:rsid w:val="004E48FF"/>
    <w:rsid w:val="004E51E6"/>
    <w:rsid w:val="004E53DD"/>
    <w:rsid w:val="004E5462"/>
    <w:rsid w:val="004E5A80"/>
    <w:rsid w:val="004E5F33"/>
    <w:rsid w:val="004E6520"/>
    <w:rsid w:val="004E75B2"/>
    <w:rsid w:val="004F0653"/>
    <w:rsid w:val="004F06B5"/>
    <w:rsid w:val="004F0A17"/>
    <w:rsid w:val="004F0B2C"/>
    <w:rsid w:val="004F0B8B"/>
    <w:rsid w:val="004F0FCF"/>
    <w:rsid w:val="004F1793"/>
    <w:rsid w:val="004F1826"/>
    <w:rsid w:val="004F25DF"/>
    <w:rsid w:val="004F2AC4"/>
    <w:rsid w:val="004F3F1A"/>
    <w:rsid w:val="004F410A"/>
    <w:rsid w:val="004F4A06"/>
    <w:rsid w:val="004F5678"/>
    <w:rsid w:val="004F6390"/>
    <w:rsid w:val="004F665B"/>
    <w:rsid w:val="004F6D5B"/>
    <w:rsid w:val="004F7C4C"/>
    <w:rsid w:val="00500313"/>
    <w:rsid w:val="00500483"/>
    <w:rsid w:val="00500B9F"/>
    <w:rsid w:val="00501045"/>
    <w:rsid w:val="00501A0E"/>
    <w:rsid w:val="00501CD0"/>
    <w:rsid w:val="00502144"/>
    <w:rsid w:val="0050245A"/>
    <w:rsid w:val="0050351E"/>
    <w:rsid w:val="005046EC"/>
    <w:rsid w:val="00504B03"/>
    <w:rsid w:val="005052FF"/>
    <w:rsid w:val="00507523"/>
    <w:rsid w:val="00507955"/>
    <w:rsid w:val="00510F7C"/>
    <w:rsid w:val="00511779"/>
    <w:rsid w:val="0051184F"/>
    <w:rsid w:val="0051193E"/>
    <w:rsid w:val="00511B98"/>
    <w:rsid w:val="005122E7"/>
    <w:rsid w:val="005127E1"/>
    <w:rsid w:val="00513832"/>
    <w:rsid w:val="00513B78"/>
    <w:rsid w:val="00514301"/>
    <w:rsid w:val="005158B6"/>
    <w:rsid w:val="00515A63"/>
    <w:rsid w:val="00515C99"/>
    <w:rsid w:val="00515D1C"/>
    <w:rsid w:val="00516B5A"/>
    <w:rsid w:val="00516F80"/>
    <w:rsid w:val="00517912"/>
    <w:rsid w:val="005207CA"/>
    <w:rsid w:val="005215AE"/>
    <w:rsid w:val="005217D5"/>
    <w:rsid w:val="00521C34"/>
    <w:rsid w:val="00521CFD"/>
    <w:rsid w:val="005221D1"/>
    <w:rsid w:val="00522733"/>
    <w:rsid w:val="00522F94"/>
    <w:rsid w:val="00523799"/>
    <w:rsid w:val="005237B9"/>
    <w:rsid w:val="00523816"/>
    <w:rsid w:val="0052387E"/>
    <w:rsid w:val="00523EE5"/>
    <w:rsid w:val="00524021"/>
    <w:rsid w:val="00524648"/>
    <w:rsid w:val="0052465E"/>
    <w:rsid w:val="00525403"/>
    <w:rsid w:val="005257B1"/>
    <w:rsid w:val="00525BDC"/>
    <w:rsid w:val="0052607E"/>
    <w:rsid w:val="0052745D"/>
    <w:rsid w:val="00527CD0"/>
    <w:rsid w:val="00527DA0"/>
    <w:rsid w:val="00530090"/>
    <w:rsid w:val="00530202"/>
    <w:rsid w:val="00530E62"/>
    <w:rsid w:val="00531EA2"/>
    <w:rsid w:val="005321C1"/>
    <w:rsid w:val="005324AC"/>
    <w:rsid w:val="005332BE"/>
    <w:rsid w:val="00533BB7"/>
    <w:rsid w:val="00534228"/>
    <w:rsid w:val="005345B3"/>
    <w:rsid w:val="0053482A"/>
    <w:rsid w:val="00536115"/>
    <w:rsid w:val="00536CCD"/>
    <w:rsid w:val="005371A5"/>
    <w:rsid w:val="00537682"/>
    <w:rsid w:val="00537D8D"/>
    <w:rsid w:val="00540232"/>
    <w:rsid w:val="005403C4"/>
    <w:rsid w:val="0054117C"/>
    <w:rsid w:val="0054130B"/>
    <w:rsid w:val="0054184A"/>
    <w:rsid w:val="0054195B"/>
    <w:rsid w:val="00541BD8"/>
    <w:rsid w:val="00542143"/>
    <w:rsid w:val="00542B9D"/>
    <w:rsid w:val="00542F39"/>
    <w:rsid w:val="00543919"/>
    <w:rsid w:val="00543D60"/>
    <w:rsid w:val="005443AF"/>
    <w:rsid w:val="005444B2"/>
    <w:rsid w:val="00544A7C"/>
    <w:rsid w:val="00544FD9"/>
    <w:rsid w:val="0054566C"/>
    <w:rsid w:val="00545789"/>
    <w:rsid w:val="005457B4"/>
    <w:rsid w:val="0054694D"/>
    <w:rsid w:val="005477BA"/>
    <w:rsid w:val="00547E49"/>
    <w:rsid w:val="00550535"/>
    <w:rsid w:val="00551333"/>
    <w:rsid w:val="00553D77"/>
    <w:rsid w:val="0055415C"/>
    <w:rsid w:val="0055453D"/>
    <w:rsid w:val="00554B8E"/>
    <w:rsid w:val="005559AA"/>
    <w:rsid w:val="00556260"/>
    <w:rsid w:val="00556AC0"/>
    <w:rsid w:val="00557658"/>
    <w:rsid w:val="005576E7"/>
    <w:rsid w:val="00557828"/>
    <w:rsid w:val="00560063"/>
    <w:rsid w:val="005600D8"/>
    <w:rsid w:val="0056019D"/>
    <w:rsid w:val="005603CC"/>
    <w:rsid w:val="00562653"/>
    <w:rsid w:val="005629C0"/>
    <w:rsid w:val="005629CF"/>
    <w:rsid w:val="005630CF"/>
    <w:rsid w:val="005630FD"/>
    <w:rsid w:val="00563598"/>
    <w:rsid w:val="00564F55"/>
    <w:rsid w:val="0056563A"/>
    <w:rsid w:val="00565757"/>
    <w:rsid w:val="0056597C"/>
    <w:rsid w:val="0056617E"/>
    <w:rsid w:val="005678A9"/>
    <w:rsid w:val="00567F71"/>
    <w:rsid w:val="005704F5"/>
    <w:rsid w:val="0057051A"/>
    <w:rsid w:val="00570562"/>
    <w:rsid w:val="005708F6"/>
    <w:rsid w:val="0057110C"/>
    <w:rsid w:val="0057141F"/>
    <w:rsid w:val="005717F4"/>
    <w:rsid w:val="005719E8"/>
    <w:rsid w:val="00571A36"/>
    <w:rsid w:val="00572272"/>
    <w:rsid w:val="00572525"/>
    <w:rsid w:val="005735FF"/>
    <w:rsid w:val="005740C5"/>
    <w:rsid w:val="00574324"/>
    <w:rsid w:val="00574D18"/>
    <w:rsid w:val="00576C6D"/>
    <w:rsid w:val="00577051"/>
    <w:rsid w:val="005770D2"/>
    <w:rsid w:val="00577EFC"/>
    <w:rsid w:val="00580180"/>
    <w:rsid w:val="00580303"/>
    <w:rsid w:val="005804B1"/>
    <w:rsid w:val="00580E58"/>
    <w:rsid w:val="00581146"/>
    <w:rsid w:val="005816C1"/>
    <w:rsid w:val="005817A0"/>
    <w:rsid w:val="00582359"/>
    <w:rsid w:val="0058268F"/>
    <w:rsid w:val="00583311"/>
    <w:rsid w:val="00583B1A"/>
    <w:rsid w:val="005849D3"/>
    <w:rsid w:val="00584AE1"/>
    <w:rsid w:val="005856D2"/>
    <w:rsid w:val="00585731"/>
    <w:rsid w:val="0058694C"/>
    <w:rsid w:val="00586E61"/>
    <w:rsid w:val="005876C6"/>
    <w:rsid w:val="00587F9B"/>
    <w:rsid w:val="00591392"/>
    <w:rsid w:val="00591AE4"/>
    <w:rsid w:val="00591CB7"/>
    <w:rsid w:val="00592035"/>
    <w:rsid w:val="0059243B"/>
    <w:rsid w:val="00593240"/>
    <w:rsid w:val="00593C49"/>
    <w:rsid w:val="00593DE2"/>
    <w:rsid w:val="00594656"/>
    <w:rsid w:val="00594718"/>
    <w:rsid w:val="005950D3"/>
    <w:rsid w:val="00595D94"/>
    <w:rsid w:val="005964A1"/>
    <w:rsid w:val="00596F8C"/>
    <w:rsid w:val="005977ED"/>
    <w:rsid w:val="005A06A4"/>
    <w:rsid w:val="005A0D72"/>
    <w:rsid w:val="005A0D7C"/>
    <w:rsid w:val="005A10EA"/>
    <w:rsid w:val="005A11F9"/>
    <w:rsid w:val="005A145B"/>
    <w:rsid w:val="005A175E"/>
    <w:rsid w:val="005A2FD1"/>
    <w:rsid w:val="005A3025"/>
    <w:rsid w:val="005A30DB"/>
    <w:rsid w:val="005A323C"/>
    <w:rsid w:val="005A32E8"/>
    <w:rsid w:val="005A331C"/>
    <w:rsid w:val="005A3488"/>
    <w:rsid w:val="005A4A4D"/>
    <w:rsid w:val="005A52F6"/>
    <w:rsid w:val="005A6953"/>
    <w:rsid w:val="005A71A0"/>
    <w:rsid w:val="005A794D"/>
    <w:rsid w:val="005A7A50"/>
    <w:rsid w:val="005A7D43"/>
    <w:rsid w:val="005B2327"/>
    <w:rsid w:val="005B2698"/>
    <w:rsid w:val="005B2D7D"/>
    <w:rsid w:val="005B349B"/>
    <w:rsid w:val="005B3AD5"/>
    <w:rsid w:val="005B3ADE"/>
    <w:rsid w:val="005B55BD"/>
    <w:rsid w:val="005B58E9"/>
    <w:rsid w:val="005B5985"/>
    <w:rsid w:val="005B5DEA"/>
    <w:rsid w:val="005B5E5F"/>
    <w:rsid w:val="005B5EF2"/>
    <w:rsid w:val="005B61FC"/>
    <w:rsid w:val="005B7350"/>
    <w:rsid w:val="005B7DF1"/>
    <w:rsid w:val="005C1013"/>
    <w:rsid w:val="005C140D"/>
    <w:rsid w:val="005C21BD"/>
    <w:rsid w:val="005C2615"/>
    <w:rsid w:val="005C26C9"/>
    <w:rsid w:val="005C2EBC"/>
    <w:rsid w:val="005C35B0"/>
    <w:rsid w:val="005C3B09"/>
    <w:rsid w:val="005C3E6D"/>
    <w:rsid w:val="005C4147"/>
    <w:rsid w:val="005C419F"/>
    <w:rsid w:val="005C45BB"/>
    <w:rsid w:val="005C4D31"/>
    <w:rsid w:val="005C5321"/>
    <w:rsid w:val="005C5672"/>
    <w:rsid w:val="005D048F"/>
    <w:rsid w:val="005D0BB9"/>
    <w:rsid w:val="005D0D55"/>
    <w:rsid w:val="005D195A"/>
    <w:rsid w:val="005D1FE0"/>
    <w:rsid w:val="005D2ECD"/>
    <w:rsid w:val="005D2F73"/>
    <w:rsid w:val="005D4B31"/>
    <w:rsid w:val="005D4B72"/>
    <w:rsid w:val="005D5015"/>
    <w:rsid w:val="005D5362"/>
    <w:rsid w:val="005D5482"/>
    <w:rsid w:val="005D5EF0"/>
    <w:rsid w:val="005D62A2"/>
    <w:rsid w:val="005D6B08"/>
    <w:rsid w:val="005D6B5A"/>
    <w:rsid w:val="005D73B1"/>
    <w:rsid w:val="005E18C7"/>
    <w:rsid w:val="005E1C92"/>
    <w:rsid w:val="005E1D11"/>
    <w:rsid w:val="005E2BA4"/>
    <w:rsid w:val="005E2C98"/>
    <w:rsid w:val="005E2E38"/>
    <w:rsid w:val="005E2EA6"/>
    <w:rsid w:val="005E4355"/>
    <w:rsid w:val="005E4B08"/>
    <w:rsid w:val="005E4D4B"/>
    <w:rsid w:val="005E4DF7"/>
    <w:rsid w:val="005E553C"/>
    <w:rsid w:val="005E5543"/>
    <w:rsid w:val="005E5700"/>
    <w:rsid w:val="005E5703"/>
    <w:rsid w:val="005E5A28"/>
    <w:rsid w:val="005E7C64"/>
    <w:rsid w:val="005E7CC1"/>
    <w:rsid w:val="005E7D1A"/>
    <w:rsid w:val="005E7E08"/>
    <w:rsid w:val="005F08FD"/>
    <w:rsid w:val="005F149E"/>
    <w:rsid w:val="005F1904"/>
    <w:rsid w:val="005F1B42"/>
    <w:rsid w:val="005F1D96"/>
    <w:rsid w:val="005F213A"/>
    <w:rsid w:val="005F2E11"/>
    <w:rsid w:val="005F2F58"/>
    <w:rsid w:val="005F39AB"/>
    <w:rsid w:val="005F425E"/>
    <w:rsid w:val="005F44C7"/>
    <w:rsid w:val="005F452F"/>
    <w:rsid w:val="005F50EE"/>
    <w:rsid w:val="005F55AB"/>
    <w:rsid w:val="005F56F1"/>
    <w:rsid w:val="005F6CE0"/>
    <w:rsid w:val="005F7EB1"/>
    <w:rsid w:val="0060074C"/>
    <w:rsid w:val="00600F1A"/>
    <w:rsid w:val="006012B2"/>
    <w:rsid w:val="00601839"/>
    <w:rsid w:val="0060214A"/>
    <w:rsid w:val="00602AB1"/>
    <w:rsid w:val="006031F5"/>
    <w:rsid w:val="00603AF2"/>
    <w:rsid w:val="006041A6"/>
    <w:rsid w:val="006044AA"/>
    <w:rsid w:val="0060485C"/>
    <w:rsid w:val="00604ACB"/>
    <w:rsid w:val="00605381"/>
    <w:rsid w:val="00605AFB"/>
    <w:rsid w:val="00606027"/>
    <w:rsid w:val="00606AFE"/>
    <w:rsid w:val="00606B8B"/>
    <w:rsid w:val="00606F64"/>
    <w:rsid w:val="00607EB7"/>
    <w:rsid w:val="006100A0"/>
    <w:rsid w:val="0061031F"/>
    <w:rsid w:val="0061082A"/>
    <w:rsid w:val="00610976"/>
    <w:rsid w:val="006110E8"/>
    <w:rsid w:val="006114AA"/>
    <w:rsid w:val="00611DCB"/>
    <w:rsid w:val="00611F95"/>
    <w:rsid w:val="0061204B"/>
    <w:rsid w:val="006122C7"/>
    <w:rsid w:val="0061362F"/>
    <w:rsid w:val="00613B45"/>
    <w:rsid w:val="00615AF2"/>
    <w:rsid w:val="00615B61"/>
    <w:rsid w:val="00615BF0"/>
    <w:rsid w:val="006164F4"/>
    <w:rsid w:val="00616990"/>
    <w:rsid w:val="006178E1"/>
    <w:rsid w:val="00617CEE"/>
    <w:rsid w:val="006202C8"/>
    <w:rsid w:val="00620304"/>
    <w:rsid w:val="0062058E"/>
    <w:rsid w:val="00621129"/>
    <w:rsid w:val="00621B89"/>
    <w:rsid w:val="00621CD8"/>
    <w:rsid w:val="00622AC5"/>
    <w:rsid w:val="00622EFB"/>
    <w:rsid w:val="006236B1"/>
    <w:rsid w:val="00623F0A"/>
    <w:rsid w:val="00624533"/>
    <w:rsid w:val="00625CE5"/>
    <w:rsid w:val="00626C78"/>
    <w:rsid w:val="0062718E"/>
    <w:rsid w:val="00627BF9"/>
    <w:rsid w:val="00627FD2"/>
    <w:rsid w:val="006311E0"/>
    <w:rsid w:val="00632346"/>
    <w:rsid w:val="00632B36"/>
    <w:rsid w:val="006332DE"/>
    <w:rsid w:val="00633570"/>
    <w:rsid w:val="006339E3"/>
    <w:rsid w:val="00633D36"/>
    <w:rsid w:val="00634A34"/>
    <w:rsid w:val="00634E1B"/>
    <w:rsid w:val="00635229"/>
    <w:rsid w:val="00635AC6"/>
    <w:rsid w:val="00635F58"/>
    <w:rsid w:val="006379E8"/>
    <w:rsid w:val="006413F2"/>
    <w:rsid w:val="006414E5"/>
    <w:rsid w:val="00641DFE"/>
    <w:rsid w:val="00642741"/>
    <w:rsid w:val="00642984"/>
    <w:rsid w:val="006433A8"/>
    <w:rsid w:val="00643DE2"/>
    <w:rsid w:val="00644D83"/>
    <w:rsid w:val="00645459"/>
    <w:rsid w:val="00645D98"/>
    <w:rsid w:val="00646654"/>
    <w:rsid w:val="00650306"/>
    <w:rsid w:val="00650815"/>
    <w:rsid w:val="00650AF3"/>
    <w:rsid w:val="00650E11"/>
    <w:rsid w:val="00651B51"/>
    <w:rsid w:val="00651BC1"/>
    <w:rsid w:val="00652356"/>
    <w:rsid w:val="006528EA"/>
    <w:rsid w:val="00652D24"/>
    <w:rsid w:val="00652EF3"/>
    <w:rsid w:val="00653C19"/>
    <w:rsid w:val="0065412C"/>
    <w:rsid w:val="006542DA"/>
    <w:rsid w:val="00654CA9"/>
    <w:rsid w:val="0065506A"/>
    <w:rsid w:val="00655C88"/>
    <w:rsid w:val="00655F6A"/>
    <w:rsid w:val="00656199"/>
    <w:rsid w:val="00656613"/>
    <w:rsid w:val="00656704"/>
    <w:rsid w:val="00656796"/>
    <w:rsid w:val="00657333"/>
    <w:rsid w:val="00657660"/>
    <w:rsid w:val="00657824"/>
    <w:rsid w:val="006579FC"/>
    <w:rsid w:val="0066152F"/>
    <w:rsid w:val="00662C1D"/>
    <w:rsid w:val="00663047"/>
    <w:rsid w:val="006633B7"/>
    <w:rsid w:val="0066484B"/>
    <w:rsid w:val="00664E1A"/>
    <w:rsid w:val="006656EF"/>
    <w:rsid w:val="0066643A"/>
    <w:rsid w:val="00666600"/>
    <w:rsid w:val="00670684"/>
    <w:rsid w:val="00670A59"/>
    <w:rsid w:val="00670B3A"/>
    <w:rsid w:val="0067174A"/>
    <w:rsid w:val="00671B44"/>
    <w:rsid w:val="0067201A"/>
    <w:rsid w:val="00672DB9"/>
    <w:rsid w:val="0067383D"/>
    <w:rsid w:val="00673B70"/>
    <w:rsid w:val="006742E5"/>
    <w:rsid w:val="006757D1"/>
    <w:rsid w:val="00676434"/>
    <w:rsid w:val="006764E7"/>
    <w:rsid w:val="00676F8C"/>
    <w:rsid w:val="00677A49"/>
    <w:rsid w:val="00677E05"/>
    <w:rsid w:val="00677F26"/>
    <w:rsid w:val="00680650"/>
    <w:rsid w:val="006809D3"/>
    <w:rsid w:val="00680E5E"/>
    <w:rsid w:val="00681399"/>
    <w:rsid w:val="00681F77"/>
    <w:rsid w:val="00682379"/>
    <w:rsid w:val="00682AD5"/>
    <w:rsid w:val="00683015"/>
    <w:rsid w:val="006836D0"/>
    <w:rsid w:val="00683ADF"/>
    <w:rsid w:val="006846A6"/>
    <w:rsid w:val="00686620"/>
    <w:rsid w:val="00686637"/>
    <w:rsid w:val="0068766C"/>
    <w:rsid w:val="00687E3F"/>
    <w:rsid w:val="00690123"/>
    <w:rsid w:val="006903BA"/>
    <w:rsid w:val="00690AFD"/>
    <w:rsid w:val="006920BB"/>
    <w:rsid w:val="00692207"/>
    <w:rsid w:val="00692D96"/>
    <w:rsid w:val="00694127"/>
    <w:rsid w:val="00694610"/>
    <w:rsid w:val="00694706"/>
    <w:rsid w:val="00696A1E"/>
    <w:rsid w:val="00696D4D"/>
    <w:rsid w:val="00697EF5"/>
    <w:rsid w:val="006A071A"/>
    <w:rsid w:val="006A21E3"/>
    <w:rsid w:val="006A235C"/>
    <w:rsid w:val="006A3EAE"/>
    <w:rsid w:val="006A4068"/>
    <w:rsid w:val="006A4177"/>
    <w:rsid w:val="006A482C"/>
    <w:rsid w:val="006A4C74"/>
    <w:rsid w:val="006A5236"/>
    <w:rsid w:val="006A5AC8"/>
    <w:rsid w:val="006A5FC1"/>
    <w:rsid w:val="006A603D"/>
    <w:rsid w:val="006A65C1"/>
    <w:rsid w:val="006A73E6"/>
    <w:rsid w:val="006A7575"/>
    <w:rsid w:val="006B02B9"/>
    <w:rsid w:val="006B049B"/>
    <w:rsid w:val="006B0516"/>
    <w:rsid w:val="006B0B86"/>
    <w:rsid w:val="006B0FE0"/>
    <w:rsid w:val="006B1306"/>
    <w:rsid w:val="006B21C3"/>
    <w:rsid w:val="006B2A66"/>
    <w:rsid w:val="006B3398"/>
    <w:rsid w:val="006B34A4"/>
    <w:rsid w:val="006B41A9"/>
    <w:rsid w:val="006B60C8"/>
    <w:rsid w:val="006B636F"/>
    <w:rsid w:val="006B64A1"/>
    <w:rsid w:val="006B6EAF"/>
    <w:rsid w:val="006B72C3"/>
    <w:rsid w:val="006B7680"/>
    <w:rsid w:val="006C0400"/>
    <w:rsid w:val="006C0632"/>
    <w:rsid w:val="006C0B63"/>
    <w:rsid w:val="006C0FAA"/>
    <w:rsid w:val="006C16AB"/>
    <w:rsid w:val="006C1F1F"/>
    <w:rsid w:val="006C1F6F"/>
    <w:rsid w:val="006C25E3"/>
    <w:rsid w:val="006C2EC2"/>
    <w:rsid w:val="006C2ECD"/>
    <w:rsid w:val="006C303E"/>
    <w:rsid w:val="006C57D6"/>
    <w:rsid w:val="006C5980"/>
    <w:rsid w:val="006C6730"/>
    <w:rsid w:val="006C76D5"/>
    <w:rsid w:val="006D03FC"/>
    <w:rsid w:val="006D134E"/>
    <w:rsid w:val="006D1732"/>
    <w:rsid w:val="006D227F"/>
    <w:rsid w:val="006D243A"/>
    <w:rsid w:val="006D2A64"/>
    <w:rsid w:val="006D3162"/>
    <w:rsid w:val="006D3284"/>
    <w:rsid w:val="006D352C"/>
    <w:rsid w:val="006D399C"/>
    <w:rsid w:val="006D3CEF"/>
    <w:rsid w:val="006D40F0"/>
    <w:rsid w:val="006D4D9A"/>
    <w:rsid w:val="006D527D"/>
    <w:rsid w:val="006D5C34"/>
    <w:rsid w:val="006D65A2"/>
    <w:rsid w:val="006D6E65"/>
    <w:rsid w:val="006D724F"/>
    <w:rsid w:val="006D7275"/>
    <w:rsid w:val="006D7566"/>
    <w:rsid w:val="006D7CDF"/>
    <w:rsid w:val="006E00C8"/>
    <w:rsid w:val="006E029E"/>
    <w:rsid w:val="006E055E"/>
    <w:rsid w:val="006E0A11"/>
    <w:rsid w:val="006E14D8"/>
    <w:rsid w:val="006E1E85"/>
    <w:rsid w:val="006E2EDB"/>
    <w:rsid w:val="006E392F"/>
    <w:rsid w:val="006E42BA"/>
    <w:rsid w:val="006E4594"/>
    <w:rsid w:val="006E4B66"/>
    <w:rsid w:val="006E52EC"/>
    <w:rsid w:val="006E5587"/>
    <w:rsid w:val="006E574A"/>
    <w:rsid w:val="006E5D51"/>
    <w:rsid w:val="006E5F5F"/>
    <w:rsid w:val="006E6011"/>
    <w:rsid w:val="006E65C8"/>
    <w:rsid w:val="006E65E9"/>
    <w:rsid w:val="006E771E"/>
    <w:rsid w:val="006E7A97"/>
    <w:rsid w:val="006F35C7"/>
    <w:rsid w:val="006F3799"/>
    <w:rsid w:val="006F40C6"/>
    <w:rsid w:val="006F4460"/>
    <w:rsid w:val="006F4CA7"/>
    <w:rsid w:val="006F5107"/>
    <w:rsid w:val="006F58AF"/>
    <w:rsid w:val="006F5EFD"/>
    <w:rsid w:val="006F6366"/>
    <w:rsid w:val="00700113"/>
    <w:rsid w:val="007006C3"/>
    <w:rsid w:val="00700C2C"/>
    <w:rsid w:val="00701A01"/>
    <w:rsid w:val="00701D71"/>
    <w:rsid w:val="00701E8F"/>
    <w:rsid w:val="0070378E"/>
    <w:rsid w:val="00703959"/>
    <w:rsid w:val="00703ABE"/>
    <w:rsid w:val="00703F3F"/>
    <w:rsid w:val="007041EE"/>
    <w:rsid w:val="00705556"/>
    <w:rsid w:val="007055C4"/>
    <w:rsid w:val="007065A5"/>
    <w:rsid w:val="00706A60"/>
    <w:rsid w:val="007077BC"/>
    <w:rsid w:val="007077FE"/>
    <w:rsid w:val="007102A0"/>
    <w:rsid w:val="00710503"/>
    <w:rsid w:val="00710545"/>
    <w:rsid w:val="00711C5F"/>
    <w:rsid w:val="00712061"/>
    <w:rsid w:val="00712BF3"/>
    <w:rsid w:val="007134FE"/>
    <w:rsid w:val="00713C55"/>
    <w:rsid w:val="00713C58"/>
    <w:rsid w:val="00713F3E"/>
    <w:rsid w:val="00714A4E"/>
    <w:rsid w:val="00714F41"/>
    <w:rsid w:val="007156A6"/>
    <w:rsid w:val="00715EDE"/>
    <w:rsid w:val="007163B1"/>
    <w:rsid w:val="00716CD7"/>
    <w:rsid w:val="007171C7"/>
    <w:rsid w:val="00717201"/>
    <w:rsid w:val="00717C37"/>
    <w:rsid w:val="00717D73"/>
    <w:rsid w:val="0072000D"/>
    <w:rsid w:val="0072010E"/>
    <w:rsid w:val="0072093C"/>
    <w:rsid w:val="00721975"/>
    <w:rsid w:val="00721AA6"/>
    <w:rsid w:val="0072228F"/>
    <w:rsid w:val="007224CE"/>
    <w:rsid w:val="00722EC7"/>
    <w:rsid w:val="0072362E"/>
    <w:rsid w:val="007238CD"/>
    <w:rsid w:val="00723913"/>
    <w:rsid w:val="00724034"/>
    <w:rsid w:val="00724646"/>
    <w:rsid w:val="007249F7"/>
    <w:rsid w:val="00725C53"/>
    <w:rsid w:val="00725E88"/>
    <w:rsid w:val="00726162"/>
    <w:rsid w:val="00726832"/>
    <w:rsid w:val="00726EFB"/>
    <w:rsid w:val="00726FEA"/>
    <w:rsid w:val="00727544"/>
    <w:rsid w:val="007275FF"/>
    <w:rsid w:val="0072785C"/>
    <w:rsid w:val="007304CE"/>
    <w:rsid w:val="00731344"/>
    <w:rsid w:val="00731791"/>
    <w:rsid w:val="00731D12"/>
    <w:rsid w:val="00733339"/>
    <w:rsid w:val="00733D5C"/>
    <w:rsid w:val="00733F45"/>
    <w:rsid w:val="0073411A"/>
    <w:rsid w:val="007341CC"/>
    <w:rsid w:val="00734637"/>
    <w:rsid w:val="007358AE"/>
    <w:rsid w:val="007359F6"/>
    <w:rsid w:val="00736506"/>
    <w:rsid w:val="0073699A"/>
    <w:rsid w:val="00736A33"/>
    <w:rsid w:val="00736FAF"/>
    <w:rsid w:val="007407DD"/>
    <w:rsid w:val="00740BE7"/>
    <w:rsid w:val="007420C6"/>
    <w:rsid w:val="0074223C"/>
    <w:rsid w:val="007426BE"/>
    <w:rsid w:val="00742964"/>
    <w:rsid w:val="00742AE1"/>
    <w:rsid w:val="0074301B"/>
    <w:rsid w:val="00743477"/>
    <w:rsid w:val="00743D0B"/>
    <w:rsid w:val="00743FCD"/>
    <w:rsid w:val="00744A62"/>
    <w:rsid w:val="00746125"/>
    <w:rsid w:val="007461F0"/>
    <w:rsid w:val="00746481"/>
    <w:rsid w:val="00746B19"/>
    <w:rsid w:val="0074752A"/>
    <w:rsid w:val="007502A8"/>
    <w:rsid w:val="00750514"/>
    <w:rsid w:val="0075095D"/>
    <w:rsid w:val="00750B84"/>
    <w:rsid w:val="00751ABC"/>
    <w:rsid w:val="007522E3"/>
    <w:rsid w:val="00752BDD"/>
    <w:rsid w:val="00752D09"/>
    <w:rsid w:val="007534E6"/>
    <w:rsid w:val="00753561"/>
    <w:rsid w:val="00754DC8"/>
    <w:rsid w:val="00754DE6"/>
    <w:rsid w:val="00754EA0"/>
    <w:rsid w:val="00754F83"/>
    <w:rsid w:val="00755166"/>
    <w:rsid w:val="007558FD"/>
    <w:rsid w:val="00756775"/>
    <w:rsid w:val="007575D4"/>
    <w:rsid w:val="00757AE9"/>
    <w:rsid w:val="0076010F"/>
    <w:rsid w:val="00760348"/>
    <w:rsid w:val="00760C3E"/>
    <w:rsid w:val="00762031"/>
    <w:rsid w:val="0076225F"/>
    <w:rsid w:val="007626DA"/>
    <w:rsid w:val="00762FBB"/>
    <w:rsid w:val="007637EE"/>
    <w:rsid w:val="00763CD5"/>
    <w:rsid w:val="007641E2"/>
    <w:rsid w:val="007643F7"/>
    <w:rsid w:val="00764E02"/>
    <w:rsid w:val="00765628"/>
    <w:rsid w:val="00765DCE"/>
    <w:rsid w:val="007660DD"/>
    <w:rsid w:val="00766988"/>
    <w:rsid w:val="00767EB4"/>
    <w:rsid w:val="007702DF"/>
    <w:rsid w:val="00771DE8"/>
    <w:rsid w:val="00772E3A"/>
    <w:rsid w:val="007739D8"/>
    <w:rsid w:val="00774A43"/>
    <w:rsid w:val="00774C0F"/>
    <w:rsid w:val="00775D82"/>
    <w:rsid w:val="00775FC8"/>
    <w:rsid w:val="0077658C"/>
    <w:rsid w:val="0077769F"/>
    <w:rsid w:val="00777ACF"/>
    <w:rsid w:val="00777DFD"/>
    <w:rsid w:val="00777ED4"/>
    <w:rsid w:val="00777EEC"/>
    <w:rsid w:val="00780000"/>
    <w:rsid w:val="00780178"/>
    <w:rsid w:val="007802C6"/>
    <w:rsid w:val="00780860"/>
    <w:rsid w:val="00780A40"/>
    <w:rsid w:val="00782231"/>
    <w:rsid w:val="007828F8"/>
    <w:rsid w:val="00782B1D"/>
    <w:rsid w:val="00782F33"/>
    <w:rsid w:val="00783077"/>
    <w:rsid w:val="007856DD"/>
    <w:rsid w:val="0078587B"/>
    <w:rsid w:val="007862BD"/>
    <w:rsid w:val="00786340"/>
    <w:rsid w:val="00786A81"/>
    <w:rsid w:val="00787577"/>
    <w:rsid w:val="00787C58"/>
    <w:rsid w:val="00790371"/>
    <w:rsid w:val="0079122D"/>
    <w:rsid w:val="00792332"/>
    <w:rsid w:val="00792D9F"/>
    <w:rsid w:val="00792F6C"/>
    <w:rsid w:val="0079316E"/>
    <w:rsid w:val="00793ED5"/>
    <w:rsid w:val="00794B3C"/>
    <w:rsid w:val="00794B9D"/>
    <w:rsid w:val="00797225"/>
    <w:rsid w:val="007974E9"/>
    <w:rsid w:val="00797AFA"/>
    <w:rsid w:val="00797B47"/>
    <w:rsid w:val="007A069F"/>
    <w:rsid w:val="007A079E"/>
    <w:rsid w:val="007A0921"/>
    <w:rsid w:val="007A13C4"/>
    <w:rsid w:val="007A1D94"/>
    <w:rsid w:val="007A2148"/>
    <w:rsid w:val="007A25FA"/>
    <w:rsid w:val="007A2D9D"/>
    <w:rsid w:val="007A389B"/>
    <w:rsid w:val="007A3B04"/>
    <w:rsid w:val="007A3E2F"/>
    <w:rsid w:val="007A4BE1"/>
    <w:rsid w:val="007A5C4F"/>
    <w:rsid w:val="007A641D"/>
    <w:rsid w:val="007A69F5"/>
    <w:rsid w:val="007A72AA"/>
    <w:rsid w:val="007A7619"/>
    <w:rsid w:val="007A7D85"/>
    <w:rsid w:val="007B0AE4"/>
    <w:rsid w:val="007B0D35"/>
    <w:rsid w:val="007B0EB8"/>
    <w:rsid w:val="007B15B0"/>
    <w:rsid w:val="007B1C11"/>
    <w:rsid w:val="007B1F39"/>
    <w:rsid w:val="007B2D92"/>
    <w:rsid w:val="007B3201"/>
    <w:rsid w:val="007B36F5"/>
    <w:rsid w:val="007B44D6"/>
    <w:rsid w:val="007B4B1C"/>
    <w:rsid w:val="007B51A3"/>
    <w:rsid w:val="007B528D"/>
    <w:rsid w:val="007B659A"/>
    <w:rsid w:val="007B66DC"/>
    <w:rsid w:val="007B6C6A"/>
    <w:rsid w:val="007B757E"/>
    <w:rsid w:val="007B79C5"/>
    <w:rsid w:val="007C01E1"/>
    <w:rsid w:val="007C054D"/>
    <w:rsid w:val="007C0698"/>
    <w:rsid w:val="007C0FEA"/>
    <w:rsid w:val="007C13E2"/>
    <w:rsid w:val="007C1830"/>
    <w:rsid w:val="007C1E6E"/>
    <w:rsid w:val="007C2580"/>
    <w:rsid w:val="007C2D32"/>
    <w:rsid w:val="007C2E74"/>
    <w:rsid w:val="007C3691"/>
    <w:rsid w:val="007C3773"/>
    <w:rsid w:val="007C42B2"/>
    <w:rsid w:val="007C48E9"/>
    <w:rsid w:val="007C4A61"/>
    <w:rsid w:val="007C4DB4"/>
    <w:rsid w:val="007C4E1A"/>
    <w:rsid w:val="007C522E"/>
    <w:rsid w:val="007C52DE"/>
    <w:rsid w:val="007C56B4"/>
    <w:rsid w:val="007C575E"/>
    <w:rsid w:val="007C653D"/>
    <w:rsid w:val="007C68DE"/>
    <w:rsid w:val="007C7722"/>
    <w:rsid w:val="007C79D2"/>
    <w:rsid w:val="007C7ABC"/>
    <w:rsid w:val="007D03B6"/>
    <w:rsid w:val="007D04EB"/>
    <w:rsid w:val="007D0595"/>
    <w:rsid w:val="007D08CA"/>
    <w:rsid w:val="007D14FB"/>
    <w:rsid w:val="007D21C5"/>
    <w:rsid w:val="007D29CF"/>
    <w:rsid w:val="007D33E3"/>
    <w:rsid w:val="007D3909"/>
    <w:rsid w:val="007D3FAB"/>
    <w:rsid w:val="007D472B"/>
    <w:rsid w:val="007D4C8F"/>
    <w:rsid w:val="007D4D7F"/>
    <w:rsid w:val="007D605C"/>
    <w:rsid w:val="007D65AF"/>
    <w:rsid w:val="007D6C3D"/>
    <w:rsid w:val="007D6D86"/>
    <w:rsid w:val="007D746F"/>
    <w:rsid w:val="007D7C23"/>
    <w:rsid w:val="007E0199"/>
    <w:rsid w:val="007E0C52"/>
    <w:rsid w:val="007E10BC"/>
    <w:rsid w:val="007E1434"/>
    <w:rsid w:val="007E192F"/>
    <w:rsid w:val="007E30F5"/>
    <w:rsid w:val="007E3BAD"/>
    <w:rsid w:val="007E433F"/>
    <w:rsid w:val="007E5139"/>
    <w:rsid w:val="007E66F4"/>
    <w:rsid w:val="007E671F"/>
    <w:rsid w:val="007E7D36"/>
    <w:rsid w:val="007F0555"/>
    <w:rsid w:val="007F0D4D"/>
    <w:rsid w:val="007F107F"/>
    <w:rsid w:val="007F165E"/>
    <w:rsid w:val="007F194E"/>
    <w:rsid w:val="007F24DF"/>
    <w:rsid w:val="007F3BB3"/>
    <w:rsid w:val="007F3F19"/>
    <w:rsid w:val="007F4A20"/>
    <w:rsid w:val="007F589D"/>
    <w:rsid w:val="007F5AFD"/>
    <w:rsid w:val="007F5C59"/>
    <w:rsid w:val="007F636C"/>
    <w:rsid w:val="007F72E3"/>
    <w:rsid w:val="00800234"/>
    <w:rsid w:val="008005EA"/>
    <w:rsid w:val="008006A2"/>
    <w:rsid w:val="00800B78"/>
    <w:rsid w:val="00801F11"/>
    <w:rsid w:val="00801FCD"/>
    <w:rsid w:val="00802241"/>
    <w:rsid w:val="008026DE"/>
    <w:rsid w:val="00802D64"/>
    <w:rsid w:val="00803E2E"/>
    <w:rsid w:val="008041D8"/>
    <w:rsid w:val="00806205"/>
    <w:rsid w:val="008065C9"/>
    <w:rsid w:val="008065DD"/>
    <w:rsid w:val="008068E7"/>
    <w:rsid w:val="00807280"/>
    <w:rsid w:val="008072E1"/>
    <w:rsid w:val="00807A3C"/>
    <w:rsid w:val="00807AD1"/>
    <w:rsid w:val="008106F5"/>
    <w:rsid w:val="00811FEB"/>
    <w:rsid w:val="008125C3"/>
    <w:rsid w:val="008132FF"/>
    <w:rsid w:val="0081345D"/>
    <w:rsid w:val="0081350D"/>
    <w:rsid w:val="008141DC"/>
    <w:rsid w:val="008143B0"/>
    <w:rsid w:val="00814830"/>
    <w:rsid w:val="00814AB6"/>
    <w:rsid w:val="00816AE5"/>
    <w:rsid w:val="00817467"/>
    <w:rsid w:val="00817D38"/>
    <w:rsid w:val="00817ED4"/>
    <w:rsid w:val="0082077E"/>
    <w:rsid w:val="00821302"/>
    <w:rsid w:val="00822316"/>
    <w:rsid w:val="00822513"/>
    <w:rsid w:val="00822625"/>
    <w:rsid w:val="0082329A"/>
    <w:rsid w:val="0082397F"/>
    <w:rsid w:val="00823AB8"/>
    <w:rsid w:val="00824530"/>
    <w:rsid w:val="00824C17"/>
    <w:rsid w:val="0082560D"/>
    <w:rsid w:val="008263EB"/>
    <w:rsid w:val="0082788C"/>
    <w:rsid w:val="00827936"/>
    <w:rsid w:val="00827ED1"/>
    <w:rsid w:val="008303DE"/>
    <w:rsid w:val="00830DE1"/>
    <w:rsid w:val="00830EE3"/>
    <w:rsid w:val="0083179E"/>
    <w:rsid w:val="00831A08"/>
    <w:rsid w:val="00832612"/>
    <w:rsid w:val="008328E3"/>
    <w:rsid w:val="00833C5C"/>
    <w:rsid w:val="00833D61"/>
    <w:rsid w:val="00834947"/>
    <w:rsid w:val="00835030"/>
    <w:rsid w:val="0083532C"/>
    <w:rsid w:val="00835703"/>
    <w:rsid w:val="0083626F"/>
    <w:rsid w:val="00836303"/>
    <w:rsid w:val="00836A76"/>
    <w:rsid w:val="00837709"/>
    <w:rsid w:val="0083797A"/>
    <w:rsid w:val="008402C2"/>
    <w:rsid w:val="00840F2B"/>
    <w:rsid w:val="008421A1"/>
    <w:rsid w:val="008427F3"/>
    <w:rsid w:val="00843042"/>
    <w:rsid w:val="00843100"/>
    <w:rsid w:val="0084316F"/>
    <w:rsid w:val="008436F1"/>
    <w:rsid w:val="00843B78"/>
    <w:rsid w:val="00844124"/>
    <w:rsid w:val="008445C9"/>
    <w:rsid w:val="00844E53"/>
    <w:rsid w:val="00844F52"/>
    <w:rsid w:val="00845BF1"/>
    <w:rsid w:val="008463ED"/>
    <w:rsid w:val="0084693A"/>
    <w:rsid w:val="00846BE9"/>
    <w:rsid w:val="00847C6A"/>
    <w:rsid w:val="008500BF"/>
    <w:rsid w:val="008505E4"/>
    <w:rsid w:val="00850919"/>
    <w:rsid w:val="008518B2"/>
    <w:rsid w:val="008518BB"/>
    <w:rsid w:val="00852084"/>
    <w:rsid w:val="00852A33"/>
    <w:rsid w:val="00853CA2"/>
    <w:rsid w:val="008553F1"/>
    <w:rsid w:val="008557C4"/>
    <w:rsid w:val="00855C28"/>
    <w:rsid w:val="00855C34"/>
    <w:rsid w:val="00856239"/>
    <w:rsid w:val="00856887"/>
    <w:rsid w:val="00856D18"/>
    <w:rsid w:val="00857078"/>
    <w:rsid w:val="008575C6"/>
    <w:rsid w:val="008575D2"/>
    <w:rsid w:val="008578C9"/>
    <w:rsid w:val="00857B50"/>
    <w:rsid w:val="00857C4A"/>
    <w:rsid w:val="00857C71"/>
    <w:rsid w:val="008603F6"/>
    <w:rsid w:val="008610AD"/>
    <w:rsid w:val="00861B7D"/>
    <w:rsid w:val="00862EE2"/>
    <w:rsid w:val="00862FF2"/>
    <w:rsid w:val="00864008"/>
    <w:rsid w:val="00864202"/>
    <w:rsid w:val="00864A97"/>
    <w:rsid w:val="0086582D"/>
    <w:rsid w:val="0086585C"/>
    <w:rsid w:val="008658EC"/>
    <w:rsid w:val="00865B40"/>
    <w:rsid w:val="00865FA2"/>
    <w:rsid w:val="00866106"/>
    <w:rsid w:val="00866A1C"/>
    <w:rsid w:val="008705B3"/>
    <w:rsid w:val="00870744"/>
    <w:rsid w:val="008724D5"/>
    <w:rsid w:val="00874ED4"/>
    <w:rsid w:val="00875209"/>
    <w:rsid w:val="00875666"/>
    <w:rsid w:val="0087577A"/>
    <w:rsid w:val="00875F4D"/>
    <w:rsid w:val="00875F8B"/>
    <w:rsid w:val="008765EA"/>
    <w:rsid w:val="00877598"/>
    <w:rsid w:val="0088000D"/>
    <w:rsid w:val="008809BB"/>
    <w:rsid w:val="00880C9B"/>
    <w:rsid w:val="00880D97"/>
    <w:rsid w:val="00882786"/>
    <w:rsid w:val="00882C65"/>
    <w:rsid w:val="0088350E"/>
    <w:rsid w:val="00883623"/>
    <w:rsid w:val="00883720"/>
    <w:rsid w:val="00883D41"/>
    <w:rsid w:val="008842CA"/>
    <w:rsid w:val="00884C31"/>
    <w:rsid w:val="00884CD6"/>
    <w:rsid w:val="0088530B"/>
    <w:rsid w:val="00885684"/>
    <w:rsid w:val="00885892"/>
    <w:rsid w:val="00886158"/>
    <w:rsid w:val="008861D9"/>
    <w:rsid w:val="008866D5"/>
    <w:rsid w:val="0088670C"/>
    <w:rsid w:val="008872A3"/>
    <w:rsid w:val="00890831"/>
    <w:rsid w:val="00890E89"/>
    <w:rsid w:val="008913F5"/>
    <w:rsid w:val="00891B6A"/>
    <w:rsid w:val="00891FC5"/>
    <w:rsid w:val="008929B8"/>
    <w:rsid w:val="00892FFD"/>
    <w:rsid w:val="008930EA"/>
    <w:rsid w:val="00893316"/>
    <w:rsid w:val="00893356"/>
    <w:rsid w:val="00893C48"/>
    <w:rsid w:val="008945C9"/>
    <w:rsid w:val="008947DE"/>
    <w:rsid w:val="0089590A"/>
    <w:rsid w:val="00895C21"/>
    <w:rsid w:val="00896CB9"/>
    <w:rsid w:val="008975F3"/>
    <w:rsid w:val="00897F19"/>
    <w:rsid w:val="008A04C4"/>
    <w:rsid w:val="008A162A"/>
    <w:rsid w:val="008A22DE"/>
    <w:rsid w:val="008A23B1"/>
    <w:rsid w:val="008A349D"/>
    <w:rsid w:val="008A4075"/>
    <w:rsid w:val="008A4B91"/>
    <w:rsid w:val="008A56A4"/>
    <w:rsid w:val="008A5C60"/>
    <w:rsid w:val="008A61BA"/>
    <w:rsid w:val="008A6D37"/>
    <w:rsid w:val="008A6F07"/>
    <w:rsid w:val="008A70B1"/>
    <w:rsid w:val="008A7294"/>
    <w:rsid w:val="008A73DD"/>
    <w:rsid w:val="008A7536"/>
    <w:rsid w:val="008A76A0"/>
    <w:rsid w:val="008A7993"/>
    <w:rsid w:val="008A7FFA"/>
    <w:rsid w:val="008B0BF1"/>
    <w:rsid w:val="008B0C8F"/>
    <w:rsid w:val="008B0FF9"/>
    <w:rsid w:val="008B1807"/>
    <w:rsid w:val="008B2146"/>
    <w:rsid w:val="008B4A0E"/>
    <w:rsid w:val="008B59A9"/>
    <w:rsid w:val="008B6928"/>
    <w:rsid w:val="008B6B9C"/>
    <w:rsid w:val="008B6CB5"/>
    <w:rsid w:val="008B713E"/>
    <w:rsid w:val="008B7903"/>
    <w:rsid w:val="008B7EE2"/>
    <w:rsid w:val="008C0B65"/>
    <w:rsid w:val="008C13E1"/>
    <w:rsid w:val="008C16DE"/>
    <w:rsid w:val="008C1C6F"/>
    <w:rsid w:val="008C1FBF"/>
    <w:rsid w:val="008C2935"/>
    <w:rsid w:val="008C2BF6"/>
    <w:rsid w:val="008C2D82"/>
    <w:rsid w:val="008C30B5"/>
    <w:rsid w:val="008C3569"/>
    <w:rsid w:val="008C3EB5"/>
    <w:rsid w:val="008C4B74"/>
    <w:rsid w:val="008C6706"/>
    <w:rsid w:val="008D0B23"/>
    <w:rsid w:val="008D1220"/>
    <w:rsid w:val="008D1C54"/>
    <w:rsid w:val="008D35E3"/>
    <w:rsid w:val="008D3EDF"/>
    <w:rsid w:val="008D547A"/>
    <w:rsid w:val="008D61D9"/>
    <w:rsid w:val="008D64EA"/>
    <w:rsid w:val="008D6D61"/>
    <w:rsid w:val="008D7843"/>
    <w:rsid w:val="008E0D3E"/>
    <w:rsid w:val="008E0E99"/>
    <w:rsid w:val="008E16B0"/>
    <w:rsid w:val="008E1D5F"/>
    <w:rsid w:val="008E1E5C"/>
    <w:rsid w:val="008E25DA"/>
    <w:rsid w:val="008E278D"/>
    <w:rsid w:val="008E40AD"/>
    <w:rsid w:val="008E4253"/>
    <w:rsid w:val="008E43FF"/>
    <w:rsid w:val="008E4978"/>
    <w:rsid w:val="008E5BB3"/>
    <w:rsid w:val="008E610D"/>
    <w:rsid w:val="008E681F"/>
    <w:rsid w:val="008E6C20"/>
    <w:rsid w:val="008E7109"/>
    <w:rsid w:val="008E73D0"/>
    <w:rsid w:val="008E7681"/>
    <w:rsid w:val="008E7BF6"/>
    <w:rsid w:val="008E7F83"/>
    <w:rsid w:val="008F0D7B"/>
    <w:rsid w:val="008F0F49"/>
    <w:rsid w:val="008F1479"/>
    <w:rsid w:val="008F1487"/>
    <w:rsid w:val="008F26BA"/>
    <w:rsid w:val="008F2B08"/>
    <w:rsid w:val="008F2CF6"/>
    <w:rsid w:val="008F3875"/>
    <w:rsid w:val="008F3E3C"/>
    <w:rsid w:val="008F442E"/>
    <w:rsid w:val="008F45AA"/>
    <w:rsid w:val="008F4E3F"/>
    <w:rsid w:val="008F50FD"/>
    <w:rsid w:val="008F6BC3"/>
    <w:rsid w:val="008F6CDA"/>
    <w:rsid w:val="008F7505"/>
    <w:rsid w:val="00901059"/>
    <w:rsid w:val="009023A0"/>
    <w:rsid w:val="00902DEB"/>
    <w:rsid w:val="00902F5F"/>
    <w:rsid w:val="009036A7"/>
    <w:rsid w:val="00903BA6"/>
    <w:rsid w:val="00903D10"/>
    <w:rsid w:val="00904259"/>
    <w:rsid w:val="0090442B"/>
    <w:rsid w:val="009044F9"/>
    <w:rsid w:val="0090598F"/>
    <w:rsid w:val="00905B73"/>
    <w:rsid w:val="00905D21"/>
    <w:rsid w:val="00906627"/>
    <w:rsid w:val="0090666A"/>
    <w:rsid w:val="00907C08"/>
    <w:rsid w:val="00907E25"/>
    <w:rsid w:val="00910173"/>
    <w:rsid w:val="009105E4"/>
    <w:rsid w:val="009106F1"/>
    <w:rsid w:val="00910A95"/>
    <w:rsid w:val="00910AD7"/>
    <w:rsid w:val="00911D48"/>
    <w:rsid w:val="009126AA"/>
    <w:rsid w:val="00912745"/>
    <w:rsid w:val="00913FD6"/>
    <w:rsid w:val="009144C4"/>
    <w:rsid w:val="00916398"/>
    <w:rsid w:val="009163C4"/>
    <w:rsid w:val="0091661C"/>
    <w:rsid w:val="00916ABB"/>
    <w:rsid w:val="00917894"/>
    <w:rsid w:val="009201BF"/>
    <w:rsid w:val="00921884"/>
    <w:rsid w:val="00921949"/>
    <w:rsid w:val="00921C32"/>
    <w:rsid w:val="009229DE"/>
    <w:rsid w:val="00922CF6"/>
    <w:rsid w:val="00923104"/>
    <w:rsid w:val="0092335D"/>
    <w:rsid w:val="00923E54"/>
    <w:rsid w:val="00923FA0"/>
    <w:rsid w:val="009248C7"/>
    <w:rsid w:val="00924B15"/>
    <w:rsid w:val="0092565E"/>
    <w:rsid w:val="00925B6C"/>
    <w:rsid w:val="00925BCB"/>
    <w:rsid w:val="00925D9E"/>
    <w:rsid w:val="009266BB"/>
    <w:rsid w:val="009268F7"/>
    <w:rsid w:val="00926B3A"/>
    <w:rsid w:val="00927C3B"/>
    <w:rsid w:val="00927D57"/>
    <w:rsid w:val="0093041B"/>
    <w:rsid w:val="009308F3"/>
    <w:rsid w:val="00930B25"/>
    <w:rsid w:val="009317E3"/>
    <w:rsid w:val="00932CBE"/>
    <w:rsid w:val="009331DF"/>
    <w:rsid w:val="009334AE"/>
    <w:rsid w:val="00933B12"/>
    <w:rsid w:val="00934999"/>
    <w:rsid w:val="00936AB1"/>
    <w:rsid w:val="00936D18"/>
    <w:rsid w:val="00936FD4"/>
    <w:rsid w:val="00937038"/>
    <w:rsid w:val="00937A96"/>
    <w:rsid w:val="00940E2D"/>
    <w:rsid w:val="0094124B"/>
    <w:rsid w:val="00941617"/>
    <w:rsid w:val="00942EC0"/>
    <w:rsid w:val="0094304D"/>
    <w:rsid w:val="009432AF"/>
    <w:rsid w:val="0094330B"/>
    <w:rsid w:val="0094375D"/>
    <w:rsid w:val="00943CB8"/>
    <w:rsid w:val="00945378"/>
    <w:rsid w:val="00947070"/>
    <w:rsid w:val="00947357"/>
    <w:rsid w:val="00947A0B"/>
    <w:rsid w:val="00950633"/>
    <w:rsid w:val="009508C7"/>
    <w:rsid w:val="00950C19"/>
    <w:rsid w:val="00950CA1"/>
    <w:rsid w:val="00950D14"/>
    <w:rsid w:val="00950EFE"/>
    <w:rsid w:val="00951181"/>
    <w:rsid w:val="009513EE"/>
    <w:rsid w:val="00951649"/>
    <w:rsid w:val="00951933"/>
    <w:rsid w:val="00951C7B"/>
    <w:rsid w:val="00952251"/>
    <w:rsid w:val="00952343"/>
    <w:rsid w:val="0095237D"/>
    <w:rsid w:val="00953EE1"/>
    <w:rsid w:val="009540DD"/>
    <w:rsid w:val="009546E6"/>
    <w:rsid w:val="0095547A"/>
    <w:rsid w:val="00955CC2"/>
    <w:rsid w:val="00955F05"/>
    <w:rsid w:val="00956A80"/>
    <w:rsid w:val="009601CD"/>
    <w:rsid w:val="009605BA"/>
    <w:rsid w:val="009609C8"/>
    <w:rsid w:val="009613AC"/>
    <w:rsid w:val="00961838"/>
    <w:rsid w:val="00961C24"/>
    <w:rsid w:val="00962D35"/>
    <w:rsid w:val="00962D70"/>
    <w:rsid w:val="009630E7"/>
    <w:rsid w:val="00963C22"/>
    <w:rsid w:val="00964BE7"/>
    <w:rsid w:val="00965B0E"/>
    <w:rsid w:val="00965E4E"/>
    <w:rsid w:val="0096630F"/>
    <w:rsid w:val="0096719F"/>
    <w:rsid w:val="009673BA"/>
    <w:rsid w:val="009677C4"/>
    <w:rsid w:val="00967D6A"/>
    <w:rsid w:val="00970161"/>
    <w:rsid w:val="00970444"/>
    <w:rsid w:val="00970BFB"/>
    <w:rsid w:val="009711B7"/>
    <w:rsid w:val="0097165C"/>
    <w:rsid w:val="00971A9E"/>
    <w:rsid w:val="00971E61"/>
    <w:rsid w:val="009726E4"/>
    <w:rsid w:val="00972BCE"/>
    <w:rsid w:val="00973907"/>
    <w:rsid w:val="00973E75"/>
    <w:rsid w:val="00974501"/>
    <w:rsid w:val="00974E15"/>
    <w:rsid w:val="0097543D"/>
    <w:rsid w:val="0097547B"/>
    <w:rsid w:val="00977069"/>
    <w:rsid w:val="00977B3E"/>
    <w:rsid w:val="00977BF6"/>
    <w:rsid w:val="00980620"/>
    <w:rsid w:val="00980662"/>
    <w:rsid w:val="00981B00"/>
    <w:rsid w:val="00982CA4"/>
    <w:rsid w:val="009839DE"/>
    <w:rsid w:val="0098432F"/>
    <w:rsid w:val="0098704E"/>
    <w:rsid w:val="00987921"/>
    <w:rsid w:val="0099053C"/>
    <w:rsid w:val="00990677"/>
    <w:rsid w:val="00991237"/>
    <w:rsid w:val="00991F04"/>
    <w:rsid w:val="00992564"/>
    <w:rsid w:val="00992DA9"/>
    <w:rsid w:val="00993A7A"/>
    <w:rsid w:val="00993AAB"/>
    <w:rsid w:val="00994112"/>
    <w:rsid w:val="00994232"/>
    <w:rsid w:val="00994295"/>
    <w:rsid w:val="009947FE"/>
    <w:rsid w:val="0099498D"/>
    <w:rsid w:val="0099499E"/>
    <w:rsid w:val="00995D42"/>
    <w:rsid w:val="00995FBF"/>
    <w:rsid w:val="009A2C58"/>
    <w:rsid w:val="009A2FB0"/>
    <w:rsid w:val="009A2FF5"/>
    <w:rsid w:val="009A4979"/>
    <w:rsid w:val="009A4C6B"/>
    <w:rsid w:val="009A4F04"/>
    <w:rsid w:val="009A557B"/>
    <w:rsid w:val="009A568F"/>
    <w:rsid w:val="009A5F4C"/>
    <w:rsid w:val="009A6378"/>
    <w:rsid w:val="009A7447"/>
    <w:rsid w:val="009A7E0E"/>
    <w:rsid w:val="009B0784"/>
    <w:rsid w:val="009B1452"/>
    <w:rsid w:val="009B2430"/>
    <w:rsid w:val="009B28E5"/>
    <w:rsid w:val="009B2B2E"/>
    <w:rsid w:val="009B336C"/>
    <w:rsid w:val="009B4009"/>
    <w:rsid w:val="009B44CE"/>
    <w:rsid w:val="009B4B39"/>
    <w:rsid w:val="009B5959"/>
    <w:rsid w:val="009B5C6E"/>
    <w:rsid w:val="009B5E30"/>
    <w:rsid w:val="009B6370"/>
    <w:rsid w:val="009B6C90"/>
    <w:rsid w:val="009B7937"/>
    <w:rsid w:val="009B7B33"/>
    <w:rsid w:val="009C0E82"/>
    <w:rsid w:val="009C0FB1"/>
    <w:rsid w:val="009C112D"/>
    <w:rsid w:val="009C1426"/>
    <w:rsid w:val="009C24C9"/>
    <w:rsid w:val="009C2F14"/>
    <w:rsid w:val="009C2FBD"/>
    <w:rsid w:val="009C3202"/>
    <w:rsid w:val="009C362F"/>
    <w:rsid w:val="009C396B"/>
    <w:rsid w:val="009C3B95"/>
    <w:rsid w:val="009C3FC3"/>
    <w:rsid w:val="009C3FEF"/>
    <w:rsid w:val="009C433F"/>
    <w:rsid w:val="009C5EEE"/>
    <w:rsid w:val="009C63DC"/>
    <w:rsid w:val="009C72B2"/>
    <w:rsid w:val="009C736D"/>
    <w:rsid w:val="009C75F6"/>
    <w:rsid w:val="009C7CBD"/>
    <w:rsid w:val="009C7DEB"/>
    <w:rsid w:val="009D0F36"/>
    <w:rsid w:val="009D1132"/>
    <w:rsid w:val="009D1C55"/>
    <w:rsid w:val="009D25FB"/>
    <w:rsid w:val="009D28AD"/>
    <w:rsid w:val="009D2E2F"/>
    <w:rsid w:val="009D3061"/>
    <w:rsid w:val="009D35DF"/>
    <w:rsid w:val="009D4182"/>
    <w:rsid w:val="009D4219"/>
    <w:rsid w:val="009D4398"/>
    <w:rsid w:val="009D4D72"/>
    <w:rsid w:val="009D5631"/>
    <w:rsid w:val="009D6219"/>
    <w:rsid w:val="009D6801"/>
    <w:rsid w:val="009D7EFF"/>
    <w:rsid w:val="009D7FF1"/>
    <w:rsid w:val="009E1078"/>
    <w:rsid w:val="009E163D"/>
    <w:rsid w:val="009E1EAE"/>
    <w:rsid w:val="009E1FA8"/>
    <w:rsid w:val="009E27DC"/>
    <w:rsid w:val="009E36E7"/>
    <w:rsid w:val="009E38C0"/>
    <w:rsid w:val="009E4213"/>
    <w:rsid w:val="009E4CCF"/>
    <w:rsid w:val="009E4E3A"/>
    <w:rsid w:val="009E5008"/>
    <w:rsid w:val="009E78CA"/>
    <w:rsid w:val="009F0379"/>
    <w:rsid w:val="009F07AD"/>
    <w:rsid w:val="009F0966"/>
    <w:rsid w:val="009F0ED3"/>
    <w:rsid w:val="009F0F36"/>
    <w:rsid w:val="009F1070"/>
    <w:rsid w:val="009F1786"/>
    <w:rsid w:val="009F190D"/>
    <w:rsid w:val="009F22BE"/>
    <w:rsid w:val="009F376C"/>
    <w:rsid w:val="009F53DC"/>
    <w:rsid w:val="009F566A"/>
    <w:rsid w:val="009F58B8"/>
    <w:rsid w:val="009F5A22"/>
    <w:rsid w:val="009F5B98"/>
    <w:rsid w:val="009F6792"/>
    <w:rsid w:val="009F7799"/>
    <w:rsid w:val="009F7A5B"/>
    <w:rsid w:val="009F7D21"/>
    <w:rsid w:val="00A01537"/>
    <w:rsid w:val="00A016B1"/>
    <w:rsid w:val="00A01746"/>
    <w:rsid w:val="00A03683"/>
    <w:rsid w:val="00A03E7D"/>
    <w:rsid w:val="00A03FCF"/>
    <w:rsid w:val="00A0498A"/>
    <w:rsid w:val="00A04E18"/>
    <w:rsid w:val="00A05386"/>
    <w:rsid w:val="00A066BB"/>
    <w:rsid w:val="00A106CC"/>
    <w:rsid w:val="00A107EB"/>
    <w:rsid w:val="00A10909"/>
    <w:rsid w:val="00A11034"/>
    <w:rsid w:val="00A12240"/>
    <w:rsid w:val="00A122F2"/>
    <w:rsid w:val="00A1262B"/>
    <w:rsid w:val="00A13DAA"/>
    <w:rsid w:val="00A14B5C"/>
    <w:rsid w:val="00A14DB8"/>
    <w:rsid w:val="00A150C1"/>
    <w:rsid w:val="00A1577F"/>
    <w:rsid w:val="00A16513"/>
    <w:rsid w:val="00A16613"/>
    <w:rsid w:val="00A171F8"/>
    <w:rsid w:val="00A1749E"/>
    <w:rsid w:val="00A178D3"/>
    <w:rsid w:val="00A17BBF"/>
    <w:rsid w:val="00A2054A"/>
    <w:rsid w:val="00A21F23"/>
    <w:rsid w:val="00A2217E"/>
    <w:rsid w:val="00A229FE"/>
    <w:rsid w:val="00A23A75"/>
    <w:rsid w:val="00A2435C"/>
    <w:rsid w:val="00A24C8F"/>
    <w:rsid w:val="00A24F64"/>
    <w:rsid w:val="00A25D4F"/>
    <w:rsid w:val="00A263FA"/>
    <w:rsid w:val="00A27C6C"/>
    <w:rsid w:val="00A27F19"/>
    <w:rsid w:val="00A27F29"/>
    <w:rsid w:val="00A31972"/>
    <w:rsid w:val="00A32002"/>
    <w:rsid w:val="00A32301"/>
    <w:rsid w:val="00A32336"/>
    <w:rsid w:val="00A328AC"/>
    <w:rsid w:val="00A32926"/>
    <w:rsid w:val="00A32C18"/>
    <w:rsid w:val="00A33D5A"/>
    <w:rsid w:val="00A3425A"/>
    <w:rsid w:val="00A347FC"/>
    <w:rsid w:val="00A35136"/>
    <w:rsid w:val="00A351E4"/>
    <w:rsid w:val="00A35AAC"/>
    <w:rsid w:val="00A364C3"/>
    <w:rsid w:val="00A36CDB"/>
    <w:rsid w:val="00A36DBA"/>
    <w:rsid w:val="00A37C57"/>
    <w:rsid w:val="00A37EFF"/>
    <w:rsid w:val="00A37FAF"/>
    <w:rsid w:val="00A40E63"/>
    <w:rsid w:val="00A42050"/>
    <w:rsid w:val="00A43249"/>
    <w:rsid w:val="00A4366B"/>
    <w:rsid w:val="00A44330"/>
    <w:rsid w:val="00A44378"/>
    <w:rsid w:val="00A44592"/>
    <w:rsid w:val="00A44DEC"/>
    <w:rsid w:val="00A45607"/>
    <w:rsid w:val="00A46023"/>
    <w:rsid w:val="00A4616C"/>
    <w:rsid w:val="00A46D68"/>
    <w:rsid w:val="00A46E75"/>
    <w:rsid w:val="00A470F3"/>
    <w:rsid w:val="00A4714B"/>
    <w:rsid w:val="00A500FA"/>
    <w:rsid w:val="00A5051F"/>
    <w:rsid w:val="00A5064E"/>
    <w:rsid w:val="00A51DF2"/>
    <w:rsid w:val="00A52849"/>
    <w:rsid w:val="00A52F47"/>
    <w:rsid w:val="00A5300A"/>
    <w:rsid w:val="00A5360A"/>
    <w:rsid w:val="00A53B52"/>
    <w:rsid w:val="00A53CE3"/>
    <w:rsid w:val="00A557EC"/>
    <w:rsid w:val="00A55D4C"/>
    <w:rsid w:val="00A569DD"/>
    <w:rsid w:val="00A56DFE"/>
    <w:rsid w:val="00A57370"/>
    <w:rsid w:val="00A57DF3"/>
    <w:rsid w:val="00A60A11"/>
    <w:rsid w:val="00A61B58"/>
    <w:rsid w:val="00A61E61"/>
    <w:rsid w:val="00A624B4"/>
    <w:rsid w:val="00A63600"/>
    <w:rsid w:val="00A63BA8"/>
    <w:rsid w:val="00A6448A"/>
    <w:rsid w:val="00A6590A"/>
    <w:rsid w:val="00A660CD"/>
    <w:rsid w:val="00A704CC"/>
    <w:rsid w:val="00A70EF4"/>
    <w:rsid w:val="00A71456"/>
    <w:rsid w:val="00A715C2"/>
    <w:rsid w:val="00A73CEC"/>
    <w:rsid w:val="00A73D83"/>
    <w:rsid w:val="00A73F38"/>
    <w:rsid w:val="00A747CE"/>
    <w:rsid w:val="00A747D2"/>
    <w:rsid w:val="00A74AB4"/>
    <w:rsid w:val="00A7538C"/>
    <w:rsid w:val="00A769EA"/>
    <w:rsid w:val="00A76D8F"/>
    <w:rsid w:val="00A77171"/>
    <w:rsid w:val="00A805CE"/>
    <w:rsid w:val="00A80B57"/>
    <w:rsid w:val="00A816B2"/>
    <w:rsid w:val="00A8269F"/>
    <w:rsid w:val="00A8295B"/>
    <w:rsid w:val="00A8307A"/>
    <w:rsid w:val="00A83116"/>
    <w:rsid w:val="00A832F0"/>
    <w:rsid w:val="00A83472"/>
    <w:rsid w:val="00A837FA"/>
    <w:rsid w:val="00A83AAF"/>
    <w:rsid w:val="00A8546E"/>
    <w:rsid w:val="00A85B6B"/>
    <w:rsid w:val="00A8634B"/>
    <w:rsid w:val="00A86662"/>
    <w:rsid w:val="00A868C3"/>
    <w:rsid w:val="00A86EB9"/>
    <w:rsid w:val="00A87B67"/>
    <w:rsid w:val="00A87F23"/>
    <w:rsid w:val="00A90CE9"/>
    <w:rsid w:val="00A91E00"/>
    <w:rsid w:val="00A91F8B"/>
    <w:rsid w:val="00A921E9"/>
    <w:rsid w:val="00A92A31"/>
    <w:rsid w:val="00A92E81"/>
    <w:rsid w:val="00A93D9B"/>
    <w:rsid w:val="00A94087"/>
    <w:rsid w:val="00A94D7E"/>
    <w:rsid w:val="00A9508A"/>
    <w:rsid w:val="00A9577A"/>
    <w:rsid w:val="00A95897"/>
    <w:rsid w:val="00A95FEE"/>
    <w:rsid w:val="00A96567"/>
    <w:rsid w:val="00A96AF7"/>
    <w:rsid w:val="00A97F70"/>
    <w:rsid w:val="00A97FE9"/>
    <w:rsid w:val="00AA056F"/>
    <w:rsid w:val="00AA0ACB"/>
    <w:rsid w:val="00AA0C37"/>
    <w:rsid w:val="00AA1249"/>
    <w:rsid w:val="00AA1733"/>
    <w:rsid w:val="00AA17F5"/>
    <w:rsid w:val="00AA1C76"/>
    <w:rsid w:val="00AA25C3"/>
    <w:rsid w:val="00AA2767"/>
    <w:rsid w:val="00AA2A81"/>
    <w:rsid w:val="00AA3188"/>
    <w:rsid w:val="00AA39D7"/>
    <w:rsid w:val="00AA3DD3"/>
    <w:rsid w:val="00AA3F7B"/>
    <w:rsid w:val="00AA49CA"/>
    <w:rsid w:val="00AA53F3"/>
    <w:rsid w:val="00AA5471"/>
    <w:rsid w:val="00AA5D87"/>
    <w:rsid w:val="00AA5E91"/>
    <w:rsid w:val="00AA5EE0"/>
    <w:rsid w:val="00AA6C73"/>
    <w:rsid w:val="00AA702C"/>
    <w:rsid w:val="00AA7C6E"/>
    <w:rsid w:val="00AB0053"/>
    <w:rsid w:val="00AB03FE"/>
    <w:rsid w:val="00AB128E"/>
    <w:rsid w:val="00AB2565"/>
    <w:rsid w:val="00AB27ED"/>
    <w:rsid w:val="00AB2885"/>
    <w:rsid w:val="00AB2F72"/>
    <w:rsid w:val="00AB3A1F"/>
    <w:rsid w:val="00AB4654"/>
    <w:rsid w:val="00AB4D0E"/>
    <w:rsid w:val="00AB54BB"/>
    <w:rsid w:val="00AB55B5"/>
    <w:rsid w:val="00AB65F1"/>
    <w:rsid w:val="00AB6C23"/>
    <w:rsid w:val="00AB716F"/>
    <w:rsid w:val="00AB7272"/>
    <w:rsid w:val="00AB7452"/>
    <w:rsid w:val="00AC0779"/>
    <w:rsid w:val="00AC09A8"/>
    <w:rsid w:val="00AC0D97"/>
    <w:rsid w:val="00AC1485"/>
    <w:rsid w:val="00AC1516"/>
    <w:rsid w:val="00AC35B1"/>
    <w:rsid w:val="00AC3BB2"/>
    <w:rsid w:val="00AC455F"/>
    <w:rsid w:val="00AC47A0"/>
    <w:rsid w:val="00AC6273"/>
    <w:rsid w:val="00AC62BF"/>
    <w:rsid w:val="00AC66D3"/>
    <w:rsid w:val="00AC6E15"/>
    <w:rsid w:val="00AC6EAB"/>
    <w:rsid w:val="00AC6F67"/>
    <w:rsid w:val="00AC6FA8"/>
    <w:rsid w:val="00AC7693"/>
    <w:rsid w:val="00AC76F8"/>
    <w:rsid w:val="00AD11E5"/>
    <w:rsid w:val="00AD16A5"/>
    <w:rsid w:val="00AD1B36"/>
    <w:rsid w:val="00AD2602"/>
    <w:rsid w:val="00AD2FC4"/>
    <w:rsid w:val="00AD515B"/>
    <w:rsid w:val="00AD5870"/>
    <w:rsid w:val="00AD7A14"/>
    <w:rsid w:val="00AE0005"/>
    <w:rsid w:val="00AE0150"/>
    <w:rsid w:val="00AE0196"/>
    <w:rsid w:val="00AE04F1"/>
    <w:rsid w:val="00AE0B4E"/>
    <w:rsid w:val="00AE0CD1"/>
    <w:rsid w:val="00AE290E"/>
    <w:rsid w:val="00AE3EC7"/>
    <w:rsid w:val="00AE486A"/>
    <w:rsid w:val="00AE5564"/>
    <w:rsid w:val="00AE63D3"/>
    <w:rsid w:val="00AE7278"/>
    <w:rsid w:val="00AE735E"/>
    <w:rsid w:val="00AE7827"/>
    <w:rsid w:val="00AE7BEF"/>
    <w:rsid w:val="00AF0111"/>
    <w:rsid w:val="00AF0779"/>
    <w:rsid w:val="00AF0FAE"/>
    <w:rsid w:val="00AF1A82"/>
    <w:rsid w:val="00AF1D45"/>
    <w:rsid w:val="00AF2057"/>
    <w:rsid w:val="00AF2936"/>
    <w:rsid w:val="00AF4290"/>
    <w:rsid w:val="00AF46F7"/>
    <w:rsid w:val="00AF51A9"/>
    <w:rsid w:val="00AF5D18"/>
    <w:rsid w:val="00AF60A0"/>
    <w:rsid w:val="00AF6647"/>
    <w:rsid w:val="00AF6956"/>
    <w:rsid w:val="00AF6D6D"/>
    <w:rsid w:val="00AF6E8C"/>
    <w:rsid w:val="00AF7A4E"/>
    <w:rsid w:val="00B006D5"/>
    <w:rsid w:val="00B00A1D"/>
    <w:rsid w:val="00B01661"/>
    <w:rsid w:val="00B01741"/>
    <w:rsid w:val="00B018C7"/>
    <w:rsid w:val="00B021DF"/>
    <w:rsid w:val="00B03121"/>
    <w:rsid w:val="00B03523"/>
    <w:rsid w:val="00B03BAD"/>
    <w:rsid w:val="00B03F93"/>
    <w:rsid w:val="00B044AA"/>
    <w:rsid w:val="00B04DF4"/>
    <w:rsid w:val="00B05026"/>
    <w:rsid w:val="00B05ABA"/>
    <w:rsid w:val="00B05BF5"/>
    <w:rsid w:val="00B06014"/>
    <w:rsid w:val="00B06913"/>
    <w:rsid w:val="00B06A2A"/>
    <w:rsid w:val="00B072AA"/>
    <w:rsid w:val="00B0734C"/>
    <w:rsid w:val="00B07503"/>
    <w:rsid w:val="00B10067"/>
    <w:rsid w:val="00B100BA"/>
    <w:rsid w:val="00B109E3"/>
    <w:rsid w:val="00B109E5"/>
    <w:rsid w:val="00B114DB"/>
    <w:rsid w:val="00B11A86"/>
    <w:rsid w:val="00B12459"/>
    <w:rsid w:val="00B127C7"/>
    <w:rsid w:val="00B1419B"/>
    <w:rsid w:val="00B14679"/>
    <w:rsid w:val="00B1488C"/>
    <w:rsid w:val="00B155E7"/>
    <w:rsid w:val="00B15875"/>
    <w:rsid w:val="00B15F3A"/>
    <w:rsid w:val="00B1658F"/>
    <w:rsid w:val="00B17BA2"/>
    <w:rsid w:val="00B17E9A"/>
    <w:rsid w:val="00B20693"/>
    <w:rsid w:val="00B21AD5"/>
    <w:rsid w:val="00B21B61"/>
    <w:rsid w:val="00B21C3D"/>
    <w:rsid w:val="00B21DBF"/>
    <w:rsid w:val="00B22754"/>
    <w:rsid w:val="00B231B5"/>
    <w:rsid w:val="00B236D4"/>
    <w:rsid w:val="00B24095"/>
    <w:rsid w:val="00B24341"/>
    <w:rsid w:val="00B26179"/>
    <w:rsid w:val="00B26B07"/>
    <w:rsid w:val="00B26E6B"/>
    <w:rsid w:val="00B30D83"/>
    <w:rsid w:val="00B3185C"/>
    <w:rsid w:val="00B319D8"/>
    <w:rsid w:val="00B31B2B"/>
    <w:rsid w:val="00B32234"/>
    <w:rsid w:val="00B32F06"/>
    <w:rsid w:val="00B335F2"/>
    <w:rsid w:val="00B34882"/>
    <w:rsid w:val="00B34D5D"/>
    <w:rsid w:val="00B35AAF"/>
    <w:rsid w:val="00B35C57"/>
    <w:rsid w:val="00B35F0F"/>
    <w:rsid w:val="00B36087"/>
    <w:rsid w:val="00B3609A"/>
    <w:rsid w:val="00B362AC"/>
    <w:rsid w:val="00B36ACC"/>
    <w:rsid w:val="00B370A2"/>
    <w:rsid w:val="00B37933"/>
    <w:rsid w:val="00B37A7C"/>
    <w:rsid w:val="00B37BB1"/>
    <w:rsid w:val="00B37C9B"/>
    <w:rsid w:val="00B37E45"/>
    <w:rsid w:val="00B404F7"/>
    <w:rsid w:val="00B412F2"/>
    <w:rsid w:val="00B41381"/>
    <w:rsid w:val="00B41E2C"/>
    <w:rsid w:val="00B42C8E"/>
    <w:rsid w:val="00B43818"/>
    <w:rsid w:val="00B439ED"/>
    <w:rsid w:val="00B43A3E"/>
    <w:rsid w:val="00B43D2B"/>
    <w:rsid w:val="00B44BE3"/>
    <w:rsid w:val="00B44F82"/>
    <w:rsid w:val="00B45333"/>
    <w:rsid w:val="00B454D8"/>
    <w:rsid w:val="00B45574"/>
    <w:rsid w:val="00B46473"/>
    <w:rsid w:val="00B46542"/>
    <w:rsid w:val="00B467E2"/>
    <w:rsid w:val="00B46827"/>
    <w:rsid w:val="00B46A47"/>
    <w:rsid w:val="00B4728B"/>
    <w:rsid w:val="00B475C9"/>
    <w:rsid w:val="00B476DB"/>
    <w:rsid w:val="00B47B3E"/>
    <w:rsid w:val="00B51263"/>
    <w:rsid w:val="00B51E80"/>
    <w:rsid w:val="00B52E19"/>
    <w:rsid w:val="00B53406"/>
    <w:rsid w:val="00B549B6"/>
    <w:rsid w:val="00B54E29"/>
    <w:rsid w:val="00B553EC"/>
    <w:rsid w:val="00B5612D"/>
    <w:rsid w:val="00B5681F"/>
    <w:rsid w:val="00B56A9A"/>
    <w:rsid w:val="00B571B9"/>
    <w:rsid w:val="00B57270"/>
    <w:rsid w:val="00B57BBE"/>
    <w:rsid w:val="00B6018F"/>
    <w:rsid w:val="00B60850"/>
    <w:rsid w:val="00B60C86"/>
    <w:rsid w:val="00B60E0E"/>
    <w:rsid w:val="00B6102B"/>
    <w:rsid w:val="00B61DAD"/>
    <w:rsid w:val="00B621B2"/>
    <w:rsid w:val="00B63115"/>
    <w:rsid w:val="00B63627"/>
    <w:rsid w:val="00B648A5"/>
    <w:rsid w:val="00B64B2A"/>
    <w:rsid w:val="00B64FEF"/>
    <w:rsid w:val="00B65778"/>
    <w:rsid w:val="00B66902"/>
    <w:rsid w:val="00B66C7B"/>
    <w:rsid w:val="00B67787"/>
    <w:rsid w:val="00B67A01"/>
    <w:rsid w:val="00B67AC6"/>
    <w:rsid w:val="00B702A2"/>
    <w:rsid w:val="00B71082"/>
    <w:rsid w:val="00B714D9"/>
    <w:rsid w:val="00B7284A"/>
    <w:rsid w:val="00B72EEA"/>
    <w:rsid w:val="00B73AE0"/>
    <w:rsid w:val="00B73DD3"/>
    <w:rsid w:val="00B7450F"/>
    <w:rsid w:val="00B7575E"/>
    <w:rsid w:val="00B757C1"/>
    <w:rsid w:val="00B764E4"/>
    <w:rsid w:val="00B76559"/>
    <w:rsid w:val="00B767EA"/>
    <w:rsid w:val="00B76891"/>
    <w:rsid w:val="00B77004"/>
    <w:rsid w:val="00B770EF"/>
    <w:rsid w:val="00B803E6"/>
    <w:rsid w:val="00B8192B"/>
    <w:rsid w:val="00B830CB"/>
    <w:rsid w:val="00B8394B"/>
    <w:rsid w:val="00B840CE"/>
    <w:rsid w:val="00B84119"/>
    <w:rsid w:val="00B854A8"/>
    <w:rsid w:val="00B8580A"/>
    <w:rsid w:val="00B858CC"/>
    <w:rsid w:val="00B85B75"/>
    <w:rsid w:val="00B85D5C"/>
    <w:rsid w:val="00B85F35"/>
    <w:rsid w:val="00B86150"/>
    <w:rsid w:val="00B870B1"/>
    <w:rsid w:val="00B8754A"/>
    <w:rsid w:val="00B87CAC"/>
    <w:rsid w:val="00B9025D"/>
    <w:rsid w:val="00B90563"/>
    <w:rsid w:val="00B90AB9"/>
    <w:rsid w:val="00B919F1"/>
    <w:rsid w:val="00B91C9F"/>
    <w:rsid w:val="00B928E3"/>
    <w:rsid w:val="00B92BBA"/>
    <w:rsid w:val="00B938FD"/>
    <w:rsid w:val="00B93933"/>
    <w:rsid w:val="00B93D61"/>
    <w:rsid w:val="00B93E5F"/>
    <w:rsid w:val="00B93EC1"/>
    <w:rsid w:val="00B9445D"/>
    <w:rsid w:val="00B95552"/>
    <w:rsid w:val="00B955CB"/>
    <w:rsid w:val="00B957D8"/>
    <w:rsid w:val="00B95A16"/>
    <w:rsid w:val="00B971C4"/>
    <w:rsid w:val="00B97849"/>
    <w:rsid w:val="00B97FC4"/>
    <w:rsid w:val="00BA0993"/>
    <w:rsid w:val="00BA0C41"/>
    <w:rsid w:val="00BA14F0"/>
    <w:rsid w:val="00BA2413"/>
    <w:rsid w:val="00BA2591"/>
    <w:rsid w:val="00BA2A83"/>
    <w:rsid w:val="00BA2C54"/>
    <w:rsid w:val="00BA35F7"/>
    <w:rsid w:val="00BA3759"/>
    <w:rsid w:val="00BA403B"/>
    <w:rsid w:val="00BA42BC"/>
    <w:rsid w:val="00BA483F"/>
    <w:rsid w:val="00BA4A0F"/>
    <w:rsid w:val="00BA4D93"/>
    <w:rsid w:val="00BA4E2D"/>
    <w:rsid w:val="00BA4E32"/>
    <w:rsid w:val="00BA59F1"/>
    <w:rsid w:val="00BA6438"/>
    <w:rsid w:val="00BA6747"/>
    <w:rsid w:val="00BA6D69"/>
    <w:rsid w:val="00BA7023"/>
    <w:rsid w:val="00BA7DEB"/>
    <w:rsid w:val="00BB0A5B"/>
    <w:rsid w:val="00BB1741"/>
    <w:rsid w:val="00BB178C"/>
    <w:rsid w:val="00BB2792"/>
    <w:rsid w:val="00BB2A80"/>
    <w:rsid w:val="00BB3672"/>
    <w:rsid w:val="00BB4030"/>
    <w:rsid w:val="00BB51DD"/>
    <w:rsid w:val="00BB5E36"/>
    <w:rsid w:val="00BB6412"/>
    <w:rsid w:val="00BB66B2"/>
    <w:rsid w:val="00BB6A08"/>
    <w:rsid w:val="00BB6A53"/>
    <w:rsid w:val="00BB715A"/>
    <w:rsid w:val="00BB7945"/>
    <w:rsid w:val="00BB7B89"/>
    <w:rsid w:val="00BB7FB5"/>
    <w:rsid w:val="00BC0129"/>
    <w:rsid w:val="00BC0DD8"/>
    <w:rsid w:val="00BC1037"/>
    <w:rsid w:val="00BC1322"/>
    <w:rsid w:val="00BC1668"/>
    <w:rsid w:val="00BC2FD8"/>
    <w:rsid w:val="00BC3269"/>
    <w:rsid w:val="00BC3E1D"/>
    <w:rsid w:val="00BC4F21"/>
    <w:rsid w:val="00BC5789"/>
    <w:rsid w:val="00BC5C43"/>
    <w:rsid w:val="00BC607A"/>
    <w:rsid w:val="00BC653D"/>
    <w:rsid w:val="00BC6599"/>
    <w:rsid w:val="00BC6765"/>
    <w:rsid w:val="00BC6999"/>
    <w:rsid w:val="00BD01A0"/>
    <w:rsid w:val="00BD01C6"/>
    <w:rsid w:val="00BD0259"/>
    <w:rsid w:val="00BD130C"/>
    <w:rsid w:val="00BD1D85"/>
    <w:rsid w:val="00BD1F87"/>
    <w:rsid w:val="00BD2EB9"/>
    <w:rsid w:val="00BD38EA"/>
    <w:rsid w:val="00BD446F"/>
    <w:rsid w:val="00BD466E"/>
    <w:rsid w:val="00BD4A02"/>
    <w:rsid w:val="00BD4F28"/>
    <w:rsid w:val="00BD50EB"/>
    <w:rsid w:val="00BD5F59"/>
    <w:rsid w:val="00BD5F7D"/>
    <w:rsid w:val="00BD68E4"/>
    <w:rsid w:val="00BD6A40"/>
    <w:rsid w:val="00BD72DC"/>
    <w:rsid w:val="00BD7695"/>
    <w:rsid w:val="00BD7E5D"/>
    <w:rsid w:val="00BE0951"/>
    <w:rsid w:val="00BE0D97"/>
    <w:rsid w:val="00BE101A"/>
    <w:rsid w:val="00BE26F5"/>
    <w:rsid w:val="00BE2CD6"/>
    <w:rsid w:val="00BE33BE"/>
    <w:rsid w:val="00BE39AE"/>
    <w:rsid w:val="00BE3B9F"/>
    <w:rsid w:val="00BE4282"/>
    <w:rsid w:val="00BE48EE"/>
    <w:rsid w:val="00BE4A31"/>
    <w:rsid w:val="00BE67AA"/>
    <w:rsid w:val="00BE6860"/>
    <w:rsid w:val="00BE6CC5"/>
    <w:rsid w:val="00BE720E"/>
    <w:rsid w:val="00BE7442"/>
    <w:rsid w:val="00BE7BE3"/>
    <w:rsid w:val="00BE7D88"/>
    <w:rsid w:val="00BF0038"/>
    <w:rsid w:val="00BF016D"/>
    <w:rsid w:val="00BF10D1"/>
    <w:rsid w:val="00BF28C8"/>
    <w:rsid w:val="00BF4056"/>
    <w:rsid w:val="00BF482D"/>
    <w:rsid w:val="00BF48F2"/>
    <w:rsid w:val="00BF5841"/>
    <w:rsid w:val="00BF65FC"/>
    <w:rsid w:val="00BF6D4C"/>
    <w:rsid w:val="00BF6E02"/>
    <w:rsid w:val="00BF721B"/>
    <w:rsid w:val="00BF7DAF"/>
    <w:rsid w:val="00C0015B"/>
    <w:rsid w:val="00C00B50"/>
    <w:rsid w:val="00C00E7B"/>
    <w:rsid w:val="00C0235F"/>
    <w:rsid w:val="00C0239B"/>
    <w:rsid w:val="00C02408"/>
    <w:rsid w:val="00C02A8E"/>
    <w:rsid w:val="00C02AC3"/>
    <w:rsid w:val="00C02BF3"/>
    <w:rsid w:val="00C0362A"/>
    <w:rsid w:val="00C03DDB"/>
    <w:rsid w:val="00C04A5C"/>
    <w:rsid w:val="00C04E57"/>
    <w:rsid w:val="00C0526E"/>
    <w:rsid w:val="00C0582D"/>
    <w:rsid w:val="00C05FB3"/>
    <w:rsid w:val="00C060D9"/>
    <w:rsid w:val="00C061F0"/>
    <w:rsid w:val="00C062C6"/>
    <w:rsid w:val="00C06C7E"/>
    <w:rsid w:val="00C07260"/>
    <w:rsid w:val="00C07833"/>
    <w:rsid w:val="00C07F8C"/>
    <w:rsid w:val="00C10188"/>
    <w:rsid w:val="00C105AF"/>
    <w:rsid w:val="00C10A69"/>
    <w:rsid w:val="00C111DF"/>
    <w:rsid w:val="00C1152A"/>
    <w:rsid w:val="00C11D1F"/>
    <w:rsid w:val="00C1204F"/>
    <w:rsid w:val="00C13EB9"/>
    <w:rsid w:val="00C14919"/>
    <w:rsid w:val="00C14BFA"/>
    <w:rsid w:val="00C1506A"/>
    <w:rsid w:val="00C157BC"/>
    <w:rsid w:val="00C15800"/>
    <w:rsid w:val="00C15992"/>
    <w:rsid w:val="00C15C42"/>
    <w:rsid w:val="00C16B9C"/>
    <w:rsid w:val="00C16ED9"/>
    <w:rsid w:val="00C17047"/>
    <w:rsid w:val="00C17170"/>
    <w:rsid w:val="00C17AF7"/>
    <w:rsid w:val="00C209DE"/>
    <w:rsid w:val="00C20A97"/>
    <w:rsid w:val="00C20FCE"/>
    <w:rsid w:val="00C211F6"/>
    <w:rsid w:val="00C2258B"/>
    <w:rsid w:val="00C23B3E"/>
    <w:rsid w:val="00C244B2"/>
    <w:rsid w:val="00C24912"/>
    <w:rsid w:val="00C27FF8"/>
    <w:rsid w:val="00C30A97"/>
    <w:rsid w:val="00C30B22"/>
    <w:rsid w:val="00C30E20"/>
    <w:rsid w:val="00C326F1"/>
    <w:rsid w:val="00C33518"/>
    <w:rsid w:val="00C338FD"/>
    <w:rsid w:val="00C33AB2"/>
    <w:rsid w:val="00C33B56"/>
    <w:rsid w:val="00C3433C"/>
    <w:rsid w:val="00C3441D"/>
    <w:rsid w:val="00C348EE"/>
    <w:rsid w:val="00C34B34"/>
    <w:rsid w:val="00C3533B"/>
    <w:rsid w:val="00C36BCC"/>
    <w:rsid w:val="00C370C4"/>
    <w:rsid w:val="00C40CD2"/>
    <w:rsid w:val="00C41CE0"/>
    <w:rsid w:val="00C425DB"/>
    <w:rsid w:val="00C42D98"/>
    <w:rsid w:val="00C42F60"/>
    <w:rsid w:val="00C43296"/>
    <w:rsid w:val="00C4367F"/>
    <w:rsid w:val="00C437CD"/>
    <w:rsid w:val="00C438A8"/>
    <w:rsid w:val="00C43E25"/>
    <w:rsid w:val="00C44036"/>
    <w:rsid w:val="00C4449A"/>
    <w:rsid w:val="00C44B88"/>
    <w:rsid w:val="00C44E86"/>
    <w:rsid w:val="00C44EB5"/>
    <w:rsid w:val="00C46057"/>
    <w:rsid w:val="00C46720"/>
    <w:rsid w:val="00C46F03"/>
    <w:rsid w:val="00C473A4"/>
    <w:rsid w:val="00C478A8"/>
    <w:rsid w:val="00C50B61"/>
    <w:rsid w:val="00C50B83"/>
    <w:rsid w:val="00C51043"/>
    <w:rsid w:val="00C51F43"/>
    <w:rsid w:val="00C5257C"/>
    <w:rsid w:val="00C5268D"/>
    <w:rsid w:val="00C52A99"/>
    <w:rsid w:val="00C534B7"/>
    <w:rsid w:val="00C53657"/>
    <w:rsid w:val="00C54017"/>
    <w:rsid w:val="00C54B8E"/>
    <w:rsid w:val="00C55002"/>
    <w:rsid w:val="00C551D9"/>
    <w:rsid w:val="00C557C1"/>
    <w:rsid w:val="00C55AAB"/>
    <w:rsid w:val="00C55E4A"/>
    <w:rsid w:val="00C56657"/>
    <w:rsid w:val="00C569CB"/>
    <w:rsid w:val="00C56B7B"/>
    <w:rsid w:val="00C5785B"/>
    <w:rsid w:val="00C60167"/>
    <w:rsid w:val="00C6026E"/>
    <w:rsid w:val="00C60400"/>
    <w:rsid w:val="00C6081E"/>
    <w:rsid w:val="00C608FA"/>
    <w:rsid w:val="00C62013"/>
    <w:rsid w:val="00C6203D"/>
    <w:rsid w:val="00C62DCC"/>
    <w:rsid w:val="00C631A2"/>
    <w:rsid w:val="00C635FF"/>
    <w:rsid w:val="00C64119"/>
    <w:rsid w:val="00C64CB9"/>
    <w:rsid w:val="00C658DB"/>
    <w:rsid w:val="00C66034"/>
    <w:rsid w:val="00C66296"/>
    <w:rsid w:val="00C675EA"/>
    <w:rsid w:val="00C67C89"/>
    <w:rsid w:val="00C712B5"/>
    <w:rsid w:val="00C714E0"/>
    <w:rsid w:val="00C71C33"/>
    <w:rsid w:val="00C71E89"/>
    <w:rsid w:val="00C734F3"/>
    <w:rsid w:val="00C73B87"/>
    <w:rsid w:val="00C73E90"/>
    <w:rsid w:val="00C74106"/>
    <w:rsid w:val="00C741E8"/>
    <w:rsid w:val="00C7449A"/>
    <w:rsid w:val="00C747A0"/>
    <w:rsid w:val="00C753A9"/>
    <w:rsid w:val="00C76098"/>
    <w:rsid w:val="00C76B51"/>
    <w:rsid w:val="00C76CB8"/>
    <w:rsid w:val="00C76D74"/>
    <w:rsid w:val="00C77E72"/>
    <w:rsid w:val="00C8080E"/>
    <w:rsid w:val="00C80BE1"/>
    <w:rsid w:val="00C811DE"/>
    <w:rsid w:val="00C81504"/>
    <w:rsid w:val="00C81A1E"/>
    <w:rsid w:val="00C82463"/>
    <w:rsid w:val="00C8343C"/>
    <w:rsid w:val="00C83839"/>
    <w:rsid w:val="00C8389F"/>
    <w:rsid w:val="00C841D1"/>
    <w:rsid w:val="00C86711"/>
    <w:rsid w:val="00C86CD6"/>
    <w:rsid w:val="00C878EE"/>
    <w:rsid w:val="00C904F0"/>
    <w:rsid w:val="00C90F38"/>
    <w:rsid w:val="00C91150"/>
    <w:rsid w:val="00C91D93"/>
    <w:rsid w:val="00C930CF"/>
    <w:rsid w:val="00C93473"/>
    <w:rsid w:val="00C94A42"/>
    <w:rsid w:val="00C955FA"/>
    <w:rsid w:val="00C957AF"/>
    <w:rsid w:val="00C95908"/>
    <w:rsid w:val="00C965F1"/>
    <w:rsid w:val="00C97475"/>
    <w:rsid w:val="00C97C54"/>
    <w:rsid w:val="00CA0E98"/>
    <w:rsid w:val="00CA1501"/>
    <w:rsid w:val="00CA2125"/>
    <w:rsid w:val="00CA2BD1"/>
    <w:rsid w:val="00CA2C83"/>
    <w:rsid w:val="00CA2DA4"/>
    <w:rsid w:val="00CA48CD"/>
    <w:rsid w:val="00CA4E58"/>
    <w:rsid w:val="00CA5091"/>
    <w:rsid w:val="00CA5378"/>
    <w:rsid w:val="00CA563F"/>
    <w:rsid w:val="00CA5CAE"/>
    <w:rsid w:val="00CA5D13"/>
    <w:rsid w:val="00CA69D7"/>
    <w:rsid w:val="00CA744A"/>
    <w:rsid w:val="00CA7D8A"/>
    <w:rsid w:val="00CA7E6D"/>
    <w:rsid w:val="00CB0E8A"/>
    <w:rsid w:val="00CB103F"/>
    <w:rsid w:val="00CB1E97"/>
    <w:rsid w:val="00CB2360"/>
    <w:rsid w:val="00CB2587"/>
    <w:rsid w:val="00CB2953"/>
    <w:rsid w:val="00CB51C1"/>
    <w:rsid w:val="00CB5E87"/>
    <w:rsid w:val="00CB69D4"/>
    <w:rsid w:val="00CB6C16"/>
    <w:rsid w:val="00CB7412"/>
    <w:rsid w:val="00CB7758"/>
    <w:rsid w:val="00CC0426"/>
    <w:rsid w:val="00CC1013"/>
    <w:rsid w:val="00CC15F3"/>
    <w:rsid w:val="00CC1633"/>
    <w:rsid w:val="00CC2BA4"/>
    <w:rsid w:val="00CC35AA"/>
    <w:rsid w:val="00CC36FA"/>
    <w:rsid w:val="00CC3AA0"/>
    <w:rsid w:val="00CC3F77"/>
    <w:rsid w:val="00CC40F9"/>
    <w:rsid w:val="00CC4502"/>
    <w:rsid w:val="00CC457A"/>
    <w:rsid w:val="00CC4846"/>
    <w:rsid w:val="00CC4B39"/>
    <w:rsid w:val="00CC4D81"/>
    <w:rsid w:val="00CC4DE2"/>
    <w:rsid w:val="00CC535B"/>
    <w:rsid w:val="00CC57BF"/>
    <w:rsid w:val="00CC5A68"/>
    <w:rsid w:val="00CC624A"/>
    <w:rsid w:val="00CC678D"/>
    <w:rsid w:val="00CC6CB8"/>
    <w:rsid w:val="00CC7BCF"/>
    <w:rsid w:val="00CC7BE2"/>
    <w:rsid w:val="00CD0402"/>
    <w:rsid w:val="00CD0935"/>
    <w:rsid w:val="00CD0F19"/>
    <w:rsid w:val="00CD1483"/>
    <w:rsid w:val="00CD16C7"/>
    <w:rsid w:val="00CD2381"/>
    <w:rsid w:val="00CD27A0"/>
    <w:rsid w:val="00CD3240"/>
    <w:rsid w:val="00CD396B"/>
    <w:rsid w:val="00CD3A3D"/>
    <w:rsid w:val="00CD3B8B"/>
    <w:rsid w:val="00CD4C70"/>
    <w:rsid w:val="00CD522A"/>
    <w:rsid w:val="00CD53FB"/>
    <w:rsid w:val="00CD58CF"/>
    <w:rsid w:val="00CD5AD1"/>
    <w:rsid w:val="00CD6289"/>
    <w:rsid w:val="00CD73E0"/>
    <w:rsid w:val="00CD7A6B"/>
    <w:rsid w:val="00CD7AB9"/>
    <w:rsid w:val="00CD7B61"/>
    <w:rsid w:val="00CE0884"/>
    <w:rsid w:val="00CE0EC8"/>
    <w:rsid w:val="00CE0F8B"/>
    <w:rsid w:val="00CE1198"/>
    <w:rsid w:val="00CE18B7"/>
    <w:rsid w:val="00CE1E7A"/>
    <w:rsid w:val="00CE28C8"/>
    <w:rsid w:val="00CE415D"/>
    <w:rsid w:val="00CE4561"/>
    <w:rsid w:val="00CE7683"/>
    <w:rsid w:val="00CE7945"/>
    <w:rsid w:val="00CF0C1F"/>
    <w:rsid w:val="00CF1379"/>
    <w:rsid w:val="00CF19EF"/>
    <w:rsid w:val="00CF1C34"/>
    <w:rsid w:val="00CF1F41"/>
    <w:rsid w:val="00CF221E"/>
    <w:rsid w:val="00CF2B97"/>
    <w:rsid w:val="00CF2C6F"/>
    <w:rsid w:val="00CF2D65"/>
    <w:rsid w:val="00CF2D8C"/>
    <w:rsid w:val="00CF3142"/>
    <w:rsid w:val="00CF3661"/>
    <w:rsid w:val="00CF378E"/>
    <w:rsid w:val="00CF456B"/>
    <w:rsid w:val="00CF5316"/>
    <w:rsid w:val="00CF584E"/>
    <w:rsid w:val="00CF6099"/>
    <w:rsid w:val="00CF6E7A"/>
    <w:rsid w:val="00CF7274"/>
    <w:rsid w:val="00CF78A7"/>
    <w:rsid w:val="00D003ED"/>
    <w:rsid w:val="00D00495"/>
    <w:rsid w:val="00D004F5"/>
    <w:rsid w:val="00D005C6"/>
    <w:rsid w:val="00D00DB3"/>
    <w:rsid w:val="00D01414"/>
    <w:rsid w:val="00D035AA"/>
    <w:rsid w:val="00D038C3"/>
    <w:rsid w:val="00D03B9E"/>
    <w:rsid w:val="00D03E95"/>
    <w:rsid w:val="00D058F2"/>
    <w:rsid w:val="00D05F02"/>
    <w:rsid w:val="00D0675F"/>
    <w:rsid w:val="00D07154"/>
    <w:rsid w:val="00D075E2"/>
    <w:rsid w:val="00D0783A"/>
    <w:rsid w:val="00D10E3D"/>
    <w:rsid w:val="00D111EB"/>
    <w:rsid w:val="00D11299"/>
    <w:rsid w:val="00D118D3"/>
    <w:rsid w:val="00D118FB"/>
    <w:rsid w:val="00D13164"/>
    <w:rsid w:val="00D13467"/>
    <w:rsid w:val="00D14618"/>
    <w:rsid w:val="00D1631F"/>
    <w:rsid w:val="00D16332"/>
    <w:rsid w:val="00D16D26"/>
    <w:rsid w:val="00D16EFB"/>
    <w:rsid w:val="00D17138"/>
    <w:rsid w:val="00D171D7"/>
    <w:rsid w:val="00D20E0E"/>
    <w:rsid w:val="00D21088"/>
    <w:rsid w:val="00D21647"/>
    <w:rsid w:val="00D2166C"/>
    <w:rsid w:val="00D21E55"/>
    <w:rsid w:val="00D22322"/>
    <w:rsid w:val="00D22AD0"/>
    <w:rsid w:val="00D2356F"/>
    <w:rsid w:val="00D23BED"/>
    <w:rsid w:val="00D26217"/>
    <w:rsid w:val="00D26BD4"/>
    <w:rsid w:val="00D2733C"/>
    <w:rsid w:val="00D2750D"/>
    <w:rsid w:val="00D3070B"/>
    <w:rsid w:val="00D30E01"/>
    <w:rsid w:val="00D3238A"/>
    <w:rsid w:val="00D329E6"/>
    <w:rsid w:val="00D32F4F"/>
    <w:rsid w:val="00D361A0"/>
    <w:rsid w:val="00D378D6"/>
    <w:rsid w:val="00D37DA2"/>
    <w:rsid w:val="00D41723"/>
    <w:rsid w:val="00D4211F"/>
    <w:rsid w:val="00D422CC"/>
    <w:rsid w:val="00D42986"/>
    <w:rsid w:val="00D42B57"/>
    <w:rsid w:val="00D43207"/>
    <w:rsid w:val="00D44250"/>
    <w:rsid w:val="00D446B0"/>
    <w:rsid w:val="00D44823"/>
    <w:rsid w:val="00D45094"/>
    <w:rsid w:val="00D4571D"/>
    <w:rsid w:val="00D457F2"/>
    <w:rsid w:val="00D459D3"/>
    <w:rsid w:val="00D45A9B"/>
    <w:rsid w:val="00D4726B"/>
    <w:rsid w:val="00D4753E"/>
    <w:rsid w:val="00D47843"/>
    <w:rsid w:val="00D47FB2"/>
    <w:rsid w:val="00D51245"/>
    <w:rsid w:val="00D5138E"/>
    <w:rsid w:val="00D514DE"/>
    <w:rsid w:val="00D521AD"/>
    <w:rsid w:val="00D525F9"/>
    <w:rsid w:val="00D5284B"/>
    <w:rsid w:val="00D5330B"/>
    <w:rsid w:val="00D54A23"/>
    <w:rsid w:val="00D550D2"/>
    <w:rsid w:val="00D55326"/>
    <w:rsid w:val="00D55343"/>
    <w:rsid w:val="00D55523"/>
    <w:rsid w:val="00D55E62"/>
    <w:rsid w:val="00D560E6"/>
    <w:rsid w:val="00D57706"/>
    <w:rsid w:val="00D57D0D"/>
    <w:rsid w:val="00D61B83"/>
    <w:rsid w:val="00D61DFA"/>
    <w:rsid w:val="00D628DA"/>
    <w:rsid w:val="00D629E3"/>
    <w:rsid w:val="00D62ADF"/>
    <w:rsid w:val="00D62E49"/>
    <w:rsid w:val="00D63108"/>
    <w:rsid w:val="00D63744"/>
    <w:rsid w:val="00D6387B"/>
    <w:rsid w:val="00D64BB9"/>
    <w:rsid w:val="00D64E45"/>
    <w:rsid w:val="00D653A9"/>
    <w:rsid w:val="00D662A6"/>
    <w:rsid w:val="00D66AF6"/>
    <w:rsid w:val="00D679BA"/>
    <w:rsid w:val="00D67E57"/>
    <w:rsid w:val="00D70280"/>
    <w:rsid w:val="00D716D0"/>
    <w:rsid w:val="00D72058"/>
    <w:rsid w:val="00D72281"/>
    <w:rsid w:val="00D72300"/>
    <w:rsid w:val="00D7268E"/>
    <w:rsid w:val="00D72C66"/>
    <w:rsid w:val="00D72E84"/>
    <w:rsid w:val="00D73F0F"/>
    <w:rsid w:val="00D7432C"/>
    <w:rsid w:val="00D74506"/>
    <w:rsid w:val="00D74942"/>
    <w:rsid w:val="00D752B7"/>
    <w:rsid w:val="00D75EA5"/>
    <w:rsid w:val="00D75FD0"/>
    <w:rsid w:val="00D761EB"/>
    <w:rsid w:val="00D761F1"/>
    <w:rsid w:val="00D763A1"/>
    <w:rsid w:val="00D764BC"/>
    <w:rsid w:val="00D76E48"/>
    <w:rsid w:val="00D770B1"/>
    <w:rsid w:val="00D77540"/>
    <w:rsid w:val="00D776DB"/>
    <w:rsid w:val="00D77B70"/>
    <w:rsid w:val="00D77B89"/>
    <w:rsid w:val="00D80016"/>
    <w:rsid w:val="00D8170B"/>
    <w:rsid w:val="00D81C61"/>
    <w:rsid w:val="00D81E37"/>
    <w:rsid w:val="00D8213D"/>
    <w:rsid w:val="00D8217B"/>
    <w:rsid w:val="00D82B16"/>
    <w:rsid w:val="00D83A2D"/>
    <w:rsid w:val="00D85BFF"/>
    <w:rsid w:val="00D85FF7"/>
    <w:rsid w:val="00D87FF8"/>
    <w:rsid w:val="00D92655"/>
    <w:rsid w:val="00D930F9"/>
    <w:rsid w:val="00D93182"/>
    <w:rsid w:val="00D9399A"/>
    <w:rsid w:val="00D93BA5"/>
    <w:rsid w:val="00D93EDA"/>
    <w:rsid w:val="00D94A26"/>
    <w:rsid w:val="00D94A46"/>
    <w:rsid w:val="00D95012"/>
    <w:rsid w:val="00D95062"/>
    <w:rsid w:val="00D974F1"/>
    <w:rsid w:val="00D97FA1"/>
    <w:rsid w:val="00D97FD3"/>
    <w:rsid w:val="00D97FD9"/>
    <w:rsid w:val="00DA09AF"/>
    <w:rsid w:val="00DA1372"/>
    <w:rsid w:val="00DA13A7"/>
    <w:rsid w:val="00DA17BC"/>
    <w:rsid w:val="00DA1840"/>
    <w:rsid w:val="00DA1898"/>
    <w:rsid w:val="00DA1CB4"/>
    <w:rsid w:val="00DA1F68"/>
    <w:rsid w:val="00DA22F2"/>
    <w:rsid w:val="00DA2B63"/>
    <w:rsid w:val="00DA3C5A"/>
    <w:rsid w:val="00DA4D0D"/>
    <w:rsid w:val="00DA5F64"/>
    <w:rsid w:val="00DA6193"/>
    <w:rsid w:val="00DA6384"/>
    <w:rsid w:val="00DA72A2"/>
    <w:rsid w:val="00DB043C"/>
    <w:rsid w:val="00DB047F"/>
    <w:rsid w:val="00DB075B"/>
    <w:rsid w:val="00DB1A69"/>
    <w:rsid w:val="00DB1B44"/>
    <w:rsid w:val="00DB1CA6"/>
    <w:rsid w:val="00DB3316"/>
    <w:rsid w:val="00DB3947"/>
    <w:rsid w:val="00DB4393"/>
    <w:rsid w:val="00DB5BF9"/>
    <w:rsid w:val="00DB6595"/>
    <w:rsid w:val="00DB66B4"/>
    <w:rsid w:val="00DB6715"/>
    <w:rsid w:val="00DB68A8"/>
    <w:rsid w:val="00DB7F20"/>
    <w:rsid w:val="00DC0ABD"/>
    <w:rsid w:val="00DC13D5"/>
    <w:rsid w:val="00DC254B"/>
    <w:rsid w:val="00DC2C4B"/>
    <w:rsid w:val="00DC2DA7"/>
    <w:rsid w:val="00DC3624"/>
    <w:rsid w:val="00DC397E"/>
    <w:rsid w:val="00DC4AEF"/>
    <w:rsid w:val="00DC4E30"/>
    <w:rsid w:val="00DC572C"/>
    <w:rsid w:val="00DC5AEE"/>
    <w:rsid w:val="00DC5FD4"/>
    <w:rsid w:val="00DC7ABC"/>
    <w:rsid w:val="00DD03DE"/>
    <w:rsid w:val="00DD0D17"/>
    <w:rsid w:val="00DD1E22"/>
    <w:rsid w:val="00DD1E58"/>
    <w:rsid w:val="00DD24AE"/>
    <w:rsid w:val="00DD2A72"/>
    <w:rsid w:val="00DD31C9"/>
    <w:rsid w:val="00DD3426"/>
    <w:rsid w:val="00DD37D2"/>
    <w:rsid w:val="00DD4819"/>
    <w:rsid w:val="00DD4C84"/>
    <w:rsid w:val="00DD4F4A"/>
    <w:rsid w:val="00DD5240"/>
    <w:rsid w:val="00DD64FE"/>
    <w:rsid w:val="00DD6B1A"/>
    <w:rsid w:val="00DD7383"/>
    <w:rsid w:val="00DD7927"/>
    <w:rsid w:val="00DD7A4B"/>
    <w:rsid w:val="00DE003C"/>
    <w:rsid w:val="00DE0406"/>
    <w:rsid w:val="00DE0541"/>
    <w:rsid w:val="00DE0AFA"/>
    <w:rsid w:val="00DE0CD4"/>
    <w:rsid w:val="00DE17BD"/>
    <w:rsid w:val="00DE29A8"/>
    <w:rsid w:val="00DE3809"/>
    <w:rsid w:val="00DE3A97"/>
    <w:rsid w:val="00DE4D0F"/>
    <w:rsid w:val="00DE53C5"/>
    <w:rsid w:val="00DE5787"/>
    <w:rsid w:val="00DE648C"/>
    <w:rsid w:val="00DE68A8"/>
    <w:rsid w:val="00DF0BB9"/>
    <w:rsid w:val="00DF0E71"/>
    <w:rsid w:val="00DF171D"/>
    <w:rsid w:val="00DF18F5"/>
    <w:rsid w:val="00DF2431"/>
    <w:rsid w:val="00DF283B"/>
    <w:rsid w:val="00DF2EB5"/>
    <w:rsid w:val="00DF3267"/>
    <w:rsid w:val="00DF3C9D"/>
    <w:rsid w:val="00DF3FF1"/>
    <w:rsid w:val="00DF4272"/>
    <w:rsid w:val="00DF4BB3"/>
    <w:rsid w:val="00DF4BF3"/>
    <w:rsid w:val="00DF4FB4"/>
    <w:rsid w:val="00DF507E"/>
    <w:rsid w:val="00DF5462"/>
    <w:rsid w:val="00DF546E"/>
    <w:rsid w:val="00DF6D77"/>
    <w:rsid w:val="00DF78F9"/>
    <w:rsid w:val="00DF78FE"/>
    <w:rsid w:val="00E00178"/>
    <w:rsid w:val="00E00832"/>
    <w:rsid w:val="00E00ACA"/>
    <w:rsid w:val="00E01C0A"/>
    <w:rsid w:val="00E03A50"/>
    <w:rsid w:val="00E0403B"/>
    <w:rsid w:val="00E04931"/>
    <w:rsid w:val="00E04A91"/>
    <w:rsid w:val="00E04B73"/>
    <w:rsid w:val="00E04E50"/>
    <w:rsid w:val="00E05C1E"/>
    <w:rsid w:val="00E05CFB"/>
    <w:rsid w:val="00E07FB0"/>
    <w:rsid w:val="00E102E4"/>
    <w:rsid w:val="00E10362"/>
    <w:rsid w:val="00E10CDB"/>
    <w:rsid w:val="00E11A1F"/>
    <w:rsid w:val="00E11CD3"/>
    <w:rsid w:val="00E11D22"/>
    <w:rsid w:val="00E12D78"/>
    <w:rsid w:val="00E13110"/>
    <w:rsid w:val="00E13707"/>
    <w:rsid w:val="00E13D87"/>
    <w:rsid w:val="00E155DF"/>
    <w:rsid w:val="00E15943"/>
    <w:rsid w:val="00E15C35"/>
    <w:rsid w:val="00E17882"/>
    <w:rsid w:val="00E201C6"/>
    <w:rsid w:val="00E21051"/>
    <w:rsid w:val="00E2249E"/>
    <w:rsid w:val="00E22B60"/>
    <w:rsid w:val="00E22E4B"/>
    <w:rsid w:val="00E24219"/>
    <w:rsid w:val="00E24278"/>
    <w:rsid w:val="00E244F3"/>
    <w:rsid w:val="00E245DB"/>
    <w:rsid w:val="00E246B2"/>
    <w:rsid w:val="00E2504D"/>
    <w:rsid w:val="00E25271"/>
    <w:rsid w:val="00E2533C"/>
    <w:rsid w:val="00E25C3C"/>
    <w:rsid w:val="00E25DA7"/>
    <w:rsid w:val="00E27161"/>
    <w:rsid w:val="00E2717C"/>
    <w:rsid w:val="00E27622"/>
    <w:rsid w:val="00E30806"/>
    <w:rsid w:val="00E309B3"/>
    <w:rsid w:val="00E319D9"/>
    <w:rsid w:val="00E326EB"/>
    <w:rsid w:val="00E32A01"/>
    <w:rsid w:val="00E32E4A"/>
    <w:rsid w:val="00E33694"/>
    <w:rsid w:val="00E3530E"/>
    <w:rsid w:val="00E358C8"/>
    <w:rsid w:val="00E35D8D"/>
    <w:rsid w:val="00E36209"/>
    <w:rsid w:val="00E3743A"/>
    <w:rsid w:val="00E3787B"/>
    <w:rsid w:val="00E408FB"/>
    <w:rsid w:val="00E40A3B"/>
    <w:rsid w:val="00E40D1F"/>
    <w:rsid w:val="00E41072"/>
    <w:rsid w:val="00E4195E"/>
    <w:rsid w:val="00E41E02"/>
    <w:rsid w:val="00E425E0"/>
    <w:rsid w:val="00E42A5E"/>
    <w:rsid w:val="00E42C9B"/>
    <w:rsid w:val="00E430C7"/>
    <w:rsid w:val="00E43FDB"/>
    <w:rsid w:val="00E44800"/>
    <w:rsid w:val="00E448E3"/>
    <w:rsid w:val="00E4575F"/>
    <w:rsid w:val="00E45872"/>
    <w:rsid w:val="00E45AFA"/>
    <w:rsid w:val="00E464C5"/>
    <w:rsid w:val="00E474D2"/>
    <w:rsid w:val="00E47C22"/>
    <w:rsid w:val="00E47F19"/>
    <w:rsid w:val="00E500F9"/>
    <w:rsid w:val="00E50971"/>
    <w:rsid w:val="00E50A67"/>
    <w:rsid w:val="00E50C87"/>
    <w:rsid w:val="00E510FC"/>
    <w:rsid w:val="00E51423"/>
    <w:rsid w:val="00E51571"/>
    <w:rsid w:val="00E515E4"/>
    <w:rsid w:val="00E51E7E"/>
    <w:rsid w:val="00E52E78"/>
    <w:rsid w:val="00E5342D"/>
    <w:rsid w:val="00E53C36"/>
    <w:rsid w:val="00E5631A"/>
    <w:rsid w:val="00E572B1"/>
    <w:rsid w:val="00E57787"/>
    <w:rsid w:val="00E615B0"/>
    <w:rsid w:val="00E61A04"/>
    <w:rsid w:val="00E61ED0"/>
    <w:rsid w:val="00E61F23"/>
    <w:rsid w:val="00E620AD"/>
    <w:rsid w:val="00E62E4C"/>
    <w:rsid w:val="00E647BB"/>
    <w:rsid w:val="00E64D6F"/>
    <w:rsid w:val="00E651E3"/>
    <w:rsid w:val="00E657F3"/>
    <w:rsid w:val="00E65820"/>
    <w:rsid w:val="00E65E6C"/>
    <w:rsid w:val="00E66F8C"/>
    <w:rsid w:val="00E67FAF"/>
    <w:rsid w:val="00E70FAA"/>
    <w:rsid w:val="00E71470"/>
    <w:rsid w:val="00E71C57"/>
    <w:rsid w:val="00E728F0"/>
    <w:rsid w:val="00E72ABD"/>
    <w:rsid w:val="00E734D5"/>
    <w:rsid w:val="00E73FB8"/>
    <w:rsid w:val="00E74483"/>
    <w:rsid w:val="00E74E72"/>
    <w:rsid w:val="00E757F6"/>
    <w:rsid w:val="00E75B91"/>
    <w:rsid w:val="00E75C13"/>
    <w:rsid w:val="00E75D5F"/>
    <w:rsid w:val="00E75E43"/>
    <w:rsid w:val="00E76315"/>
    <w:rsid w:val="00E764FB"/>
    <w:rsid w:val="00E76636"/>
    <w:rsid w:val="00E7679C"/>
    <w:rsid w:val="00E76CAF"/>
    <w:rsid w:val="00E76D00"/>
    <w:rsid w:val="00E7726D"/>
    <w:rsid w:val="00E800A4"/>
    <w:rsid w:val="00E81235"/>
    <w:rsid w:val="00E81444"/>
    <w:rsid w:val="00E8147B"/>
    <w:rsid w:val="00E82342"/>
    <w:rsid w:val="00E82414"/>
    <w:rsid w:val="00E8269D"/>
    <w:rsid w:val="00E83281"/>
    <w:rsid w:val="00E834E9"/>
    <w:rsid w:val="00E83BD0"/>
    <w:rsid w:val="00E84247"/>
    <w:rsid w:val="00E84825"/>
    <w:rsid w:val="00E84A58"/>
    <w:rsid w:val="00E84C61"/>
    <w:rsid w:val="00E84F11"/>
    <w:rsid w:val="00E8566F"/>
    <w:rsid w:val="00E86011"/>
    <w:rsid w:val="00E8628F"/>
    <w:rsid w:val="00E87483"/>
    <w:rsid w:val="00E87EDF"/>
    <w:rsid w:val="00E90616"/>
    <w:rsid w:val="00E90E61"/>
    <w:rsid w:val="00E91116"/>
    <w:rsid w:val="00E913A6"/>
    <w:rsid w:val="00E91CF5"/>
    <w:rsid w:val="00E92138"/>
    <w:rsid w:val="00E9287B"/>
    <w:rsid w:val="00E92A49"/>
    <w:rsid w:val="00E93363"/>
    <w:rsid w:val="00E93422"/>
    <w:rsid w:val="00E93FD7"/>
    <w:rsid w:val="00E957C6"/>
    <w:rsid w:val="00E95C7F"/>
    <w:rsid w:val="00E9615B"/>
    <w:rsid w:val="00EA03D6"/>
    <w:rsid w:val="00EA03D7"/>
    <w:rsid w:val="00EA04A8"/>
    <w:rsid w:val="00EA15E0"/>
    <w:rsid w:val="00EA1663"/>
    <w:rsid w:val="00EA1712"/>
    <w:rsid w:val="00EA1756"/>
    <w:rsid w:val="00EA1B20"/>
    <w:rsid w:val="00EA1C3B"/>
    <w:rsid w:val="00EA22DF"/>
    <w:rsid w:val="00EA2BF9"/>
    <w:rsid w:val="00EA2C00"/>
    <w:rsid w:val="00EA35AA"/>
    <w:rsid w:val="00EA4098"/>
    <w:rsid w:val="00EA4234"/>
    <w:rsid w:val="00EA450C"/>
    <w:rsid w:val="00EA492A"/>
    <w:rsid w:val="00EA5A0A"/>
    <w:rsid w:val="00EA69E1"/>
    <w:rsid w:val="00EB0369"/>
    <w:rsid w:val="00EB0AB5"/>
    <w:rsid w:val="00EB0CF4"/>
    <w:rsid w:val="00EB0D0F"/>
    <w:rsid w:val="00EB0F76"/>
    <w:rsid w:val="00EB104B"/>
    <w:rsid w:val="00EB12C0"/>
    <w:rsid w:val="00EB17FB"/>
    <w:rsid w:val="00EB1C58"/>
    <w:rsid w:val="00EB2836"/>
    <w:rsid w:val="00EB2C80"/>
    <w:rsid w:val="00EB2EA9"/>
    <w:rsid w:val="00EB3528"/>
    <w:rsid w:val="00EB43AF"/>
    <w:rsid w:val="00EB4721"/>
    <w:rsid w:val="00EB5454"/>
    <w:rsid w:val="00EB575D"/>
    <w:rsid w:val="00EB5B7E"/>
    <w:rsid w:val="00EB5DE2"/>
    <w:rsid w:val="00EB5E8A"/>
    <w:rsid w:val="00EB641B"/>
    <w:rsid w:val="00EB64E5"/>
    <w:rsid w:val="00EB665B"/>
    <w:rsid w:val="00EB71E8"/>
    <w:rsid w:val="00EB79F8"/>
    <w:rsid w:val="00EC0353"/>
    <w:rsid w:val="00EC06AE"/>
    <w:rsid w:val="00EC08C1"/>
    <w:rsid w:val="00EC0929"/>
    <w:rsid w:val="00EC0B2A"/>
    <w:rsid w:val="00EC1810"/>
    <w:rsid w:val="00EC2036"/>
    <w:rsid w:val="00EC24C2"/>
    <w:rsid w:val="00EC2CF5"/>
    <w:rsid w:val="00EC302F"/>
    <w:rsid w:val="00EC35CF"/>
    <w:rsid w:val="00EC371B"/>
    <w:rsid w:val="00EC38C8"/>
    <w:rsid w:val="00EC3B27"/>
    <w:rsid w:val="00EC3C08"/>
    <w:rsid w:val="00EC40E2"/>
    <w:rsid w:val="00EC465C"/>
    <w:rsid w:val="00EC5AD0"/>
    <w:rsid w:val="00EC753C"/>
    <w:rsid w:val="00EC76E6"/>
    <w:rsid w:val="00ED0F1C"/>
    <w:rsid w:val="00ED1151"/>
    <w:rsid w:val="00ED2304"/>
    <w:rsid w:val="00ED24A6"/>
    <w:rsid w:val="00ED2BC0"/>
    <w:rsid w:val="00ED3853"/>
    <w:rsid w:val="00ED3BC1"/>
    <w:rsid w:val="00ED43F6"/>
    <w:rsid w:val="00ED4779"/>
    <w:rsid w:val="00ED4E44"/>
    <w:rsid w:val="00ED5607"/>
    <w:rsid w:val="00ED7D21"/>
    <w:rsid w:val="00EE080E"/>
    <w:rsid w:val="00EE0B90"/>
    <w:rsid w:val="00EE1531"/>
    <w:rsid w:val="00EE1A20"/>
    <w:rsid w:val="00EE1F60"/>
    <w:rsid w:val="00EE1FF0"/>
    <w:rsid w:val="00EE2999"/>
    <w:rsid w:val="00EE34EE"/>
    <w:rsid w:val="00EE3A14"/>
    <w:rsid w:val="00EE3BF2"/>
    <w:rsid w:val="00EE3CB7"/>
    <w:rsid w:val="00EE50AD"/>
    <w:rsid w:val="00EE5489"/>
    <w:rsid w:val="00EE5574"/>
    <w:rsid w:val="00EE5C04"/>
    <w:rsid w:val="00EE5F72"/>
    <w:rsid w:val="00EE67A5"/>
    <w:rsid w:val="00EE6A04"/>
    <w:rsid w:val="00EE6C3E"/>
    <w:rsid w:val="00EE6F7D"/>
    <w:rsid w:val="00EE77F2"/>
    <w:rsid w:val="00EF08E2"/>
    <w:rsid w:val="00EF0C30"/>
    <w:rsid w:val="00EF0F05"/>
    <w:rsid w:val="00EF1D74"/>
    <w:rsid w:val="00EF2205"/>
    <w:rsid w:val="00EF23E8"/>
    <w:rsid w:val="00EF2679"/>
    <w:rsid w:val="00EF4358"/>
    <w:rsid w:val="00EF4446"/>
    <w:rsid w:val="00EF4C7C"/>
    <w:rsid w:val="00EF4CFA"/>
    <w:rsid w:val="00EF509E"/>
    <w:rsid w:val="00EF5D4D"/>
    <w:rsid w:val="00EF5F43"/>
    <w:rsid w:val="00EF7B93"/>
    <w:rsid w:val="00F00197"/>
    <w:rsid w:val="00F00525"/>
    <w:rsid w:val="00F009A5"/>
    <w:rsid w:val="00F00CDF"/>
    <w:rsid w:val="00F013B9"/>
    <w:rsid w:val="00F01B6B"/>
    <w:rsid w:val="00F01CB3"/>
    <w:rsid w:val="00F01E86"/>
    <w:rsid w:val="00F0341E"/>
    <w:rsid w:val="00F034DC"/>
    <w:rsid w:val="00F041F0"/>
    <w:rsid w:val="00F04258"/>
    <w:rsid w:val="00F0469F"/>
    <w:rsid w:val="00F06A43"/>
    <w:rsid w:val="00F06AD3"/>
    <w:rsid w:val="00F07993"/>
    <w:rsid w:val="00F07A5C"/>
    <w:rsid w:val="00F100CE"/>
    <w:rsid w:val="00F10FA1"/>
    <w:rsid w:val="00F11043"/>
    <w:rsid w:val="00F1135D"/>
    <w:rsid w:val="00F11887"/>
    <w:rsid w:val="00F11BEC"/>
    <w:rsid w:val="00F1216D"/>
    <w:rsid w:val="00F1261A"/>
    <w:rsid w:val="00F130A1"/>
    <w:rsid w:val="00F137E5"/>
    <w:rsid w:val="00F13B3C"/>
    <w:rsid w:val="00F15582"/>
    <w:rsid w:val="00F1596B"/>
    <w:rsid w:val="00F1647B"/>
    <w:rsid w:val="00F1682A"/>
    <w:rsid w:val="00F16E83"/>
    <w:rsid w:val="00F17E66"/>
    <w:rsid w:val="00F206F5"/>
    <w:rsid w:val="00F2073C"/>
    <w:rsid w:val="00F2097C"/>
    <w:rsid w:val="00F20A5F"/>
    <w:rsid w:val="00F20CDE"/>
    <w:rsid w:val="00F210DF"/>
    <w:rsid w:val="00F22A80"/>
    <w:rsid w:val="00F22FA4"/>
    <w:rsid w:val="00F241BD"/>
    <w:rsid w:val="00F24224"/>
    <w:rsid w:val="00F244D6"/>
    <w:rsid w:val="00F24F95"/>
    <w:rsid w:val="00F25EEC"/>
    <w:rsid w:val="00F27325"/>
    <w:rsid w:val="00F274D4"/>
    <w:rsid w:val="00F276BB"/>
    <w:rsid w:val="00F3058E"/>
    <w:rsid w:val="00F30620"/>
    <w:rsid w:val="00F30679"/>
    <w:rsid w:val="00F30C0F"/>
    <w:rsid w:val="00F31043"/>
    <w:rsid w:val="00F3252E"/>
    <w:rsid w:val="00F329B6"/>
    <w:rsid w:val="00F35019"/>
    <w:rsid w:val="00F3509B"/>
    <w:rsid w:val="00F36E29"/>
    <w:rsid w:val="00F41451"/>
    <w:rsid w:val="00F41A40"/>
    <w:rsid w:val="00F4230D"/>
    <w:rsid w:val="00F42E9E"/>
    <w:rsid w:val="00F4385C"/>
    <w:rsid w:val="00F443D5"/>
    <w:rsid w:val="00F4455C"/>
    <w:rsid w:val="00F445AA"/>
    <w:rsid w:val="00F44A71"/>
    <w:rsid w:val="00F44AFC"/>
    <w:rsid w:val="00F44C15"/>
    <w:rsid w:val="00F455ED"/>
    <w:rsid w:val="00F45AF8"/>
    <w:rsid w:val="00F464EF"/>
    <w:rsid w:val="00F46A99"/>
    <w:rsid w:val="00F478CF"/>
    <w:rsid w:val="00F47968"/>
    <w:rsid w:val="00F47AE9"/>
    <w:rsid w:val="00F47D25"/>
    <w:rsid w:val="00F47DE9"/>
    <w:rsid w:val="00F5217B"/>
    <w:rsid w:val="00F523EB"/>
    <w:rsid w:val="00F5282F"/>
    <w:rsid w:val="00F52AC8"/>
    <w:rsid w:val="00F53275"/>
    <w:rsid w:val="00F53A9A"/>
    <w:rsid w:val="00F54CA9"/>
    <w:rsid w:val="00F564DC"/>
    <w:rsid w:val="00F56ED2"/>
    <w:rsid w:val="00F577B5"/>
    <w:rsid w:val="00F603F4"/>
    <w:rsid w:val="00F60822"/>
    <w:rsid w:val="00F60D6B"/>
    <w:rsid w:val="00F61A93"/>
    <w:rsid w:val="00F6236F"/>
    <w:rsid w:val="00F62A36"/>
    <w:rsid w:val="00F6338D"/>
    <w:rsid w:val="00F63CA0"/>
    <w:rsid w:val="00F64856"/>
    <w:rsid w:val="00F6499D"/>
    <w:rsid w:val="00F64B51"/>
    <w:rsid w:val="00F65513"/>
    <w:rsid w:val="00F65B6D"/>
    <w:rsid w:val="00F662C0"/>
    <w:rsid w:val="00F668AA"/>
    <w:rsid w:val="00F6764E"/>
    <w:rsid w:val="00F678C0"/>
    <w:rsid w:val="00F70514"/>
    <w:rsid w:val="00F7157B"/>
    <w:rsid w:val="00F724B3"/>
    <w:rsid w:val="00F72D9B"/>
    <w:rsid w:val="00F7305C"/>
    <w:rsid w:val="00F73BBB"/>
    <w:rsid w:val="00F74D66"/>
    <w:rsid w:val="00F74DB4"/>
    <w:rsid w:val="00F74E37"/>
    <w:rsid w:val="00F75609"/>
    <w:rsid w:val="00F76EE8"/>
    <w:rsid w:val="00F80B7C"/>
    <w:rsid w:val="00F80BFC"/>
    <w:rsid w:val="00F81D78"/>
    <w:rsid w:val="00F8385B"/>
    <w:rsid w:val="00F83BE1"/>
    <w:rsid w:val="00F83FCD"/>
    <w:rsid w:val="00F8428E"/>
    <w:rsid w:val="00F8474D"/>
    <w:rsid w:val="00F84BEF"/>
    <w:rsid w:val="00F84D17"/>
    <w:rsid w:val="00F84FFC"/>
    <w:rsid w:val="00F852EF"/>
    <w:rsid w:val="00F85538"/>
    <w:rsid w:val="00F857C8"/>
    <w:rsid w:val="00F8620D"/>
    <w:rsid w:val="00F862AA"/>
    <w:rsid w:val="00F86A51"/>
    <w:rsid w:val="00F90327"/>
    <w:rsid w:val="00F90674"/>
    <w:rsid w:val="00F90EC4"/>
    <w:rsid w:val="00F90ED8"/>
    <w:rsid w:val="00F9106A"/>
    <w:rsid w:val="00F93511"/>
    <w:rsid w:val="00F93C26"/>
    <w:rsid w:val="00F94BD1"/>
    <w:rsid w:val="00F958CC"/>
    <w:rsid w:val="00F95B04"/>
    <w:rsid w:val="00F962D8"/>
    <w:rsid w:val="00F96535"/>
    <w:rsid w:val="00F970DF"/>
    <w:rsid w:val="00F9765F"/>
    <w:rsid w:val="00F97D5F"/>
    <w:rsid w:val="00F97F7E"/>
    <w:rsid w:val="00FA020F"/>
    <w:rsid w:val="00FA05A6"/>
    <w:rsid w:val="00FA05F7"/>
    <w:rsid w:val="00FA06F3"/>
    <w:rsid w:val="00FA0B22"/>
    <w:rsid w:val="00FA0FA3"/>
    <w:rsid w:val="00FA115E"/>
    <w:rsid w:val="00FA15AD"/>
    <w:rsid w:val="00FA1C54"/>
    <w:rsid w:val="00FA1DA1"/>
    <w:rsid w:val="00FA20BA"/>
    <w:rsid w:val="00FA2B2D"/>
    <w:rsid w:val="00FA2B6E"/>
    <w:rsid w:val="00FA2BD7"/>
    <w:rsid w:val="00FA3311"/>
    <w:rsid w:val="00FA3392"/>
    <w:rsid w:val="00FA3B9E"/>
    <w:rsid w:val="00FA4422"/>
    <w:rsid w:val="00FA4652"/>
    <w:rsid w:val="00FA4D83"/>
    <w:rsid w:val="00FA4FB0"/>
    <w:rsid w:val="00FA516E"/>
    <w:rsid w:val="00FA5346"/>
    <w:rsid w:val="00FA5E3F"/>
    <w:rsid w:val="00FA628D"/>
    <w:rsid w:val="00FA6C79"/>
    <w:rsid w:val="00FA77D6"/>
    <w:rsid w:val="00FA79B7"/>
    <w:rsid w:val="00FA7DB4"/>
    <w:rsid w:val="00FB049D"/>
    <w:rsid w:val="00FB0FCB"/>
    <w:rsid w:val="00FB1A4F"/>
    <w:rsid w:val="00FB1FB9"/>
    <w:rsid w:val="00FB20D2"/>
    <w:rsid w:val="00FB27E5"/>
    <w:rsid w:val="00FB2A3C"/>
    <w:rsid w:val="00FB39F7"/>
    <w:rsid w:val="00FB4ECE"/>
    <w:rsid w:val="00FB59B2"/>
    <w:rsid w:val="00FB6027"/>
    <w:rsid w:val="00FB64EC"/>
    <w:rsid w:val="00FB6A18"/>
    <w:rsid w:val="00FB6BB0"/>
    <w:rsid w:val="00FB6CEB"/>
    <w:rsid w:val="00FB73B7"/>
    <w:rsid w:val="00FB7B5B"/>
    <w:rsid w:val="00FC0DFD"/>
    <w:rsid w:val="00FC1ADF"/>
    <w:rsid w:val="00FC20C1"/>
    <w:rsid w:val="00FC26F2"/>
    <w:rsid w:val="00FC3097"/>
    <w:rsid w:val="00FC3537"/>
    <w:rsid w:val="00FC3FC5"/>
    <w:rsid w:val="00FC4326"/>
    <w:rsid w:val="00FC48A6"/>
    <w:rsid w:val="00FC4B0F"/>
    <w:rsid w:val="00FC4B23"/>
    <w:rsid w:val="00FC577D"/>
    <w:rsid w:val="00FC7489"/>
    <w:rsid w:val="00FC7A7A"/>
    <w:rsid w:val="00FD05E3"/>
    <w:rsid w:val="00FD062F"/>
    <w:rsid w:val="00FD098D"/>
    <w:rsid w:val="00FD0B3B"/>
    <w:rsid w:val="00FD12B4"/>
    <w:rsid w:val="00FD200C"/>
    <w:rsid w:val="00FD2324"/>
    <w:rsid w:val="00FD2CFF"/>
    <w:rsid w:val="00FD3613"/>
    <w:rsid w:val="00FD3F10"/>
    <w:rsid w:val="00FD6DA8"/>
    <w:rsid w:val="00FD6E19"/>
    <w:rsid w:val="00FD709D"/>
    <w:rsid w:val="00FD72AA"/>
    <w:rsid w:val="00FD75E1"/>
    <w:rsid w:val="00FE02B0"/>
    <w:rsid w:val="00FE113A"/>
    <w:rsid w:val="00FE1590"/>
    <w:rsid w:val="00FE1C60"/>
    <w:rsid w:val="00FE1E87"/>
    <w:rsid w:val="00FE441B"/>
    <w:rsid w:val="00FE4CC0"/>
    <w:rsid w:val="00FE570C"/>
    <w:rsid w:val="00FE5EB9"/>
    <w:rsid w:val="00FE61D6"/>
    <w:rsid w:val="00FF0560"/>
    <w:rsid w:val="00FF05F9"/>
    <w:rsid w:val="00FF0B10"/>
    <w:rsid w:val="00FF1557"/>
    <w:rsid w:val="00FF1D9D"/>
    <w:rsid w:val="00FF1E36"/>
    <w:rsid w:val="00FF2808"/>
    <w:rsid w:val="00FF425C"/>
    <w:rsid w:val="00FF440C"/>
    <w:rsid w:val="00FF4428"/>
    <w:rsid w:val="00FF4434"/>
    <w:rsid w:val="00FF5CAD"/>
    <w:rsid w:val="00FF5E7D"/>
    <w:rsid w:val="00FF619A"/>
    <w:rsid w:val="00FF632A"/>
    <w:rsid w:val="00FF68F4"/>
    <w:rsid w:val="00FF6B37"/>
    <w:rsid w:val="00FF7D36"/>
    <w:rsid w:val="00FF7E4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5233"/>
    <o:shapelayout v:ext="edit">
      <o:idmap v:ext="edit" data="1"/>
    </o:shapelayout>
  </w:shapeDefaults>
  <w:decimalSymbol w:val=","/>
  <w:listSeparator w:val=";"/>
  <w15:docId w15:val="{D6E7A285-B1AE-4FB2-B0C4-D196FCA7B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locked="0" w:semiHidden="1" w:uiPriority="0"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qFormat="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7B15B0"/>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autoRedefine/>
    <w:uiPriority w:val="9"/>
    <w:qFormat/>
    <w:locked/>
    <w:rsid w:val="007522E3"/>
    <w:pPr>
      <w:keepNext/>
      <w:overflowPunct/>
      <w:autoSpaceDE/>
      <w:autoSpaceDN/>
      <w:adjustRightInd/>
      <w:spacing w:before="240" w:after="60" w:line="260" w:lineRule="atLeast"/>
      <w:jc w:val="left"/>
      <w:textAlignment w:val="auto"/>
      <w:outlineLvl w:val="0"/>
    </w:pPr>
    <w:rPr>
      <w:b/>
      <w:kern w:val="32"/>
      <w:sz w:val="28"/>
      <w:szCs w:val="32"/>
    </w:rPr>
  </w:style>
  <w:style w:type="paragraph" w:styleId="Naslov2">
    <w:name w:val="heading 2"/>
    <w:basedOn w:val="Navaden"/>
    <w:next w:val="Navaden"/>
    <w:link w:val="Naslov2Znak"/>
    <w:uiPriority w:val="9"/>
    <w:qFormat/>
    <w:locked/>
    <w:rsid w:val="007522E3"/>
    <w:pPr>
      <w:keepNext/>
      <w:keepLines/>
      <w:overflowPunct/>
      <w:autoSpaceDE/>
      <w:autoSpaceDN/>
      <w:adjustRightInd/>
      <w:spacing w:before="200" w:line="276" w:lineRule="auto"/>
      <w:ind w:left="4830" w:hanging="576"/>
      <w:jc w:val="left"/>
      <w:textAlignment w:val="auto"/>
      <w:outlineLvl w:val="1"/>
    </w:pPr>
    <w:rPr>
      <w:rFonts w:ascii="Calibri" w:hAnsi="Calibri"/>
      <w:b/>
      <w:bCs/>
      <w:sz w:val="20"/>
      <w:szCs w:val="26"/>
    </w:rPr>
  </w:style>
  <w:style w:type="paragraph" w:styleId="Naslov3">
    <w:name w:val="heading 3"/>
    <w:basedOn w:val="Navaden"/>
    <w:next w:val="Navaden"/>
    <w:link w:val="Naslov3Znak"/>
    <w:uiPriority w:val="9"/>
    <w:qFormat/>
    <w:locked/>
    <w:rsid w:val="007522E3"/>
    <w:pPr>
      <w:keepNext/>
      <w:keepLines/>
      <w:overflowPunct/>
      <w:autoSpaceDE/>
      <w:autoSpaceDN/>
      <w:adjustRightInd/>
      <w:spacing w:before="200" w:line="276" w:lineRule="auto"/>
      <w:ind w:left="1288" w:hanging="720"/>
      <w:jc w:val="left"/>
      <w:textAlignment w:val="auto"/>
      <w:outlineLvl w:val="2"/>
    </w:pPr>
    <w:rPr>
      <w:rFonts w:ascii="Calibri" w:hAnsi="Calibri"/>
      <w:b/>
      <w:bCs/>
      <w:i/>
      <w:sz w:val="20"/>
      <w:szCs w:val="20"/>
    </w:rPr>
  </w:style>
  <w:style w:type="paragraph" w:styleId="Naslov4">
    <w:name w:val="heading 4"/>
    <w:aliases w:val="Grafika"/>
    <w:basedOn w:val="Navaden"/>
    <w:next w:val="Odstavek"/>
    <w:link w:val="Naslov4Znak"/>
    <w:uiPriority w:val="9"/>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uiPriority w:val="9"/>
    <w:qFormat/>
    <w:locked/>
    <w:rsid w:val="007522E3"/>
    <w:pPr>
      <w:keepNext/>
      <w:keepLines/>
      <w:overflowPunct/>
      <w:autoSpaceDE/>
      <w:autoSpaceDN/>
      <w:adjustRightInd/>
      <w:spacing w:before="200" w:line="276" w:lineRule="auto"/>
      <w:ind w:left="1008" w:hanging="1008"/>
      <w:jc w:val="left"/>
      <w:textAlignment w:val="auto"/>
      <w:outlineLvl w:val="4"/>
    </w:pPr>
    <w:rPr>
      <w:rFonts w:ascii="Cambria" w:hAnsi="Cambria"/>
      <w:color w:val="243F60"/>
      <w:sz w:val="20"/>
      <w:szCs w:val="20"/>
    </w:rPr>
  </w:style>
  <w:style w:type="paragraph" w:styleId="Naslov6">
    <w:name w:val="heading 6"/>
    <w:basedOn w:val="Navaden"/>
    <w:next w:val="Navaden"/>
    <w:link w:val="Naslov6Znak"/>
    <w:uiPriority w:val="9"/>
    <w:qFormat/>
    <w:locked/>
    <w:rsid w:val="007522E3"/>
    <w:pPr>
      <w:keepNext/>
      <w:keepLines/>
      <w:overflowPunct/>
      <w:autoSpaceDE/>
      <w:autoSpaceDN/>
      <w:adjustRightInd/>
      <w:spacing w:before="200" w:line="276" w:lineRule="auto"/>
      <w:ind w:left="1152" w:hanging="1152"/>
      <w:jc w:val="left"/>
      <w:textAlignment w:val="auto"/>
      <w:outlineLvl w:val="5"/>
    </w:pPr>
    <w:rPr>
      <w:rFonts w:ascii="Cambria" w:hAnsi="Cambria"/>
      <w:i/>
      <w:iCs/>
      <w:color w:val="243F60"/>
      <w:sz w:val="20"/>
      <w:szCs w:val="20"/>
    </w:rPr>
  </w:style>
  <w:style w:type="paragraph" w:styleId="Naslov7">
    <w:name w:val="heading 7"/>
    <w:basedOn w:val="Navaden"/>
    <w:next w:val="Navaden"/>
    <w:link w:val="Naslov7Znak"/>
    <w:uiPriority w:val="9"/>
    <w:qFormat/>
    <w:locked/>
    <w:rsid w:val="007522E3"/>
    <w:pPr>
      <w:keepNext/>
      <w:keepLines/>
      <w:overflowPunct/>
      <w:autoSpaceDE/>
      <w:autoSpaceDN/>
      <w:adjustRightInd/>
      <w:spacing w:before="200" w:line="276" w:lineRule="auto"/>
      <w:ind w:left="1296" w:hanging="1296"/>
      <w:jc w:val="left"/>
      <w:textAlignment w:val="auto"/>
      <w:outlineLvl w:val="6"/>
    </w:pPr>
    <w:rPr>
      <w:rFonts w:ascii="Cambria" w:hAnsi="Cambria"/>
      <w:i/>
      <w:iCs/>
      <w:color w:val="404040"/>
      <w:sz w:val="20"/>
      <w:szCs w:val="20"/>
    </w:rPr>
  </w:style>
  <w:style w:type="paragraph" w:styleId="Naslov8">
    <w:name w:val="heading 8"/>
    <w:basedOn w:val="Navaden"/>
    <w:next w:val="Navaden"/>
    <w:link w:val="Naslov8Znak"/>
    <w:uiPriority w:val="9"/>
    <w:qFormat/>
    <w:locked/>
    <w:rsid w:val="007522E3"/>
    <w:pPr>
      <w:keepNext/>
      <w:keepLines/>
      <w:overflowPunct/>
      <w:autoSpaceDE/>
      <w:autoSpaceDN/>
      <w:adjustRightInd/>
      <w:spacing w:before="200" w:line="276" w:lineRule="auto"/>
      <w:ind w:left="1440" w:hanging="1440"/>
      <w:jc w:val="left"/>
      <w:textAlignment w:val="auto"/>
      <w:outlineLvl w:val="7"/>
    </w:pPr>
    <w:rPr>
      <w:rFonts w:ascii="Cambria" w:hAnsi="Cambria"/>
      <w:color w:val="404040"/>
      <w:sz w:val="20"/>
      <w:szCs w:val="20"/>
    </w:rPr>
  </w:style>
  <w:style w:type="paragraph" w:styleId="Naslov9">
    <w:name w:val="heading 9"/>
    <w:basedOn w:val="Navaden"/>
    <w:next w:val="Navaden"/>
    <w:link w:val="Naslov9Znak"/>
    <w:uiPriority w:val="9"/>
    <w:qFormat/>
    <w:locked/>
    <w:rsid w:val="007522E3"/>
    <w:pPr>
      <w:keepNext/>
      <w:keepLines/>
      <w:overflowPunct/>
      <w:autoSpaceDE/>
      <w:autoSpaceDN/>
      <w:adjustRightInd/>
      <w:spacing w:before="200" w:line="276" w:lineRule="auto"/>
      <w:ind w:left="1584" w:hanging="1584"/>
      <w:jc w:val="left"/>
      <w:textAlignment w:val="auto"/>
      <w:outlineLvl w:val="8"/>
    </w:pPr>
    <w:rPr>
      <w:rFonts w:ascii="Cambria" w:hAnsi="Cambria"/>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qFormat/>
    <w:rsid w:val="00653C19"/>
    <w:rPr>
      <w:rFonts w:ascii="Times New Roman" w:hAnsi="Times New Roman"/>
    </w:rPr>
  </w:style>
  <w:style w:type="paragraph" w:styleId="Glava">
    <w:name w:val="header"/>
    <w:aliases w:val="APEK-4"/>
    <w:basedOn w:val="Navaden"/>
    <w:link w:val="GlavaZnak"/>
    <w:locked/>
    <w:rsid w:val="00443548"/>
    <w:pPr>
      <w:tabs>
        <w:tab w:val="center" w:pos="4536"/>
        <w:tab w:val="right" w:pos="9072"/>
      </w:tabs>
    </w:pPr>
  </w:style>
  <w:style w:type="character" w:customStyle="1" w:styleId="GlavaZnak">
    <w:name w:val="Glava Znak"/>
    <w:aliases w:val="APEK-4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qFormat/>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qFormat/>
    <w:locked/>
    <w:rsid w:val="006E055E"/>
    <w:rPr>
      <w:rFonts w:ascii="Tahoma" w:hAnsi="Tahoma" w:cs="Tahoma"/>
      <w:sz w:val="16"/>
    </w:rPr>
  </w:style>
  <w:style w:type="character" w:customStyle="1" w:styleId="BesedilooblakaZnak">
    <w:name w:val="Besedilo oblačka Znak"/>
    <w:link w:val="Besedilooblaka"/>
    <w:uiPriority w:val="99"/>
    <w:qFormat/>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qFormat/>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uiPriority w:val="9"/>
    <w:qFormat/>
    <w:rsid w:val="001552BA"/>
    <w:rPr>
      <w:rFonts w:ascii="Arial" w:eastAsia="Times New Roman" w:hAnsi="Arial" w:cs="Arial"/>
      <w:bCs/>
      <w:color w:val="000000"/>
      <w:sz w:val="22"/>
      <w:szCs w:val="27"/>
    </w:rPr>
  </w:style>
  <w:style w:type="character" w:styleId="SledenaHiperpovezava">
    <w:name w:val="FollowedHyperlink"/>
    <w:uiPriority w:val="99"/>
    <w:unhideWhenUsed/>
    <w:locked/>
    <w:rsid w:val="006E392F"/>
    <w:rPr>
      <w:color w:val="800080"/>
      <w:u w:val="single"/>
    </w:rPr>
  </w:style>
  <w:style w:type="paragraph" w:styleId="Zadevapripombe">
    <w:name w:val="annotation subject"/>
    <w:aliases w:val="Table Grid"/>
    <w:basedOn w:val="Pripombabesedilo"/>
    <w:next w:val="Pripombabesedilo"/>
    <w:link w:val="ZadevapripombeZnak"/>
    <w:uiPriority w:val="99"/>
    <w:unhideWhenUsed/>
    <w:locked/>
    <w:rsid w:val="00CE415D"/>
    <w:pPr>
      <w:overflowPunct w:val="0"/>
      <w:autoSpaceDE w:val="0"/>
      <w:autoSpaceDN w:val="0"/>
      <w:adjustRightInd w:val="0"/>
      <w:textAlignment w:val="baseline"/>
    </w:pPr>
    <w:rPr>
      <w:b/>
      <w:bCs/>
      <w:lang w:eastAsia="sl-SI"/>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ZadevapripombeZnak">
    <w:name w:val="Zadeva pripombe Znak"/>
    <w:aliases w:val="Table Grid Znak"/>
    <w:link w:val="Zadevapripombe"/>
    <w:uiPriority w:val="99"/>
    <w:rsid w:val="00CE415D"/>
    <w:rPr>
      <w:rFonts w:ascii="Arial" w:eastAsia="Times New Roman" w:hAnsi="Arial"/>
      <w:b/>
      <w:bCs/>
      <w:lang w:eastAsia="en-US"/>
    </w:rPr>
  </w:style>
  <w:style w:type="character" w:customStyle="1" w:styleId="tlid-translation">
    <w:name w:val="tlid-translation"/>
    <w:rsid w:val="009D4398"/>
  </w:style>
  <w:style w:type="paragraph" w:customStyle="1" w:styleId="Navaden1">
    <w:name w:val="Navaden1"/>
    <w:basedOn w:val="Navaden"/>
    <w:rsid w:val="002D14D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1">
    <w:name w:val="lennaslov1"/>
    <w:basedOn w:val="Navaden"/>
    <w:rsid w:val="0054195B"/>
    <w:pPr>
      <w:overflowPunct/>
      <w:autoSpaceDE/>
      <w:autoSpaceDN/>
      <w:adjustRightInd/>
      <w:jc w:val="center"/>
      <w:textAlignment w:val="auto"/>
    </w:pPr>
    <w:rPr>
      <w:rFonts w:cs="Arial"/>
      <w:b/>
      <w:bCs/>
      <w:szCs w:val="22"/>
    </w:rPr>
  </w:style>
  <w:style w:type="character" w:customStyle="1" w:styleId="highlight">
    <w:name w:val="highlight"/>
    <w:basedOn w:val="Privzetapisavaodstavka"/>
    <w:rsid w:val="00BA4E32"/>
  </w:style>
  <w:style w:type="paragraph" w:styleId="Napis">
    <w:name w:val="caption"/>
    <w:basedOn w:val="Navaden"/>
    <w:qFormat/>
    <w:locked/>
    <w:rsid w:val="00EB71E8"/>
    <w:pPr>
      <w:suppressLineNumbers/>
      <w:overflowPunct/>
      <w:autoSpaceDE/>
      <w:autoSpaceDN/>
      <w:adjustRightInd/>
      <w:spacing w:before="120" w:after="120" w:line="240" w:lineRule="atLeast"/>
      <w:textAlignment w:val="auto"/>
    </w:pPr>
    <w:rPr>
      <w:rFonts w:cs="Mangal"/>
      <w:i/>
      <w:iCs/>
      <w:sz w:val="24"/>
      <w:szCs w:val="24"/>
      <w:lang w:eastAsia="en-US"/>
    </w:rPr>
  </w:style>
  <w:style w:type="paragraph" w:customStyle="1" w:styleId="odstavek0">
    <w:name w:val="odstavek"/>
    <w:basedOn w:val="Navaden"/>
    <w:rsid w:val="00621B8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73333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4267C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4267C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basedOn w:val="Privzetapisavaodstavka"/>
    <w:link w:val="Naslov1"/>
    <w:uiPriority w:val="9"/>
    <w:qFormat/>
    <w:rsid w:val="007522E3"/>
    <w:rPr>
      <w:rFonts w:ascii="Arial" w:eastAsia="Times New Roman" w:hAnsi="Arial"/>
      <w:b/>
      <w:kern w:val="32"/>
      <w:sz w:val="28"/>
      <w:szCs w:val="32"/>
    </w:rPr>
  </w:style>
  <w:style w:type="character" w:customStyle="1" w:styleId="Naslov2Znak">
    <w:name w:val="Naslov 2 Znak"/>
    <w:basedOn w:val="Privzetapisavaodstavka"/>
    <w:link w:val="Naslov2"/>
    <w:uiPriority w:val="9"/>
    <w:qFormat/>
    <w:rsid w:val="007522E3"/>
    <w:rPr>
      <w:rFonts w:eastAsia="Times New Roman"/>
      <w:b/>
      <w:bCs/>
      <w:szCs w:val="26"/>
    </w:rPr>
  </w:style>
  <w:style w:type="character" w:customStyle="1" w:styleId="Naslov3Znak">
    <w:name w:val="Naslov 3 Znak"/>
    <w:basedOn w:val="Privzetapisavaodstavka"/>
    <w:link w:val="Naslov3"/>
    <w:uiPriority w:val="9"/>
    <w:qFormat/>
    <w:rsid w:val="007522E3"/>
    <w:rPr>
      <w:rFonts w:eastAsia="Times New Roman"/>
      <w:b/>
      <w:bCs/>
      <w:i/>
    </w:rPr>
  </w:style>
  <w:style w:type="character" w:customStyle="1" w:styleId="Naslov5Znak">
    <w:name w:val="Naslov 5 Znak"/>
    <w:basedOn w:val="Privzetapisavaodstavka"/>
    <w:link w:val="Naslov5"/>
    <w:uiPriority w:val="9"/>
    <w:qFormat/>
    <w:rsid w:val="007522E3"/>
    <w:rPr>
      <w:rFonts w:ascii="Cambria" w:eastAsia="Times New Roman" w:hAnsi="Cambria"/>
      <w:color w:val="243F60"/>
    </w:rPr>
  </w:style>
  <w:style w:type="character" w:customStyle="1" w:styleId="Naslov6Znak">
    <w:name w:val="Naslov 6 Znak"/>
    <w:basedOn w:val="Privzetapisavaodstavka"/>
    <w:link w:val="Naslov6"/>
    <w:uiPriority w:val="9"/>
    <w:qFormat/>
    <w:rsid w:val="007522E3"/>
    <w:rPr>
      <w:rFonts w:ascii="Cambria" w:eastAsia="Times New Roman" w:hAnsi="Cambria"/>
      <w:i/>
      <w:iCs/>
      <w:color w:val="243F60"/>
    </w:rPr>
  </w:style>
  <w:style w:type="character" w:customStyle="1" w:styleId="Naslov7Znak">
    <w:name w:val="Naslov 7 Znak"/>
    <w:basedOn w:val="Privzetapisavaodstavka"/>
    <w:link w:val="Naslov7"/>
    <w:uiPriority w:val="9"/>
    <w:qFormat/>
    <w:rsid w:val="007522E3"/>
    <w:rPr>
      <w:rFonts w:ascii="Cambria" w:eastAsia="Times New Roman" w:hAnsi="Cambria"/>
      <w:i/>
      <w:iCs/>
      <w:color w:val="404040"/>
    </w:rPr>
  </w:style>
  <w:style w:type="character" w:customStyle="1" w:styleId="Naslov8Znak">
    <w:name w:val="Naslov 8 Znak"/>
    <w:basedOn w:val="Privzetapisavaodstavka"/>
    <w:link w:val="Naslov8"/>
    <w:uiPriority w:val="9"/>
    <w:qFormat/>
    <w:rsid w:val="007522E3"/>
    <w:rPr>
      <w:rFonts w:ascii="Cambria" w:eastAsia="Times New Roman" w:hAnsi="Cambria"/>
      <w:color w:val="404040"/>
    </w:rPr>
  </w:style>
  <w:style w:type="character" w:customStyle="1" w:styleId="Naslov9Znak">
    <w:name w:val="Naslov 9 Znak"/>
    <w:basedOn w:val="Privzetapisavaodstavka"/>
    <w:link w:val="Naslov9"/>
    <w:uiPriority w:val="9"/>
    <w:qFormat/>
    <w:rsid w:val="007522E3"/>
    <w:rPr>
      <w:rFonts w:ascii="Cambria" w:eastAsia="Times New Roman" w:hAnsi="Cambria"/>
      <w:i/>
      <w:iCs/>
      <w:color w:val="404040"/>
    </w:rPr>
  </w:style>
  <w:style w:type="paragraph" w:customStyle="1" w:styleId="datumtevilka">
    <w:name w:val="datum številka"/>
    <w:basedOn w:val="Navaden"/>
    <w:qFormat/>
    <w:rsid w:val="007522E3"/>
    <w:pPr>
      <w:tabs>
        <w:tab w:val="left" w:pos="1701"/>
      </w:tabs>
      <w:overflowPunct/>
      <w:autoSpaceDE/>
      <w:autoSpaceDN/>
      <w:adjustRightInd/>
      <w:spacing w:line="260" w:lineRule="atLeast"/>
      <w:jc w:val="left"/>
      <w:textAlignment w:val="auto"/>
    </w:pPr>
    <w:rPr>
      <w:sz w:val="20"/>
      <w:szCs w:val="20"/>
    </w:rPr>
  </w:style>
  <w:style w:type="paragraph" w:customStyle="1" w:styleId="ZADEVA">
    <w:name w:val="ZADEVA"/>
    <w:basedOn w:val="Navaden"/>
    <w:qFormat/>
    <w:rsid w:val="007522E3"/>
    <w:pPr>
      <w:tabs>
        <w:tab w:val="left" w:pos="1701"/>
      </w:tabs>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
    <w:qFormat/>
    <w:rsid w:val="007522E3"/>
    <w:pPr>
      <w:tabs>
        <w:tab w:val="left" w:pos="3402"/>
      </w:tabs>
      <w:overflowPunct/>
      <w:autoSpaceDE/>
      <w:autoSpaceDN/>
      <w:adjustRightInd/>
      <w:spacing w:line="260" w:lineRule="atLeast"/>
      <w:jc w:val="left"/>
      <w:textAlignment w:val="auto"/>
    </w:pPr>
    <w:rPr>
      <w:sz w:val="20"/>
      <w:szCs w:val="24"/>
      <w:lang w:val="it-IT" w:eastAsia="en-US"/>
    </w:rPr>
  </w:style>
  <w:style w:type="paragraph" w:customStyle="1" w:styleId="Neotevilenodstavek">
    <w:name w:val="Neoštevilčen odstavek"/>
    <w:basedOn w:val="Navaden"/>
    <w:link w:val="NeotevilenodstavekZnak"/>
    <w:qFormat/>
    <w:rsid w:val="007522E3"/>
    <w:pPr>
      <w:spacing w:before="60" w:after="60" w:line="200" w:lineRule="exact"/>
    </w:pPr>
    <w:rPr>
      <w:sz w:val="20"/>
      <w:szCs w:val="20"/>
    </w:rPr>
  </w:style>
  <w:style w:type="character" w:customStyle="1" w:styleId="NeotevilenodstavekZnak">
    <w:name w:val="Neoštevilčen odstavek Znak"/>
    <w:link w:val="Neotevilenodstavek"/>
    <w:rsid w:val="007522E3"/>
    <w:rPr>
      <w:rFonts w:ascii="Arial" w:eastAsia="Times New Roman" w:hAnsi="Arial"/>
    </w:rPr>
  </w:style>
  <w:style w:type="character" w:customStyle="1" w:styleId="IntenseEmphasis1">
    <w:name w:val="Intense Emphasis1"/>
    <w:uiPriority w:val="21"/>
    <w:qFormat/>
    <w:rsid w:val="007522E3"/>
    <w:rPr>
      <w:rFonts w:cs="Times New Roman"/>
      <w:b/>
      <w:bCs/>
      <w:i/>
      <w:iCs/>
      <w:color w:val="4F81BD"/>
    </w:rPr>
  </w:style>
  <w:style w:type="paragraph" w:customStyle="1" w:styleId="Slog1">
    <w:name w:val="Slog1"/>
    <w:basedOn w:val="Naslov1"/>
    <w:link w:val="Slog1Znak"/>
    <w:autoRedefine/>
    <w:qFormat/>
    <w:rsid w:val="007522E3"/>
    <w:pPr>
      <w:spacing w:before="0" w:after="0" w:line="240" w:lineRule="auto"/>
      <w:ind w:left="360" w:hanging="360"/>
    </w:pPr>
    <w:rPr>
      <w:szCs w:val="28"/>
    </w:rPr>
  </w:style>
  <w:style w:type="character" w:customStyle="1" w:styleId="Slog1Znak">
    <w:name w:val="Slog1 Znak"/>
    <w:link w:val="Slog1"/>
    <w:rsid w:val="007522E3"/>
    <w:rPr>
      <w:rFonts w:ascii="Arial" w:eastAsia="Times New Roman" w:hAnsi="Arial"/>
      <w:b/>
      <w:kern w:val="32"/>
      <w:sz w:val="28"/>
      <w:szCs w:val="28"/>
    </w:rPr>
  </w:style>
  <w:style w:type="paragraph" w:customStyle="1" w:styleId="Slog2">
    <w:name w:val="Slog2"/>
    <w:basedOn w:val="Naslov2"/>
    <w:link w:val="Slog2Znak"/>
    <w:qFormat/>
    <w:rsid w:val="007522E3"/>
    <w:pPr>
      <w:numPr>
        <w:ilvl w:val="1"/>
        <w:numId w:val="55"/>
      </w:numPr>
      <w:spacing w:before="0" w:line="240" w:lineRule="auto"/>
      <w:ind w:left="567" w:hanging="576"/>
    </w:pPr>
    <w:rPr>
      <w:rFonts w:ascii="Arial" w:hAnsi="Arial"/>
      <w:color w:val="000000"/>
    </w:rPr>
  </w:style>
  <w:style w:type="character" w:customStyle="1" w:styleId="Slog2Znak">
    <w:name w:val="Slog2 Znak"/>
    <w:link w:val="Slog2"/>
    <w:rsid w:val="007522E3"/>
    <w:rPr>
      <w:rFonts w:ascii="Arial" w:eastAsia="Times New Roman" w:hAnsi="Arial"/>
      <w:b/>
      <w:bCs/>
      <w:color w:val="000000"/>
      <w:szCs w:val="26"/>
    </w:rPr>
  </w:style>
  <w:style w:type="paragraph" w:customStyle="1" w:styleId="Slog3">
    <w:name w:val="Slog3"/>
    <w:basedOn w:val="Naslov3"/>
    <w:link w:val="Slog3Znak"/>
    <w:autoRedefine/>
    <w:qFormat/>
    <w:rsid w:val="007522E3"/>
    <w:pPr>
      <w:numPr>
        <w:ilvl w:val="2"/>
        <w:numId w:val="55"/>
      </w:numPr>
      <w:spacing w:before="0" w:line="240" w:lineRule="auto"/>
      <w:ind w:left="1288" w:hanging="720"/>
      <w:jc w:val="both"/>
    </w:pPr>
    <w:rPr>
      <w:rFonts w:ascii="Arial" w:hAnsi="Arial"/>
      <w:i w:val="0"/>
      <w:color w:val="000000"/>
    </w:rPr>
  </w:style>
  <w:style w:type="character" w:customStyle="1" w:styleId="Slog3Znak">
    <w:name w:val="Slog3 Znak"/>
    <w:link w:val="Slog3"/>
    <w:rsid w:val="007522E3"/>
    <w:rPr>
      <w:rFonts w:ascii="Arial" w:eastAsia="Times New Roman" w:hAnsi="Arial"/>
      <w:b/>
      <w:bCs/>
      <w:color w:val="000000"/>
    </w:rPr>
  </w:style>
  <w:style w:type="paragraph" w:customStyle="1" w:styleId="NoSpacing1">
    <w:name w:val="No Spacing1"/>
    <w:qFormat/>
    <w:rsid w:val="007522E3"/>
    <w:rPr>
      <w:rFonts w:ascii="Arial" w:eastAsia="Times New Roman" w:hAnsi="Arial"/>
      <w:szCs w:val="22"/>
      <w:lang w:eastAsia="en-US"/>
    </w:rPr>
  </w:style>
  <w:style w:type="paragraph" w:customStyle="1" w:styleId="Alineazatoko">
    <w:name w:val="Alinea za točko"/>
    <w:basedOn w:val="Navaden"/>
    <w:link w:val="AlineazatokoZnak"/>
    <w:qFormat/>
    <w:rsid w:val="007522E3"/>
    <w:pPr>
      <w:tabs>
        <w:tab w:val="num" w:pos="720"/>
      </w:tabs>
      <w:spacing w:line="200" w:lineRule="exact"/>
      <w:ind w:left="720" w:hanging="720"/>
    </w:pPr>
    <w:rPr>
      <w:sz w:val="20"/>
      <w:szCs w:val="20"/>
    </w:rPr>
  </w:style>
  <w:style w:type="character" w:customStyle="1" w:styleId="AlineazatokoZnak">
    <w:name w:val="Alinea za točko Znak"/>
    <w:link w:val="Alineazatoko"/>
    <w:rsid w:val="007522E3"/>
    <w:rPr>
      <w:rFonts w:ascii="Arial" w:eastAsia="Times New Roman" w:hAnsi="Arial"/>
    </w:rPr>
  </w:style>
  <w:style w:type="paragraph" w:customStyle="1" w:styleId="Odstavekseznama1">
    <w:name w:val="Odstavek seznama1"/>
    <w:basedOn w:val="Navaden"/>
    <w:qFormat/>
    <w:rsid w:val="007522E3"/>
    <w:pPr>
      <w:overflowPunct/>
      <w:autoSpaceDE/>
      <w:autoSpaceDN/>
      <w:adjustRightInd/>
      <w:ind w:left="720"/>
      <w:contextualSpacing/>
      <w:jc w:val="left"/>
      <w:textAlignment w:val="auto"/>
    </w:pPr>
    <w:rPr>
      <w:rFonts w:ascii="Times New Roman" w:hAnsi="Times New Roman"/>
      <w:sz w:val="24"/>
      <w:szCs w:val="24"/>
    </w:rPr>
  </w:style>
  <w:style w:type="character" w:customStyle="1" w:styleId="FootnoteTextChar">
    <w:name w:val="Footnote Text Char"/>
    <w:aliases w:val="Sprotna opomba-besedilo Char,Char Char Char,Char Char Char Char Char"/>
    <w:qFormat/>
    <w:locked/>
    <w:rsid w:val="007522E3"/>
    <w:rPr>
      <w:rFonts w:eastAsia="MS Mincho"/>
      <w:lang w:val="sl-SI" w:eastAsia="ja-JP" w:bidi="ar-SA"/>
    </w:rPr>
  </w:style>
  <w:style w:type="paragraph" w:customStyle="1" w:styleId="ListParagraph1">
    <w:name w:val="List Paragraph1"/>
    <w:basedOn w:val="Navaden"/>
    <w:uiPriority w:val="34"/>
    <w:qFormat/>
    <w:rsid w:val="007522E3"/>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paragraph" w:customStyle="1" w:styleId="ListParagraph2">
    <w:name w:val="List Paragraph2"/>
    <w:basedOn w:val="Navaden"/>
    <w:uiPriority w:val="34"/>
    <w:qFormat/>
    <w:rsid w:val="007522E3"/>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paragraph" w:customStyle="1" w:styleId="Bodytxt">
    <w:name w:val="Body txt"/>
    <w:basedOn w:val="Navaden"/>
    <w:qFormat/>
    <w:rsid w:val="007522E3"/>
    <w:pPr>
      <w:overflowPunct/>
      <w:autoSpaceDE/>
      <w:autoSpaceDN/>
      <w:adjustRightInd/>
      <w:spacing w:line="288" w:lineRule="auto"/>
      <w:textAlignment w:val="auto"/>
    </w:pPr>
    <w:rPr>
      <w:rFonts w:ascii="Calibri" w:hAnsi="Calibri"/>
      <w:szCs w:val="24"/>
    </w:rPr>
  </w:style>
  <w:style w:type="character" w:customStyle="1" w:styleId="st">
    <w:name w:val="st"/>
    <w:qFormat/>
    <w:rsid w:val="007522E3"/>
  </w:style>
  <w:style w:type="character" w:customStyle="1" w:styleId="apple-converted-space">
    <w:name w:val="apple-converted-space"/>
    <w:qFormat/>
    <w:rsid w:val="007522E3"/>
  </w:style>
  <w:style w:type="character" w:customStyle="1" w:styleId="FootnoteCharacters">
    <w:name w:val="Footnote Characters"/>
    <w:qFormat/>
    <w:rsid w:val="007522E3"/>
  </w:style>
  <w:style w:type="character" w:customStyle="1" w:styleId="EndnoteCharacters">
    <w:name w:val="Endnote Characters"/>
    <w:qFormat/>
    <w:rsid w:val="007522E3"/>
  </w:style>
  <w:style w:type="paragraph" w:customStyle="1" w:styleId="Heading">
    <w:name w:val="Heading"/>
    <w:basedOn w:val="Navaden"/>
    <w:next w:val="Navaden"/>
    <w:qFormat/>
    <w:rsid w:val="007522E3"/>
    <w:pPr>
      <w:keepNext/>
      <w:overflowPunct/>
      <w:autoSpaceDE/>
      <w:autoSpaceDN/>
      <w:adjustRightInd/>
      <w:spacing w:before="240" w:after="120" w:line="240" w:lineRule="atLeast"/>
      <w:textAlignment w:val="auto"/>
    </w:pPr>
    <w:rPr>
      <w:rFonts w:ascii="Liberation Sans" w:eastAsia="Microsoft YaHei" w:hAnsi="Liberation Sans" w:cs="Mangal"/>
      <w:sz w:val="28"/>
      <w:szCs w:val="28"/>
      <w:lang w:eastAsia="en-US"/>
    </w:rPr>
  </w:style>
  <w:style w:type="paragraph" w:customStyle="1" w:styleId="Index">
    <w:name w:val="Index"/>
    <w:basedOn w:val="Navaden"/>
    <w:qFormat/>
    <w:rsid w:val="007522E3"/>
    <w:pPr>
      <w:suppressLineNumbers/>
      <w:overflowPunct/>
      <w:autoSpaceDE/>
      <w:autoSpaceDN/>
      <w:adjustRightInd/>
      <w:spacing w:line="240" w:lineRule="atLeast"/>
      <w:textAlignment w:val="auto"/>
    </w:pPr>
    <w:rPr>
      <w:rFonts w:cs="Mangal"/>
      <w:sz w:val="20"/>
      <w:szCs w:val="24"/>
      <w:lang w:eastAsia="en-US"/>
    </w:rPr>
  </w:style>
  <w:style w:type="paragraph" w:customStyle="1" w:styleId="FrameContents">
    <w:name w:val="Frame Contents"/>
    <w:basedOn w:val="Navaden"/>
    <w:qFormat/>
    <w:rsid w:val="007522E3"/>
    <w:pPr>
      <w:overflowPunct/>
      <w:autoSpaceDE/>
      <w:autoSpaceDN/>
      <w:adjustRightInd/>
      <w:spacing w:line="240" w:lineRule="atLeast"/>
      <w:textAlignment w:val="auto"/>
    </w:pPr>
    <w:rPr>
      <w:sz w:val="20"/>
      <w:szCs w:val="24"/>
      <w:lang w:eastAsia="en-US"/>
    </w:rPr>
  </w:style>
  <w:style w:type="paragraph" w:styleId="Sprotnaopomba-besedilo">
    <w:name w:val="footnote text"/>
    <w:aliases w:val="Sprotna opomba-besedilo,Char Char,Char Char Char Char,Fußnote,Footnote Text Char Char,FSR footnote,lábléc"/>
    <w:basedOn w:val="Navaden"/>
    <w:link w:val="Sprotnaopomba-besediloZnak"/>
    <w:uiPriority w:val="99"/>
    <w:qFormat/>
    <w:locked/>
    <w:rsid w:val="007522E3"/>
    <w:pPr>
      <w:overflowPunct/>
      <w:autoSpaceDE/>
      <w:autoSpaceDN/>
      <w:adjustRightInd/>
      <w:jc w:val="left"/>
      <w:textAlignment w:val="auto"/>
    </w:pPr>
    <w:rPr>
      <w:rFonts w:ascii="Times New Roman" w:hAnsi="Times New Roman"/>
      <w:sz w:val="20"/>
      <w:szCs w:val="20"/>
    </w:rPr>
  </w:style>
  <w:style w:type="character" w:customStyle="1" w:styleId="Sprotnaopomba-besediloZnak">
    <w:name w:val="Sprotna opomba - besedilo Znak"/>
    <w:aliases w:val="Sprotna opomba-besedilo Znak,Char Char Znak,Char Char Char Char Znak,Fußnote Znak,Footnote Text Char Char Znak,FSR footnote Znak,lábléc Znak"/>
    <w:basedOn w:val="Privzetapisavaodstavka"/>
    <w:link w:val="Sprotnaopomba-besedilo"/>
    <w:uiPriority w:val="99"/>
    <w:qFormat/>
    <w:rsid w:val="007522E3"/>
    <w:rPr>
      <w:rFonts w:ascii="Times New Roman" w:eastAsia="Times New Roman" w:hAnsi="Times New Roman"/>
    </w:rPr>
  </w:style>
  <w:style w:type="character" w:styleId="Sprotnaopomba-sklic">
    <w:name w:val="footnote reference"/>
    <w:aliases w:val="Footnote symbol,Fussnota,Footnote,Footnote reference number,number,note TESI,SUPERS,EN Footnote Reference,Times 10 Point,Exposant 3 Point,Footnote Reference_LVL6,Footnote Reference_LVL61,Footnote Reference_LVL62,Odwołanie przypis"/>
    <w:uiPriority w:val="99"/>
    <w:qFormat/>
    <w:locked/>
    <w:rsid w:val="007522E3"/>
    <w:rPr>
      <w:vertAlign w:val="superscript"/>
    </w:rPr>
  </w:style>
  <w:style w:type="paragraph" w:styleId="Naslov">
    <w:name w:val="Title"/>
    <w:basedOn w:val="Navaden"/>
    <w:link w:val="NaslovZnak"/>
    <w:qFormat/>
    <w:locked/>
    <w:rsid w:val="007522E3"/>
    <w:pPr>
      <w:overflowPunct/>
      <w:autoSpaceDE/>
      <w:autoSpaceDN/>
      <w:adjustRightInd/>
      <w:jc w:val="center"/>
      <w:textAlignment w:val="auto"/>
    </w:pPr>
    <w:rPr>
      <w:rFonts w:ascii="Times New Roman" w:hAnsi="Times New Roman"/>
      <w:b/>
      <w:sz w:val="28"/>
      <w:szCs w:val="20"/>
    </w:rPr>
  </w:style>
  <w:style w:type="character" w:customStyle="1" w:styleId="NaslovZnak">
    <w:name w:val="Naslov Znak"/>
    <w:basedOn w:val="Privzetapisavaodstavka"/>
    <w:link w:val="Naslov"/>
    <w:rsid w:val="007522E3"/>
    <w:rPr>
      <w:rFonts w:ascii="Times New Roman" w:eastAsia="Times New Roman" w:hAnsi="Times New Roman"/>
      <w:b/>
      <w:sz w:val="28"/>
    </w:rPr>
  </w:style>
  <w:style w:type="character" w:styleId="Krepko">
    <w:name w:val="Strong"/>
    <w:uiPriority w:val="22"/>
    <w:qFormat/>
    <w:locked/>
    <w:rsid w:val="007522E3"/>
    <w:rPr>
      <w:b/>
      <w:bCs/>
    </w:rPr>
  </w:style>
  <w:style w:type="character" w:styleId="Poudarek">
    <w:name w:val="Emphasis"/>
    <w:uiPriority w:val="20"/>
    <w:qFormat/>
    <w:locked/>
    <w:rsid w:val="007522E3"/>
    <w:rPr>
      <w:i/>
      <w:iCs/>
    </w:rPr>
  </w:style>
  <w:style w:type="paragraph" w:styleId="Brezrazmikov">
    <w:name w:val="No Spacing"/>
    <w:link w:val="BrezrazmikovZnak"/>
    <w:uiPriority w:val="1"/>
    <w:qFormat/>
    <w:locked/>
    <w:rsid w:val="007522E3"/>
    <w:rPr>
      <w:sz w:val="22"/>
      <w:szCs w:val="22"/>
      <w:lang w:eastAsia="en-US"/>
    </w:rPr>
  </w:style>
  <w:style w:type="character" w:customStyle="1" w:styleId="OdstavekseznamaZnak">
    <w:name w:val="Odstavek seznama Znak"/>
    <w:link w:val="Odstavekseznama"/>
    <w:uiPriority w:val="34"/>
    <w:locked/>
    <w:rsid w:val="007522E3"/>
    <w:rPr>
      <w:rFonts w:ascii="Arial" w:eastAsia="Times New Roman" w:hAnsi="Arial"/>
      <w:sz w:val="22"/>
      <w:szCs w:val="16"/>
    </w:rPr>
  </w:style>
  <w:style w:type="character" w:styleId="Intenzivenpoudarek">
    <w:name w:val="Intense Emphasis"/>
    <w:uiPriority w:val="21"/>
    <w:qFormat/>
    <w:locked/>
    <w:rsid w:val="007522E3"/>
    <w:rPr>
      <w:rFonts w:cs="Times New Roman"/>
      <w:b/>
      <w:bCs/>
      <w:i/>
      <w:iCs/>
      <w:color w:val="4F81BD"/>
    </w:rPr>
  </w:style>
  <w:style w:type="paragraph" w:styleId="NaslovTOC">
    <w:name w:val="TOC Heading"/>
    <w:basedOn w:val="Naslov1"/>
    <w:next w:val="Navaden"/>
    <w:uiPriority w:val="39"/>
    <w:qFormat/>
    <w:locked/>
    <w:rsid w:val="007522E3"/>
    <w:pPr>
      <w:keepLines/>
      <w:spacing w:before="480" w:after="0" w:line="276" w:lineRule="auto"/>
      <w:outlineLvl w:val="9"/>
    </w:pPr>
    <w:rPr>
      <w:rFonts w:ascii="Cambria" w:hAnsi="Cambria"/>
      <w:b w:val="0"/>
      <w:bCs/>
      <w:color w:val="365F91"/>
      <w:kern w:val="0"/>
      <w:sz w:val="22"/>
      <w:szCs w:val="28"/>
    </w:rPr>
  </w:style>
  <w:style w:type="paragraph" w:styleId="HTML-oblikovano">
    <w:name w:val="HTML Preformatted"/>
    <w:basedOn w:val="Navaden"/>
    <w:link w:val="HTML-oblikovanoZnak"/>
    <w:unhideWhenUsed/>
    <w:locked/>
    <w:rsid w:val="007522E3"/>
    <w:pPr>
      <w:overflowPunct/>
      <w:autoSpaceDE/>
      <w:autoSpaceDN/>
      <w:adjustRightInd/>
      <w:spacing w:line="260" w:lineRule="atLeast"/>
      <w:jc w:val="left"/>
      <w:textAlignment w:val="auto"/>
    </w:pPr>
    <w:rPr>
      <w:rFonts w:ascii="Courier New" w:eastAsia="Calibri" w:hAnsi="Courier New"/>
      <w:sz w:val="20"/>
      <w:szCs w:val="20"/>
      <w:lang w:eastAsia="en-US"/>
    </w:rPr>
  </w:style>
  <w:style w:type="character" w:customStyle="1" w:styleId="HTML-oblikovanoZnak">
    <w:name w:val="HTML-oblikovano Znak"/>
    <w:basedOn w:val="Privzetapisavaodstavka"/>
    <w:link w:val="HTML-oblikovano"/>
    <w:rsid w:val="007522E3"/>
    <w:rPr>
      <w:rFonts w:ascii="Courier New" w:hAnsi="Courier New"/>
      <w:lang w:eastAsia="en-US"/>
    </w:rPr>
  </w:style>
  <w:style w:type="numbering" w:customStyle="1" w:styleId="Brezseznama1">
    <w:name w:val="Brez seznama1"/>
    <w:next w:val="Brezseznama"/>
    <w:uiPriority w:val="99"/>
    <w:semiHidden/>
    <w:unhideWhenUsed/>
    <w:rsid w:val="007522E3"/>
  </w:style>
  <w:style w:type="paragraph" w:styleId="Zgradbadokumenta">
    <w:name w:val="Document Map"/>
    <w:basedOn w:val="Navaden"/>
    <w:link w:val="ZgradbadokumentaZnak"/>
    <w:locked/>
    <w:rsid w:val="007522E3"/>
    <w:pPr>
      <w:overflowPunct/>
      <w:autoSpaceDE/>
      <w:autoSpaceDN/>
      <w:adjustRightInd/>
      <w:spacing w:line="260" w:lineRule="atLeast"/>
      <w:jc w:val="left"/>
      <w:textAlignment w:val="auto"/>
    </w:pPr>
    <w:rPr>
      <w:rFonts w:ascii="Tahoma" w:hAnsi="Tahoma"/>
      <w:sz w:val="16"/>
      <w:lang w:val="en-US"/>
    </w:rPr>
  </w:style>
  <w:style w:type="character" w:customStyle="1" w:styleId="ZgradbadokumentaZnak">
    <w:name w:val="Zgradba dokumenta Znak"/>
    <w:basedOn w:val="Privzetapisavaodstavka"/>
    <w:link w:val="Zgradbadokumenta"/>
    <w:rsid w:val="007522E3"/>
    <w:rPr>
      <w:rFonts w:ascii="Tahoma" w:eastAsia="Times New Roman" w:hAnsi="Tahoma"/>
      <w:sz w:val="16"/>
      <w:szCs w:val="16"/>
      <w:lang w:val="en-US"/>
    </w:rPr>
  </w:style>
  <w:style w:type="paragraph" w:customStyle="1" w:styleId="Znak1">
    <w:name w:val="Znak1"/>
    <w:basedOn w:val="Pripombabesedilo"/>
    <w:next w:val="Pripombabesedilo"/>
    <w:uiPriority w:val="99"/>
    <w:unhideWhenUsed/>
    <w:rsid w:val="007522E3"/>
    <w:pPr>
      <w:spacing w:after="200"/>
      <w:jc w:val="left"/>
    </w:pPr>
    <w:rPr>
      <w:rFonts w:ascii="Calibri" w:eastAsia="Calibri" w:hAnsi="Calibri"/>
      <w:b/>
      <w:bCs/>
    </w:rPr>
  </w:style>
  <w:style w:type="numbering" w:customStyle="1" w:styleId="Brezseznama11">
    <w:name w:val="Brez seznama11"/>
    <w:next w:val="Brezseznama"/>
    <w:uiPriority w:val="99"/>
    <w:semiHidden/>
    <w:unhideWhenUsed/>
    <w:rsid w:val="007522E3"/>
  </w:style>
  <w:style w:type="paragraph" w:styleId="Golobesedilo">
    <w:name w:val="Plain Text"/>
    <w:basedOn w:val="Navaden"/>
    <w:link w:val="GolobesediloZnak"/>
    <w:unhideWhenUsed/>
    <w:rsid w:val="007522E3"/>
    <w:pPr>
      <w:overflowPunct/>
      <w:autoSpaceDE/>
      <w:autoSpaceDN/>
      <w:adjustRightInd/>
      <w:jc w:val="left"/>
      <w:textAlignment w:val="auto"/>
    </w:pPr>
    <w:rPr>
      <w:rFonts w:ascii="Consolas" w:hAnsi="Consolas"/>
      <w:sz w:val="21"/>
      <w:szCs w:val="21"/>
    </w:rPr>
  </w:style>
  <w:style w:type="character" w:customStyle="1" w:styleId="GolobesediloZnak">
    <w:name w:val="Golo besedilo Znak"/>
    <w:basedOn w:val="Privzetapisavaodstavka"/>
    <w:link w:val="Golobesedilo"/>
    <w:rsid w:val="007522E3"/>
    <w:rPr>
      <w:rFonts w:ascii="Consolas" w:eastAsia="Times New Roman" w:hAnsi="Consolas"/>
      <w:sz w:val="21"/>
      <w:szCs w:val="21"/>
    </w:rPr>
  </w:style>
  <w:style w:type="character" w:customStyle="1" w:styleId="Pripombasklic1">
    <w:name w:val="Pripomba – sklic1"/>
    <w:uiPriority w:val="99"/>
    <w:semiHidden/>
    <w:unhideWhenUsed/>
    <w:rsid w:val="007522E3"/>
    <w:rPr>
      <w:rFonts w:cs="Times New Roman"/>
      <w:sz w:val="16"/>
      <w:szCs w:val="16"/>
    </w:rPr>
  </w:style>
  <w:style w:type="paragraph" w:customStyle="1" w:styleId="Pripombabesedilo1">
    <w:name w:val="Pripomba – besedilo1"/>
    <w:basedOn w:val="Navaden"/>
    <w:uiPriority w:val="99"/>
    <w:semiHidden/>
    <w:unhideWhenUsed/>
    <w:rsid w:val="007522E3"/>
    <w:pPr>
      <w:overflowPunct/>
      <w:autoSpaceDE/>
      <w:autoSpaceDN/>
      <w:adjustRightInd/>
      <w:spacing w:after="200"/>
      <w:jc w:val="left"/>
      <w:textAlignment w:val="auto"/>
    </w:pPr>
    <w:rPr>
      <w:rFonts w:ascii="Calibri" w:hAnsi="Calibri"/>
      <w:sz w:val="20"/>
      <w:szCs w:val="20"/>
    </w:rPr>
  </w:style>
  <w:style w:type="character" w:customStyle="1" w:styleId="PripombabesediloZnak1">
    <w:name w:val="Pripomba – besedilo Znak1"/>
    <w:aliases w:val=" Znak1 Znak"/>
    <w:rsid w:val="007522E3"/>
    <w:rPr>
      <w:rFonts w:ascii="Calibri" w:eastAsia="Calibri" w:hAnsi="Calibri"/>
      <w:lang w:eastAsia="en-US"/>
    </w:rPr>
  </w:style>
  <w:style w:type="paragraph" w:customStyle="1" w:styleId="Default">
    <w:name w:val="Default"/>
    <w:rsid w:val="007522E3"/>
    <w:pPr>
      <w:autoSpaceDE w:val="0"/>
      <w:autoSpaceDN w:val="0"/>
      <w:adjustRightInd w:val="0"/>
    </w:pPr>
    <w:rPr>
      <w:rFonts w:ascii="Arial" w:hAnsi="Arial" w:cs="Arial"/>
      <w:color w:val="000000"/>
      <w:sz w:val="24"/>
      <w:szCs w:val="24"/>
    </w:rPr>
  </w:style>
  <w:style w:type="paragraph" w:customStyle="1" w:styleId="Pa3">
    <w:name w:val="Pa3"/>
    <w:basedOn w:val="Navaden"/>
    <w:next w:val="Navaden"/>
    <w:rsid w:val="007522E3"/>
    <w:pPr>
      <w:overflowPunct/>
      <w:spacing w:line="181" w:lineRule="atLeast"/>
      <w:jc w:val="left"/>
      <w:textAlignment w:val="auto"/>
    </w:pPr>
    <w:rPr>
      <w:rFonts w:ascii="Myriad Pro" w:eastAsia="Calibri" w:hAnsi="Myriad Pro"/>
      <w:sz w:val="24"/>
      <w:szCs w:val="24"/>
    </w:rPr>
  </w:style>
  <w:style w:type="character" w:customStyle="1" w:styleId="A15">
    <w:name w:val="A15"/>
    <w:uiPriority w:val="99"/>
    <w:rsid w:val="007522E3"/>
    <w:rPr>
      <w:rFonts w:cs="Myriad Pro"/>
      <w:b/>
      <w:bCs/>
      <w:color w:val="000000"/>
      <w:sz w:val="28"/>
      <w:szCs w:val="28"/>
    </w:rPr>
  </w:style>
  <w:style w:type="character" w:customStyle="1" w:styleId="A10">
    <w:name w:val="A10"/>
    <w:uiPriority w:val="99"/>
    <w:rsid w:val="007522E3"/>
    <w:rPr>
      <w:rFonts w:cs="Myriad Pro"/>
      <w:color w:val="000000"/>
      <w:sz w:val="10"/>
      <w:szCs w:val="10"/>
    </w:rPr>
  </w:style>
  <w:style w:type="paragraph" w:customStyle="1" w:styleId="Pa0">
    <w:name w:val="Pa0"/>
    <w:basedOn w:val="Navaden"/>
    <w:next w:val="Navaden"/>
    <w:uiPriority w:val="99"/>
    <w:rsid w:val="007522E3"/>
    <w:pPr>
      <w:overflowPunct/>
      <w:spacing w:line="181" w:lineRule="atLeast"/>
      <w:jc w:val="left"/>
      <w:textAlignment w:val="auto"/>
    </w:pPr>
    <w:rPr>
      <w:rFonts w:ascii="Myriad Pro" w:eastAsia="Calibri" w:hAnsi="Myriad Pro"/>
      <w:sz w:val="24"/>
      <w:szCs w:val="24"/>
    </w:rPr>
  </w:style>
  <w:style w:type="paragraph" w:styleId="Seznam">
    <w:name w:val="List"/>
    <w:basedOn w:val="Telobesedila"/>
    <w:locked/>
    <w:rsid w:val="007522E3"/>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eastAsia="Times New Roman" w:hAnsi="Frutiger"/>
      <w:w w:val="90"/>
    </w:rPr>
  </w:style>
  <w:style w:type="paragraph" w:styleId="Telobesedila">
    <w:name w:val="Body Text"/>
    <w:aliases w:val="Body"/>
    <w:basedOn w:val="Navaden"/>
    <w:link w:val="TelobesedilaZnak"/>
    <w:uiPriority w:val="99"/>
    <w:unhideWhenUsed/>
    <w:locked/>
    <w:rsid w:val="007522E3"/>
    <w:pPr>
      <w:overflowPunct/>
      <w:autoSpaceDE/>
      <w:autoSpaceDN/>
      <w:adjustRightInd/>
      <w:spacing w:after="120" w:line="276" w:lineRule="auto"/>
      <w:jc w:val="left"/>
      <w:textAlignment w:val="auto"/>
    </w:pPr>
    <w:rPr>
      <w:rFonts w:ascii="Calibri" w:eastAsia="Calibri" w:hAnsi="Calibri"/>
      <w:sz w:val="20"/>
      <w:szCs w:val="20"/>
    </w:rPr>
  </w:style>
  <w:style w:type="character" w:customStyle="1" w:styleId="TelobesedilaZnak">
    <w:name w:val="Telo besedila Znak"/>
    <w:aliases w:val="Body Znak"/>
    <w:basedOn w:val="Privzetapisavaodstavka"/>
    <w:link w:val="Telobesedila"/>
    <w:uiPriority w:val="99"/>
    <w:rsid w:val="007522E3"/>
  </w:style>
  <w:style w:type="paragraph" w:styleId="Kazalovsebine1">
    <w:name w:val="toc 1"/>
    <w:basedOn w:val="Navaden"/>
    <w:next w:val="Navaden"/>
    <w:autoRedefine/>
    <w:uiPriority w:val="39"/>
    <w:unhideWhenUsed/>
    <w:locked/>
    <w:rsid w:val="007522E3"/>
    <w:pPr>
      <w:overflowPunct/>
      <w:autoSpaceDE/>
      <w:autoSpaceDN/>
      <w:adjustRightInd/>
      <w:jc w:val="left"/>
      <w:textAlignment w:val="auto"/>
    </w:pPr>
    <w:rPr>
      <w:rFonts w:eastAsia="Calibri"/>
      <w:sz w:val="20"/>
      <w:szCs w:val="22"/>
      <w:lang w:eastAsia="en-US"/>
    </w:rPr>
  </w:style>
  <w:style w:type="paragraph" w:styleId="Kazalovsebine2">
    <w:name w:val="toc 2"/>
    <w:basedOn w:val="Navaden"/>
    <w:next w:val="Navaden"/>
    <w:autoRedefine/>
    <w:uiPriority w:val="39"/>
    <w:unhideWhenUsed/>
    <w:locked/>
    <w:rsid w:val="007522E3"/>
    <w:pPr>
      <w:tabs>
        <w:tab w:val="left" w:pos="880"/>
        <w:tab w:val="right" w:leader="dot" w:pos="9062"/>
      </w:tabs>
      <w:overflowPunct/>
      <w:autoSpaceDE/>
      <w:autoSpaceDN/>
      <w:adjustRightInd/>
      <w:ind w:left="221"/>
      <w:jc w:val="left"/>
      <w:textAlignment w:val="auto"/>
    </w:pPr>
    <w:rPr>
      <w:rFonts w:ascii="Calibri" w:eastAsia="Calibri" w:hAnsi="Calibri"/>
      <w:szCs w:val="22"/>
      <w:lang w:eastAsia="en-US"/>
    </w:rPr>
  </w:style>
  <w:style w:type="paragraph" w:styleId="Kazalovsebine3">
    <w:name w:val="toc 3"/>
    <w:basedOn w:val="Navaden"/>
    <w:next w:val="Navaden"/>
    <w:autoRedefine/>
    <w:uiPriority w:val="39"/>
    <w:unhideWhenUsed/>
    <w:locked/>
    <w:rsid w:val="007522E3"/>
    <w:pPr>
      <w:tabs>
        <w:tab w:val="left" w:pos="1320"/>
        <w:tab w:val="right" w:leader="dot" w:pos="9062"/>
      </w:tabs>
      <w:overflowPunct/>
      <w:autoSpaceDE/>
      <w:autoSpaceDN/>
      <w:adjustRightInd/>
      <w:ind w:left="442"/>
      <w:jc w:val="left"/>
      <w:textAlignment w:val="auto"/>
    </w:pPr>
    <w:rPr>
      <w:rFonts w:ascii="Calibri" w:eastAsia="Calibri" w:hAnsi="Calibri"/>
      <w:szCs w:val="22"/>
      <w:lang w:eastAsia="en-US"/>
    </w:rPr>
  </w:style>
  <w:style w:type="paragraph" w:styleId="Revizija">
    <w:name w:val="Revision"/>
    <w:hidden/>
    <w:uiPriority w:val="99"/>
    <w:semiHidden/>
    <w:rsid w:val="007522E3"/>
    <w:rPr>
      <w:sz w:val="22"/>
      <w:szCs w:val="22"/>
      <w:lang w:eastAsia="en-US"/>
    </w:rPr>
  </w:style>
  <w:style w:type="paragraph" w:customStyle="1" w:styleId="t">
    <w:name w:val="t"/>
    <w:basedOn w:val="Navaden"/>
    <w:rsid w:val="007522E3"/>
    <w:pPr>
      <w:overflowPunct/>
      <w:autoSpaceDE/>
      <w:autoSpaceDN/>
      <w:adjustRightInd/>
      <w:spacing w:before="300" w:after="225"/>
      <w:ind w:left="15" w:right="15"/>
      <w:jc w:val="center"/>
      <w:textAlignment w:val="auto"/>
    </w:pPr>
    <w:rPr>
      <w:rFonts w:eastAsia="Arial Unicode MS" w:cs="Arial"/>
      <w:b/>
      <w:bCs/>
      <w:color w:val="2E3092"/>
      <w:sz w:val="29"/>
      <w:szCs w:val="29"/>
      <w:lang w:val="en-GB" w:eastAsia="en-US"/>
    </w:rPr>
  </w:style>
  <w:style w:type="paragraph" w:customStyle="1" w:styleId="ZnakZnakCharZnakCharCharZnakCharChar">
    <w:name w:val="Znak Znak Char Znak Char Char Znak Char Char"/>
    <w:basedOn w:val="Navaden"/>
    <w:rsid w:val="007522E3"/>
    <w:pPr>
      <w:overflowPunct/>
      <w:autoSpaceDE/>
      <w:autoSpaceDN/>
      <w:adjustRightInd/>
      <w:jc w:val="left"/>
      <w:textAlignment w:val="auto"/>
    </w:pPr>
    <w:rPr>
      <w:rFonts w:ascii="Times New Roman" w:hAnsi="Times New Roman"/>
      <w:sz w:val="24"/>
      <w:szCs w:val="24"/>
      <w:lang w:val="pl-PL" w:eastAsia="pl-PL"/>
    </w:rPr>
  </w:style>
  <w:style w:type="paragraph" w:styleId="Stvarnokazalo1">
    <w:name w:val="index 1"/>
    <w:basedOn w:val="Navaden"/>
    <w:next w:val="Navaden"/>
    <w:autoRedefine/>
    <w:uiPriority w:val="99"/>
    <w:unhideWhenUsed/>
    <w:locked/>
    <w:rsid w:val="007522E3"/>
    <w:pPr>
      <w:overflowPunct/>
      <w:autoSpaceDE/>
      <w:autoSpaceDN/>
      <w:adjustRightInd/>
      <w:spacing w:after="200" w:line="276" w:lineRule="auto"/>
      <w:ind w:left="220" w:hanging="220"/>
      <w:jc w:val="left"/>
      <w:textAlignment w:val="auto"/>
    </w:pPr>
    <w:rPr>
      <w:rFonts w:ascii="Calibri" w:eastAsia="Calibri" w:hAnsi="Calibri"/>
      <w:szCs w:val="22"/>
      <w:lang w:eastAsia="en-US"/>
    </w:rPr>
  </w:style>
  <w:style w:type="character" w:customStyle="1" w:styleId="OdstavekseznamaZnak1">
    <w:name w:val="Odstavek seznama Znak1"/>
    <w:uiPriority w:val="34"/>
    <w:locked/>
    <w:rsid w:val="007522E3"/>
    <w:rPr>
      <w:rFonts w:ascii="Times New Roman" w:eastAsia="Times New Roman" w:hAnsi="Times New Roman"/>
      <w:sz w:val="24"/>
      <w:szCs w:val="24"/>
    </w:rPr>
  </w:style>
  <w:style w:type="table" w:customStyle="1" w:styleId="Tabelamrea1">
    <w:name w:val="Tabela – mreža1"/>
    <w:basedOn w:val="Navadnatabela"/>
    <w:next w:val="Tabelamrea"/>
    <w:uiPriority w:val="59"/>
    <w:rsid w:val="007522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3Znak1">
    <w:name w:val="Naslov 3 Znak1"/>
    <w:uiPriority w:val="9"/>
    <w:rsid w:val="007522E3"/>
    <w:rPr>
      <w:rFonts w:ascii="Cambria" w:eastAsia="Times New Roman" w:hAnsi="Cambria" w:cs="Times New Roman"/>
      <w:b/>
      <w:bCs/>
      <w:sz w:val="26"/>
      <w:szCs w:val="26"/>
    </w:rPr>
  </w:style>
  <w:style w:type="numbering" w:customStyle="1" w:styleId="NoList1">
    <w:name w:val="No List1"/>
    <w:next w:val="Brezseznama"/>
    <w:uiPriority w:val="99"/>
    <w:semiHidden/>
    <w:unhideWhenUsed/>
    <w:rsid w:val="007522E3"/>
  </w:style>
  <w:style w:type="paragraph" w:styleId="Telobesedila2">
    <w:name w:val="Body Text 2"/>
    <w:basedOn w:val="Navaden"/>
    <w:link w:val="Telobesedila2Znak"/>
    <w:locked/>
    <w:rsid w:val="007522E3"/>
    <w:pPr>
      <w:suppressAutoHyphens/>
      <w:overflowPunct/>
      <w:autoSpaceDE/>
      <w:autoSpaceDN/>
      <w:adjustRightInd/>
      <w:spacing w:after="120" w:line="480" w:lineRule="auto"/>
      <w:textAlignment w:val="auto"/>
    </w:pPr>
    <w:rPr>
      <w:rFonts w:ascii="Times New Roman" w:hAnsi="Times New Roman"/>
      <w:sz w:val="24"/>
      <w:szCs w:val="24"/>
      <w:lang w:eastAsia="ar-SA"/>
    </w:rPr>
  </w:style>
  <w:style w:type="character" w:customStyle="1" w:styleId="Telobesedila2Znak">
    <w:name w:val="Telo besedila 2 Znak"/>
    <w:basedOn w:val="Privzetapisavaodstavka"/>
    <w:link w:val="Telobesedila2"/>
    <w:rsid w:val="007522E3"/>
    <w:rPr>
      <w:rFonts w:ascii="Times New Roman" w:eastAsia="Times New Roman" w:hAnsi="Times New Roman"/>
      <w:sz w:val="24"/>
      <w:szCs w:val="24"/>
      <w:lang w:eastAsia="ar-SA"/>
    </w:rPr>
  </w:style>
  <w:style w:type="paragraph" w:customStyle="1" w:styleId="besedilo">
    <w:name w:val="besedilo"/>
    <w:basedOn w:val="Navaden"/>
    <w:uiPriority w:val="99"/>
    <w:rsid w:val="007522E3"/>
    <w:pPr>
      <w:widowControl w:val="0"/>
      <w:tabs>
        <w:tab w:val="left" w:pos="284"/>
        <w:tab w:val="left" w:pos="720"/>
        <w:tab w:val="left" w:pos="1440"/>
        <w:tab w:val="left" w:pos="2160"/>
        <w:tab w:val="left" w:pos="2880"/>
        <w:tab w:val="left" w:pos="3600"/>
        <w:tab w:val="left" w:pos="4320"/>
        <w:tab w:val="left" w:pos="5040"/>
        <w:tab w:val="left" w:pos="5760"/>
        <w:tab w:val="left" w:pos="6379"/>
        <w:tab w:val="left" w:pos="7200"/>
        <w:tab w:val="left" w:pos="7920"/>
      </w:tabs>
      <w:overflowPunct/>
      <w:autoSpaceDE/>
      <w:autoSpaceDN/>
      <w:adjustRightInd/>
      <w:textAlignment w:val="auto"/>
    </w:pPr>
    <w:rPr>
      <w:rFonts w:ascii="Times New Roman" w:hAnsi="Times New Roman"/>
      <w:sz w:val="24"/>
      <w:szCs w:val="20"/>
      <w:lang w:eastAsia="en-US"/>
    </w:rPr>
  </w:style>
  <w:style w:type="character" w:customStyle="1" w:styleId="varias1">
    <w:name w:val="varias1"/>
    <w:rsid w:val="007522E3"/>
    <w:rPr>
      <w:rFonts w:ascii="Courier New" w:hAnsi="Courier New" w:cs="Courier New" w:hint="default"/>
      <w:sz w:val="18"/>
      <w:szCs w:val="18"/>
    </w:rPr>
  </w:style>
  <w:style w:type="character" w:customStyle="1" w:styleId="fixed1">
    <w:name w:val="fixed1"/>
    <w:rsid w:val="007522E3"/>
    <w:rPr>
      <w:rFonts w:ascii="Arial" w:hAnsi="Arial" w:cs="Arial" w:hint="default"/>
      <w:sz w:val="18"/>
      <w:szCs w:val="18"/>
    </w:rPr>
  </w:style>
  <w:style w:type="paragraph" w:styleId="Navaden-zamik">
    <w:name w:val="Normal Indent"/>
    <w:basedOn w:val="Navaden"/>
    <w:uiPriority w:val="99"/>
    <w:locked/>
    <w:rsid w:val="007522E3"/>
    <w:pPr>
      <w:overflowPunct/>
      <w:autoSpaceDE/>
      <w:autoSpaceDN/>
      <w:adjustRightInd/>
      <w:ind w:left="708"/>
      <w:textAlignment w:val="auto"/>
    </w:pPr>
    <w:rPr>
      <w:rFonts w:ascii="Times New Roman" w:hAnsi="Times New Roman"/>
      <w:sz w:val="24"/>
      <w:szCs w:val="24"/>
      <w:lang w:val="en-US"/>
    </w:rPr>
  </w:style>
  <w:style w:type="paragraph" w:customStyle="1" w:styleId="font0">
    <w:name w:val="font0"/>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
    <w:name w:val="font1"/>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5">
    <w:name w:val="font5"/>
    <w:basedOn w:val="Navaden"/>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6">
    <w:name w:val="font6"/>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7">
    <w:name w:val="font7"/>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8">
    <w:name w:val="font8"/>
    <w:basedOn w:val="Navaden"/>
    <w:uiPriority w:val="99"/>
    <w:rsid w:val="007522E3"/>
    <w:pPr>
      <w:overflowPunct/>
      <w:autoSpaceDE/>
      <w:autoSpaceDN/>
      <w:adjustRightInd/>
      <w:spacing w:before="100" w:beforeAutospacing="1" w:after="100" w:afterAutospacing="1"/>
      <w:textAlignment w:val="auto"/>
    </w:pPr>
    <w:rPr>
      <w:rFonts w:ascii="Times New Roman" w:hAnsi="Times New Roman"/>
      <w:color w:val="000000"/>
      <w:sz w:val="14"/>
      <w:szCs w:val="14"/>
    </w:rPr>
  </w:style>
  <w:style w:type="paragraph" w:customStyle="1" w:styleId="font9">
    <w:name w:val="font9"/>
    <w:basedOn w:val="Navaden"/>
    <w:uiPriority w:val="99"/>
    <w:rsid w:val="007522E3"/>
    <w:pPr>
      <w:overflowPunct/>
      <w:autoSpaceDE/>
      <w:autoSpaceDN/>
      <w:adjustRightInd/>
      <w:spacing w:before="100" w:beforeAutospacing="1" w:after="100" w:afterAutospacing="1"/>
      <w:textAlignment w:val="auto"/>
    </w:pPr>
    <w:rPr>
      <w:rFonts w:ascii="Times New Roman" w:hAnsi="Times New Roman"/>
      <w:color w:val="000000"/>
      <w:sz w:val="14"/>
      <w:szCs w:val="14"/>
    </w:rPr>
  </w:style>
  <w:style w:type="paragraph" w:customStyle="1" w:styleId="font10">
    <w:name w:val="font10"/>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font11">
    <w:name w:val="font11"/>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font12">
    <w:name w:val="font12"/>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3">
    <w:name w:val="font13"/>
    <w:basedOn w:val="Navaden"/>
    <w:uiPriority w:val="99"/>
    <w:rsid w:val="007522E3"/>
    <w:pPr>
      <w:overflowPunct/>
      <w:autoSpaceDE/>
      <w:autoSpaceDN/>
      <w:adjustRightInd/>
      <w:spacing w:before="100" w:beforeAutospacing="1" w:after="100" w:afterAutospacing="1"/>
      <w:textAlignment w:val="auto"/>
    </w:pPr>
    <w:rPr>
      <w:rFonts w:cs="Calibri"/>
      <w:color w:val="FF0000"/>
      <w:szCs w:val="22"/>
    </w:rPr>
  </w:style>
  <w:style w:type="paragraph" w:customStyle="1" w:styleId="font14">
    <w:name w:val="font14"/>
    <w:basedOn w:val="Navaden"/>
    <w:uiPriority w:val="99"/>
    <w:rsid w:val="007522E3"/>
    <w:pPr>
      <w:overflowPunct/>
      <w:autoSpaceDE/>
      <w:autoSpaceDN/>
      <w:adjustRightInd/>
      <w:spacing w:before="100" w:beforeAutospacing="1" w:after="100" w:afterAutospacing="1"/>
      <w:textAlignment w:val="auto"/>
    </w:pPr>
    <w:rPr>
      <w:rFonts w:cs="Calibri"/>
      <w:b/>
      <w:bCs/>
      <w:i/>
      <w:iCs/>
      <w:color w:val="000000"/>
      <w:szCs w:val="22"/>
    </w:rPr>
  </w:style>
  <w:style w:type="paragraph" w:customStyle="1" w:styleId="font15">
    <w:name w:val="font15"/>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6">
    <w:name w:val="font16"/>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17">
    <w:name w:val="font17"/>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18">
    <w:name w:val="font18"/>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19">
    <w:name w:val="font19"/>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0">
    <w:name w:val="font20"/>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21">
    <w:name w:val="font21"/>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2">
    <w:name w:val="font22"/>
    <w:basedOn w:val="Navaden"/>
    <w:uiPriority w:val="99"/>
    <w:rsid w:val="007522E3"/>
    <w:pPr>
      <w:overflowPunct/>
      <w:autoSpaceDE/>
      <w:autoSpaceDN/>
      <w:adjustRightInd/>
      <w:spacing w:before="100" w:beforeAutospacing="1" w:after="100" w:afterAutospacing="1"/>
      <w:textAlignment w:val="auto"/>
    </w:pPr>
    <w:rPr>
      <w:rFonts w:cs="Calibri"/>
      <w:color w:val="000000"/>
      <w:szCs w:val="22"/>
    </w:rPr>
  </w:style>
  <w:style w:type="paragraph" w:customStyle="1" w:styleId="font23">
    <w:name w:val="font23"/>
    <w:basedOn w:val="Navaden"/>
    <w:uiPriority w:val="99"/>
    <w:rsid w:val="007522E3"/>
    <w:pPr>
      <w:overflowPunct/>
      <w:autoSpaceDE/>
      <w:autoSpaceDN/>
      <w:adjustRightInd/>
      <w:spacing w:before="100" w:beforeAutospacing="1" w:after="100" w:afterAutospacing="1"/>
      <w:textAlignment w:val="auto"/>
    </w:pPr>
    <w:rPr>
      <w:rFonts w:cs="Calibri"/>
      <w:b/>
      <w:bCs/>
      <w:color w:val="000000"/>
      <w:szCs w:val="22"/>
    </w:rPr>
  </w:style>
  <w:style w:type="paragraph" w:customStyle="1" w:styleId="font24">
    <w:name w:val="font24"/>
    <w:basedOn w:val="Navaden"/>
    <w:uiPriority w:val="99"/>
    <w:rsid w:val="007522E3"/>
    <w:pPr>
      <w:overflowPunct/>
      <w:autoSpaceDE/>
      <w:autoSpaceDN/>
      <w:adjustRightInd/>
      <w:spacing w:before="100" w:beforeAutospacing="1" w:after="100" w:afterAutospacing="1"/>
      <w:textAlignment w:val="auto"/>
    </w:pPr>
    <w:rPr>
      <w:rFonts w:cs="Calibri"/>
      <w:b/>
      <w:bCs/>
      <w:i/>
      <w:iCs/>
      <w:color w:val="000000"/>
      <w:szCs w:val="22"/>
    </w:rPr>
  </w:style>
  <w:style w:type="paragraph" w:customStyle="1" w:styleId="font25">
    <w:name w:val="font25"/>
    <w:basedOn w:val="Navaden"/>
    <w:uiPriority w:val="99"/>
    <w:rsid w:val="007522E3"/>
    <w:pPr>
      <w:overflowPunct/>
      <w:autoSpaceDE/>
      <w:autoSpaceDN/>
      <w:adjustRightInd/>
      <w:spacing w:before="100" w:beforeAutospacing="1" w:after="100" w:afterAutospacing="1"/>
      <w:textAlignment w:val="auto"/>
    </w:pPr>
    <w:rPr>
      <w:rFonts w:cs="Calibri"/>
      <w:i/>
      <w:iCs/>
      <w:color w:val="000000"/>
      <w:szCs w:val="22"/>
    </w:rPr>
  </w:style>
  <w:style w:type="paragraph" w:customStyle="1" w:styleId="xl65">
    <w:name w:val="xl65"/>
    <w:basedOn w:val="Navaden"/>
    <w:uiPriority w:val="99"/>
    <w:rsid w:val="007522E3"/>
    <w:pPr>
      <w:pBdr>
        <w:top w:val="single" w:sz="8" w:space="0" w:color="000000"/>
        <w:left w:val="single" w:sz="8" w:space="0" w:color="000000"/>
        <w:bottom w:val="single" w:sz="8" w:space="0" w:color="000000"/>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color w:val="365F91"/>
      <w:sz w:val="24"/>
      <w:szCs w:val="24"/>
    </w:rPr>
  </w:style>
  <w:style w:type="paragraph" w:customStyle="1" w:styleId="xl66">
    <w:name w:val="xl66"/>
    <w:basedOn w:val="Navaden"/>
    <w:rsid w:val="007522E3"/>
    <w:pPr>
      <w:pBdr>
        <w:left w:val="single" w:sz="8" w:space="0" w:color="000000"/>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67">
    <w:name w:val="xl67"/>
    <w:basedOn w:val="Navaden"/>
    <w:rsid w:val="007522E3"/>
    <w:pPr>
      <w:pBdr>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68">
    <w:name w:val="xl68"/>
    <w:basedOn w:val="Navaden"/>
    <w:rsid w:val="007522E3"/>
    <w:pPr>
      <w:pBdr>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0"/>
      <w:szCs w:val="20"/>
    </w:rPr>
  </w:style>
  <w:style w:type="paragraph" w:customStyle="1" w:styleId="xl69">
    <w:name w:val="xl69"/>
    <w:basedOn w:val="Navaden"/>
    <w:rsid w:val="007522E3"/>
    <w:pP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70">
    <w:name w:val="xl70"/>
    <w:basedOn w:val="Navaden"/>
    <w:rsid w:val="007522E3"/>
    <w:pPr>
      <w:pBdr>
        <w:top w:val="single" w:sz="8" w:space="0" w:color="000000"/>
        <w:left w:val="single" w:sz="8" w:space="0" w:color="000000"/>
        <w:bottom w:val="single" w:sz="8" w:space="0" w:color="000000"/>
      </w:pBdr>
      <w:overflowPunct/>
      <w:autoSpaceDE/>
      <w:autoSpaceDN/>
      <w:adjustRightInd/>
      <w:spacing w:before="100" w:beforeAutospacing="1" w:after="100" w:afterAutospacing="1"/>
      <w:jc w:val="center"/>
      <w:textAlignment w:val="center"/>
    </w:pPr>
    <w:rPr>
      <w:rFonts w:ascii="Times New Roman" w:hAnsi="Times New Roman"/>
      <w:b/>
      <w:bCs/>
      <w:color w:val="0070C0"/>
      <w:sz w:val="24"/>
      <w:szCs w:val="24"/>
    </w:rPr>
  </w:style>
  <w:style w:type="paragraph" w:customStyle="1" w:styleId="xl71">
    <w:name w:val="xl71"/>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72">
    <w:name w:val="xl72"/>
    <w:basedOn w:val="Navaden"/>
    <w:rsid w:val="007522E3"/>
    <w:pPr>
      <w:pBdr>
        <w:top w:val="single" w:sz="4" w:space="0" w:color="auto"/>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73">
    <w:name w:val="xl73"/>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74">
    <w:name w:val="xl74"/>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75">
    <w:name w:val="xl75"/>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76">
    <w:name w:val="xl76"/>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77">
    <w:name w:val="xl77"/>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78">
    <w:name w:val="xl78"/>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79">
    <w:name w:val="xl79"/>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80">
    <w:name w:val="xl80"/>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81">
    <w:name w:val="xl81"/>
    <w:basedOn w:val="Navaden"/>
    <w:rsid w:val="007522E3"/>
    <w:pPr>
      <w:pBdr>
        <w:top w:val="single" w:sz="4" w:space="0" w:color="auto"/>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82">
    <w:name w:val="xl82"/>
    <w:basedOn w:val="Navaden"/>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sz w:val="24"/>
      <w:szCs w:val="24"/>
    </w:rPr>
  </w:style>
  <w:style w:type="paragraph" w:customStyle="1" w:styleId="xl83">
    <w:name w:val="xl83"/>
    <w:basedOn w:val="Navaden"/>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color w:val="31849B"/>
      <w:sz w:val="24"/>
      <w:szCs w:val="24"/>
    </w:rPr>
  </w:style>
  <w:style w:type="paragraph" w:customStyle="1" w:styleId="xl84">
    <w:name w:val="xl84"/>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85">
    <w:name w:val="xl85"/>
    <w:basedOn w:val="Navaden"/>
    <w:rsid w:val="007522E3"/>
    <w:pPr>
      <w:pBdr>
        <w:top w:val="single" w:sz="8" w:space="0" w:color="000000"/>
        <w:left w:val="single" w:sz="8" w:space="0" w:color="000000"/>
      </w:pBdr>
      <w:shd w:val="clear" w:color="000000" w:fill="FFC000"/>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86">
    <w:name w:val="xl86"/>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87">
    <w:name w:val="xl87"/>
    <w:basedOn w:val="Navaden"/>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i/>
      <w:iCs/>
      <w:sz w:val="24"/>
      <w:szCs w:val="24"/>
    </w:rPr>
  </w:style>
  <w:style w:type="paragraph" w:customStyle="1" w:styleId="xl88">
    <w:name w:val="xl88"/>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89">
    <w:name w:val="xl89"/>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90">
    <w:name w:val="xl90"/>
    <w:basedOn w:val="Navaden"/>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1F497D"/>
      <w:sz w:val="24"/>
      <w:szCs w:val="24"/>
    </w:rPr>
  </w:style>
  <w:style w:type="paragraph" w:customStyle="1" w:styleId="xl91">
    <w:name w:val="xl91"/>
    <w:basedOn w:val="Navaden"/>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92">
    <w:name w:val="xl92"/>
    <w:basedOn w:val="Navaden"/>
    <w:rsid w:val="007522E3"/>
    <w:pPr>
      <w:pBdr>
        <w:top w:val="single" w:sz="4" w:space="0" w:color="auto"/>
        <w:bottom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93">
    <w:name w:val="xl93"/>
    <w:basedOn w:val="Navaden"/>
    <w:rsid w:val="007522E3"/>
    <w:pPr>
      <w:pBdr>
        <w:top w:val="single" w:sz="4" w:space="0" w:color="auto"/>
        <w:left w:val="single" w:sz="4" w:space="0" w:color="auto"/>
        <w:bottom w:val="single" w:sz="4" w:space="0" w:color="auto"/>
        <w:right w:val="single" w:sz="4" w:space="0" w:color="auto"/>
      </w:pBdr>
      <w:shd w:val="clear" w:color="000000" w:fill="C6D9F1"/>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94">
    <w:name w:val="xl94"/>
    <w:basedOn w:val="Navaden"/>
    <w:uiPriority w:val="99"/>
    <w:rsid w:val="007522E3"/>
    <w:pPr>
      <w:pBdr>
        <w:top w:val="single" w:sz="4" w:space="0" w:color="auto"/>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95">
    <w:name w:val="xl95"/>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96">
    <w:name w:val="xl96"/>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97">
    <w:name w:val="xl97"/>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98">
    <w:name w:val="xl98"/>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FF0000"/>
      <w:sz w:val="24"/>
      <w:szCs w:val="24"/>
    </w:rPr>
  </w:style>
  <w:style w:type="paragraph" w:customStyle="1" w:styleId="xl99">
    <w:name w:val="xl99"/>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0">
    <w:name w:val="xl100"/>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1">
    <w:name w:val="xl101"/>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02">
    <w:name w:val="xl102"/>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3">
    <w:name w:val="xl103"/>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4">
    <w:name w:val="xl104"/>
    <w:basedOn w:val="Navaden"/>
    <w:uiPriority w:val="99"/>
    <w:rsid w:val="007522E3"/>
    <w:pPr>
      <w:pBdr>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5">
    <w:name w:val="xl105"/>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6">
    <w:name w:val="xl106"/>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07">
    <w:name w:val="xl10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08">
    <w:name w:val="xl108"/>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09">
    <w:name w:val="xl109"/>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FF0000"/>
      <w:sz w:val="24"/>
      <w:szCs w:val="24"/>
    </w:rPr>
  </w:style>
  <w:style w:type="paragraph" w:customStyle="1" w:styleId="xl110">
    <w:name w:val="xl110"/>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11">
    <w:name w:val="xl111"/>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12">
    <w:name w:val="xl112"/>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13">
    <w:name w:val="xl113"/>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4">
    <w:name w:val="xl114"/>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5">
    <w:name w:val="xl115"/>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16">
    <w:name w:val="xl116"/>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17">
    <w:name w:val="xl117"/>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18">
    <w:name w:val="xl118"/>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119">
    <w:name w:val="xl119"/>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20">
    <w:name w:val="xl120"/>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Wingdings" w:hAnsi="Wingdings"/>
      <w:color w:val="000000"/>
      <w:sz w:val="24"/>
      <w:szCs w:val="24"/>
    </w:rPr>
  </w:style>
  <w:style w:type="paragraph" w:customStyle="1" w:styleId="xl121">
    <w:name w:val="xl121"/>
    <w:basedOn w:val="Navaden"/>
    <w:uiPriority w:val="99"/>
    <w:rsid w:val="007522E3"/>
    <w:pP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22">
    <w:name w:val="xl122"/>
    <w:basedOn w:val="Navaden"/>
    <w:uiPriority w:val="99"/>
    <w:rsid w:val="007522E3"/>
    <w:pPr>
      <w:pBdr>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23">
    <w:name w:val="xl123"/>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color w:val="0070C0"/>
      <w:sz w:val="24"/>
      <w:szCs w:val="24"/>
    </w:rPr>
  </w:style>
  <w:style w:type="paragraph" w:customStyle="1" w:styleId="xl124">
    <w:name w:val="xl124"/>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25">
    <w:name w:val="xl125"/>
    <w:basedOn w:val="Navaden"/>
    <w:uiPriority w:val="99"/>
    <w:rsid w:val="007522E3"/>
    <w:pPr>
      <w:pBdr>
        <w:top w:val="single" w:sz="4" w:space="0" w:color="auto"/>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26">
    <w:name w:val="xl126"/>
    <w:basedOn w:val="Navaden"/>
    <w:uiPriority w:val="99"/>
    <w:rsid w:val="007522E3"/>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70C0"/>
      <w:sz w:val="24"/>
      <w:szCs w:val="24"/>
    </w:rPr>
  </w:style>
  <w:style w:type="paragraph" w:customStyle="1" w:styleId="xl127">
    <w:name w:val="xl12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28">
    <w:name w:val="xl128"/>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1F497D"/>
      <w:sz w:val="24"/>
      <w:szCs w:val="24"/>
    </w:rPr>
  </w:style>
  <w:style w:type="paragraph" w:customStyle="1" w:styleId="xl129">
    <w:name w:val="xl129"/>
    <w:basedOn w:val="Navaden"/>
    <w:uiPriority w:val="99"/>
    <w:rsid w:val="007522E3"/>
    <w:pPr>
      <w:pBdr>
        <w:top w:val="single" w:sz="4" w:space="0" w:color="auto"/>
        <w:left w:val="single" w:sz="4" w:space="14" w:color="auto"/>
        <w:bottom w:val="single" w:sz="4" w:space="0" w:color="auto"/>
        <w:right w:val="single" w:sz="4" w:space="0" w:color="auto"/>
      </w:pBdr>
      <w:shd w:val="clear" w:color="000000" w:fill="F2F2F2"/>
      <w:overflowPunct/>
      <w:autoSpaceDE/>
      <w:autoSpaceDN/>
      <w:adjustRightInd/>
      <w:spacing w:before="100" w:beforeAutospacing="1" w:after="100" w:afterAutospacing="1"/>
      <w:ind w:firstLineChars="200" w:firstLine="200"/>
      <w:textAlignment w:val="center"/>
    </w:pPr>
    <w:rPr>
      <w:rFonts w:ascii="Wingdings" w:hAnsi="Wingdings"/>
      <w:sz w:val="24"/>
      <w:szCs w:val="24"/>
    </w:rPr>
  </w:style>
  <w:style w:type="paragraph" w:customStyle="1" w:styleId="xl130">
    <w:name w:val="xl130"/>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1">
    <w:name w:val="xl131"/>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32">
    <w:name w:val="xl132"/>
    <w:basedOn w:val="Navaden"/>
    <w:uiPriority w:val="99"/>
    <w:rsid w:val="007522E3"/>
    <w:pPr>
      <w:pBdr>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3">
    <w:name w:val="xl133"/>
    <w:basedOn w:val="Navaden"/>
    <w:uiPriority w:val="99"/>
    <w:rsid w:val="007522E3"/>
    <w:pPr>
      <w:pBdr>
        <w:top w:val="single" w:sz="4" w:space="0" w:color="auto"/>
        <w:left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34">
    <w:name w:val="xl134"/>
    <w:basedOn w:val="Navaden"/>
    <w:uiPriority w:val="99"/>
    <w:rsid w:val="007522E3"/>
    <w:pPr>
      <w:pBdr>
        <w:left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35">
    <w:name w:val="xl135"/>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color w:val="0070C0"/>
      <w:sz w:val="24"/>
      <w:szCs w:val="24"/>
    </w:rPr>
  </w:style>
  <w:style w:type="paragraph" w:customStyle="1" w:styleId="xl136">
    <w:name w:val="xl136"/>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color w:val="0070C0"/>
      <w:sz w:val="24"/>
      <w:szCs w:val="24"/>
    </w:rPr>
  </w:style>
  <w:style w:type="paragraph" w:customStyle="1" w:styleId="xl137">
    <w:name w:val="xl13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38">
    <w:name w:val="xl138"/>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color w:val="000000"/>
      <w:sz w:val="24"/>
      <w:szCs w:val="24"/>
    </w:rPr>
  </w:style>
  <w:style w:type="paragraph" w:customStyle="1" w:styleId="xl139">
    <w:name w:val="xl139"/>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40">
    <w:name w:val="xl140"/>
    <w:basedOn w:val="Navaden"/>
    <w:uiPriority w:val="99"/>
    <w:rsid w:val="007522E3"/>
    <w:pPr>
      <w:pBdr>
        <w:top w:val="single" w:sz="4" w:space="0" w:color="auto"/>
        <w:left w:val="single" w:sz="4" w:space="0" w:color="auto"/>
        <w:bottom w:val="single" w:sz="4" w:space="0" w:color="auto"/>
        <w:right w:val="single" w:sz="4" w:space="0" w:color="auto"/>
      </w:pBdr>
      <w:shd w:val="clear" w:color="000000" w:fill="C5D9F1"/>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41">
    <w:name w:val="xl141"/>
    <w:basedOn w:val="Navaden"/>
    <w:uiPriority w:val="99"/>
    <w:rsid w:val="007522E3"/>
    <w:pPr>
      <w:pBdr>
        <w:top w:val="single" w:sz="4" w:space="0" w:color="auto"/>
        <w:left w:val="single" w:sz="4" w:space="14" w:color="auto"/>
        <w:bottom w:val="single" w:sz="4" w:space="0" w:color="auto"/>
        <w:right w:val="single" w:sz="4" w:space="0" w:color="auto"/>
      </w:pBdr>
      <w:shd w:val="clear" w:color="000000" w:fill="C5D9F1"/>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2">
    <w:name w:val="xl142"/>
    <w:basedOn w:val="Navaden"/>
    <w:uiPriority w:val="99"/>
    <w:rsid w:val="007522E3"/>
    <w:pPr>
      <w:pBdr>
        <w:top w:val="single" w:sz="4" w:space="0" w:color="auto"/>
        <w:left w:val="single" w:sz="4" w:space="0" w:color="auto"/>
        <w:bottom w:val="single" w:sz="4" w:space="0" w:color="auto"/>
        <w:right w:val="single" w:sz="4" w:space="0" w:color="auto"/>
      </w:pBdr>
      <w:shd w:val="clear" w:color="000000" w:fill="C5D9F1"/>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43">
    <w:name w:val="xl143"/>
    <w:basedOn w:val="Navaden"/>
    <w:uiPriority w:val="99"/>
    <w:rsid w:val="007522E3"/>
    <w:pPr>
      <w:pBdr>
        <w:top w:val="single" w:sz="4" w:space="0" w:color="auto"/>
        <w:left w:val="single" w:sz="4" w:space="14"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4">
    <w:name w:val="xl144"/>
    <w:basedOn w:val="Navaden"/>
    <w:uiPriority w:val="99"/>
    <w:rsid w:val="007522E3"/>
    <w:pPr>
      <w:pBdr>
        <w:left w:val="single" w:sz="4" w:space="14"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5">
    <w:name w:val="xl145"/>
    <w:basedOn w:val="Navaden"/>
    <w:uiPriority w:val="99"/>
    <w:rsid w:val="007522E3"/>
    <w:pPr>
      <w:pBdr>
        <w:left w:val="single" w:sz="4" w:space="14" w:color="auto"/>
        <w:bottom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46">
    <w:name w:val="xl146"/>
    <w:basedOn w:val="Navaden"/>
    <w:uiPriority w:val="99"/>
    <w:rsid w:val="007522E3"/>
    <w:pPr>
      <w:pBdr>
        <w:top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47">
    <w:name w:val="xl147"/>
    <w:basedOn w:val="Navaden"/>
    <w:uiPriority w:val="99"/>
    <w:rsid w:val="007522E3"/>
    <w:pPr>
      <w:pBdr>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48">
    <w:name w:val="xl148"/>
    <w:basedOn w:val="Navaden"/>
    <w:uiPriority w:val="99"/>
    <w:rsid w:val="007522E3"/>
    <w:pPr>
      <w:pBdr>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49">
    <w:name w:val="xl149"/>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50">
    <w:name w:val="xl150"/>
    <w:basedOn w:val="Navaden"/>
    <w:uiPriority w:val="99"/>
    <w:rsid w:val="007522E3"/>
    <w:pPr>
      <w:pBdr>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51">
    <w:name w:val="xl151"/>
    <w:basedOn w:val="Navaden"/>
    <w:uiPriority w:val="99"/>
    <w:rsid w:val="007522E3"/>
    <w:pPr>
      <w:pBdr>
        <w:top w:val="single" w:sz="8" w:space="0" w:color="000000"/>
        <w:bottom w:val="single" w:sz="8" w:space="0" w:color="000000"/>
      </w:pBdr>
      <w:shd w:val="clear" w:color="000000" w:fill="FFC000"/>
      <w:overflowPunct/>
      <w:autoSpaceDE/>
      <w:autoSpaceDN/>
      <w:adjustRightInd/>
      <w:spacing w:before="100" w:beforeAutospacing="1" w:after="100" w:afterAutospacing="1"/>
      <w:jc w:val="center"/>
      <w:textAlignment w:val="center"/>
    </w:pPr>
    <w:rPr>
      <w:rFonts w:ascii="Times New Roman" w:hAnsi="Times New Roman"/>
      <w:b/>
      <w:bCs/>
      <w:color w:val="1F497D"/>
      <w:sz w:val="28"/>
      <w:szCs w:val="28"/>
    </w:rPr>
  </w:style>
  <w:style w:type="paragraph" w:customStyle="1" w:styleId="xl152">
    <w:name w:val="xl152"/>
    <w:basedOn w:val="Navaden"/>
    <w:uiPriority w:val="99"/>
    <w:rsid w:val="007522E3"/>
    <w:pPr>
      <w:pBdr>
        <w:top w:val="single" w:sz="8" w:space="0" w:color="000000"/>
        <w:bottom w:val="single" w:sz="8" w:space="0" w:color="000000"/>
      </w:pBdr>
      <w:overflowPunct/>
      <w:autoSpaceDE/>
      <w:autoSpaceDN/>
      <w:adjustRightInd/>
      <w:spacing w:before="100" w:beforeAutospacing="1" w:after="100" w:afterAutospacing="1"/>
      <w:jc w:val="center"/>
      <w:textAlignment w:val="center"/>
    </w:pPr>
    <w:rPr>
      <w:rFonts w:ascii="Times New Roman" w:hAnsi="Times New Roman"/>
      <w:sz w:val="28"/>
      <w:szCs w:val="28"/>
    </w:rPr>
  </w:style>
  <w:style w:type="paragraph" w:customStyle="1" w:styleId="xl153">
    <w:name w:val="xl153"/>
    <w:basedOn w:val="Navaden"/>
    <w:uiPriority w:val="99"/>
    <w:rsid w:val="007522E3"/>
    <w:pPr>
      <w:pBdr>
        <w:top w:val="single" w:sz="8" w:space="0" w:color="000000"/>
        <w:bottom w:val="single" w:sz="8" w:space="0" w:color="000000"/>
        <w:right w:val="single" w:sz="8" w:space="0" w:color="000000"/>
      </w:pBdr>
      <w:overflowPunct/>
      <w:autoSpaceDE/>
      <w:autoSpaceDN/>
      <w:adjustRightInd/>
      <w:spacing w:before="100" w:beforeAutospacing="1" w:after="100" w:afterAutospacing="1"/>
      <w:jc w:val="center"/>
      <w:textAlignment w:val="center"/>
    </w:pPr>
    <w:rPr>
      <w:rFonts w:ascii="Times New Roman" w:hAnsi="Times New Roman"/>
      <w:sz w:val="28"/>
      <w:szCs w:val="28"/>
    </w:rPr>
  </w:style>
  <w:style w:type="paragraph" w:customStyle="1" w:styleId="xl154">
    <w:name w:val="xl154"/>
    <w:basedOn w:val="Navaden"/>
    <w:uiPriority w:val="99"/>
    <w:rsid w:val="007522E3"/>
    <w:pPr>
      <w:pBdr>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55">
    <w:name w:val="xl155"/>
    <w:basedOn w:val="Navaden"/>
    <w:uiPriority w:val="99"/>
    <w:rsid w:val="007522E3"/>
    <w:pPr>
      <w:pBdr>
        <w:top w:val="single" w:sz="4" w:space="0" w:color="auto"/>
        <w:left w:val="single" w:sz="4" w:space="14" w:color="auto"/>
        <w:bottom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color w:val="000000"/>
      <w:sz w:val="24"/>
      <w:szCs w:val="24"/>
    </w:rPr>
  </w:style>
  <w:style w:type="paragraph" w:customStyle="1" w:styleId="xl156">
    <w:name w:val="xl156"/>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57">
    <w:name w:val="xl157"/>
    <w:basedOn w:val="Navaden"/>
    <w:uiPriority w:val="99"/>
    <w:rsid w:val="007522E3"/>
    <w:pPr>
      <w:pBdr>
        <w:top w:val="single" w:sz="4" w:space="0" w:color="auto"/>
        <w:left w:val="single" w:sz="4" w:space="0" w:color="auto"/>
        <w:bottom w:val="single" w:sz="4" w:space="0" w:color="auto"/>
        <w:right w:val="single" w:sz="4" w:space="0" w:color="auto"/>
      </w:pBdr>
      <w:shd w:val="clear" w:color="000000" w:fill="F2F2F2"/>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58">
    <w:name w:val="xl158"/>
    <w:basedOn w:val="Navaden"/>
    <w:uiPriority w:val="99"/>
    <w:rsid w:val="007522E3"/>
    <w:pPr>
      <w:pBdr>
        <w:top w:val="single" w:sz="4" w:space="0" w:color="auto"/>
        <w:left w:val="single" w:sz="4" w:space="0" w:color="auto"/>
        <w:bottom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59">
    <w:name w:val="xl159"/>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color w:val="000000"/>
      <w:sz w:val="24"/>
      <w:szCs w:val="24"/>
    </w:rPr>
  </w:style>
  <w:style w:type="paragraph" w:customStyle="1" w:styleId="xl160">
    <w:name w:val="xl160"/>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1">
    <w:name w:val="xl161"/>
    <w:basedOn w:val="Navaden"/>
    <w:uiPriority w:val="99"/>
    <w:rsid w:val="007522E3"/>
    <w:pPr>
      <w:pBdr>
        <w:top w:val="single" w:sz="4" w:space="0" w:color="auto"/>
        <w:left w:val="single" w:sz="4" w:space="14" w:color="auto"/>
        <w:bottom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62">
    <w:name w:val="xl162"/>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63">
    <w:name w:val="xl163"/>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4">
    <w:name w:val="xl164"/>
    <w:basedOn w:val="Navaden"/>
    <w:uiPriority w:val="99"/>
    <w:rsid w:val="007522E3"/>
    <w:pPr>
      <w:pBdr>
        <w:top w:val="single" w:sz="4" w:space="0" w:color="auto"/>
        <w:left w:val="single" w:sz="4" w:space="0" w:color="auto"/>
        <w:bottom w:val="single" w:sz="4" w:space="0" w:color="auto"/>
        <w:right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65">
    <w:name w:val="xl165"/>
    <w:basedOn w:val="Navaden"/>
    <w:uiPriority w:val="99"/>
    <w:rsid w:val="007522E3"/>
    <w:pPr>
      <w:pBdr>
        <w:top w:val="single" w:sz="4" w:space="0" w:color="auto"/>
        <w:left w:val="single" w:sz="4" w:space="0" w:color="auto"/>
        <w:bottom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66">
    <w:name w:val="xl166"/>
    <w:basedOn w:val="Navaden"/>
    <w:uiPriority w:val="99"/>
    <w:rsid w:val="007522E3"/>
    <w:pPr>
      <w:pBdr>
        <w:top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7">
    <w:name w:val="xl167"/>
    <w:basedOn w:val="Navaden"/>
    <w:uiPriority w:val="99"/>
    <w:rsid w:val="007522E3"/>
    <w:pPr>
      <w:pBdr>
        <w:top w:val="single" w:sz="4" w:space="0" w:color="auto"/>
        <w:bottom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8">
    <w:name w:val="xl168"/>
    <w:basedOn w:val="Navaden"/>
    <w:uiPriority w:val="99"/>
    <w:rsid w:val="007522E3"/>
    <w:pPr>
      <w:pBdr>
        <w:top w:val="single" w:sz="4" w:space="0" w:color="auto"/>
        <w:bottom w:val="single" w:sz="4" w:space="0" w:color="auto"/>
        <w:right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69">
    <w:name w:val="xl169"/>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70">
    <w:name w:val="xl170"/>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i/>
      <w:iCs/>
      <w:sz w:val="24"/>
      <w:szCs w:val="24"/>
    </w:rPr>
  </w:style>
  <w:style w:type="paragraph" w:customStyle="1" w:styleId="xl171">
    <w:name w:val="xl171"/>
    <w:basedOn w:val="Navaden"/>
    <w:uiPriority w:val="99"/>
    <w:rsid w:val="007522E3"/>
    <w:pPr>
      <w:pBdr>
        <w:left w:val="single" w:sz="4" w:space="14" w:color="auto"/>
        <w:bottom w:val="single" w:sz="4" w:space="0"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2">
    <w:name w:val="xl172"/>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73">
    <w:name w:val="xl173"/>
    <w:basedOn w:val="Navaden"/>
    <w:uiPriority w:val="99"/>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xl174">
    <w:name w:val="xl174"/>
    <w:basedOn w:val="Navaden"/>
    <w:uiPriority w:val="99"/>
    <w:rsid w:val="007522E3"/>
    <w:pPr>
      <w:pBdr>
        <w:left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5">
    <w:name w:val="xl175"/>
    <w:basedOn w:val="Navaden"/>
    <w:uiPriority w:val="99"/>
    <w:rsid w:val="007522E3"/>
    <w:pPr>
      <w:pBdr>
        <w:left w:val="single" w:sz="4" w:space="0" w:color="auto"/>
        <w:bottom w:val="single" w:sz="4" w:space="0" w:color="auto"/>
        <w:right w:val="single" w:sz="4" w:space="0" w:color="auto"/>
      </w:pBdr>
      <w:shd w:val="clear" w:color="000000" w:fill="FFFFFF"/>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6">
    <w:name w:val="xl176"/>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77">
    <w:name w:val="xl177"/>
    <w:basedOn w:val="Navaden"/>
    <w:uiPriority w:val="99"/>
    <w:rsid w:val="007522E3"/>
    <w:pPr>
      <w:pBdr>
        <w:top w:val="single" w:sz="4" w:space="0" w:color="auto"/>
        <w:left w:val="single" w:sz="4" w:space="14"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8">
    <w:name w:val="xl178"/>
    <w:basedOn w:val="Navaden"/>
    <w:uiPriority w:val="99"/>
    <w:rsid w:val="007522E3"/>
    <w:pPr>
      <w:pBdr>
        <w:left w:val="single" w:sz="4" w:space="14" w:color="auto"/>
        <w:bottom w:val="single" w:sz="4" w:space="0"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79">
    <w:name w:val="xl179"/>
    <w:basedOn w:val="Navaden"/>
    <w:uiPriority w:val="99"/>
    <w:rsid w:val="007522E3"/>
    <w:pPr>
      <w:pBdr>
        <w:top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sz w:val="24"/>
      <w:szCs w:val="24"/>
    </w:rPr>
  </w:style>
  <w:style w:type="paragraph" w:customStyle="1" w:styleId="xl180">
    <w:name w:val="xl180"/>
    <w:basedOn w:val="Navaden"/>
    <w:uiPriority w:val="99"/>
    <w:rsid w:val="007522E3"/>
    <w:pPr>
      <w:pBdr>
        <w:top w:val="single" w:sz="8" w:space="0" w:color="000000"/>
        <w:bottom w:val="single" w:sz="4" w:space="0" w:color="auto"/>
      </w:pBdr>
      <w:shd w:val="clear" w:color="000000" w:fill="FFC000"/>
      <w:overflowPunct/>
      <w:autoSpaceDE/>
      <w:autoSpaceDN/>
      <w:adjustRightInd/>
      <w:spacing w:before="100" w:beforeAutospacing="1" w:after="100" w:afterAutospacing="1"/>
      <w:textAlignment w:val="center"/>
    </w:pPr>
    <w:rPr>
      <w:rFonts w:ascii="Times New Roman" w:hAnsi="Times New Roman"/>
      <w:b/>
      <w:bCs/>
      <w:sz w:val="24"/>
      <w:szCs w:val="24"/>
    </w:rPr>
  </w:style>
  <w:style w:type="paragraph" w:customStyle="1" w:styleId="xl181">
    <w:name w:val="xl181"/>
    <w:basedOn w:val="Navaden"/>
    <w:uiPriority w:val="99"/>
    <w:rsid w:val="007522E3"/>
    <w:pPr>
      <w:pBdr>
        <w:top w:val="single" w:sz="8" w:space="0" w:color="000000"/>
        <w:bottom w:val="single" w:sz="4" w:space="0" w:color="auto"/>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82">
    <w:name w:val="xl182"/>
    <w:basedOn w:val="Navaden"/>
    <w:uiPriority w:val="99"/>
    <w:rsid w:val="007522E3"/>
    <w:pPr>
      <w:pBdr>
        <w:top w:val="single" w:sz="8" w:space="0" w:color="000000"/>
        <w:bottom w:val="single" w:sz="4" w:space="0" w:color="auto"/>
        <w:right w:val="single" w:sz="8" w:space="0" w:color="000000"/>
      </w:pBdr>
      <w:overflowPunct/>
      <w:autoSpaceDE/>
      <w:autoSpaceDN/>
      <w:adjustRightInd/>
      <w:spacing w:before="100" w:beforeAutospacing="1" w:after="100" w:afterAutospacing="1"/>
      <w:textAlignment w:val="center"/>
    </w:pPr>
    <w:rPr>
      <w:rFonts w:ascii="Times New Roman" w:hAnsi="Times New Roman"/>
      <w:sz w:val="24"/>
      <w:szCs w:val="24"/>
    </w:rPr>
  </w:style>
  <w:style w:type="paragraph" w:customStyle="1" w:styleId="xl183">
    <w:name w:val="xl183"/>
    <w:basedOn w:val="Navaden"/>
    <w:uiPriority w:val="99"/>
    <w:rsid w:val="007522E3"/>
    <w:pPr>
      <w:pBdr>
        <w:top w:val="single" w:sz="4" w:space="0" w:color="auto"/>
        <w:left w:val="single" w:sz="4" w:space="0" w:color="auto"/>
        <w:right w:val="single" w:sz="4" w:space="0" w:color="auto"/>
      </w:pBdr>
      <w:overflowPunct/>
      <w:autoSpaceDE/>
      <w:autoSpaceDN/>
      <w:adjustRightInd/>
      <w:spacing w:before="100" w:beforeAutospacing="1" w:after="100" w:afterAutospacing="1"/>
      <w:jc w:val="center"/>
      <w:textAlignment w:val="center"/>
    </w:pPr>
    <w:rPr>
      <w:rFonts w:ascii="Times New Roman" w:hAnsi="Times New Roman"/>
      <w:color w:val="000000"/>
      <w:sz w:val="24"/>
      <w:szCs w:val="24"/>
    </w:rPr>
  </w:style>
  <w:style w:type="paragraph" w:customStyle="1" w:styleId="xl184">
    <w:name w:val="xl184"/>
    <w:basedOn w:val="Navaden"/>
    <w:uiPriority w:val="99"/>
    <w:rsid w:val="007522E3"/>
    <w:pPr>
      <w:pBdr>
        <w:top w:val="single" w:sz="4" w:space="0" w:color="auto"/>
        <w:left w:val="single" w:sz="4" w:space="14" w:color="auto"/>
        <w:right w:val="single" w:sz="4" w:space="0" w:color="auto"/>
      </w:pBdr>
      <w:shd w:val="clear" w:color="000000" w:fill="FFFFFF"/>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85">
    <w:name w:val="xl185"/>
    <w:basedOn w:val="Navaden"/>
    <w:uiPriority w:val="99"/>
    <w:rsid w:val="007522E3"/>
    <w:pPr>
      <w:pBdr>
        <w:left w:val="single" w:sz="4" w:space="14" w:color="auto"/>
        <w:right w:val="single" w:sz="4" w:space="0" w:color="auto"/>
      </w:pBdr>
      <w:overflowPunct/>
      <w:autoSpaceDE/>
      <w:autoSpaceDN/>
      <w:adjustRightInd/>
      <w:spacing w:before="100" w:beforeAutospacing="1" w:after="100" w:afterAutospacing="1"/>
      <w:ind w:firstLineChars="200" w:firstLine="200"/>
      <w:textAlignment w:val="center"/>
    </w:pPr>
    <w:rPr>
      <w:rFonts w:ascii="Times New Roman" w:hAnsi="Times New Roman"/>
      <w:sz w:val="24"/>
      <w:szCs w:val="24"/>
    </w:rPr>
  </w:style>
  <w:style w:type="paragraph" w:customStyle="1" w:styleId="xl186">
    <w:name w:val="xl186"/>
    <w:basedOn w:val="Navaden"/>
    <w:uiPriority w:val="99"/>
    <w:rsid w:val="007522E3"/>
    <w:pPr>
      <w:pBdr>
        <w:top w:val="single" w:sz="4" w:space="0" w:color="auto"/>
        <w:left w:val="single" w:sz="4" w:space="0" w:color="auto"/>
        <w:right w:val="single" w:sz="4" w:space="0" w:color="auto"/>
      </w:pBdr>
      <w:shd w:val="clear" w:color="000000" w:fill="FFFFFF"/>
      <w:overflowPunct/>
      <w:autoSpaceDE/>
      <w:autoSpaceDN/>
      <w:adjustRightInd/>
      <w:spacing w:before="100" w:beforeAutospacing="1" w:after="100" w:afterAutospacing="1"/>
      <w:textAlignment w:val="center"/>
    </w:pPr>
    <w:rPr>
      <w:rFonts w:ascii="Times New Roman" w:hAnsi="Times New Roman"/>
      <w:b/>
      <w:bCs/>
      <w:sz w:val="24"/>
      <w:szCs w:val="24"/>
    </w:rPr>
  </w:style>
  <w:style w:type="character" w:customStyle="1" w:styleId="5NormalChar">
    <w:name w:val="5 Normal Char"/>
    <w:link w:val="5Normal"/>
    <w:locked/>
    <w:rsid w:val="007522E3"/>
    <w:rPr>
      <w:rFonts w:ascii="Arial" w:hAnsi="Arial" w:cs="Arial"/>
      <w:spacing w:val="-2"/>
      <w:sz w:val="22"/>
      <w:szCs w:val="22"/>
      <w:lang w:val="en-GB" w:eastAsia="en-GB"/>
    </w:rPr>
  </w:style>
  <w:style w:type="paragraph" w:customStyle="1" w:styleId="5Normal">
    <w:name w:val="5 Normal"/>
    <w:link w:val="5NormalChar"/>
    <w:rsid w:val="007522E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pPr>
    <w:rPr>
      <w:rFonts w:ascii="Arial" w:hAnsi="Arial" w:cs="Arial"/>
      <w:spacing w:val="-2"/>
      <w:sz w:val="22"/>
      <w:szCs w:val="22"/>
      <w:lang w:val="en-GB" w:eastAsia="en-GB"/>
    </w:rPr>
  </w:style>
  <w:style w:type="paragraph" w:customStyle="1" w:styleId="Tiret1">
    <w:name w:val="Tiret 1"/>
    <w:basedOn w:val="Navaden"/>
    <w:autoRedefine/>
    <w:uiPriority w:val="99"/>
    <w:rsid w:val="007522E3"/>
    <w:pPr>
      <w:numPr>
        <w:numId w:val="56"/>
      </w:numPr>
      <w:tabs>
        <w:tab w:val="clear" w:pos="360"/>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overflowPunct/>
      <w:autoSpaceDE/>
      <w:autoSpaceDN/>
      <w:adjustRightInd/>
      <w:spacing w:after="40"/>
      <w:jc w:val="left"/>
      <w:textAlignment w:val="auto"/>
    </w:pPr>
    <w:rPr>
      <w:szCs w:val="20"/>
      <w:lang w:val="en-GB" w:eastAsia="en-GB"/>
    </w:rPr>
  </w:style>
  <w:style w:type="character" w:customStyle="1" w:styleId="longtext">
    <w:name w:val="long_text"/>
    <w:rsid w:val="007522E3"/>
  </w:style>
  <w:style w:type="character" w:customStyle="1" w:styleId="apple-style-span">
    <w:name w:val="apple-style-span"/>
    <w:rsid w:val="007522E3"/>
  </w:style>
  <w:style w:type="character" w:customStyle="1" w:styleId="FootnoteTextChar1">
    <w:name w:val="Footnote Text Char1"/>
    <w:aliases w:val="Sprotna opomba-besedilo Char1,Char Char Char1,Char Char Char Char Char1"/>
    <w:semiHidden/>
    <w:rsid w:val="007522E3"/>
    <w:rPr>
      <w:sz w:val="20"/>
      <w:szCs w:val="20"/>
    </w:rPr>
  </w:style>
  <w:style w:type="character" w:customStyle="1" w:styleId="HeaderChar1">
    <w:name w:val="Header Char1"/>
    <w:aliases w:val="APEK-4 Char1"/>
    <w:semiHidden/>
    <w:rsid w:val="007522E3"/>
  </w:style>
  <w:style w:type="paragraph" w:styleId="Konnaopomba-besedilo">
    <w:name w:val="endnote text"/>
    <w:basedOn w:val="Navaden"/>
    <w:link w:val="Konnaopomba-besediloZnak"/>
    <w:uiPriority w:val="99"/>
    <w:unhideWhenUsed/>
    <w:locked/>
    <w:rsid w:val="007522E3"/>
    <w:pPr>
      <w:overflowPunct/>
      <w:autoSpaceDE/>
      <w:autoSpaceDN/>
      <w:adjustRightInd/>
      <w:jc w:val="left"/>
      <w:textAlignment w:val="auto"/>
    </w:pPr>
    <w:rPr>
      <w:rFonts w:ascii="Calibri" w:eastAsia="Calibri" w:hAnsi="Calibri"/>
      <w:sz w:val="20"/>
      <w:szCs w:val="20"/>
    </w:rPr>
  </w:style>
  <w:style w:type="character" w:customStyle="1" w:styleId="Konnaopomba-besediloZnak">
    <w:name w:val="Končna opomba - besedilo Znak"/>
    <w:basedOn w:val="Privzetapisavaodstavka"/>
    <w:link w:val="Konnaopomba-besedilo"/>
    <w:uiPriority w:val="99"/>
    <w:rsid w:val="007522E3"/>
  </w:style>
  <w:style w:type="character" w:styleId="Konnaopomba-sklic">
    <w:name w:val="endnote reference"/>
    <w:uiPriority w:val="99"/>
    <w:unhideWhenUsed/>
    <w:locked/>
    <w:rsid w:val="007522E3"/>
    <w:rPr>
      <w:vertAlign w:val="superscript"/>
    </w:rPr>
  </w:style>
  <w:style w:type="table" w:customStyle="1" w:styleId="Svetlamreapoudarek11">
    <w:name w:val="Svetla mreža – poudarek 11"/>
    <w:basedOn w:val="Navadnatabela"/>
    <w:uiPriority w:val="62"/>
    <w:rsid w:val="007522E3"/>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bulet">
    <w:name w:val="bulet"/>
    <w:basedOn w:val="Navaden"/>
    <w:rsid w:val="007522E3"/>
    <w:pPr>
      <w:overflowPunct/>
      <w:spacing w:after="40" w:line="288" w:lineRule="auto"/>
      <w:ind w:left="283" w:hanging="283"/>
      <w:textAlignment w:val="center"/>
    </w:pPr>
    <w:rPr>
      <w:rFonts w:ascii="MetaNormalCELF-Roman" w:eastAsia="Batang" w:hAnsi="MetaNormalCELF-Roman" w:cs="MetaNormalCELF-Roman"/>
      <w:color w:val="000000"/>
      <w:szCs w:val="22"/>
      <w:lang w:eastAsia="ja-JP"/>
    </w:rPr>
  </w:style>
  <w:style w:type="paragraph" w:customStyle="1" w:styleId="h2">
    <w:name w:val="h2"/>
    <w:basedOn w:val="Navaden"/>
    <w:rsid w:val="007522E3"/>
    <w:pPr>
      <w:suppressAutoHyphens/>
      <w:overflowPunct/>
      <w:spacing w:before="142" w:after="85" w:line="288" w:lineRule="auto"/>
      <w:ind w:left="283" w:hanging="283"/>
      <w:jc w:val="left"/>
      <w:textAlignment w:val="center"/>
    </w:pPr>
    <w:rPr>
      <w:rFonts w:ascii="MetaBlackCELF-Roman" w:eastAsia="Batang" w:hAnsi="MetaBlackCELF-Roman" w:cs="MetaBlackCELF-Roman"/>
      <w:color w:val="0019E5"/>
      <w:sz w:val="26"/>
      <w:szCs w:val="26"/>
      <w:lang w:eastAsia="ja-JP"/>
    </w:rPr>
  </w:style>
  <w:style w:type="paragraph" w:customStyle="1" w:styleId="SlogNaslov1Calibri12pt">
    <w:name w:val="Slog Naslov 1 + Calibri 12 pt"/>
    <w:basedOn w:val="Naslov1"/>
    <w:link w:val="SlogNaslov1Calibri12ptZnak"/>
    <w:rsid w:val="007522E3"/>
    <w:pPr>
      <w:numPr>
        <w:numId w:val="57"/>
      </w:numPr>
      <w:shd w:val="clear" w:color="auto" w:fill="E8D1FF"/>
      <w:spacing w:after="240" w:line="240" w:lineRule="auto"/>
    </w:pPr>
    <w:rPr>
      <w:rFonts w:ascii="Calibri" w:eastAsia="MS Mincho" w:hAnsi="Calibri"/>
      <w:bCs/>
      <w:i/>
      <w:iCs/>
      <w:sz w:val="24"/>
      <w:szCs w:val="24"/>
      <w:lang w:eastAsia="ja-JP"/>
    </w:rPr>
  </w:style>
  <w:style w:type="character" w:customStyle="1" w:styleId="SlogNaslov1Calibri12ptZnak">
    <w:name w:val="Slog Naslov 1 + Calibri 12 pt Znak"/>
    <w:link w:val="SlogNaslov1Calibri12pt"/>
    <w:rsid w:val="007522E3"/>
    <w:rPr>
      <w:rFonts w:eastAsia="MS Mincho"/>
      <w:b/>
      <w:bCs/>
      <w:i/>
      <w:iCs/>
      <w:kern w:val="32"/>
      <w:sz w:val="24"/>
      <w:szCs w:val="24"/>
      <w:shd w:val="clear" w:color="auto" w:fill="E8D1FF"/>
      <w:lang w:eastAsia="ja-JP"/>
    </w:rPr>
  </w:style>
  <w:style w:type="paragraph" w:customStyle="1" w:styleId="astandardtiret202">
    <w:name w:val="a_standard_tiret_20_2"/>
    <w:basedOn w:val="Navaden"/>
    <w:rsid w:val="007522E3"/>
    <w:pPr>
      <w:overflowPunct/>
      <w:autoSpaceDE/>
      <w:autoSpaceDN/>
      <w:adjustRightInd/>
      <w:spacing w:after="40"/>
      <w:ind w:right="57"/>
      <w:textAlignment w:val="auto"/>
    </w:pPr>
    <w:rPr>
      <w:rFonts w:ascii="Times New Roman" w:hAnsi="Times New Roman"/>
      <w:sz w:val="24"/>
      <w:szCs w:val="24"/>
    </w:rPr>
  </w:style>
  <w:style w:type="paragraph" w:customStyle="1" w:styleId="atiret202p9">
    <w:name w:val="a_tiret_20_2_p9"/>
    <w:basedOn w:val="Navaden"/>
    <w:rsid w:val="007522E3"/>
    <w:pPr>
      <w:overflowPunct/>
      <w:autoSpaceDE/>
      <w:autoSpaceDN/>
      <w:adjustRightInd/>
      <w:spacing w:after="40"/>
      <w:ind w:right="57"/>
      <w:textAlignment w:val="auto"/>
    </w:pPr>
    <w:rPr>
      <w:rFonts w:ascii="Times New Roman" w:hAnsi="Times New Roman"/>
      <w:sz w:val="24"/>
      <w:szCs w:val="24"/>
    </w:rPr>
  </w:style>
  <w:style w:type="paragraph" w:customStyle="1" w:styleId="asous-titre202p12">
    <w:name w:val="a_sous-titre_20_2_p12"/>
    <w:basedOn w:val="Navaden"/>
    <w:rsid w:val="007522E3"/>
    <w:pPr>
      <w:overflowPunct/>
      <w:autoSpaceDE/>
      <w:autoSpaceDN/>
      <w:adjustRightInd/>
      <w:spacing w:before="120" w:after="80"/>
      <w:ind w:left="284" w:right="57"/>
      <w:textAlignment w:val="auto"/>
    </w:pPr>
    <w:rPr>
      <w:rFonts w:ascii="Times New Roman" w:hAnsi="Times New Roman"/>
      <w:b/>
      <w:bCs/>
      <w:sz w:val="24"/>
      <w:szCs w:val="24"/>
    </w:rPr>
  </w:style>
  <w:style w:type="character" w:customStyle="1" w:styleId="at21">
    <w:name w:val="a__t21"/>
    <w:rsid w:val="007522E3"/>
    <w:rPr>
      <w:b/>
      <w:bCs/>
    </w:rPr>
  </w:style>
  <w:style w:type="character" w:customStyle="1" w:styleId="at31">
    <w:name w:val="a__t31"/>
    <w:rsid w:val="007522E3"/>
    <w:rPr>
      <w:b/>
      <w:bCs/>
    </w:rPr>
  </w:style>
  <w:style w:type="character" w:styleId="tevilkastrani">
    <w:name w:val="page number"/>
    <w:locked/>
    <w:rsid w:val="007522E3"/>
  </w:style>
  <w:style w:type="paragraph" w:customStyle="1" w:styleId="BodyTextIndent31">
    <w:name w:val="Body Text Indent 31"/>
    <w:basedOn w:val="Navaden"/>
    <w:rsid w:val="007522E3"/>
    <w:pPr>
      <w:spacing w:after="120"/>
      <w:ind w:left="283"/>
      <w:jc w:val="left"/>
    </w:pPr>
    <w:rPr>
      <w:rFonts w:ascii="Times New Roman" w:hAnsi="Times New Roman"/>
      <w:sz w:val="16"/>
      <w:szCs w:val="20"/>
    </w:rPr>
  </w:style>
  <w:style w:type="numbering" w:customStyle="1" w:styleId="Brezseznama111">
    <w:name w:val="Brez seznama111"/>
    <w:next w:val="Brezseznama"/>
    <w:semiHidden/>
    <w:rsid w:val="007522E3"/>
  </w:style>
  <w:style w:type="table" w:customStyle="1" w:styleId="Tabelamrea11">
    <w:name w:val="Tabela – mreža11"/>
    <w:basedOn w:val="Navadnatabela"/>
    <w:next w:val="Tabelamrea"/>
    <w:rsid w:val="007522E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Web2">
    <w:name w:val="Normal (Web)2"/>
    <w:basedOn w:val="Navaden"/>
    <w:rsid w:val="007522E3"/>
    <w:pPr>
      <w:spacing w:before="100" w:after="100"/>
      <w:jc w:val="left"/>
    </w:pPr>
    <w:rPr>
      <w:rFonts w:ascii="Times New Roman" w:hAnsi="Times New Roman"/>
      <w:sz w:val="24"/>
      <w:szCs w:val="20"/>
    </w:rPr>
  </w:style>
  <w:style w:type="paragraph" w:customStyle="1" w:styleId="NormalWeb1">
    <w:name w:val="Normal (Web)1"/>
    <w:basedOn w:val="Navaden"/>
    <w:rsid w:val="007522E3"/>
    <w:pPr>
      <w:spacing w:before="100" w:after="100"/>
      <w:jc w:val="left"/>
    </w:pPr>
    <w:rPr>
      <w:rFonts w:ascii="Times New Roman" w:hAnsi="Times New Roman"/>
      <w:sz w:val="24"/>
      <w:szCs w:val="20"/>
    </w:rPr>
  </w:style>
  <w:style w:type="paragraph" w:styleId="Telobesedila3">
    <w:name w:val="Body Text 3"/>
    <w:basedOn w:val="Navaden"/>
    <w:link w:val="Telobesedila3Znak"/>
    <w:locked/>
    <w:rsid w:val="007522E3"/>
    <w:pPr>
      <w:overflowPunct/>
      <w:autoSpaceDE/>
      <w:autoSpaceDN/>
      <w:adjustRightInd/>
      <w:spacing w:line="288" w:lineRule="auto"/>
      <w:jc w:val="center"/>
      <w:textAlignment w:val="auto"/>
    </w:pPr>
    <w:rPr>
      <w:sz w:val="23"/>
      <w:szCs w:val="24"/>
    </w:rPr>
  </w:style>
  <w:style w:type="character" w:customStyle="1" w:styleId="Telobesedila3Znak">
    <w:name w:val="Telo besedila 3 Znak"/>
    <w:basedOn w:val="Privzetapisavaodstavka"/>
    <w:link w:val="Telobesedila3"/>
    <w:rsid w:val="007522E3"/>
    <w:rPr>
      <w:rFonts w:ascii="Arial" w:eastAsia="Times New Roman" w:hAnsi="Arial"/>
      <w:sz w:val="23"/>
      <w:szCs w:val="24"/>
    </w:rPr>
  </w:style>
  <w:style w:type="numbering" w:customStyle="1" w:styleId="Brezseznama1111">
    <w:name w:val="Brez seznama1111"/>
    <w:next w:val="Brezseznama"/>
    <w:semiHidden/>
    <w:rsid w:val="007522E3"/>
  </w:style>
  <w:style w:type="table" w:customStyle="1" w:styleId="Tabelamrea111">
    <w:name w:val="Tabela – mreža111"/>
    <w:basedOn w:val="Navadnatabela"/>
    <w:next w:val="Tabelamrea"/>
    <w:rsid w:val="007522E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2">
    <w:name w:val="xl22"/>
    <w:basedOn w:val="Navaden"/>
    <w:rsid w:val="007522E3"/>
    <w:pPr>
      <w:pBdr>
        <w:left w:val="single" w:sz="4" w:space="0" w:color="auto"/>
        <w:bottom w:val="single" w:sz="4" w:space="0" w:color="auto"/>
        <w:right w:val="single" w:sz="4" w:space="0" w:color="auto"/>
      </w:pBdr>
      <w:overflowPunct/>
      <w:autoSpaceDE/>
      <w:autoSpaceDN/>
      <w:adjustRightInd/>
      <w:spacing w:before="100" w:beforeAutospacing="1" w:after="100" w:afterAutospacing="1"/>
      <w:textAlignment w:val="top"/>
    </w:pPr>
    <w:rPr>
      <w:rFonts w:ascii="Times New Roman" w:eastAsia="Arial Unicode MS" w:hAnsi="Times New Roman"/>
      <w:sz w:val="24"/>
      <w:szCs w:val="24"/>
    </w:rPr>
  </w:style>
  <w:style w:type="paragraph" w:customStyle="1" w:styleId="xl43">
    <w:name w:val="xl43"/>
    <w:basedOn w:val="Navaden"/>
    <w:rsid w:val="007522E3"/>
    <w:pPr>
      <w:overflowPunct/>
      <w:autoSpaceDE/>
      <w:autoSpaceDN/>
      <w:adjustRightInd/>
      <w:spacing w:before="100" w:beforeAutospacing="1" w:after="100" w:afterAutospacing="1"/>
      <w:jc w:val="center"/>
      <w:textAlignment w:val="auto"/>
    </w:pPr>
    <w:rPr>
      <w:rFonts w:ascii="Arial Unicode MS" w:eastAsia="Arial Unicode MS" w:hAnsi="Arial Unicode MS" w:cs="Arial Unicode MS"/>
      <w:sz w:val="24"/>
      <w:szCs w:val="24"/>
    </w:rPr>
  </w:style>
  <w:style w:type="paragraph" w:customStyle="1" w:styleId="xl31">
    <w:name w:val="xl31"/>
    <w:basedOn w:val="Navaden"/>
    <w:rsid w:val="007522E3"/>
    <w:pPr>
      <w:overflowPunct/>
      <w:autoSpaceDE/>
      <w:autoSpaceDN/>
      <w:adjustRightInd/>
      <w:spacing w:before="100" w:beforeAutospacing="1" w:after="100" w:afterAutospacing="1"/>
      <w:jc w:val="right"/>
      <w:textAlignment w:val="auto"/>
    </w:pPr>
    <w:rPr>
      <w:rFonts w:eastAsia="Arial Unicode MS" w:cs="Arial"/>
      <w:b/>
      <w:bCs/>
      <w:sz w:val="24"/>
      <w:szCs w:val="24"/>
    </w:rPr>
  </w:style>
  <w:style w:type="paragraph" w:customStyle="1" w:styleId="StyleHeading116ptJustifiedLinespacingMultiple12li">
    <w:name w:val="Style Heading 1 + 16 pt Justified Line spacing:  Multiple 12 li"/>
    <w:basedOn w:val="Naslov1"/>
    <w:rsid w:val="007522E3"/>
    <w:pPr>
      <w:numPr>
        <w:numId w:val="58"/>
      </w:numPr>
      <w:spacing w:before="0" w:after="0" w:line="288" w:lineRule="auto"/>
      <w:jc w:val="both"/>
    </w:pPr>
    <w:rPr>
      <w:rFonts w:ascii="Times New Roman" w:hAnsi="Times New Roman"/>
      <w:bCs/>
      <w:kern w:val="0"/>
      <w:sz w:val="32"/>
      <w:szCs w:val="20"/>
      <w:lang w:eastAsia="en-US"/>
    </w:rPr>
  </w:style>
  <w:style w:type="paragraph" w:customStyle="1" w:styleId="StyleHeading2TimesNewRomanNotItalicBefore0ptAfter">
    <w:name w:val="Style Heading 2 + Times New Roman Not Italic Before:  0 pt After..."/>
    <w:basedOn w:val="Naslov2"/>
    <w:rsid w:val="007522E3"/>
    <w:pPr>
      <w:keepLines w:val="0"/>
      <w:numPr>
        <w:ilvl w:val="1"/>
        <w:numId w:val="58"/>
      </w:numPr>
      <w:spacing w:before="0" w:line="288" w:lineRule="auto"/>
    </w:pPr>
    <w:rPr>
      <w:rFonts w:ascii="Times New Roman" w:hAnsi="Times New Roman"/>
      <w:sz w:val="28"/>
      <w:szCs w:val="20"/>
    </w:rPr>
  </w:style>
  <w:style w:type="paragraph" w:customStyle="1" w:styleId="StyleHeading3TimesNewRoman12ptJustifiedBefore0pt">
    <w:name w:val="Style Heading 3 + Times New Roman 12 pt Justified Before:  0 pt..."/>
    <w:basedOn w:val="Naslov3"/>
    <w:rsid w:val="007522E3"/>
    <w:pPr>
      <w:keepLines w:val="0"/>
      <w:numPr>
        <w:ilvl w:val="2"/>
        <w:numId w:val="58"/>
      </w:numPr>
      <w:spacing w:before="0" w:line="288" w:lineRule="auto"/>
      <w:jc w:val="both"/>
    </w:pPr>
    <w:rPr>
      <w:rFonts w:ascii="Times New Roman" w:hAnsi="Times New Roman"/>
      <w:i w:val="0"/>
      <w:sz w:val="24"/>
    </w:rPr>
  </w:style>
  <w:style w:type="paragraph" w:customStyle="1" w:styleId="Ppika">
    <w:name w:val="P pika"/>
    <w:basedOn w:val="Navaden"/>
    <w:rsid w:val="007522E3"/>
    <w:pPr>
      <w:widowControl w:val="0"/>
      <w:numPr>
        <w:numId w:val="59"/>
      </w:numPr>
      <w:overflowPunct/>
      <w:autoSpaceDE/>
      <w:autoSpaceDN/>
      <w:spacing w:before="60" w:after="60" w:line="360" w:lineRule="atLeast"/>
    </w:pPr>
    <w:rPr>
      <w:szCs w:val="24"/>
    </w:rPr>
  </w:style>
  <w:style w:type="paragraph" w:styleId="Oznaenseznam">
    <w:name w:val="List Bullet"/>
    <w:basedOn w:val="Navaden"/>
    <w:locked/>
    <w:rsid w:val="007522E3"/>
    <w:pPr>
      <w:numPr>
        <w:numId w:val="60"/>
      </w:numPr>
      <w:overflowPunct/>
      <w:autoSpaceDE/>
      <w:autoSpaceDN/>
      <w:adjustRightInd/>
      <w:jc w:val="left"/>
      <w:textAlignment w:val="auto"/>
    </w:pPr>
    <w:rPr>
      <w:rFonts w:ascii="Times New Roman" w:hAnsi="Times New Roman"/>
      <w:sz w:val="24"/>
      <w:szCs w:val="24"/>
    </w:rPr>
  </w:style>
  <w:style w:type="paragraph" w:customStyle="1" w:styleId="Navaden2">
    <w:name w:val="Navaden2"/>
    <w:basedOn w:val="Navaden"/>
    <w:next w:val="Navaden"/>
    <w:rsid w:val="007522E3"/>
    <w:pPr>
      <w:overflowPunct/>
      <w:textAlignment w:val="auto"/>
    </w:pPr>
    <w:rPr>
      <w:rFonts w:ascii="Tahoma" w:hAnsi="Tahoma"/>
      <w:sz w:val="24"/>
      <w:szCs w:val="24"/>
      <w:lang w:val="en-US" w:eastAsia="en-US"/>
    </w:rPr>
  </w:style>
  <w:style w:type="paragraph" w:customStyle="1" w:styleId="Vsebinatabele">
    <w:name w:val="Vsebina tabele"/>
    <w:basedOn w:val="Navaden"/>
    <w:rsid w:val="007522E3"/>
    <w:pPr>
      <w:suppressLineNumbers/>
      <w:suppressAutoHyphens/>
      <w:overflowPunct/>
      <w:autoSpaceDE/>
      <w:autoSpaceDN/>
      <w:adjustRightInd/>
      <w:jc w:val="left"/>
      <w:textAlignment w:val="auto"/>
    </w:pPr>
    <w:rPr>
      <w:rFonts w:ascii="Times New Roman" w:hAnsi="Times New Roman"/>
      <w:sz w:val="24"/>
      <w:szCs w:val="24"/>
      <w:lang w:eastAsia="ar-SA"/>
    </w:rPr>
  </w:style>
  <w:style w:type="paragraph" w:customStyle="1" w:styleId="Pa7">
    <w:name w:val="Pa7"/>
    <w:basedOn w:val="Navaden"/>
    <w:next w:val="Navaden"/>
    <w:rsid w:val="007522E3"/>
    <w:pPr>
      <w:overflowPunct/>
      <w:spacing w:line="161" w:lineRule="atLeast"/>
      <w:jc w:val="left"/>
      <w:textAlignment w:val="auto"/>
    </w:pPr>
    <w:rPr>
      <w:rFonts w:ascii="Humnst777 Lt BT" w:hAnsi="Humnst777 Lt BT"/>
      <w:sz w:val="24"/>
      <w:szCs w:val="24"/>
      <w:lang w:val="en-US" w:eastAsia="en-US"/>
    </w:rPr>
  </w:style>
  <w:style w:type="paragraph" w:customStyle="1" w:styleId="msolistparagraph0">
    <w:name w:val="msolistparagraph"/>
    <w:basedOn w:val="Navaden"/>
    <w:rsid w:val="007522E3"/>
    <w:pPr>
      <w:overflowPunct/>
      <w:autoSpaceDE/>
      <w:autoSpaceDN/>
      <w:adjustRightInd/>
      <w:ind w:left="720"/>
      <w:jc w:val="left"/>
      <w:textAlignment w:val="auto"/>
    </w:pPr>
    <w:rPr>
      <w:rFonts w:ascii="Calibri" w:hAnsi="Calibri"/>
      <w:szCs w:val="22"/>
      <w:lang w:val="en-US" w:eastAsia="en-US"/>
    </w:rPr>
  </w:style>
  <w:style w:type="paragraph" w:styleId="Oznaenseznam2">
    <w:name w:val="List Bullet 2"/>
    <w:basedOn w:val="Navaden"/>
    <w:locked/>
    <w:rsid w:val="007522E3"/>
    <w:pPr>
      <w:numPr>
        <w:numId w:val="61"/>
      </w:numPr>
      <w:overflowPunct/>
      <w:autoSpaceDE/>
      <w:autoSpaceDN/>
      <w:adjustRightInd/>
      <w:contextualSpacing/>
      <w:jc w:val="left"/>
      <w:textAlignment w:val="auto"/>
    </w:pPr>
    <w:rPr>
      <w:rFonts w:ascii="Times New Roman" w:hAnsi="Times New Roman"/>
      <w:sz w:val="24"/>
      <w:szCs w:val="24"/>
    </w:rPr>
  </w:style>
  <w:style w:type="paragraph" w:customStyle="1" w:styleId="CM1">
    <w:name w:val="CM1"/>
    <w:basedOn w:val="Default"/>
    <w:next w:val="Default"/>
    <w:uiPriority w:val="99"/>
    <w:rsid w:val="007522E3"/>
    <w:rPr>
      <w:rFonts w:ascii="EUAlbertina" w:eastAsia="Times New Roman" w:hAnsi="EUAlbertina" w:cs="Times New Roman"/>
      <w:color w:val="auto"/>
    </w:rPr>
  </w:style>
  <w:style w:type="paragraph" w:customStyle="1" w:styleId="CM3">
    <w:name w:val="CM3"/>
    <w:basedOn w:val="Default"/>
    <w:next w:val="Default"/>
    <w:uiPriority w:val="99"/>
    <w:rsid w:val="007522E3"/>
    <w:rPr>
      <w:rFonts w:ascii="EUAlbertina" w:eastAsia="Times New Roman" w:hAnsi="EUAlbertina" w:cs="Times New Roman"/>
      <w:color w:val="auto"/>
    </w:rPr>
  </w:style>
  <w:style w:type="paragraph" w:customStyle="1" w:styleId="CM4">
    <w:name w:val="CM4"/>
    <w:basedOn w:val="Default"/>
    <w:next w:val="Default"/>
    <w:uiPriority w:val="99"/>
    <w:rsid w:val="007522E3"/>
    <w:rPr>
      <w:rFonts w:ascii="EUAlbertina" w:eastAsia="Times New Roman" w:hAnsi="EUAlbertina" w:cs="Times New Roman"/>
      <w:color w:val="auto"/>
    </w:rPr>
  </w:style>
  <w:style w:type="paragraph" w:customStyle="1" w:styleId="esegmenth41">
    <w:name w:val="esegment_h41"/>
    <w:basedOn w:val="Navaden"/>
    <w:rsid w:val="007522E3"/>
    <w:pPr>
      <w:overflowPunct/>
      <w:autoSpaceDE/>
      <w:autoSpaceDN/>
      <w:adjustRightInd/>
      <w:spacing w:after="210"/>
      <w:jc w:val="center"/>
      <w:textAlignment w:val="auto"/>
    </w:pPr>
    <w:rPr>
      <w:rFonts w:ascii="Times New Roman" w:hAnsi="Times New Roman"/>
      <w:b/>
      <w:bCs/>
      <w:color w:val="333333"/>
      <w:sz w:val="18"/>
      <w:szCs w:val="18"/>
    </w:rPr>
  </w:style>
  <w:style w:type="paragraph" w:customStyle="1" w:styleId="esegmenth4">
    <w:name w:val="esegment_h4"/>
    <w:basedOn w:val="Navaden"/>
    <w:uiPriority w:val="99"/>
    <w:rsid w:val="007522E3"/>
    <w:pPr>
      <w:overflowPunct/>
      <w:autoSpaceDE/>
      <w:autoSpaceDN/>
      <w:adjustRightInd/>
      <w:spacing w:after="210"/>
      <w:jc w:val="center"/>
      <w:textAlignment w:val="auto"/>
    </w:pPr>
    <w:rPr>
      <w:rFonts w:ascii="Times New Roman" w:hAnsi="Times New Roman"/>
      <w:b/>
      <w:bCs/>
      <w:color w:val="333333"/>
      <w:sz w:val="18"/>
      <w:szCs w:val="18"/>
    </w:rPr>
  </w:style>
  <w:style w:type="character" w:customStyle="1" w:styleId="PripombabesediloZnak2">
    <w:name w:val="Pripomba – besedilo Znak2"/>
    <w:uiPriority w:val="99"/>
    <w:rsid w:val="007522E3"/>
    <w:rPr>
      <w:rFonts w:ascii="Arial" w:eastAsia="Times New Roman" w:hAnsi="Arial" w:cs="Times New Roman"/>
      <w:sz w:val="20"/>
      <w:szCs w:val="20"/>
    </w:rPr>
  </w:style>
  <w:style w:type="character" w:customStyle="1" w:styleId="ZadevakomentarjaZnak">
    <w:name w:val="Zadeva komentarja Znak"/>
    <w:uiPriority w:val="99"/>
    <w:semiHidden/>
    <w:rsid w:val="007522E3"/>
    <w:rPr>
      <w:rFonts w:ascii="Arial" w:eastAsia="Times New Roman" w:hAnsi="Arial" w:cs="Times New Roman"/>
      <w:b/>
      <w:bCs/>
      <w:sz w:val="20"/>
      <w:szCs w:val="20"/>
    </w:rPr>
  </w:style>
  <w:style w:type="paragraph" w:customStyle="1" w:styleId="poglavje1">
    <w:name w:val="poglavje1"/>
    <w:basedOn w:val="Navaden"/>
    <w:rsid w:val="007522E3"/>
    <w:pPr>
      <w:overflowPunct/>
      <w:autoSpaceDE/>
      <w:autoSpaceDN/>
      <w:adjustRightInd/>
      <w:spacing w:before="480"/>
      <w:jc w:val="center"/>
      <w:textAlignment w:val="auto"/>
    </w:pPr>
    <w:rPr>
      <w:rFonts w:cs="Arial"/>
      <w:szCs w:val="22"/>
    </w:rPr>
  </w:style>
  <w:style w:type="paragraph" w:customStyle="1" w:styleId="len1">
    <w:name w:val="len1"/>
    <w:basedOn w:val="Navaden"/>
    <w:rsid w:val="007522E3"/>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7522E3"/>
    <w:pPr>
      <w:overflowPunct/>
      <w:autoSpaceDE/>
      <w:autoSpaceDN/>
      <w:adjustRightInd/>
      <w:spacing w:before="240"/>
      <w:ind w:firstLine="1021"/>
      <w:textAlignment w:val="auto"/>
    </w:pPr>
    <w:rPr>
      <w:rFonts w:cs="Arial"/>
      <w:szCs w:val="22"/>
    </w:rPr>
  </w:style>
  <w:style w:type="character" w:customStyle="1" w:styleId="txt">
    <w:name w:val="txt"/>
    <w:rsid w:val="007522E3"/>
  </w:style>
  <w:style w:type="paragraph" w:customStyle="1" w:styleId="h4">
    <w:name w:val="h4"/>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7522E3"/>
  </w:style>
  <w:style w:type="character" w:customStyle="1" w:styleId="InternetLink">
    <w:name w:val="Internet Link"/>
    <w:uiPriority w:val="99"/>
    <w:unhideWhenUsed/>
    <w:rsid w:val="007522E3"/>
    <w:rPr>
      <w:color w:val="0000FF"/>
      <w:u w:val="single"/>
    </w:rPr>
  </w:style>
  <w:style w:type="paragraph" w:customStyle="1" w:styleId="normal2">
    <w:name w:val="normal2"/>
    <w:basedOn w:val="Navaden"/>
    <w:rsid w:val="007522E3"/>
    <w:pPr>
      <w:overflowPunct/>
      <w:autoSpaceDE/>
      <w:autoSpaceDN/>
      <w:adjustRightInd/>
      <w:spacing w:before="120" w:line="312" w:lineRule="atLeast"/>
      <w:textAlignment w:val="auto"/>
    </w:pPr>
    <w:rPr>
      <w:rFonts w:ascii="Times New Roman" w:hAnsi="Times New Roman"/>
      <w:sz w:val="24"/>
      <w:szCs w:val="24"/>
    </w:rPr>
  </w:style>
  <w:style w:type="character" w:customStyle="1" w:styleId="highlight1">
    <w:name w:val="highlight1"/>
    <w:rsid w:val="007522E3"/>
    <w:rPr>
      <w:shd w:val="clear" w:color="auto" w:fill="FFFF88"/>
    </w:rPr>
  </w:style>
  <w:style w:type="character" w:customStyle="1" w:styleId="outputecliaff">
    <w:name w:val="outputecliaff"/>
    <w:rsid w:val="007522E3"/>
  </w:style>
  <w:style w:type="character" w:customStyle="1" w:styleId="FootnoteAnchor">
    <w:name w:val="Footnote Anchor"/>
    <w:rsid w:val="007522E3"/>
    <w:rPr>
      <w:vertAlign w:val="superscript"/>
    </w:rPr>
  </w:style>
  <w:style w:type="character" w:customStyle="1" w:styleId="EndnoteAnchor">
    <w:name w:val="Endnote Anchor"/>
    <w:rsid w:val="007522E3"/>
    <w:rPr>
      <w:vertAlign w:val="superscript"/>
    </w:rPr>
  </w:style>
  <w:style w:type="paragraph" w:customStyle="1" w:styleId="TextBody">
    <w:name w:val="Text Body"/>
    <w:basedOn w:val="Navaden"/>
    <w:rsid w:val="007522E3"/>
    <w:pPr>
      <w:overflowPunct/>
      <w:autoSpaceDE/>
      <w:autoSpaceDN/>
      <w:adjustRightInd/>
      <w:spacing w:after="140" w:line="288" w:lineRule="auto"/>
      <w:textAlignment w:val="auto"/>
    </w:pPr>
    <w:rPr>
      <w:sz w:val="20"/>
      <w:szCs w:val="24"/>
      <w:lang w:eastAsia="en-US"/>
    </w:rPr>
  </w:style>
  <w:style w:type="character" w:customStyle="1" w:styleId="notranslate">
    <w:name w:val="notranslate"/>
    <w:rsid w:val="007522E3"/>
  </w:style>
  <w:style w:type="numbering" w:customStyle="1" w:styleId="Brezseznama2">
    <w:name w:val="Brez seznama2"/>
    <w:next w:val="Brezseznama"/>
    <w:uiPriority w:val="99"/>
    <w:semiHidden/>
    <w:unhideWhenUsed/>
    <w:rsid w:val="007522E3"/>
  </w:style>
  <w:style w:type="numbering" w:customStyle="1" w:styleId="Brezseznama12">
    <w:name w:val="Brez seznama12"/>
    <w:next w:val="Brezseznama"/>
    <w:semiHidden/>
    <w:rsid w:val="007522E3"/>
  </w:style>
  <w:style w:type="table" w:customStyle="1" w:styleId="Tabelamrea2">
    <w:name w:val="Tabela – mreža2"/>
    <w:basedOn w:val="Navadnatabela"/>
    <w:next w:val="Tabelamrea"/>
    <w:rsid w:val="007522E3"/>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1">
    <w:name w:val="Zadeva pripombe Znak1"/>
    <w:uiPriority w:val="99"/>
    <w:semiHidden/>
    <w:rsid w:val="007522E3"/>
    <w:rPr>
      <w:rFonts w:ascii="Arial" w:hAnsi="Arial"/>
      <w:b/>
      <w:bCs/>
      <w:lang w:eastAsia="en-US"/>
    </w:rPr>
  </w:style>
  <w:style w:type="paragraph" w:customStyle="1" w:styleId="Navaden3">
    <w:name w:val="Navaden3"/>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i-art">
    <w:name w:val="ti-art"/>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522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styleId="Tabelamrea">
    <w:name w:val="Table Grid"/>
    <w:basedOn w:val="Navadnatabela"/>
    <w:uiPriority w:val="59"/>
    <w:locked/>
    <w:rsid w:val="007522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4">
    <w:name w:val="Navaden4"/>
    <w:basedOn w:val="Navaden"/>
    <w:rsid w:val="0014208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c73alineacentregras">
    <w:name w:val="c73alineacentregras"/>
    <w:basedOn w:val="Navaden"/>
    <w:rsid w:val="00D525F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outputecli">
    <w:name w:val="outputecli"/>
    <w:basedOn w:val="Privzetapisavaodstavka"/>
    <w:rsid w:val="00D525F9"/>
  </w:style>
  <w:style w:type="numbering" w:customStyle="1" w:styleId="Brezseznama3">
    <w:name w:val="Brez seznama3"/>
    <w:next w:val="Brezseznama"/>
    <w:uiPriority w:val="99"/>
    <w:semiHidden/>
    <w:unhideWhenUsed/>
    <w:rsid w:val="00AC6E15"/>
  </w:style>
  <w:style w:type="paragraph" w:customStyle="1" w:styleId="Znak10">
    <w:name w:val="Znak1"/>
    <w:basedOn w:val="Pripombabesedilo"/>
    <w:next w:val="Pripombabesedilo"/>
    <w:uiPriority w:val="99"/>
    <w:unhideWhenUsed/>
    <w:rsid w:val="00AC6E15"/>
    <w:pPr>
      <w:spacing w:after="200"/>
      <w:jc w:val="left"/>
    </w:pPr>
    <w:rPr>
      <w:rFonts w:ascii="Calibri" w:eastAsia="Calibri" w:hAnsi="Calibri"/>
      <w:b/>
      <w:bCs/>
    </w:rPr>
  </w:style>
  <w:style w:type="numbering" w:customStyle="1" w:styleId="Brezseznama13">
    <w:name w:val="Brez seznama13"/>
    <w:next w:val="Brezseznama"/>
    <w:uiPriority w:val="99"/>
    <w:semiHidden/>
    <w:unhideWhenUsed/>
    <w:rsid w:val="00AC6E15"/>
  </w:style>
  <w:style w:type="paragraph" w:customStyle="1" w:styleId="ZnakZnakCharZnakCharCharZnakCharChar0">
    <w:name w:val="Znak Znak Char Znak Char Char Znak Char Char"/>
    <w:basedOn w:val="Navaden"/>
    <w:rsid w:val="00AC6E15"/>
    <w:pPr>
      <w:overflowPunct/>
      <w:autoSpaceDE/>
      <w:autoSpaceDN/>
      <w:adjustRightInd/>
      <w:jc w:val="left"/>
      <w:textAlignment w:val="auto"/>
    </w:pPr>
    <w:rPr>
      <w:rFonts w:ascii="Times New Roman" w:hAnsi="Times New Roman"/>
      <w:sz w:val="24"/>
      <w:szCs w:val="24"/>
      <w:lang w:val="pl-PL" w:eastAsia="pl-PL"/>
    </w:rPr>
  </w:style>
  <w:style w:type="numbering" w:customStyle="1" w:styleId="NoList11">
    <w:name w:val="No List11"/>
    <w:next w:val="Brezseznama"/>
    <w:uiPriority w:val="99"/>
    <w:semiHidden/>
    <w:unhideWhenUsed/>
    <w:rsid w:val="00AC6E15"/>
  </w:style>
  <w:style w:type="numbering" w:customStyle="1" w:styleId="Brezseznama112">
    <w:name w:val="Brez seznama112"/>
    <w:next w:val="Brezseznama"/>
    <w:semiHidden/>
    <w:rsid w:val="00AC6E15"/>
  </w:style>
  <w:style w:type="numbering" w:customStyle="1" w:styleId="Brezseznama1112">
    <w:name w:val="Brez seznama1112"/>
    <w:next w:val="Brezseznama"/>
    <w:semiHidden/>
    <w:rsid w:val="00AC6E15"/>
  </w:style>
  <w:style w:type="numbering" w:customStyle="1" w:styleId="Brezseznama21">
    <w:name w:val="Brez seznama21"/>
    <w:next w:val="Brezseznama"/>
    <w:uiPriority w:val="99"/>
    <w:semiHidden/>
    <w:unhideWhenUsed/>
    <w:rsid w:val="00AC6E15"/>
  </w:style>
  <w:style w:type="numbering" w:customStyle="1" w:styleId="Brezseznama121">
    <w:name w:val="Brez seznama121"/>
    <w:next w:val="Brezseznama"/>
    <w:semiHidden/>
    <w:rsid w:val="00AC6E15"/>
  </w:style>
  <w:style w:type="paragraph" w:customStyle="1" w:styleId="doc-ti">
    <w:name w:val="doc-ti"/>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numbering" w:customStyle="1" w:styleId="Brezseznama31">
    <w:name w:val="Brez seznama31"/>
    <w:next w:val="Brezseznama"/>
    <w:uiPriority w:val="99"/>
    <w:semiHidden/>
    <w:unhideWhenUsed/>
    <w:rsid w:val="00AC6E15"/>
  </w:style>
  <w:style w:type="character" w:customStyle="1" w:styleId="CommentTextChar">
    <w:name w:val="Comment Text Char"/>
    <w:uiPriority w:val="99"/>
    <w:rsid w:val="00AC6E15"/>
    <w:rPr>
      <w:rFonts w:ascii="Arial" w:hAnsi="Arial"/>
      <w:sz w:val="20"/>
      <w:szCs w:val="20"/>
    </w:rPr>
  </w:style>
  <w:style w:type="paragraph" w:customStyle="1" w:styleId="tevilnatoka1">
    <w:name w:val="tevilnatoka1"/>
    <w:basedOn w:val="Navaden"/>
    <w:rsid w:val="00AC6E15"/>
    <w:pPr>
      <w:overflowPunct/>
      <w:autoSpaceDE/>
      <w:autoSpaceDN/>
      <w:adjustRightInd/>
      <w:ind w:left="425" w:hanging="425"/>
      <w:textAlignment w:val="auto"/>
    </w:pPr>
    <w:rPr>
      <w:rFonts w:cs="Arial"/>
      <w:szCs w:val="22"/>
    </w:rPr>
  </w:style>
  <w:style w:type="paragraph" w:customStyle="1" w:styleId="alineazatevilnotoko1">
    <w:name w:val="alineazatevilnotoko1"/>
    <w:basedOn w:val="Navaden"/>
    <w:rsid w:val="00AC6E15"/>
    <w:pPr>
      <w:overflowPunct/>
      <w:autoSpaceDE/>
      <w:autoSpaceDN/>
      <w:adjustRightInd/>
      <w:ind w:left="567" w:hanging="142"/>
      <w:textAlignment w:val="auto"/>
    </w:pPr>
    <w:rPr>
      <w:rFonts w:cs="Arial"/>
      <w:szCs w:val="22"/>
    </w:rPr>
  </w:style>
  <w:style w:type="paragraph" w:customStyle="1" w:styleId="alineazaodstavkom1">
    <w:name w:val="alineazaodstavkom1"/>
    <w:basedOn w:val="Navaden"/>
    <w:rsid w:val="00AC6E15"/>
    <w:pPr>
      <w:overflowPunct/>
      <w:autoSpaceDE/>
      <w:autoSpaceDN/>
      <w:adjustRightInd/>
      <w:ind w:left="425" w:hanging="425"/>
      <w:textAlignment w:val="auto"/>
    </w:pPr>
    <w:rPr>
      <w:rFonts w:cs="Arial"/>
      <w:szCs w:val="22"/>
    </w:rPr>
  </w:style>
  <w:style w:type="paragraph" w:customStyle="1" w:styleId="oddelek1">
    <w:name w:val="oddelek1"/>
    <w:basedOn w:val="Navaden"/>
    <w:rsid w:val="00AC6E15"/>
    <w:pPr>
      <w:overflowPunct/>
      <w:autoSpaceDE/>
      <w:autoSpaceDN/>
      <w:adjustRightInd/>
      <w:spacing w:before="480"/>
      <w:jc w:val="center"/>
      <w:textAlignment w:val="auto"/>
    </w:pPr>
    <w:rPr>
      <w:rFonts w:cs="Arial"/>
      <w:szCs w:val="22"/>
    </w:rPr>
  </w:style>
  <w:style w:type="paragraph" w:customStyle="1" w:styleId="pododdelek1">
    <w:name w:val="pododdelek1"/>
    <w:basedOn w:val="Navaden"/>
    <w:rsid w:val="00AC6E15"/>
    <w:pPr>
      <w:overflowPunct/>
      <w:autoSpaceDE/>
      <w:autoSpaceDN/>
      <w:adjustRightInd/>
      <w:spacing w:before="480"/>
      <w:jc w:val="center"/>
      <w:textAlignment w:val="auto"/>
    </w:pPr>
    <w:rPr>
      <w:rFonts w:cs="Arial"/>
      <w:szCs w:val="22"/>
    </w:rPr>
  </w:style>
  <w:style w:type="character" w:customStyle="1" w:styleId="Heading1Char">
    <w:name w:val="Heading 1 Char"/>
    <w:rsid w:val="00AC6E15"/>
    <w:rPr>
      <w:rFonts w:ascii="Cambria" w:eastAsia="Times New Roman" w:hAnsi="Cambria" w:cs="Times New Roman"/>
      <w:b/>
      <w:bCs/>
      <w:color w:val="365F91"/>
      <w:sz w:val="28"/>
      <w:szCs w:val="28"/>
    </w:rPr>
  </w:style>
  <w:style w:type="character" w:customStyle="1" w:styleId="Heading2Char">
    <w:name w:val="Heading 2 Char"/>
    <w:rsid w:val="00AC6E15"/>
    <w:rPr>
      <w:rFonts w:ascii="Cambria" w:eastAsia="Times New Roman" w:hAnsi="Cambria" w:cs="Times New Roman"/>
      <w:b/>
      <w:bCs/>
      <w:color w:val="4F81BD"/>
      <w:sz w:val="26"/>
      <w:szCs w:val="26"/>
    </w:rPr>
  </w:style>
  <w:style w:type="character" w:customStyle="1" w:styleId="Heading3Char">
    <w:name w:val="Heading 3 Char"/>
    <w:rsid w:val="00AC6E15"/>
    <w:rPr>
      <w:rFonts w:ascii="Cambria" w:eastAsia="Times New Roman" w:hAnsi="Cambria" w:cs="Times New Roman"/>
      <w:b/>
      <w:bCs/>
      <w:color w:val="4F81BD"/>
      <w:sz w:val="20"/>
    </w:rPr>
  </w:style>
  <w:style w:type="numbering" w:customStyle="1" w:styleId="NoList111">
    <w:name w:val="No List111"/>
    <w:next w:val="Brezseznama"/>
    <w:uiPriority w:val="99"/>
    <w:semiHidden/>
    <w:rsid w:val="00AC6E15"/>
  </w:style>
  <w:style w:type="character" w:customStyle="1" w:styleId="Heading4Char1">
    <w:name w:val="Heading 4 Char1"/>
    <w:locked/>
    <w:rsid w:val="00AC6E15"/>
    <w:rPr>
      <w:b/>
      <w:bCs/>
      <w:sz w:val="28"/>
      <w:szCs w:val="28"/>
      <w:lang w:val="en-US" w:eastAsia="en-US" w:bidi="ar-SA"/>
    </w:rPr>
  </w:style>
  <w:style w:type="character" w:customStyle="1" w:styleId="FooterChar1">
    <w:name w:val="Footer Char1"/>
    <w:locked/>
    <w:rsid w:val="00AC6E15"/>
    <w:rPr>
      <w:rFonts w:ascii="Arial" w:hAnsi="Arial"/>
      <w:szCs w:val="24"/>
      <w:lang w:val="en-US" w:eastAsia="en-US" w:bidi="ar-SA"/>
    </w:rPr>
  </w:style>
  <w:style w:type="table" w:customStyle="1" w:styleId="Tabelamrea3">
    <w:name w:val="Tabela – mreža3"/>
    <w:basedOn w:val="Navadnatabela"/>
    <w:next w:val="Tabelamrea"/>
    <w:rsid w:val="00AC6E15"/>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rttext1">
    <w:name w:val="arttext1"/>
    <w:basedOn w:val="Navaden"/>
    <w:rsid w:val="00AC6E15"/>
    <w:pPr>
      <w:overflowPunct/>
      <w:autoSpaceDE/>
      <w:autoSpaceDN/>
      <w:adjustRightInd/>
      <w:spacing w:before="240" w:after="240" w:line="324" w:lineRule="auto"/>
      <w:ind w:left="40" w:right="40"/>
      <w:jc w:val="left"/>
      <w:textAlignment w:val="auto"/>
    </w:pPr>
    <w:rPr>
      <w:rFonts w:ascii="Tahoma" w:hAnsi="Tahoma" w:cs="Tahoma"/>
      <w:color w:val="000000"/>
      <w:sz w:val="12"/>
      <w:szCs w:val="12"/>
    </w:rPr>
  </w:style>
  <w:style w:type="paragraph" w:styleId="Telobesedila-zamik">
    <w:name w:val="Body Text Indent"/>
    <w:basedOn w:val="Navaden"/>
    <w:link w:val="Telobesedila-zamikZnak"/>
    <w:locked/>
    <w:rsid w:val="00AC6E15"/>
    <w:pPr>
      <w:overflowPunct/>
      <w:autoSpaceDE/>
      <w:autoSpaceDN/>
      <w:adjustRightInd/>
      <w:spacing w:after="120" w:line="260" w:lineRule="exact"/>
      <w:ind w:left="283"/>
      <w:jc w:val="left"/>
      <w:textAlignment w:val="auto"/>
    </w:pPr>
    <w:rPr>
      <w:sz w:val="20"/>
      <w:szCs w:val="24"/>
      <w:lang w:val="en-US" w:eastAsia="en-US"/>
    </w:rPr>
  </w:style>
  <w:style w:type="character" w:customStyle="1" w:styleId="Telobesedila-zamikZnak">
    <w:name w:val="Telo besedila - zamik Znak"/>
    <w:basedOn w:val="Privzetapisavaodstavka"/>
    <w:link w:val="Telobesedila-zamik"/>
    <w:rsid w:val="00AC6E15"/>
    <w:rPr>
      <w:rFonts w:ascii="Arial" w:eastAsia="Times New Roman" w:hAnsi="Arial"/>
      <w:szCs w:val="24"/>
      <w:lang w:val="en-US" w:eastAsia="en-US"/>
    </w:rPr>
  </w:style>
  <w:style w:type="paragraph" w:styleId="Telobesedila-zamik2">
    <w:name w:val="Body Text Indent 2"/>
    <w:basedOn w:val="Navaden"/>
    <w:link w:val="Telobesedila-zamik2Znak"/>
    <w:locked/>
    <w:rsid w:val="00AC6E15"/>
    <w:pPr>
      <w:overflowPunct/>
      <w:autoSpaceDE/>
      <w:autoSpaceDN/>
      <w:adjustRightInd/>
      <w:spacing w:after="120" w:line="480" w:lineRule="auto"/>
      <w:ind w:left="283"/>
      <w:jc w:val="left"/>
      <w:textAlignment w:val="auto"/>
    </w:pPr>
    <w:rPr>
      <w:sz w:val="20"/>
      <w:szCs w:val="24"/>
      <w:lang w:val="en-US" w:eastAsia="en-US"/>
    </w:rPr>
  </w:style>
  <w:style w:type="character" w:customStyle="1" w:styleId="Telobesedila-zamik2Znak">
    <w:name w:val="Telo besedila - zamik 2 Znak"/>
    <w:basedOn w:val="Privzetapisavaodstavka"/>
    <w:link w:val="Telobesedila-zamik2"/>
    <w:rsid w:val="00AC6E15"/>
    <w:rPr>
      <w:rFonts w:ascii="Arial" w:eastAsia="Times New Roman" w:hAnsi="Arial"/>
      <w:szCs w:val="24"/>
      <w:lang w:val="en-US" w:eastAsia="en-US"/>
    </w:rPr>
  </w:style>
  <w:style w:type="character" w:customStyle="1" w:styleId="tekst">
    <w:name w:val="tekst"/>
    <w:rsid w:val="00AC6E15"/>
    <w:rPr>
      <w:rFonts w:cs="Times New Roman"/>
    </w:rPr>
  </w:style>
  <w:style w:type="paragraph" w:customStyle="1" w:styleId="esegmentt">
    <w:name w:val="esegment_t"/>
    <w:basedOn w:val="Navaden"/>
    <w:uiPriority w:val="99"/>
    <w:rsid w:val="00AC6E15"/>
    <w:pPr>
      <w:overflowPunct/>
      <w:autoSpaceDE/>
      <w:autoSpaceDN/>
      <w:adjustRightInd/>
      <w:spacing w:after="210" w:line="360" w:lineRule="atLeast"/>
      <w:jc w:val="center"/>
      <w:textAlignment w:val="auto"/>
    </w:pPr>
    <w:rPr>
      <w:rFonts w:ascii="Times New Roman" w:hAnsi="Times New Roman"/>
      <w:b/>
      <w:bCs/>
      <w:color w:val="6B7E9D"/>
      <w:sz w:val="31"/>
      <w:szCs w:val="31"/>
    </w:rPr>
  </w:style>
  <w:style w:type="paragraph" w:customStyle="1" w:styleId="Preformatted">
    <w:name w:val="Preformatted"/>
    <w:basedOn w:val="Navaden"/>
    <w:rsid w:val="00AC6E15"/>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spacing w:line="240" w:lineRule="atLeast"/>
      <w:jc w:val="left"/>
      <w:textAlignment w:val="auto"/>
    </w:pPr>
    <w:rPr>
      <w:rFonts w:ascii="Courier New" w:hAnsi="Courier New" w:cs="Arial"/>
      <w:b/>
      <w:snapToGrid w:val="0"/>
      <w:szCs w:val="20"/>
      <w:lang w:eastAsia="en-US"/>
    </w:rPr>
  </w:style>
  <w:style w:type="paragraph" w:customStyle="1" w:styleId="neotevilenodstavek0">
    <w:name w:val="neotevilenodstavek"/>
    <w:basedOn w:val="Navaden"/>
    <w:rsid w:val="00AC6E15"/>
    <w:pPr>
      <w:adjustRightInd/>
      <w:spacing w:before="60" w:after="60" w:line="200" w:lineRule="atLeast"/>
      <w:textAlignment w:val="auto"/>
    </w:pPr>
    <w:rPr>
      <w:rFonts w:cs="Arial"/>
      <w:sz w:val="20"/>
      <w:szCs w:val="20"/>
    </w:rPr>
  </w:style>
  <w:style w:type="character" w:customStyle="1" w:styleId="rate">
    <w:name w:val="rate"/>
    <w:rsid w:val="00AC6E15"/>
  </w:style>
  <w:style w:type="paragraph" w:customStyle="1" w:styleId="Normal8pt">
    <w:name w:val="Normal + 8 pt"/>
    <w:aliases w:val="Before:  12 pt,Line spacing:  Exactly 12 pt"/>
    <w:basedOn w:val="Glava"/>
    <w:rsid w:val="00AC6E15"/>
    <w:pPr>
      <w:tabs>
        <w:tab w:val="clear" w:pos="4536"/>
        <w:tab w:val="clear" w:pos="9072"/>
      </w:tabs>
      <w:overflowPunct/>
      <w:autoSpaceDE/>
      <w:autoSpaceDN/>
      <w:adjustRightInd/>
      <w:spacing w:line="240" w:lineRule="exact"/>
      <w:jc w:val="left"/>
      <w:textAlignment w:val="auto"/>
    </w:pPr>
    <w:rPr>
      <w:rFonts w:cs="Arial"/>
      <w:sz w:val="16"/>
      <w:szCs w:val="24"/>
      <w:lang w:eastAsia="en-US"/>
    </w:rPr>
  </w:style>
  <w:style w:type="paragraph" w:customStyle="1" w:styleId="legexpnotetext1">
    <w:name w:val="legexpnotetext1"/>
    <w:basedOn w:val="Navaden"/>
    <w:rsid w:val="00AC6E15"/>
    <w:pPr>
      <w:shd w:val="clear" w:color="auto" w:fill="FFFFFF"/>
      <w:overflowPunct/>
      <w:autoSpaceDE/>
      <w:autoSpaceDN/>
      <w:adjustRightInd/>
      <w:spacing w:after="120" w:line="360" w:lineRule="atLeast"/>
      <w:textAlignment w:val="auto"/>
    </w:pPr>
    <w:rPr>
      <w:rFonts w:ascii="Times New Roman" w:hAnsi="Times New Roman"/>
      <w:color w:val="494949"/>
      <w:sz w:val="19"/>
      <w:szCs w:val="19"/>
    </w:rPr>
  </w:style>
  <w:style w:type="character" w:styleId="HTML-kratica">
    <w:name w:val="HTML Acronym"/>
    <w:locked/>
    <w:rsid w:val="00AC6E15"/>
  </w:style>
  <w:style w:type="paragraph" w:customStyle="1" w:styleId="titleblue1align-left">
    <w:name w:val="titleblue1 align-left"/>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postbody">
    <w:name w:val="postbody"/>
    <w:rsid w:val="00AC6E15"/>
  </w:style>
  <w:style w:type="paragraph" w:styleId="Kazalovsebine4">
    <w:name w:val="toc 4"/>
    <w:basedOn w:val="Navaden"/>
    <w:next w:val="Navaden"/>
    <w:autoRedefine/>
    <w:uiPriority w:val="39"/>
    <w:locked/>
    <w:rsid w:val="00AC6E15"/>
    <w:pPr>
      <w:overflowPunct/>
      <w:autoSpaceDE/>
      <w:autoSpaceDN/>
      <w:adjustRightInd/>
      <w:spacing w:after="100"/>
      <w:ind w:left="720"/>
      <w:jc w:val="left"/>
      <w:textAlignment w:val="auto"/>
    </w:pPr>
    <w:rPr>
      <w:rFonts w:ascii="Times New Roman" w:hAnsi="Times New Roman"/>
      <w:sz w:val="24"/>
      <w:szCs w:val="24"/>
    </w:rPr>
  </w:style>
  <w:style w:type="paragraph" w:customStyle="1" w:styleId="Revision1">
    <w:name w:val="Revision1"/>
    <w:hidden/>
    <w:semiHidden/>
    <w:rsid w:val="00AC6E15"/>
    <w:rPr>
      <w:rFonts w:ascii="Times New Roman" w:eastAsia="Times New Roman" w:hAnsi="Times New Roman"/>
      <w:sz w:val="24"/>
      <w:szCs w:val="24"/>
    </w:rPr>
  </w:style>
  <w:style w:type="paragraph" w:customStyle="1" w:styleId="TOCHeading1">
    <w:name w:val="TOC Heading1"/>
    <w:basedOn w:val="Naslov1"/>
    <w:next w:val="Navaden"/>
    <w:rsid w:val="00AC6E15"/>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locked/>
    <w:rsid w:val="00AC6E15"/>
    <w:pPr>
      <w:overflowPunct/>
      <w:autoSpaceDE/>
      <w:autoSpaceDN/>
      <w:adjustRightInd/>
      <w:spacing w:after="100"/>
      <w:ind w:left="960"/>
      <w:jc w:val="left"/>
      <w:textAlignment w:val="auto"/>
    </w:pPr>
    <w:rPr>
      <w:rFonts w:ascii="Times New Roman" w:hAnsi="Times New Roman"/>
      <w:sz w:val="24"/>
      <w:szCs w:val="24"/>
    </w:rPr>
  </w:style>
  <w:style w:type="character" w:customStyle="1" w:styleId="mrppfc">
    <w:name w:val="mrppfc"/>
    <w:rsid w:val="00AC6E15"/>
    <w:rPr>
      <w:rFonts w:cs="Times New Roman"/>
    </w:rPr>
  </w:style>
  <w:style w:type="character" w:customStyle="1" w:styleId="mrppsc">
    <w:name w:val="mrppsc"/>
    <w:rsid w:val="00AC6E15"/>
    <w:rPr>
      <w:rFonts w:cs="Times New Roman"/>
    </w:rPr>
  </w:style>
  <w:style w:type="paragraph" w:styleId="Kazalovsebine6">
    <w:name w:val="toc 6"/>
    <w:basedOn w:val="Navaden"/>
    <w:next w:val="Navaden"/>
    <w:autoRedefine/>
    <w:uiPriority w:val="39"/>
    <w:locked/>
    <w:rsid w:val="00AC6E15"/>
    <w:pPr>
      <w:overflowPunct/>
      <w:autoSpaceDE/>
      <w:autoSpaceDN/>
      <w:adjustRightInd/>
      <w:spacing w:after="100" w:line="276" w:lineRule="auto"/>
      <w:ind w:left="1100"/>
      <w:jc w:val="left"/>
      <w:textAlignment w:val="auto"/>
    </w:pPr>
    <w:rPr>
      <w:rFonts w:ascii="Calibri" w:hAnsi="Calibri"/>
      <w:szCs w:val="22"/>
    </w:rPr>
  </w:style>
  <w:style w:type="paragraph" w:styleId="Kazalovsebine7">
    <w:name w:val="toc 7"/>
    <w:basedOn w:val="Navaden"/>
    <w:next w:val="Navaden"/>
    <w:autoRedefine/>
    <w:uiPriority w:val="39"/>
    <w:locked/>
    <w:rsid w:val="00AC6E15"/>
    <w:pPr>
      <w:overflowPunct/>
      <w:autoSpaceDE/>
      <w:autoSpaceDN/>
      <w:adjustRightInd/>
      <w:spacing w:after="100" w:line="276" w:lineRule="auto"/>
      <w:ind w:left="1320"/>
      <w:jc w:val="left"/>
      <w:textAlignment w:val="auto"/>
    </w:pPr>
    <w:rPr>
      <w:rFonts w:ascii="Calibri" w:hAnsi="Calibri"/>
      <w:szCs w:val="22"/>
    </w:rPr>
  </w:style>
  <w:style w:type="paragraph" w:styleId="Kazalovsebine8">
    <w:name w:val="toc 8"/>
    <w:basedOn w:val="Navaden"/>
    <w:next w:val="Navaden"/>
    <w:autoRedefine/>
    <w:uiPriority w:val="39"/>
    <w:locked/>
    <w:rsid w:val="00AC6E15"/>
    <w:pPr>
      <w:overflowPunct/>
      <w:autoSpaceDE/>
      <w:autoSpaceDN/>
      <w:adjustRightInd/>
      <w:spacing w:after="100" w:line="276" w:lineRule="auto"/>
      <w:ind w:left="1540"/>
      <w:jc w:val="left"/>
      <w:textAlignment w:val="auto"/>
    </w:pPr>
    <w:rPr>
      <w:rFonts w:ascii="Calibri" w:hAnsi="Calibri"/>
      <w:szCs w:val="22"/>
    </w:rPr>
  </w:style>
  <w:style w:type="paragraph" w:styleId="Kazalovsebine9">
    <w:name w:val="toc 9"/>
    <w:basedOn w:val="Navaden"/>
    <w:next w:val="Navaden"/>
    <w:autoRedefine/>
    <w:uiPriority w:val="39"/>
    <w:locked/>
    <w:rsid w:val="00AC6E15"/>
    <w:pPr>
      <w:overflowPunct/>
      <w:autoSpaceDE/>
      <w:autoSpaceDN/>
      <w:adjustRightInd/>
      <w:spacing w:after="100" w:line="276" w:lineRule="auto"/>
      <w:ind w:left="1760"/>
      <w:jc w:val="left"/>
      <w:textAlignment w:val="auto"/>
    </w:pPr>
    <w:rPr>
      <w:rFonts w:ascii="Calibri" w:hAnsi="Calibri"/>
      <w:szCs w:val="22"/>
    </w:rPr>
  </w:style>
  <w:style w:type="character" w:customStyle="1" w:styleId="superscript">
    <w:name w:val="superscript"/>
    <w:rsid w:val="00AC6E15"/>
    <w:rPr>
      <w:rFonts w:cs="Times New Roman"/>
    </w:rPr>
  </w:style>
  <w:style w:type="character" w:customStyle="1" w:styleId="super">
    <w:name w:val="super"/>
    <w:rsid w:val="00AC6E15"/>
    <w:rPr>
      <w:sz w:val="17"/>
      <w:szCs w:val="17"/>
      <w:vertAlign w:val="superscript"/>
    </w:rPr>
  </w:style>
  <w:style w:type="paragraph" w:customStyle="1" w:styleId="norm3">
    <w:name w:val="norm3"/>
    <w:basedOn w:val="Navaden"/>
    <w:rsid w:val="00AC6E15"/>
    <w:pPr>
      <w:overflowPunct/>
      <w:autoSpaceDE/>
      <w:autoSpaceDN/>
      <w:adjustRightInd/>
      <w:spacing w:before="120" w:line="312" w:lineRule="atLeast"/>
      <w:textAlignment w:val="auto"/>
    </w:pPr>
    <w:rPr>
      <w:rFonts w:ascii="Times New Roman" w:hAnsi="Times New Roman"/>
      <w:sz w:val="24"/>
      <w:szCs w:val="24"/>
    </w:rPr>
  </w:style>
  <w:style w:type="character" w:customStyle="1" w:styleId="italics">
    <w:name w:val="italics"/>
    <w:rsid w:val="00AC6E15"/>
    <w:rPr>
      <w:i/>
      <w:iCs/>
    </w:rPr>
  </w:style>
  <w:style w:type="paragraph" w:customStyle="1" w:styleId="title-doc-first2">
    <w:name w:val="title-doc-first2"/>
    <w:basedOn w:val="Navaden"/>
    <w:rsid w:val="00AC6E15"/>
    <w:pPr>
      <w:overflowPunct/>
      <w:autoSpaceDE/>
      <w:autoSpaceDN/>
      <w:adjustRightInd/>
      <w:spacing w:before="120" w:line="312" w:lineRule="atLeast"/>
      <w:jc w:val="center"/>
      <w:textAlignment w:val="auto"/>
    </w:pPr>
    <w:rPr>
      <w:rFonts w:ascii="Times New Roman" w:hAnsi="Times New Roman"/>
      <w:b/>
      <w:bCs/>
      <w:sz w:val="24"/>
      <w:szCs w:val="24"/>
    </w:rPr>
  </w:style>
  <w:style w:type="paragraph" w:customStyle="1" w:styleId="title-doc-last2">
    <w:name w:val="title-doc-last2"/>
    <w:basedOn w:val="Navaden"/>
    <w:rsid w:val="00AC6E15"/>
    <w:pPr>
      <w:overflowPunct/>
      <w:autoSpaceDE/>
      <w:autoSpaceDN/>
      <w:adjustRightInd/>
      <w:spacing w:before="120" w:line="312" w:lineRule="atLeast"/>
      <w:jc w:val="center"/>
      <w:textAlignment w:val="auto"/>
    </w:pPr>
    <w:rPr>
      <w:rFonts w:ascii="Times New Roman" w:hAnsi="Times New Roman"/>
      <w:sz w:val="24"/>
      <w:szCs w:val="24"/>
    </w:rPr>
  </w:style>
  <w:style w:type="character" w:customStyle="1" w:styleId="atn">
    <w:name w:val="atn"/>
    <w:rsid w:val="00AC6E15"/>
  </w:style>
  <w:style w:type="paragraph" w:customStyle="1" w:styleId="1">
    <w:name w:val="1"/>
    <w:uiPriority w:val="99"/>
    <w:rsid w:val="00AC6E15"/>
    <w:pPr>
      <w:spacing w:line="260" w:lineRule="exact"/>
    </w:pPr>
    <w:rPr>
      <w:rFonts w:ascii="Arial" w:eastAsia="Times New Roman"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C6E15"/>
    <w:pPr>
      <w:overflowPunct/>
      <w:autoSpaceDE/>
      <w:autoSpaceDN/>
      <w:adjustRightInd/>
      <w:spacing w:after="160" w:line="240" w:lineRule="exact"/>
      <w:jc w:val="left"/>
      <w:textAlignment w:val="auto"/>
    </w:pPr>
    <w:rPr>
      <w:rFonts w:ascii="Tahoma" w:hAnsi="Tahoma"/>
      <w:sz w:val="20"/>
      <w:szCs w:val="20"/>
      <w:lang w:eastAsia="en-US"/>
    </w:rPr>
  </w:style>
  <w:style w:type="paragraph" w:customStyle="1" w:styleId="zamaknjenadolobadruginivo1">
    <w:name w:val="zamaknjenadolobadruginivo1"/>
    <w:basedOn w:val="Navaden"/>
    <w:rsid w:val="00AC6E15"/>
    <w:pPr>
      <w:overflowPunct/>
      <w:autoSpaceDE/>
      <w:autoSpaceDN/>
      <w:adjustRightInd/>
      <w:ind w:left="425"/>
      <w:textAlignment w:val="auto"/>
    </w:pPr>
    <w:rPr>
      <w:rFonts w:cs="Arial"/>
      <w:szCs w:val="22"/>
    </w:rPr>
  </w:style>
  <w:style w:type="paragraph" w:customStyle="1" w:styleId="naslovnadlenom1">
    <w:name w:val="naslovnadlenom1"/>
    <w:basedOn w:val="Navaden"/>
    <w:rsid w:val="00AC6E15"/>
    <w:pPr>
      <w:overflowPunct/>
      <w:autoSpaceDE/>
      <w:autoSpaceDN/>
      <w:adjustRightInd/>
      <w:spacing w:before="480"/>
      <w:jc w:val="center"/>
      <w:textAlignment w:val="auto"/>
    </w:pPr>
    <w:rPr>
      <w:rFonts w:cs="Arial"/>
      <w:b/>
      <w:bCs/>
      <w:szCs w:val="22"/>
    </w:rPr>
  </w:style>
  <w:style w:type="paragraph" w:customStyle="1" w:styleId="Odstavekseznama3">
    <w:name w:val="Odstavek seznama3"/>
    <w:basedOn w:val="Navaden"/>
    <w:uiPriority w:val="34"/>
    <w:qFormat/>
    <w:rsid w:val="00AC6E15"/>
    <w:pPr>
      <w:overflowPunct/>
      <w:autoSpaceDE/>
      <w:autoSpaceDN/>
      <w:adjustRightInd/>
      <w:ind w:left="708"/>
      <w:textAlignment w:val="auto"/>
    </w:pPr>
    <w:rPr>
      <w:szCs w:val="24"/>
    </w:rPr>
  </w:style>
  <w:style w:type="numbering" w:customStyle="1" w:styleId="NoList1111">
    <w:name w:val="No List1111"/>
    <w:next w:val="Brezseznama"/>
    <w:uiPriority w:val="99"/>
    <w:semiHidden/>
    <w:unhideWhenUsed/>
    <w:rsid w:val="00AC6E15"/>
  </w:style>
  <w:style w:type="table" w:customStyle="1" w:styleId="TableGrid1">
    <w:name w:val="Table Grid1"/>
    <w:basedOn w:val="Navadnatabela"/>
    <w:next w:val="Tabelamrea"/>
    <w:uiPriority w:val="59"/>
    <w:rsid w:val="00AC6E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drosprotneopombe">
    <w:name w:val="Sidro sprotne opombe"/>
    <w:rsid w:val="00AC6E15"/>
    <w:rPr>
      <w:vertAlign w:val="superscript"/>
    </w:rPr>
  </w:style>
  <w:style w:type="paragraph" w:customStyle="1" w:styleId="Sprotnaopomba">
    <w:name w:val="Sprotna opomba"/>
    <w:basedOn w:val="Navaden"/>
    <w:rsid w:val="00AC6E15"/>
    <w:pPr>
      <w:suppressAutoHyphens/>
      <w:overflowPunct/>
      <w:autoSpaceDE/>
      <w:autoSpaceDN/>
      <w:adjustRightInd/>
      <w:spacing w:line="260" w:lineRule="atLeast"/>
      <w:jc w:val="left"/>
      <w:textAlignment w:val="auto"/>
    </w:pPr>
    <w:rPr>
      <w:sz w:val="20"/>
      <w:szCs w:val="24"/>
      <w:lang w:val="en-US" w:eastAsia="en-US"/>
    </w:rPr>
  </w:style>
  <w:style w:type="paragraph" w:customStyle="1" w:styleId="vrstapredpisa1">
    <w:name w:val="vrstapredpisa1"/>
    <w:basedOn w:val="Navaden"/>
    <w:rsid w:val="00AC6E15"/>
    <w:pPr>
      <w:overflowPunct/>
      <w:autoSpaceDE/>
      <w:autoSpaceDN/>
      <w:adjustRightInd/>
      <w:spacing w:before="480"/>
      <w:jc w:val="center"/>
      <w:textAlignment w:val="auto"/>
    </w:pPr>
    <w:rPr>
      <w:rFonts w:cs="Arial"/>
      <w:b/>
      <w:bCs/>
      <w:color w:val="000000"/>
      <w:spacing w:val="40"/>
      <w:szCs w:val="22"/>
    </w:rPr>
  </w:style>
  <w:style w:type="paragraph" w:customStyle="1" w:styleId="naslovpredpisa1">
    <w:name w:val="naslovpredpisa1"/>
    <w:basedOn w:val="Navaden"/>
    <w:rsid w:val="00AC6E15"/>
    <w:pPr>
      <w:overflowPunct/>
      <w:autoSpaceDE/>
      <w:autoSpaceDN/>
      <w:adjustRightInd/>
      <w:jc w:val="center"/>
      <w:textAlignment w:val="auto"/>
    </w:pPr>
    <w:rPr>
      <w:rFonts w:cs="Arial"/>
      <w:b/>
      <w:bCs/>
      <w:szCs w:val="22"/>
    </w:rPr>
  </w:style>
  <w:style w:type="character" w:customStyle="1" w:styleId="BrezrazmikovZnak">
    <w:name w:val="Brez razmikov Znak"/>
    <w:link w:val="Brezrazmikov"/>
    <w:uiPriority w:val="1"/>
    <w:rsid w:val="00AC6E15"/>
    <w:rPr>
      <w:sz w:val="22"/>
      <w:szCs w:val="22"/>
      <w:lang w:eastAsia="en-US"/>
    </w:rPr>
  </w:style>
  <w:style w:type="paragraph" w:customStyle="1" w:styleId="OPOZORILO0">
    <w:name w:val="OPOZORILO"/>
    <w:basedOn w:val="Noga"/>
    <w:qFormat/>
    <w:rsid w:val="00AC6E15"/>
    <w:pPr>
      <w:tabs>
        <w:tab w:val="clear" w:pos="4536"/>
        <w:tab w:val="clear" w:pos="9072"/>
        <w:tab w:val="center" w:pos="4320"/>
        <w:tab w:val="right" w:pos="8640"/>
      </w:tabs>
      <w:overflowPunct/>
      <w:autoSpaceDE/>
      <w:autoSpaceDN/>
      <w:adjustRightInd/>
      <w:spacing w:line="260" w:lineRule="atLeast"/>
      <w:jc w:val="left"/>
      <w:textAlignment w:val="auto"/>
    </w:pPr>
    <w:rPr>
      <w:sz w:val="20"/>
      <w:szCs w:val="24"/>
    </w:rPr>
  </w:style>
  <w:style w:type="character" w:customStyle="1" w:styleId="datenew">
    <w:name w:val="datenew"/>
    <w:rsid w:val="00AC6E15"/>
  </w:style>
  <w:style w:type="character" w:customStyle="1" w:styleId="tagsnew">
    <w:name w:val="tagsnew"/>
    <w:rsid w:val="00AC6E15"/>
  </w:style>
  <w:style w:type="character" w:customStyle="1" w:styleId="galerynumimages">
    <w:name w:val="galerynumimages"/>
    <w:rsid w:val="00AC6E15"/>
  </w:style>
  <w:style w:type="table" w:customStyle="1" w:styleId="Srednjesenenje1poudarek11">
    <w:name w:val="Srednje senčenje 1 – poudarek 11"/>
    <w:basedOn w:val="Navadnatabela"/>
    <w:uiPriority w:val="63"/>
    <w:rsid w:val="00AC6E1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Svetelseznampoudarek11">
    <w:name w:val="Svetel seznam – poudarek 11"/>
    <w:basedOn w:val="Navadnatabela"/>
    <w:uiPriority w:val="61"/>
    <w:rsid w:val="00AC6E15"/>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naslovnadlenom0">
    <w:name w:val="naslovnadlenom"/>
    <w:basedOn w:val="Navaden"/>
    <w:rsid w:val="00AC6E1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5">
    <w:name w:val="Navaden5"/>
    <w:rsid w:val="00AC6E15"/>
    <w:rPr>
      <w:rFonts w:ascii="Times New Roman" w:eastAsia="Times New Roman" w:hAnsi="Times New Roman"/>
    </w:rPr>
  </w:style>
  <w:style w:type="character" w:customStyle="1" w:styleId="uppercase">
    <w:name w:val="uppercase"/>
    <w:rsid w:val="00AC6E15"/>
  </w:style>
  <w:style w:type="paragraph" w:customStyle="1" w:styleId="cnormal">
    <w:name w:val="cnormal"/>
    <w:basedOn w:val="Navaden"/>
    <w:rsid w:val="004D18D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kanakoncupredpisa1">
    <w:name w:val="tevilkanakoncupredpisa1"/>
    <w:basedOn w:val="Navaden"/>
    <w:rsid w:val="00736A33"/>
    <w:pPr>
      <w:overflowPunct/>
      <w:autoSpaceDE/>
      <w:autoSpaceDN/>
      <w:adjustRightInd/>
      <w:spacing w:before="480"/>
      <w:textAlignment w:val="auto"/>
    </w:pPr>
    <w:rPr>
      <w:rFonts w:cs="Arial"/>
      <w:color w:val="000000"/>
      <w:szCs w:val="22"/>
    </w:rPr>
  </w:style>
  <w:style w:type="paragraph" w:customStyle="1" w:styleId="datumsprejetja1">
    <w:name w:val="datumsprejetja1"/>
    <w:basedOn w:val="Navaden"/>
    <w:rsid w:val="00736A33"/>
    <w:pPr>
      <w:overflowPunct/>
      <w:autoSpaceDE/>
      <w:autoSpaceDN/>
      <w:adjustRightInd/>
      <w:textAlignment w:val="auto"/>
    </w:pPr>
    <w:rPr>
      <w:rFonts w:cs="Arial"/>
      <w:color w:val="000000"/>
      <w:szCs w:val="22"/>
    </w:rPr>
  </w:style>
  <w:style w:type="paragraph" w:customStyle="1" w:styleId="eva1">
    <w:name w:val="eva1"/>
    <w:basedOn w:val="Navaden"/>
    <w:rsid w:val="00736A33"/>
    <w:pPr>
      <w:overflowPunct/>
      <w:autoSpaceDE/>
      <w:autoSpaceDN/>
      <w:adjustRightInd/>
      <w:textAlignment w:val="auto"/>
    </w:pPr>
    <w:rPr>
      <w:rFonts w:cs="Arial"/>
      <w:szCs w:val="22"/>
    </w:rPr>
  </w:style>
  <w:style w:type="paragraph" w:customStyle="1" w:styleId="imeorgana1">
    <w:name w:val="imeorgana1"/>
    <w:basedOn w:val="Navaden"/>
    <w:rsid w:val="00736A33"/>
    <w:pPr>
      <w:overflowPunct/>
      <w:autoSpaceDE/>
      <w:autoSpaceDN/>
      <w:adjustRightInd/>
      <w:spacing w:before="480"/>
      <w:ind w:left="5670"/>
      <w:jc w:val="center"/>
      <w:textAlignment w:val="auto"/>
    </w:pPr>
    <w:rPr>
      <w:rFonts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764879">
      <w:bodyDiv w:val="1"/>
      <w:marLeft w:val="0"/>
      <w:marRight w:val="0"/>
      <w:marTop w:val="0"/>
      <w:marBottom w:val="0"/>
      <w:divBdr>
        <w:top w:val="none" w:sz="0" w:space="0" w:color="auto"/>
        <w:left w:val="none" w:sz="0" w:space="0" w:color="auto"/>
        <w:bottom w:val="none" w:sz="0" w:space="0" w:color="auto"/>
        <w:right w:val="none" w:sz="0" w:space="0" w:color="auto"/>
      </w:divBdr>
    </w:div>
    <w:div w:id="34276602">
      <w:bodyDiv w:val="1"/>
      <w:marLeft w:val="0"/>
      <w:marRight w:val="0"/>
      <w:marTop w:val="0"/>
      <w:marBottom w:val="0"/>
      <w:divBdr>
        <w:top w:val="none" w:sz="0" w:space="0" w:color="auto"/>
        <w:left w:val="none" w:sz="0" w:space="0" w:color="auto"/>
        <w:bottom w:val="none" w:sz="0" w:space="0" w:color="auto"/>
        <w:right w:val="none" w:sz="0" w:space="0" w:color="auto"/>
      </w:divBdr>
      <w:divsChild>
        <w:div w:id="835464078">
          <w:marLeft w:val="0"/>
          <w:marRight w:val="0"/>
          <w:marTop w:val="0"/>
          <w:marBottom w:val="300"/>
          <w:divBdr>
            <w:top w:val="none" w:sz="0" w:space="0" w:color="auto"/>
            <w:left w:val="none" w:sz="0" w:space="0" w:color="auto"/>
            <w:bottom w:val="none" w:sz="0" w:space="0" w:color="auto"/>
            <w:right w:val="none" w:sz="0" w:space="0" w:color="auto"/>
          </w:divBdr>
        </w:div>
      </w:divsChild>
    </w:div>
    <w:div w:id="91826343">
      <w:bodyDiv w:val="1"/>
      <w:marLeft w:val="0"/>
      <w:marRight w:val="0"/>
      <w:marTop w:val="0"/>
      <w:marBottom w:val="0"/>
      <w:divBdr>
        <w:top w:val="none" w:sz="0" w:space="0" w:color="auto"/>
        <w:left w:val="none" w:sz="0" w:space="0" w:color="auto"/>
        <w:bottom w:val="none" w:sz="0" w:space="0" w:color="auto"/>
        <w:right w:val="none" w:sz="0" w:space="0" w:color="auto"/>
      </w:divBdr>
    </w:div>
    <w:div w:id="166600579">
      <w:bodyDiv w:val="1"/>
      <w:marLeft w:val="0"/>
      <w:marRight w:val="0"/>
      <w:marTop w:val="0"/>
      <w:marBottom w:val="0"/>
      <w:divBdr>
        <w:top w:val="none" w:sz="0" w:space="0" w:color="auto"/>
        <w:left w:val="none" w:sz="0" w:space="0" w:color="auto"/>
        <w:bottom w:val="none" w:sz="0" w:space="0" w:color="auto"/>
        <w:right w:val="none" w:sz="0" w:space="0" w:color="auto"/>
      </w:divBdr>
    </w:div>
    <w:div w:id="172962540">
      <w:bodyDiv w:val="1"/>
      <w:marLeft w:val="0"/>
      <w:marRight w:val="0"/>
      <w:marTop w:val="0"/>
      <w:marBottom w:val="0"/>
      <w:divBdr>
        <w:top w:val="none" w:sz="0" w:space="0" w:color="auto"/>
        <w:left w:val="none" w:sz="0" w:space="0" w:color="auto"/>
        <w:bottom w:val="none" w:sz="0" w:space="0" w:color="auto"/>
        <w:right w:val="none" w:sz="0" w:space="0" w:color="auto"/>
      </w:divBdr>
    </w:div>
    <w:div w:id="201945956">
      <w:bodyDiv w:val="1"/>
      <w:marLeft w:val="0"/>
      <w:marRight w:val="0"/>
      <w:marTop w:val="0"/>
      <w:marBottom w:val="0"/>
      <w:divBdr>
        <w:top w:val="none" w:sz="0" w:space="0" w:color="auto"/>
        <w:left w:val="none" w:sz="0" w:space="0" w:color="auto"/>
        <w:bottom w:val="none" w:sz="0" w:space="0" w:color="auto"/>
        <w:right w:val="none" w:sz="0" w:space="0" w:color="auto"/>
      </w:divBdr>
    </w:div>
    <w:div w:id="242767687">
      <w:bodyDiv w:val="1"/>
      <w:marLeft w:val="0"/>
      <w:marRight w:val="0"/>
      <w:marTop w:val="0"/>
      <w:marBottom w:val="0"/>
      <w:divBdr>
        <w:top w:val="none" w:sz="0" w:space="0" w:color="auto"/>
        <w:left w:val="none" w:sz="0" w:space="0" w:color="auto"/>
        <w:bottom w:val="none" w:sz="0" w:space="0" w:color="auto"/>
        <w:right w:val="none" w:sz="0" w:space="0" w:color="auto"/>
      </w:divBdr>
    </w:div>
    <w:div w:id="262542947">
      <w:bodyDiv w:val="1"/>
      <w:marLeft w:val="0"/>
      <w:marRight w:val="0"/>
      <w:marTop w:val="0"/>
      <w:marBottom w:val="0"/>
      <w:divBdr>
        <w:top w:val="none" w:sz="0" w:space="0" w:color="auto"/>
        <w:left w:val="none" w:sz="0" w:space="0" w:color="auto"/>
        <w:bottom w:val="none" w:sz="0" w:space="0" w:color="auto"/>
        <w:right w:val="none" w:sz="0" w:space="0" w:color="auto"/>
      </w:divBdr>
    </w:div>
    <w:div w:id="332149721">
      <w:bodyDiv w:val="1"/>
      <w:marLeft w:val="0"/>
      <w:marRight w:val="0"/>
      <w:marTop w:val="0"/>
      <w:marBottom w:val="0"/>
      <w:divBdr>
        <w:top w:val="none" w:sz="0" w:space="0" w:color="auto"/>
        <w:left w:val="none" w:sz="0" w:space="0" w:color="auto"/>
        <w:bottom w:val="none" w:sz="0" w:space="0" w:color="auto"/>
        <w:right w:val="none" w:sz="0" w:space="0" w:color="auto"/>
      </w:divBdr>
      <w:divsChild>
        <w:div w:id="960574535">
          <w:marLeft w:val="0"/>
          <w:marRight w:val="0"/>
          <w:marTop w:val="0"/>
          <w:marBottom w:val="0"/>
          <w:divBdr>
            <w:top w:val="none" w:sz="0" w:space="0" w:color="auto"/>
            <w:left w:val="none" w:sz="0" w:space="0" w:color="auto"/>
            <w:bottom w:val="none" w:sz="0" w:space="0" w:color="auto"/>
            <w:right w:val="none" w:sz="0" w:space="0" w:color="auto"/>
          </w:divBdr>
          <w:divsChild>
            <w:div w:id="1196623811">
              <w:marLeft w:val="0"/>
              <w:marRight w:val="0"/>
              <w:marTop w:val="0"/>
              <w:marBottom w:val="0"/>
              <w:divBdr>
                <w:top w:val="none" w:sz="0" w:space="0" w:color="auto"/>
                <w:left w:val="none" w:sz="0" w:space="0" w:color="auto"/>
                <w:bottom w:val="none" w:sz="0" w:space="0" w:color="auto"/>
                <w:right w:val="none" w:sz="0" w:space="0" w:color="auto"/>
              </w:divBdr>
            </w:div>
            <w:div w:id="161567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742754">
      <w:bodyDiv w:val="1"/>
      <w:marLeft w:val="0"/>
      <w:marRight w:val="0"/>
      <w:marTop w:val="0"/>
      <w:marBottom w:val="0"/>
      <w:divBdr>
        <w:top w:val="none" w:sz="0" w:space="0" w:color="auto"/>
        <w:left w:val="none" w:sz="0" w:space="0" w:color="auto"/>
        <w:bottom w:val="none" w:sz="0" w:space="0" w:color="auto"/>
        <w:right w:val="none" w:sz="0" w:space="0" w:color="auto"/>
      </w:divBdr>
    </w:div>
    <w:div w:id="397941377">
      <w:bodyDiv w:val="1"/>
      <w:marLeft w:val="0"/>
      <w:marRight w:val="0"/>
      <w:marTop w:val="0"/>
      <w:marBottom w:val="0"/>
      <w:divBdr>
        <w:top w:val="none" w:sz="0" w:space="0" w:color="auto"/>
        <w:left w:val="none" w:sz="0" w:space="0" w:color="auto"/>
        <w:bottom w:val="none" w:sz="0" w:space="0" w:color="auto"/>
        <w:right w:val="none" w:sz="0" w:space="0" w:color="auto"/>
      </w:divBdr>
    </w:div>
    <w:div w:id="402457599">
      <w:bodyDiv w:val="1"/>
      <w:marLeft w:val="0"/>
      <w:marRight w:val="0"/>
      <w:marTop w:val="0"/>
      <w:marBottom w:val="0"/>
      <w:divBdr>
        <w:top w:val="none" w:sz="0" w:space="0" w:color="auto"/>
        <w:left w:val="none" w:sz="0" w:space="0" w:color="auto"/>
        <w:bottom w:val="none" w:sz="0" w:space="0" w:color="auto"/>
        <w:right w:val="none" w:sz="0" w:space="0" w:color="auto"/>
      </w:divBdr>
      <w:divsChild>
        <w:div w:id="791480595">
          <w:marLeft w:val="335"/>
          <w:marRight w:val="0"/>
          <w:marTop w:val="0"/>
          <w:marBottom w:val="0"/>
          <w:divBdr>
            <w:top w:val="none" w:sz="0" w:space="0" w:color="auto"/>
            <w:left w:val="none" w:sz="0" w:space="0" w:color="auto"/>
            <w:bottom w:val="none" w:sz="0" w:space="0" w:color="auto"/>
            <w:right w:val="none" w:sz="0" w:space="0" w:color="auto"/>
          </w:divBdr>
        </w:div>
      </w:divsChild>
    </w:div>
    <w:div w:id="548885590">
      <w:bodyDiv w:val="1"/>
      <w:marLeft w:val="0"/>
      <w:marRight w:val="0"/>
      <w:marTop w:val="0"/>
      <w:marBottom w:val="0"/>
      <w:divBdr>
        <w:top w:val="none" w:sz="0" w:space="0" w:color="auto"/>
        <w:left w:val="none" w:sz="0" w:space="0" w:color="auto"/>
        <w:bottom w:val="none" w:sz="0" w:space="0" w:color="auto"/>
        <w:right w:val="none" w:sz="0" w:space="0" w:color="auto"/>
      </w:divBdr>
      <w:divsChild>
        <w:div w:id="1857423481">
          <w:marLeft w:val="0"/>
          <w:marRight w:val="0"/>
          <w:marTop w:val="0"/>
          <w:marBottom w:val="0"/>
          <w:divBdr>
            <w:top w:val="none" w:sz="0" w:space="0" w:color="auto"/>
            <w:left w:val="none" w:sz="0" w:space="0" w:color="auto"/>
            <w:bottom w:val="none" w:sz="0" w:space="0" w:color="auto"/>
            <w:right w:val="none" w:sz="0" w:space="0" w:color="auto"/>
          </w:divBdr>
          <w:divsChild>
            <w:div w:id="269166537">
              <w:marLeft w:val="0"/>
              <w:marRight w:val="0"/>
              <w:marTop w:val="0"/>
              <w:marBottom w:val="0"/>
              <w:divBdr>
                <w:top w:val="none" w:sz="0" w:space="0" w:color="auto"/>
                <w:left w:val="none" w:sz="0" w:space="0" w:color="auto"/>
                <w:bottom w:val="none" w:sz="0" w:space="0" w:color="auto"/>
                <w:right w:val="none" w:sz="0" w:space="0" w:color="auto"/>
              </w:divBdr>
            </w:div>
            <w:div w:id="988288279">
              <w:marLeft w:val="0"/>
              <w:marRight w:val="0"/>
              <w:marTop w:val="0"/>
              <w:marBottom w:val="0"/>
              <w:divBdr>
                <w:top w:val="none" w:sz="0" w:space="0" w:color="auto"/>
                <w:left w:val="none" w:sz="0" w:space="0" w:color="auto"/>
                <w:bottom w:val="none" w:sz="0" w:space="0" w:color="auto"/>
                <w:right w:val="none" w:sz="0" w:space="0" w:color="auto"/>
              </w:divBdr>
            </w:div>
            <w:div w:id="1596745313">
              <w:marLeft w:val="0"/>
              <w:marRight w:val="0"/>
              <w:marTop w:val="0"/>
              <w:marBottom w:val="0"/>
              <w:divBdr>
                <w:top w:val="none" w:sz="0" w:space="0" w:color="auto"/>
                <w:left w:val="none" w:sz="0" w:space="0" w:color="auto"/>
                <w:bottom w:val="none" w:sz="0" w:space="0" w:color="auto"/>
                <w:right w:val="none" w:sz="0" w:space="0" w:color="auto"/>
              </w:divBdr>
            </w:div>
            <w:div w:id="191065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857288">
      <w:bodyDiv w:val="1"/>
      <w:marLeft w:val="0"/>
      <w:marRight w:val="0"/>
      <w:marTop w:val="0"/>
      <w:marBottom w:val="0"/>
      <w:divBdr>
        <w:top w:val="none" w:sz="0" w:space="0" w:color="auto"/>
        <w:left w:val="none" w:sz="0" w:space="0" w:color="auto"/>
        <w:bottom w:val="none" w:sz="0" w:space="0" w:color="auto"/>
        <w:right w:val="none" w:sz="0" w:space="0" w:color="auto"/>
      </w:divBdr>
    </w:div>
    <w:div w:id="598952780">
      <w:bodyDiv w:val="1"/>
      <w:marLeft w:val="0"/>
      <w:marRight w:val="0"/>
      <w:marTop w:val="0"/>
      <w:marBottom w:val="0"/>
      <w:divBdr>
        <w:top w:val="none" w:sz="0" w:space="0" w:color="auto"/>
        <w:left w:val="none" w:sz="0" w:space="0" w:color="auto"/>
        <w:bottom w:val="none" w:sz="0" w:space="0" w:color="auto"/>
        <w:right w:val="none" w:sz="0" w:space="0" w:color="auto"/>
      </w:divBdr>
    </w:div>
    <w:div w:id="615985027">
      <w:bodyDiv w:val="1"/>
      <w:marLeft w:val="0"/>
      <w:marRight w:val="0"/>
      <w:marTop w:val="0"/>
      <w:marBottom w:val="0"/>
      <w:divBdr>
        <w:top w:val="none" w:sz="0" w:space="0" w:color="auto"/>
        <w:left w:val="none" w:sz="0" w:space="0" w:color="auto"/>
        <w:bottom w:val="none" w:sz="0" w:space="0" w:color="auto"/>
        <w:right w:val="none" w:sz="0" w:space="0" w:color="auto"/>
      </w:divBdr>
    </w:div>
    <w:div w:id="629287363">
      <w:bodyDiv w:val="1"/>
      <w:marLeft w:val="0"/>
      <w:marRight w:val="0"/>
      <w:marTop w:val="0"/>
      <w:marBottom w:val="0"/>
      <w:divBdr>
        <w:top w:val="none" w:sz="0" w:space="0" w:color="auto"/>
        <w:left w:val="none" w:sz="0" w:space="0" w:color="auto"/>
        <w:bottom w:val="none" w:sz="0" w:space="0" w:color="auto"/>
        <w:right w:val="none" w:sz="0" w:space="0" w:color="auto"/>
      </w:divBdr>
    </w:div>
    <w:div w:id="644744476">
      <w:bodyDiv w:val="1"/>
      <w:marLeft w:val="0"/>
      <w:marRight w:val="0"/>
      <w:marTop w:val="0"/>
      <w:marBottom w:val="0"/>
      <w:divBdr>
        <w:top w:val="none" w:sz="0" w:space="0" w:color="auto"/>
        <w:left w:val="none" w:sz="0" w:space="0" w:color="auto"/>
        <w:bottom w:val="none" w:sz="0" w:space="0" w:color="auto"/>
        <w:right w:val="none" w:sz="0" w:space="0" w:color="auto"/>
      </w:divBdr>
    </w:div>
    <w:div w:id="658382493">
      <w:bodyDiv w:val="1"/>
      <w:marLeft w:val="0"/>
      <w:marRight w:val="0"/>
      <w:marTop w:val="0"/>
      <w:marBottom w:val="0"/>
      <w:divBdr>
        <w:top w:val="none" w:sz="0" w:space="0" w:color="auto"/>
        <w:left w:val="none" w:sz="0" w:space="0" w:color="auto"/>
        <w:bottom w:val="none" w:sz="0" w:space="0" w:color="auto"/>
        <w:right w:val="none" w:sz="0" w:space="0" w:color="auto"/>
      </w:divBdr>
    </w:div>
    <w:div w:id="683240626">
      <w:bodyDiv w:val="1"/>
      <w:marLeft w:val="0"/>
      <w:marRight w:val="0"/>
      <w:marTop w:val="0"/>
      <w:marBottom w:val="0"/>
      <w:divBdr>
        <w:top w:val="none" w:sz="0" w:space="0" w:color="auto"/>
        <w:left w:val="none" w:sz="0" w:space="0" w:color="auto"/>
        <w:bottom w:val="none" w:sz="0" w:space="0" w:color="auto"/>
        <w:right w:val="none" w:sz="0" w:space="0" w:color="auto"/>
      </w:divBdr>
    </w:div>
    <w:div w:id="721052698">
      <w:bodyDiv w:val="1"/>
      <w:marLeft w:val="0"/>
      <w:marRight w:val="0"/>
      <w:marTop w:val="0"/>
      <w:marBottom w:val="0"/>
      <w:divBdr>
        <w:top w:val="none" w:sz="0" w:space="0" w:color="auto"/>
        <w:left w:val="none" w:sz="0" w:space="0" w:color="auto"/>
        <w:bottom w:val="none" w:sz="0" w:space="0" w:color="auto"/>
        <w:right w:val="none" w:sz="0" w:space="0" w:color="auto"/>
      </w:divBdr>
    </w:div>
    <w:div w:id="739013417">
      <w:bodyDiv w:val="1"/>
      <w:marLeft w:val="0"/>
      <w:marRight w:val="0"/>
      <w:marTop w:val="0"/>
      <w:marBottom w:val="0"/>
      <w:divBdr>
        <w:top w:val="none" w:sz="0" w:space="0" w:color="auto"/>
        <w:left w:val="none" w:sz="0" w:space="0" w:color="auto"/>
        <w:bottom w:val="none" w:sz="0" w:space="0" w:color="auto"/>
        <w:right w:val="none" w:sz="0" w:space="0" w:color="auto"/>
      </w:divBdr>
      <w:divsChild>
        <w:div w:id="748770314">
          <w:marLeft w:val="0"/>
          <w:marRight w:val="0"/>
          <w:marTop w:val="0"/>
          <w:marBottom w:val="0"/>
          <w:divBdr>
            <w:top w:val="none" w:sz="0" w:space="0" w:color="auto"/>
            <w:left w:val="none" w:sz="0" w:space="0" w:color="auto"/>
            <w:bottom w:val="none" w:sz="0" w:space="0" w:color="auto"/>
            <w:right w:val="none" w:sz="0" w:space="0" w:color="auto"/>
          </w:divBdr>
        </w:div>
      </w:divsChild>
    </w:div>
    <w:div w:id="91266093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2308871">
      <w:bodyDiv w:val="1"/>
      <w:marLeft w:val="0"/>
      <w:marRight w:val="0"/>
      <w:marTop w:val="0"/>
      <w:marBottom w:val="0"/>
      <w:divBdr>
        <w:top w:val="none" w:sz="0" w:space="0" w:color="auto"/>
        <w:left w:val="none" w:sz="0" w:space="0" w:color="auto"/>
        <w:bottom w:val="none" w:sz="0" w:space="0" w:color="auto"/>
        <w:right w:val="none" w:sz="0" w:space="0" w:color="auto"/>
      </w:divBdr>
    </w:div>
    <w:div w:id="1150681173">
      <w:bodyDiv w:val="1"/>
      <w:marLeft w:val="0"/>
      <w:marRight w:val="0"/>
      <w:marTop w:val="0"/>
      <w:marBottom w:val="0"/>
      <w:divBdr>
        <w:top w:val="none" w:sz="0" w:space="0" w:color="auto"/>
        <w:left w:val="none" w:sz="0" w:space="0" w:color="auto"/>
        <w:bottom w:val="none" w:sz="0" w:space="0" w:color="auto"/>
        <w:right w:val="none" w:sz="0" w:space="0" w:color="auto"/>
      </w:divBdr>
      <w:divsChild>
        <w:div w:id="174001124">
          <w:marLeft w:val="0"/>
          <w:marRight w:val="0"/>
          <w:marTop w:val="0"/>
          <w:marBottom w:val="0"/>
          <w:divBdr>
            <w:top w:val="none" w:sz="0" w:space="0" w:color="auto"/>
            <w:left w:val="none" w:sz="0" w:space="0" w:color="auto"/>
            <w:bottom w:val="none" w:sz="0" w:space="0" w:color="auto"/>
            <w:right w:val="none" w:sz="0" w:space="0" w:color="auto"/>
          </w:divBdr>
        </w:div>
        <w:div w:id="229318123">
          <w:marLeft w:val="0"/>
          <w:marRight w:val="0"/>
          <w:marTop w:val="0"/>
          <w:marBottom w:val="0"/>
          <w:divBdr>
            <w:top w:val="none" w:sz="0" w:space="0" w:color="auto"/>
            <w:left w:val="none" w:sz="0" w:space="0" w:color="auto"/>
            <w:bottom w:val="none" w:sz="0" w:space="0" w:color="auto"/>
            <w:right w:val="none" w:sz="0" w:space="0" w:color="auto"/>
          </w:divBdr>
        </w:div>
        <w:div w:id="324751266">
          <w:marLeft w:val="0"/>
          <w:marRight w:val="0"/>
          <w:marTop w:val="0"/>
          <w:marBottom w:val="0"/>
          <w:divBdr>
            <w:top w:val="none" w:sz="0" w:space="0" w:color="auto"/>
            <w:left w:val="none" w:sz="0" w:space="0" w:color="auto"/>
            <w:bottom w:val="none" w:sz="0" w:space="0" w:color="auto"/>
            <w:right w:val="none" w:sz="0" w:space="0" w:color="auto"/>
          </w:divBdr>
        </w:div>
        <w:div w:id="640425676">
          <w:marLeft w:val="0"/>
          <w:marRight w:val="0"/>
          <w:marTop w:val="0"/>
          <w:marBottom w:val="0"/>
          <w:divBdr>
            <w:top w:val="none" w:sz="0" w:space="0" w:color="auto"/>
            <w:left w:val="none" w:sz="0" w:space="0" w:color="auto"/>
            <w:bottom w:val="none" w:sz="0" w:space="0" w:color="auto"/>
            <w:right w:val="none" w:sz="0" w:space="0" w:color="auto"/>
          </w:divBdr>
        </w:div>
        <w:div w:id="775488978">
          <w:marLeft w:val="0"/>
          <w:marRight w:val="0"/>
          <w:marTop w:val="0"/>
          <w:marBottom w:val="0"/>
          <w:divBdr>
            <w:top w:val="none" w:sz="0" w:space="0" w:color="auto"/>
            <w:left w:val="none" w:sz="0" w:space="0" w:color="auto"/>
            <w:bottom w:val="none" w:sz="0" w:space="0" w:color="auto"/>
            <w:right w:val="none" w:sz="0" w:space="0" w:color="auto"/>
          </w:divBdr>
        </w:div>
        <w:div w:id="1071151133">
          <w:marLeft w:val="0"/>
          <w:marRight w:val="0"/>
          <w:marTop w:val="0"/>
          <w:marBottom w:val="0"/>
          <w:divBdr>
            <w:top w:val="none" w:sz="0" w:space="0" w:color="auto"/>
            <w:left w:val="none" w:sz="0" w:space="0" w:color="auto"/>
            <w:bottom w:val="none" w:sz="0" w:space="0" w:color="auto"/>
            <w:right w:val="none" w:sz="0" w:space="0" w:color="auto"/>
          </w:divBdr>
        </w:div>
        <w:div w:id="1689673822">
          <w:marLeft w:val="0"/>
          <w:marRight w:val="0"/>
          <w:marTop w:val="0"/>
          <w:marBottom w:val="0"/>
          <w:divBdr>
            <w:top w:val="none" w:sz="0" w:space="0" w:color="auto"/>
            <w:left w:val="none" w:sz="0" w:space="0" w:color="auto"/>
            <w:bottom w:val="none" w:sz="0" w:space="0" w:color="auto"/>
            <w:right w:val="none" w:sz="0" w:space="0" w:color="auto"/>
          </w:divBdr>
        </w:div>
        <w:div w:id="2035761593">
          <w:marLeft w:val="0"/>
          <w:marRight w:val="0"/>
          <w:marTop w:val="0"/>
          <w:marBottom w:val="0"/>
          <w:divBdr>
            <w:top w:val="none" w:sz="0" w:space="0" w:color="auto"/>
            <w:left w:val="none" w:sz="0" w:space="0" w:color="auto"/>
            <w:bottom w:val="none" w:sz="0" w:space="0" w:color="auto"/>
            <w:right w:val="none" w:sz="0" w:space="0" w:color="auto"/>
          </w:divBdr>
        </w:div>
      </w:divsChild>
    </w:div>
    <w:div w:id="1188828812">
      <w:bodyDiv w:val="1"/>
      <w:marLeft w:val="0"/>
      <w:marRight w:val="0"/>
      <w:marTop w:val="0"/>
      <w:marBottom w:val="0"/>
      <w:divBdr>
        <w:top w:val="none" w:sz="0" w:space="0" w:color="auto"/>
        <w:left w:val="none" w:sz="0" w:space="0" w:color="auto"/>
        <w:bottom w:val="none" w:sz="0" w:space="0" w:color="auto"/>
        <w:right w:val="none" w:sz="0" w:space="0" w:color="auto"/>
      </w:divBdr>
    </w:div>
    <w:div w:id="1272396132">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365588">
      <w:bodyDiv w:val="1"/>
      <w:marLeft w:val="0"/>
      <w:marRight w:val="0"/>
      <w:marTop w:val="0"/>
      <w:marBottom w:val="0"/>
      <w:divBdr>
        <w:top w:val="none" w:sz="0" w:space="0" w:color="auto"/>
        <w:left w:val="none" w:sz="0" w:space="0" w:color="auto"/>
        <w:bottom w:val="none" w:sz="0" w:space="0" w:color="auto"/>
        <w:right w:val="none" w:sz="0" w:space="0" w:color="auto"/>
      </w:divBdr>
    </w:div>
    <w:div w:id="1389840918">
      <w:bodyDiv w:val="1"/>
      <w:marLeft w:val="0"/>
      <w:marRight w:val="0"/>
      <w:marTop w:val="0"/>
      <w:marBottom w:val="0"/>
      <w:divBdr>
        <w:top w:val="none" w:sz="0" w:space="0" w:color="auto"/>
        <w:left w:val="none" w:sz="0" w:space="0" w:color="auto"/>
        <w:bottom w:val="none" w:sz="0" w:space="0" w:color="auto"/>
        <w:right w:val="none" w:sz="0" w:space="0" w:color="auto"/>
      </w:divBdr>
      <w:divsChild>
        <w:div w:id="1623339314">
          <w:marLeft w:val="0"/>
          <w:marRight w:val="0"/>
          <w:marTop w:val="0"/>
          <w:marBottom w:val="0"/>
          <w:divBdr>
            <w:top w:val="none" w:sz="0" w:space="0" w:color="auto"/>
            <w:left w:val="none" w:sz="0" w:space="0" w:color="auto"/>
            <w:bottom w:val="none" w:sz="0" w:space="0" w:color="auto"/>
            <w:right w:val="none" w:sz="0" w:space="0" w:color="auto"/>
          </w:divBdr>
        </w:div>
      </w:divsChild>
    </w:div>
    <w:div w:id="1403597556">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448868">
      <w:bodyDiv w:val="1"/>
      <w:marLeft w:val="0"/>
      <w:marRight w:val="0"/>
      <w:marTop w:val="0"/>
      <w:marBottom w:val="0"/>
      <w:divBdr>
        <w:top w:val="none" w:sz="0" w:space="0" w:color="auto"/>
        <w:left w:val="none" w:sz="0" w:space="0" w:color="auto"/>
        <w:bottom w:val="none" w:sz="0" w:space="0" w:color="auto"/>
        <w:right w:val="none" w:sz="0" w:space="0" w:color="auto"/>
      </w:divBdr>
    </w:div>
    <w:div w:id="1527064422">
      <w:bodyDiv w:val="1"/>
      <w:marLeft w:val="0"/>
      <w:marRight w:val="0"/>
      <w:marTop w:val="0"/>
      <w:marBottom w:val="0"/>
      <w:divBdr>
        <w:top w:val="none" w:sz="0" w:space="0" w:color="auto"/>
        <w:left w:val="none" w:sz="0" w:space="0" w:color="auto"/>
        <w:bottom w:val="none" w:sz="0" w:space="0" w:color="auto"/>
        <w:right w:val="none" w:sz="0" w:space="0" w:color="auto"/>
      </w:divBdr>
    </w:div>
    <w:div w:id="1673336003">
      <w:bodyDiv w:val="1"/>
      <w:marLeft w:val="0"/>
      <w:marRight w:val="0"/>
      <w:marTop w:val="0"/>
      <w:marBottom w:val="0"/>
      <w:divBdr>
        <w:top w:val="none" w:sz="0" w:space="0" w:color="auto"/>
        <w:left w:val="none" w:sz="0" w:space="0" w:color="auto"/>
        <w:bottom w:val="none" w:sz="0" w:space="0" w:color="auto"/>
        <w:right w:val="none" w:sz="0" w:space="0" w:color="auto"/>
      </w:divBdr>
    </w:div>
    <w:div w:id="1728140676">
      <w:bodyDiv w:val="1"/>
      <w:marLeft w:val="0"/>
      <w:marRight w:val="0"/>
      <w:marTop w:val="0"/>
      <w:marBottom w:val="0"/>
      <w:divBdr>
        <w:top w:val="none" w:sz="0" w:space="0" w:color="auto"/>
        <w:left w:val="none" w:sz="0" w:space="0" w:color="auto"/>
        <w:bottom w:val="none" w:sz="0" w:space="0" w:color="auto"/>
        <w:right w:val="none" w:sz="0" w:space="0" w:color="auto"/>
      </w:divBdr>
    </w:div>
    <w:div w:id="1789078788">
      <w:bodyDiv w:val="1"/>
      <w:marLeft w:val="0"/>
      <w:marRight w:val="0"/>
      <w:marTop w:val="0"/>
      <w:marBottom w:val="0"/>
      <w:divBdr>
        <w:top w:val="none" w:sz="0" w:space="0" w:color="auto"/>
        <w:left w:val="none" w:sz="0" w:space="0" w:color="auto"/>
        <w:bottom w:val="none" w:sz="0" w:space="0" w:color="auto"/>
        <w:right w:val="none" w:sz="0" w:space="0" w:color="auto"/>
      </w:divBdr>
    </w:div>
    <w:div w:id="1841043409">
      <w:bodyDiv w:val="1"/>
      <w:marLeft w:val="0"/>
      <w:marRight w:val="0"/>
      <w:marTop w:val="0"/>
      <w:marBottom w:val="0"/>
      <w:divBdr>
        <w:top w:val="none" w:sz="0" w:space="0" w:color="auto"/>
        <w:left w:val="none" w:sz="0" w:space="0" w:color="auto"/>
        <w:bottom w:val="none" w:sz="0" w:space="0" w:color="auto"/>
        <w:right w:val="none" w:sz="0" w:space="0" w:color="auto"/>
      </w:divBdr>
    </w:div>
    <w:div w:id="1889756818">
      <w:bodyDiv w:val="1"/>
      <w:marLeft w:val="0"/>
      <w:marRight w:val="0"/>
      <w:marTop w:val="0"/>
      <w:marBottom w:val="0"/>
      <w:divBdr>
        <w:top w:val="none" w:sz="0" w:space="0" w:color="auto"/>
        <w:left w:val="none" w:sz="0" w:space="0" w:color="auto"/>
        <w:bottom w:val="none" w:sz="0" w:space="0" w:color="auto"/>
        <w:right w:val="none" w:sz="0" w:space="0" w:color="auto"/>
      </w:divBdr>
    </w:div>
    <w:div w:id="1910505830">
      <w:bodyDiv w:val="1"/>
      <w:marLeft w:val="0"/>
      <w:marRight w:val="0"/>
      <w:marTop w:val="0"/>
      <w:marBottom w:val="0"/>
      <w:divBdr>
        <w:top w:val="none" w:sz="0" w:space="0" w:color="auto"/>
        <w:left w:val="none" w:sz="0" w:space="0" w:color="auto"/>
        <w:bottom w:val="none" w:sz="0" w:space="0" w:color="auto"/>
        <w:right w:val="none" w:sz="0" w:space="0" w:color="auto"/>
      </w:divBdr>
      <w:divsChild>
        <w:div w:id="207380249">
          <w:marLeft w:val="0"/>
          <w:marRight w:val="0"/>
          <w:marTop w:val="0"/>
          <w:marBottom w:val="0"/>
          <w:divBdr>
            <w:top w:val="none" w:sz="0" w:space="0" w:color="auto"/>
            <w:left w:val="none" w:sz="0" w:space="0" w:color="auto"/>
            <w:bottom w:val="none" w:sz="0" w:space="0" w:color="auto"/>
            <w:right w:val="none" w:sz="0" w:space="0" w:color="auto"/>
          </w:divBdr>
        </w:div>
        <w:div w:id="268663492">
          <w:marLeft w:val="0"/>
          <w:marRight w:val="0"/>
          <w:marTop w:val="0"/>
          <w:marBottom w:val="0"/>
          <w:divBdr>
            <w:top w:val="none" w:sz="0" w:space="0" w:color="auto"/>
            <w:left w:val="none" w:sz="0" w:space="0" w:color="auto"/>
            <w:bottom w:val="none" w:sz="0" w:space="0" w:color="auto"/>
            <w:right w:val="none" w:sz="0" w:space="0" w:color="auto"/>
          </w:divBdr>
        </w:div>
      </w:divsChild>
    </w:div>
    <w:div w:id="1913462644">
      <w:bodyDiv w:val="1"/>
      <w:marLeft w:val="0"/>
      <w:marRight w:val="0"/>
      <w:marTop w:val="0"/>
      <w:marBottom w:val="0"/>
      <w:divBdr>
        <w:top w:val="none" w:sz="0" w:space="0" w:color="auto"/>
        <w:left w:val="none" w:sz="0" w:space="0" w:color="auto"/>
        <w:bottom w:val="none" w:sz="0" w:space="0" w:color="auto"/>
        <w:right w:val="none" w:sz="0" w:space="0" w:color="auto"/>
      </w:divBdr>
    </w:div>
    <w:div w:id="2043969292">
      <w:bodyDiv w:val="1"/>
      <w:marLeft w:val="0"/>
      <w:marRight w:val="0"/>
      <w:marTop w:val="0"/>
      <w:marBottom w:val="0"/>
      <w:divBdr>
        <w:top w:val="none" w:sz="0" w:space="0" w:color="auto"/>
        <w:left w:val="none" w:sz="0" w:space="0" w:color="auto"/>
        <w:bottom w:val="none" w:sz="0" w:space="0" w:color="auto"/>
        <w:right w:val="none" w:sz="0" w:space="0" w:color="auto"/>
      </w:divBdr>
    </w:div>
    <w:div w:id="2116485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3-01-0786" TargetMode="External"/><Relationship Id="rId117" Type="http://schemas.openxmlformats.org/officeDocument/2006/relationships/hyperlink" Target="http://www.uradni-list.si/1/objava.jsp?sop=2017-01-0740" TargetMode="External"/><Relationship Id="rId21" Type="http://schemas.openxmlformats.org/officeDocument/2006/relationships/hyperlink" Target="http://www.uradni-list.si/1/objava.jsp?sop=2009-01-1703" TargetMode="External"/><Relationship Id="rId42" Type="http://schemas.openxmlformats.org/officeDocument/2006/relationships/hyperlink" Target="http://www.uradni-list.si/1/objava.jsp?sop=2008-01-1459" TargetMode="External"/><Relationship Id="rId47" Type="http://schemas.openxmlformats.org/officeDocument/2006/relationships/hyperlink" Target="http://www.uradni-list.si/1/objava.jsp?sop=2013-01-1519" TargetMode="External"/><Relationship Id="rId63" Type="http://schemas.openxmlformats.org/officeDocument/2006/relationships/hyperlink" Target="http://www.uradni-list.si/1/objava.jsp?sop=2013-01-3341" TargetMode="External"/><Relationship Id="rId68" Type="http://schemas.openxmlformats.org/officeDocument/2006/relationships/hyperlink" Target="http://www.uradni-list.si/1/objava.jsp?sop=2019-01-0613" TargetMode="External"/><Relationship Id="rId84" Type="http://schemas.openxmlformats.org/officeDocument/2006/relationships/hyperlink" Target="http://www.uradni-list.si/1/objava.jsp?sop=2006-01-4487" TargetMode="External"/><Relationship Id="rId89" Type="http://schemas.openxmlformats.org/officeDocument/2006/relationships/hyperlink" Target="http://www.uradni-list.si/1/objava.jsp?sop=2009-01-0557" TargetMode="External"/><Relationship Id="rId112" Type="http://schemas.openxmlformats.org/officeDocument/2006/relationships/hyperlink" Target="http://www.uradni-list.si/1/objava.jsp?sop=2013-01-0786" TargetMode="External"/><Relationship Id="rId133" Type="http://schemas.openxmlformats.org/officeDocument/2006/relationships/hyperlink" Target="http://www.uradni-list.si/1/objava.jsp?sop=2019-01-0613" TargetMode="External"/><Relationship Id="rId138" Type="http://schemas.openxmlformats.org/officeDocument/2006/relationships/hyperlink" Target="http://www.uradni-list.si/1/objava.jsp?sop=2009-01-1703" TargetMode="External"/><Relationship Id="rId16" Type="http://schemas.openxmlformats.org/officeDocument/2006/relationships/hyperlink" Target="http://www.uradni-list.si/1/objava.jsp?sop=2014-01-1353" TargetMode="External"/><Relationship Id="rId107" Type="http://schemas.openxmlformats.org/officeDocument/2006/relationships/hyperlink" Target="http://www.uradni-list.si/1/objava.jsp?sop=2017-01-0463" TargetMode="External"/><Relationship Id="rId11" Type="http://schemas.openxmlformats.org/officeDocument/2006/relationships/hyperlink" Target="http://www.uradni-list.si/1/objava.jsp?sop=2011-01-1153" TargetMode="External"/><Relationship Id="rId32" Type="http://schemas.openxmlformats.org/officeDocument/2006/relationships/hyperlink" Target="http://www.uradni-list.si/1/objava.jsp?sop=2019-01-3233" TargetMode="External"/><Relationship Id="rId37" Type="http://schemas.openxmlformats.org/officeDocument/2006/relationships/hyperlink" Target="http://www.uradni-list.si/1/objava.jsp?sop=2013-01-3678" TargetMode="External"/><Relationship Id="rId53" Type="http://schemas.openxmlformats.org/officeDocument/2006/relationships/hyperlink" Target="http://www.uradni-list.si/1/objava.jsp?sop=2007-01-3965" TargetMode="External"/><Relationship Id="rId58" Type="http://schemas.openxmlformats.org/officeDocument/2006/relationships/hyperlink" Target="http://www.uradni-list.si/1/objava.jsp?sop=2010-01-0481" TargetMode="External"/><Relationship Id="rId74" Type="http://schemas.openxmlformats.org/officeDocument/2006/relationships/hyperlink" Target="http://www.uradni-list.si/1/objava.jsp?sop=2012-01-2405" TargetMode="External"/><Relationship Id="rId79" Type="http://schemas.openxmlformats.org/officeDocument/2006/relationships/hyperlink" Target="http://www.uradni-list.si/1/objava.jsp?sop=2019-01-0914" TargetMode="External"/><Relationship Id="rId102" Type="http://schemas.openxmlformats.org/officeDocument/2006/relationships/hyperlink" Target="http://www.uradni-list.si/1/objava.jsp?sop=2006-01-4487" TargetMode="External"/><Relationship Id="rId123" Type="http://schemas.openxmlformats.org/officeDocument/2006/relationships/hyperlink" Target="http://www.uradni-list.si/1/objava.jsp?sop=2007-01-4686" TargetMode="External"/><Relationship Id="rId128" Type="http://schemas.openxmlformats.org/officeDocument/2006/relationships/hyperlink" Target="http://www.uradni-list.si/1/objava.jsp?sop=2012-01-2849" TargetMode="External"/><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www.uradni-list.si/1/objava.jsp?sop=2010-01-5694" TargetMode="External"/><Relationship Id="rId95" Type="http://schemas.openxmlformats.org/officeDocument/2006/relationships/hyperlink" Target="http://www.uradni-list.si/1/objava.jsp?sop=2006-01-2180" TargetMode="External"/><Relationship Id="rId22" Type="http://schemas.openxmlformats.org/officeDocument/2006/relationships/hyperlink" Target="http://www.uradni-list.si/1/objava.jsp?sop=2014-01-0031" TargetMode="External"/><Relationship Id="rId27" Type="http://schemas.openxmlformats.org/officeDocument/2006/relationships/hyperlink" Target="http://www.uradni-list.si/1/objava.jsp?sop=2013-01-4126" TargetMode="External"/><Relationship Id="rId43" Type="http://schemas.openxmlformats.org/officeDocument/2006/relationships/hyperlink" Target="http://www.uradni-list.si/1/objava.jsp?sop=2009-01-1922" TargetMode="External"/><Relationship Id="rId48" Type="http://schemas.openxmlformats.org/officeDocument/2006/relationships/hyperlink" Target="http://www.uradni-list.si/1/objava.jsp?sop=2013-01-2514" TargetMode="External"/><Relationship Id="rId64" Type="http://schemas.openxmlformats.org/officeDocument/2006/relationships/hyperlink" Target="http://www.uradni-list.si/1/objava.jsp?sop=2014-01-0253" TargetMode="External"/><Relationship Id="rId69" Type="http://schemas.openxmlformats.org/officeDocument/2006/relationships/hyperlink" Target="http://www.uradni-list.si/1/objava.jsp?sop=2019-01-3129" TargetMode="External"/><Relationship Id="rId113" Type="http://schemas.openxmlformats.org/officeDocument/2006/relationships/hyperlink" Target="http://www.uradni-list.si/1/objava.jsp?sop=2013-01-4126" TargetMode="External"/><Relationship Id="rId118" Type="http://schemas.openxmlformats.org/officeDocument/2006/relationships/hyperlink" Target="http://www.uradni-list.si/1/objava.jsp?sop=2019-01-3233" TargetMode="External"/><Relationship Id="rId134" Type="http://schemas.openxmlformats.org/officeDocument/2006/relationships/hyperlink" Target="http://www.uradni-list.si/1/objava.jsp?sop=2008-01-2339" TargetMode="External"/><Relationship Id="rId139" Type="http://schemas.openxmlformats.org/officeDocument/2006/relationships/hyperlink" Target="http://www.uradni-list.si/1/objava.jsp?sop=2014-01-0031" TargetMode="External"/><Relationship Id="rId80" Type="http://schemas.openxmlformats.org/officeDocument/2006/relationships/hyperlink" Target="http://www.uradni-list.si/1/objava.jsp?sop=2002-01-2527" TargetMode="External"/><Relationship Id="rId85" Type="http://schemas.openxmlformats.org/officeDocument/2006/relationships/hyperlink" Target="http://www.uradni-list.si/1/objava.jsp?sop=2007-01-6415" TargetMode="External"/><Relationship Id="rId3" Type="http://schemas.openxmlformats.org/officeDocument/2006/relationships/styles" Target="styles.xml"/><Relationship Id="rId12" Type="http://schemas.openxmlformats.org/officeDocument/2006/relationships/hyperlink" Target="http://www.uradni-list.si/1/objava.jsp?sop=2011-01-3725" TargetMode="External"/><Relationship Id="rId17" Type="http://schemas.openxmlformats.org/officeDocument/2006/relationships/hyperlink" Target="http://www.uradni-list.si/1/objava.jsp?sop=2015-01-2975" TargetMode="External"/><Relationship Id="rId25" Type="http://schemas.openxmlformats.org/officeDocument/2006/relationships/hyperlink" Target="http://www.uradni-list.si/1/objava.jsp?sop=2011-01-1376" TargetMode="External"/><Relationship Id="rId33" Type="http://schemas.openxmlformats.org/officeDocument/2006/relationships/hyperlink" Target="http://www.uradni-list.si/1/objava.jsp?sop=2020-01-3096" TargetMode="External"/><Relationship Id="rId38" Type="http://schemas.openxmlformats.org/officeDocument/2006/relationships/hyperlink" Target="http://www.uradni-list.si/1/objava.jsp?sop=2009-01-1703" TargetMode="External"/><Relationship Id="rId46" Type="http://schemas.openxmlformats.org/officeDocument/2006/relationships/hyperlink" Target="http://www.uradni-list.si/1/objava.jsp?sop=2012-01-2401" TargetMode="External"/><Relationship Id="rId59" Type="http://schemas.openxmlformats.org/officeDocument/2006/relationships/hyperlink" Target="http://www.uradni-list.si/1/objava.jsp?sop=2010-01-2675" TargetMode="External"/><Relationship Id="rId67" Type="http://schemas.openxmlformats.org/officeDocument/2006/relationships/hyperlink" Target="http://www.uradni-list.si/1/objava.jsp?sop=2017-01-0463" TargetMode="External"/><Relationship Id="rId103" Type="http://schemas.openxmlformats.org/officeDocument/2006/relationships/hyperlink" Target="http://www.uradni-list.si/1/objava.jsp?sop=2009-01-4788" TargetMode="External"/><Relationship Id="rId108" Type="http://schemas.openxmlformats.org/officeDocument/2006/relationships/hyperlink" Target="http://www.uradni-list.si/1/objava.jsp?sop=2007-01-4826" TargetMode="External"/><Relationship Id="rId116" Type="http://schemas.openxmlformats.org/officeDocument/2006/relationships/hyperlink" Target="http://www.uradni-list.si/1/objava.jsp?sop=2016-01-1364" TargetMode="External"/><Relationship Id="rId124" Type="http://schemas.openxmlformats.org/officeDocument/2006/relationships/hyperlink" Target="http://www.uradni-list.si/1/objava.jsp?sop=2008-01-1982" TargetMode="External"/><Relationship Id="rId129" Type="http://schemas.openxmlformats.org/officeDocument/2006/relationships/hyperlink" Target="http://www.uradni-list.si/1/objava.jsp?sop=2013-01-2514" TargetMode="External"/><Relationship Id="rId137" Type="http://schemas.openxmlformats.org/officeDocument/2006/relationships/hyperlink" Target="http://www.uradni-list.si/1/objava.jsp?sop=2019-01-0914" TargetMode="External"/><Relationship Id="rId20" Type="http://schemas.openxmlformats.org/officeDocument/2006/relationships/hyperlink" Target="http://www.uradni-list.si/1/objava.jsp?sop=2013-01-3678" TargetMode="External"/><Relationship Id="rId41" Type="http://schemas.openxmlformats.org/officeDocument/2006/relationships/hyperlink" Target="http://www.uradni-list.si/1/objava.jsp?sop=2014-01-0024" TargetMode="External"/><Relationship Id="rId54" Type="http://schemas.openxmlformats.org/officeDocument/2006/relationships/hyperlink" Target="http://www.uradni-list.si/1/objava.jsp?sop=2008-01-1979" TargetMode="External"/><Relationship Id="rId62" Type="http://schemas.openxmlformats.org/officeDocument/2006/relationships/hyperlink" Target="http://www.uradni-list.si/1/objava.jsp?sop=2013-01-1563" TargetMode="External"/><Relationship Id="rId70" Type="http://schemas.openxmlformats.org/officeDocument/2006/relationships/hyperlink" Target="http://www.uradni-list.si/1/objava.jsp?sop=2009-01-3036" TargetMode="External"/><Relationship Id="rId75" Type="http://schemas.openxmlformats.org/officeDocument/2006/relationships/hyperlink" Target="http://www.uradni-list.si/1/objava.jsp?sop=2013-01-1696" TargetMode="External"/><Relationship Id="rId83" Type="http://schemas.openxmlformats.org/officeDocument/2006/relationships/hyperlink" Target="http://www.uradni-list.si/1/objava.jsp?sop=2006-01-0970" TargetMode="External"/><Relationship Id="rId88" Type="http://schemas.openxmlformats.org/officeDocument/2006/relationships/hyperlink" Target="http://www.uradni-list.si/1/objava.jsp?sop=2013-01-3034" TargetMode="External"/><Relationship Id="rId91" Type="http://schemas.openxmlformats.org/officeDocument/2006/relationships/hyperlink" Target="http://www.uradni-list.si/1/objava.jsp?sop=2012-01-2617" TargetMode="External"/><Relationship Id="rId96" Type="http://schemas.openxmlformats.org/officeDocument/2006/relationships/hyperlink" Target="http://www.uradni-list.si/1/objava.jsp?sop=2006-01-5018" TargetMode="External"/><Relationship Id="rId111" Type="http://schemas.openxmlformats.org/officeDocument/2006/relationships/hyperlink" Target="http://www.uradni-list.si/1/objava.jsp?sop=2011-01-1376" TargetMode="External"/><Relationship Id="rId132" Type="http://schemas.openxmlformats.org/officeDocument/2006/relationships/hyperlink" Target="http://www.uradni-list.si/1/objava.jsp?sop=2018-01-0944" TargetMode="External"/><Relationship Id="rId140" Type="http://schemas.openxmlformats.org/officeDocument/2006/relationships/hyperlink" Target="http://www.uradni-list.si/1/objava.jsp?sop=2009-01-1703" TargetMode="Externa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3-01-2514" TargetMode="External"/><Relationship Id="rId23" Type="http://schemas.openxmlformats.org/officeDocument/2006/relationships/hyperlink" Target="http://www.uradni-list.si/1/objava.jsp?sop=2009-01-5140" TargetMode="External"/><Relationship Id="rId28" Type="http://schemas.openxmlformats.org/officeDocument/2006/relationships/hyperlink" Target="http://www.uradni-list.si/1/objava.jsp?sop=2014-01-3062" TargetMode="External"/><Relationship Id="rId36" Type="http://schemas.openxmlformats.org/officeDocument/2006/relationships/hyperlink" Target="https://e-uprava.gov.si/drzava-in-druzba/e-demokracija/predlogi-predpisov/predlog-predpisa.html?id=11614" TargetMode="External"/><Relationship Id="rId49" Type="http://schemas.openxmlformats.org/officeDocument/2006/relationships/hyperlink" Target="http://www.uradni-list.si/1/objava.jsp?sop=2014-01-1353" TargetMode="External"/><Relationship Id="rId57" Type="http://schemas.openxmlformats.org/officeDocument/2006/relationships/hyperlink" Target="http://www.uradni-list.si/1/objava.jsp?sop=2009-01-2795" TargetMode="External"/><Relationship Id="rId106" Type="http://schemas.openxmlformats.org/officeDocument/2006/relationships/hyperlink" Target="http://www.uradni-list.si/1/objava.jsp?sop=2012-01-4319" TargetMode="External"/><Relationship Id="rId114" Type="http://schemas.openxmlformats.org/officeDocument/2006/relationships/hyperlink" Target="http://www.uradni-list.si/1/objava.jsp?sop=2014-01-3062" TargetMode="External"/><Relationship Id="rId119" Type="http://schemas.openxmlformats.org/officeDocument/2006/relationships/hyperlink" Target="http://www.uradni-list.si/1/objava.jsp?sop=2020-01-3096" TargetMode="External"/><Relationship Id="rId127" Type="http://schemas.openxmlformats.org/officeDocument/2006/relationships/hyperlink" Target="http://www.uradni-list.si/1/objava.jsp?sop=2011-01-1589" TargetMode="External"/><Relationship Id="rId10" Type="http://schemas.openxmlformats.org/officeDocument/2006/relationships/hyperlink" Target="http://www.uradni-list.si/1/objava.jsp?sop=2009-01-1922" TargetMode="External"/><Relationship Id="rId31" Type="http://schemas.openxmlformats.org/officeDocument/2006/relationships/hyperlink" Target="http://www.uradni-list.si/1/objava.jsp?sop=2017-01-0740" TargetMode="External"/><Relationship Id="rId44" Type="http://schemas.openxmlformats.org/officeDocument/2006/relationships/hyperlink" Target="http://www.uradni-list.si/1/objava.jsp?sop=2011-01-1153" TargetMode="External"/><Relationship Id="rId52" Type="http://schemas.openxmlformats.org/officeDocument/2006/relationships/hyperlink" Target="http://www.uradni-list.si/1/objava.jsp?sop=2008-01-1979" TargetMode="External"/><Relationship Id="rId60" Type="http://schemas.openxmlformats.org/officeDocument/2006/relationships/hyperlink" Target="http://www.uradni-list.si/1/objava.jsp?sop=2010-01-5589" TargetMode="External"/><Relationship Id="rId65" Type="http://schemas.openxmlformats.org/officeDocument/2006/relationships/hyperlink" Target="http://www.uradni-list.si/1/objava.jsp?sop=2015-01-1976" TargetMode="External"/><Relationship Id="rId73" Type="http://schemas.openxmlformats.org/officeDocument/2006/relationships/hyperlink" Target="http://www.uradni-list.si/1/objava.jsp?sop=2012-01-1401" TargetMode="External"/><Relationship Id="rId78" Type="http://schemas.openxmlformats.org/officeDocument/2006/relationships/hyperlink" Target="http://www.uradni-list.si/1/objava.jsp?sop=2017-01-0730" TargetMode="External"/><Relationship Id="rId81" Type="http://schemas.openxmlformats.org/officeDocument/2006/relationships/hyperlink" Target="http://www.uradni-list.si/1/objava.jsp?sop=2004-01-2307" TargetMode="External"/><Relationship Id="rId86" Type="http://schemas.openxmlformats.org/officeDocument/2006/relationships/hyperlink" Target="http://www.uradni-list.si/1/objava.jsp?sop=2008-01-2816" TargetMode="External"/><Relationship Id="rId94" Type="http://schemas.openxmlformats.org/officeDocument/2006/relationships/hyperlink" Target="http://www.uradni-list.si/1/objava.jsp?sop=2007-01-4690" TargetMode="External"/><Relationship Id="rId99" Type="http://schemas.openxmlformats.org/officeDocument/2006/relationships/hyperlink" Target="http://www.uradni-list.si/1/objava.jsp?sop=2015-01-0728" TargetMode="External"/><Relationship Id="rId101" Type="http://schemas.openxmlformats.org/officeDocument/2006/relationships/hyperlink" Target="http://www.uradni-list.si/1/objava.jsp?sop=2018-01-0275" TargetMode="External"/><Relationship Id="rId122" Type="http://schemas.openxmlformats.org/officeDocument/2006/relationships/hyperlink" Target="http://www.uradni-list.si/1/objava.jsp?sop=2014-01-0024" TargetMode="External"/><Relationship Id="rId130" Type="http://schemas.openxmlformats.org/officeDocument/2006/relationships/hyperlink" Target="http://www.uradni-list.si/1/objava.jsp?sop=2015-01-0624" TargetMode="External"/><Relationship Id="rId135" Type="http://schemas.openxmlformats.org/officeDocument/2006/relationships/hyperlink" Target="http://www.uradni-list.si/1/objava.jsp?sop=2009-01-4248" TargetMode="External"/><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08-01-1459" TargetMode="External"/><Relationship Id="rId13" Type="http://schemas.openxmlformats.org/officeDocument/2006/relationships/hyperlink" Target="http://www.uradni-list.si/1/objava.jsp?sop=2012-01-2401" TargetMode="External"/><Relationship Id="rId18" Type="http://schemas.openxmlformats.org/officeDocument/2006/relationships/hyperlink" Target="http://www.uradni-list.si/1/objava.jsp?sop=2017-01-1208" TargetMode="External"/><Relationship Id="rId39" Type="http://schemas.openxmlformats.org/officeDocument/2006/relationships/hyperlink" Target="http://www.uradni-list.si/1/objava.jsp?sop=2014-01-0031" TargetMode="External"/><Relationship Id="rId109" Type="http://schemas.openxmlformats.org/officeDocument/2006/relationships/hyperlink" Target="http://www.uradni-list.si/1/objava.jsp?sop=2016-01-2761" TargetMode="External"/><Relationship Id="rId34" Type="http://schemas.openxmlformats.org/officeDocument/2006/relationships/hyperlink" Target="http://www.uradni-list.si/1/objava.jsp?sop=2021-01-0110" TargetMode="External"/><Relationship Id="rId50" Type="http://schemas.openxmlformats.org/officeDocument/2006/relationships/hyperlink" Target="http://www.uradni-list.si/1/objava.jsp?sop=2015-01-2975" TargetMode="External"/><Relationship Id="rId55" Type="http://schemas.openxmlformats.org/officeDocument/2006/relationships/hyperlink" Target="http://www.uradni-list.si/1/objava.jsp?sop=2008-01-1983" TargetMode="External"/><Relationship Id="rId76" Type="http://schemas.openxmlformats.org/officeDocument/2006/relationships/hyperlink" Target="http://www.uradni-list.si/1/objava.jsp?sop=2013-01-3035" TargetMode="External"/><Relationship Id="rId97" Type="http://schemas.openxmlformats.org/officeDocument/2006/relationships/hyperlink" Target="http://www.uradni-list.si/1/objava.jsp?sop=2014-01-0876" TargetMode="External"/><Relationship Id="rId104" Type="http://schemas.openxmlformats.org/officeDocument/2006/relationships/hyperlink" Target="http://www.uradni-list.si/1/objava.jsp?sop=2010-01-3388" TargetMode="External"/><Relationship Id="rId120" Type="http://schemas.openxmlformats.org/officeDocument/2006/relationships/hyperlink" Target="http://www.uradni-list.si/1/objava.jsp?sop=2021-01-0110" TargetMode="External"/><Relationship Id="rId125" Type="http://schemas.openxmlformats.org/officeDocument/2006/relationships/hyperlink" Target="http://www.uradni-list.si/1/objava.jsp?sop=2009-01-4178" TargetMode="External"/><Relationship Id="rId141" Type="http://schemas.openxmlformats.org/officeDocument/2006/relationships/hyperlink" Target="http://www.uradni-list.si/1/objava.jsp?sop=2014-01-0031" TargetMode="External"/><Relationship Id="rId7" Type="http://schemas.openxmlformats.org/officeDocument/2006/relationships/endnotes" Target="endnotes.xml"/><Relationship Id="rId71" Type="http://schemas.openxmlformats.org/officeDocument/2006/relationships/hyperlink" Target="http://www.uradni-list.si/1/objava.jsp?sop=2011-01-1587" TargetMode="External"/><Relationship Id="rId92" Type="http://schemas.openxmlformats.org/officeDocument/2006/relationships/hyperlink" Target="http://www.uradni-list.si/1/objava.jsp?sop=2013-01-1973" TargetMode="External"/><Relationship Id="rId2" Type="http://schemas.openxmlformats.org/officeDocument/2006/relationships/numbering" Target="numbering.xml"/><Relationship Id="rId29" Type="http://schemas.openxmlformats.org/officeDocument/2006/relationships/hyperlink" Target="http://www.uradni-list.si/1/objava.jsp?sop=2014-01-3705" TargetMode="External"/><Relationship Id="rId24" Type="http://schemas.openxmlformats.org/officeDocument/2006/relationships/hyperlink" Target="http://www.uradni-list.si/1/objava.jsp?sop=2014-01-0024" TargetMode="External"/><Relationship Id="rId40" Type="http://schemas.openxmlformats.org/officeDocument/2006/relationships/hyperlink" Target="http://www.uradni-list.si/1/objava.jsp?sop=2009-01-5140" TargetMode="External"/><Relationship Id="rId45" Type="http://schemas.openxmlformats.org/officeDocument/2006/relationships/hyperlink" Target="http://www.uradni-list.si/1/objava.jsp?sop=2011-01-3725" TargetMode="External"/><Relationship Id="rId66" Type="http://schemas.openxmlformats.org/officeDocument/2006/relationships/hyperlink" Target="http://www.uradni-list.si/1/objava.jsp?sop=2017-01-0277" TargetMode="External"/><Relationship Id="rId87" Type="http://schemas.openxmlformats.org/officeDocument/2006/relationships/hyperlink" Target="http://www.uradni-list.si/1/objava.jsp?sop=2010-01-0251" TargetMode="External"/><Relationship Id="rId110" Type="http://schemas.openxmlformats.org/officeDocument/2006/relationships/hyperlink" Target="http://www.uradni-list.si/1/objava.jsp?sop=2018-01-0865" TargetMode="External"/><Relationship Id="rId115" Type="http://schemas.openxmlformats.org/officeDocument/2006/relationships/hyperlink" Target="http://www.uradni-list.si/1/objava.jsp?sop=2014-01-3705" TargetMode="External"/><Relationship Id="rId131" Type="http://schemas.openxmlformats.org/officeDocument/2006/relationships/hyperlink" Target="http://www.uradni-list.si/1/objava.jsp?sop=2017-01-1205" TargetMode="External"/><Relationship Id="rId136" Type="http://schemas.openxmlformats.org/officeDocument/2006/relationships/hyperlink" Target="http://www.uradni-list.si/1/objava.jsp?sop=2012-01-1700" TargetMode="External"/><Relationship Id="rId61" Type="http://schemas.openxmlformats.org/officeDocument/2006/relationships/hyperlink" Target="http://www.uradni-list.si/1/objava.jsp?sop=2012-01-2856" TargetMode="External"/><Relationship Id="rId82" Type="http://schemas.openxmlformats.org/officeDocument/2006/relationships/hyperlink" Target="http://www.uradni-list.si/1/objava.jsp?sop=2011-01-1590" TargetMode="External"/><Relationship Id="rId19" Type="http://schemas.openxmlformats.org/officeDocument/2006/relationships/hyperlink" Target="http://www.uradni-list.si/1/objava.jsp?sop=2017-01-1208" TargetMode="External"/><Relationship Id="rId14" Type="http://schemas.openxmlformats.org/officeDocument/2006/relationships/hyperlink" Target="http://www.uradni-list.si/1/objava.jsp?sop=2013-01-1519" TargetMode="External"/><Relationship Id="rId30" Type="http://schemas.openxmlformats.org/officeDocument/2006/relationships/hyperlink" Target="http://www.uradni-list.si/1/objava.jsp?sop=2016-01-1364" TargetMode="External"/><Relationship Id="rId35" Type="http://schemas.openxmlformats.org/officeDocument/2006/relationships/hyperlink" Target="https://eur-lex.europa.eu/legal-content/EN/TXT/?uri=NIM:202102781" TargetMode="External"/><Relationship Id="rId56" Type="http://schemas.openxmlformats.org/officeDocument/2006/relationships/hyperlink" Target="http://www.uradni-list.si/1/objava.jsp?sop=2008-01-4781" TargetMode="External"/><Relationship Id="rId77" Type="http://schemas.openxmlformats.org/officeDocument/2006/relationships/hyperlink" Target="http://www.uradni-list.si/1/objava.jsp?sop=2015-01-2281" TargetMode="External"/><Relationship Id="rId100" Type="http://schemas.openxmlformats.org/officeDocument/2006/relationships/hyperlink" Target="http://www.uradni-list.si/1/objava.jsp?sop=2015-01-4086" TargetMode="External"/><Relationship Id="rId105" Type="http://schemas.openxmlformats.org/officeDocument/2006/relationships/hyperlink" Target="http://www.uradni-list.si/1/objava.jsp?sop=2011-01-4210" TargetMode="External"/><Relationship Id="rId126" Type="http://schemas.openxmlformats.org/officeDocument/2006/relationships/hyperlink" Target="http://www.uradni-list.si/1/objava.jsp?sop=2010-01-4655" TargetMode="External"/><Relationship Id="rId8" Type="http://schemas.openxmlformats.org/officeDocument/2006/relationships/image" Target="media/image1.emf"/><Relationship Id="rId51" Type="http://schemas.openxmlformats.org/officeDocument/2006/relationships/hyperlink" Target="http://www.uradni-list.si/1/objava.jsp?sop=2017-01-1208" TargetMode="External"/><Relationship Id="rId72" Type="http://schemas.openxmlformats.org/officeDocument/2006/relationships/hyperlink" Target="http://www.uradni-list.si/1/objava.jsp?sop=2011-01-3912" TargetMode="External"/><Relationship Id="rId93" Type="http://schemas.openxmlformats.org/officeDocument/2006/relationships/hyperlink" Target="http://www.uradni-list.si/1/objava.jsp?sop=2015-01-0198" TargetMode="External"/><Relationship Id="rId98" Type="http://schemas.openxmlformats.org/officeDocument/2006/relationships/hyperlink" Target="http://www.uradni-list.si/1/objava.jsp?sop=2014-01-2077" TargetMode="External"/><Relationship Id="rId121" Type="http://schemas.openxmlformats.org/officeDocument/2006/relationships/hyperlink" Target="http://www.uradni-list.si/1/objava.jsp?sop=2009-01-5140" TargetMode="External"/><Relationship Id="rId142" Type="http://schemas.openxmlformats.org/officeDocument/2006/relationships/hyperlink" Target="http://pisrs.si/Pis.web/npb/2013-01-3678-p1.pdf"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aztn.hr/trzisno-natjecanje/29/zakonodavni-okvir-rh/" TargetMode="External"/><Relationship Id="rId1" Type="http://schemas.openxmlformats.org/officeDocument/2006/relationships/hyperlink" Target="http://ec.europa.eu/about/index_en.ht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Namizje\Template%20NPB-SVZ%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25AC7996-1186-4F62-A5E9-08FB9FDB2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4</TotalTime>
  <Pages>204</Pages>
  <Words>107739</Words>
  <Characters>614117</Characters>
  <Application>Microsoft Office Word</Application>
  <DocSecurity>0</DocSecurity>
  <Lines>5117</Lines>
  <Paragraphs>1440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Hewlett-Packard Company</Company>
  <LinksUpToDate>false</LinksUpToDate>
  <CharactersWithSpaces>720416</CharactersWithSpaces>
  <SharedDoc>false</SharedDoc>
  <HLinks>
    <vt:vector size="18" baseType="variant">
      <vt:variant>
        <vt:i4>7798825</vt:i4>
      </vt:variant>
      <vt:variant>
        <vt:i4>6</vt:i4>
      </vt:variant>
      <vt:variant>
        <vt:i4>0</vt:i4>
      </vt:variant>
      <vt:variant>
        <vt:i4>5</vt:i4>
      </vt:variant>
      <vt:variant>
        <vt:lpwstr>http://www.uradni-list.si/1/objava.jsp?sop=2018-01-1907</vt:lpwstr>
      </vt:variant>
      <vt:variant>
        <vt:lpwstr/>
      </vt:variant>
      <vt:variant>
        <vt:i4>8192047</vt:i4>
      </vt:variant>
      <vt:variant>
        <vt:i4>3</vt:i4>
      </vt:variant>
      <vt:variant>
        <vt:i4>0</vt:i4>
      </vt:variant>
      <vt:variant>
        <vt:i4>5</vt:i4>
      </vt:variant>
      <vt:variant>
        <vt:lpwstr>http://www.uradni-list.si/1/objava.jsp?sop=2012-01-2591</vt:lpwstr>
      </vt:variant>
      <vt:variant>
        <vt:lpwstr/>
      </vt:variant>
      <vt:variant>
        <vt:i4>8323392</vt:i4>
      </vt:variant>
      <vt:variant>
        <vt:i4>0</vt:i4>
      </vt:variant>
      <vt:variant>
        <vt:i4>0</vt:i4>
      </vt:variant>
      <vt:variant>
        <vt:i4>5</vt:i4>
      </vt:variant>
      <vt:variant>
        <vt:lpwstr>http://www.uradni-list.si/1/objava.jsp?urlurid=20132514</vt:lpwstr>
      </vt:variant>
      <vt:variant>
        <vt:lpwstr>48. člen</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usr1</dc:creator>
  <cp:lastModifiedBy>Lidija Vidergar</cp:lastModifiedBy>
  <cp:revision>5</cp:revision>
  <cp:lastPrinted>2022-04-04T18:07:00Z</cp:lastPrinted>
  <dcterms:created xsi:type="dcterms:W3CDTF">2022-04-14T10:21:00Z</dcterms:created>
  <dcterms:modified xsi:type="dcterms:W3CDTF">2022-04-14T10:26:00Z</dcterms:modified>
</cp:coreProperties>
</file>