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360B2" w14:textId="77777777" w:rsidR="00B5379C" w:rsidRPr="00B5379C" w:rsidRDefault="00B5379C" w:rsidP="00B5379C">
      <w:pPr>
        <w:spacing w:after="0" w:line="240" w:lineRule="auto"/>
        <w:ind w:left="4963" w:firstLine="709"/>
        <w:jc w:val="right"/>
        <w:rPr>
          <w:rFonts w:ascii="Arial" w:eastAsia="Times New Roman" w:hAnsi="Arial" w:cs="Arial"/>
          <w:bCs/>
          <w:sz w:val="20"/>
          <w:szCs w:val="20"/>
        </w:rPr>
      </w:pPr>
      <w:r w:rsidRPr="00B5379C">
        <w:rPr>
          <w:rFonts w:ascii="Arial" w:eastAsia="Times New Roman" w:hAnsi="Arial" w:cs="Arial"/>
          <w:bCs/>
          <w:sz w:val="20"/>
          <w:szCs w:val="20"/>
        </w:rPr>
        <w:t>PREDLOG</w:t>
      </w:r>
    </w:p>
    <w:p w14:paraId="04816588" w14:textId="77777777" w:rsidR="00B5379C" w:rsidRPr="00B5379C" w:rsidRDefault="00B5379C" w:rsidP="00B5379C">
      <w:pPr>
        <w:spacing w:after="0" w:line="240" w:lineRule="auto"/>
        <w:ind w:left="6381"/>
        <w:rPr>
          <w:rFonts w:ascii="Arial" w:eastAsia="Times New Roman" w:hAnsi="Arial" w:cs="Arial"/>
          <w:bCs/>
          <w:sz w:val="20"/>
          <w:szCs w:val="20"/>
        </w:rPr>
      </w:pPr>
      <w:r w:rsidRPr="00B5379C">
        <w:rPr>
          <w:rFonts w:ascii="Arial" w:eastAsia="Times New Roman" w:hAnsi="Arial" w:cs="Arial"/>
          <w:bCs/>
          <w:sz w:val="20"/>
          <w:szCs w:val="20"/>
        </w:rPr>
        <w:t>(EVA:</w:t>
      </w:r>
      <w:r w:rsidRPr="00B5379C">
        <w:rPr>
          <w:rFonts w:ascii="Arial" w:eastAsia="Times New Roman" w:hAnsi="Arial" w:cs="Arial"/>
          <w:sz w:val="20"/>
          <w:szCs w:val="20"/>
        </w:rPr>
        <w:t xml:space="preserve"> 2021-1611-0104)</w:t>
      </w:r>
    </w:p>
    <w:p w14:paraId="7320D637" w14:textId="77777777" w:rsidR="00B5379C" w:rsidRPr="00B5379C" w:rsidRDefault="00B5379C" w:rsidP="00B5379C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</w:p>
    <w:p w14:paraId="4DC6E494" w14:textId="77777777" w:rsidR="00B5379C" w:rsidRPr="00B5379C" w:rsidRDefault="00B5379C" w:rsidP="00B5379C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5379C">
        <w:rPr>
          <w:rFonts w:ascii="Arial" w:eastAsia="Times New Roman" w:hAnsi="Arial" w:cs="Arial"/>
          <w:bCs/>
          <w:sz w:val="20"/>
          <w:szCs w:val="20"/>
        </w:rPr>
        <w:t>Na podlagi sedmega odstavka 21. člena Zakona o Vladi Republike Slovenije (Uradni list RS, št. 24/05 – uradno prečiščeno besedilo, 109/08, 38/10 – ZUKN, 8/12, 21/13, 47/13 – ZDU-1G, 65/14 in 55/17) Vlada Republike Slovenije izdaja</w:t>
      </w:r>
    </w:p>
    <w:p w14:paraId="623BF17B" w14:textId="77777777" w:rsidR="00B5379C" w:rsidRPr="00B5379C" w:rsidRDefault="00B5379C" w:rsidP="00B5379C">
      <w:pPr>
        <w:spacing w:after="0" w:line="240" w:lineRule="auto"/>
        <w:jc w:val="right"/>
        <w:rPr>
          <w:rFonts w:ascii="Arial" w:eastAsia="Times New Roman" w:hAnsi="Arial" w:cs="Arial"/>
          <w:bCs/>
          <w:sz w:val="20"/>
          <w:szCs w:val="20"/>
        </w:rPr>
      </w:pPr>
    </w:p>
    <w:p w14:paraId="30ABF538" w14:textId="77777777" w:rsidR="00B5379C" w:rsidRPr="00B5379C" w:rsidRDefault="00B5379C" w:rsidP="00B5379C">
      <w:pPr>
        <w:spacing w:after="0" w:line="240" w:lineRule="auto"/>
        <w:jc w:val="right"/>
        <w:rPr>
          <w:rFonts w:ascii="Arial" w:eastAsia="Times New Roman" w:hAnsi="Arial" w:cs="Arial"/>
          <w:bCs/>
          <w:sz w:val="20"/>
          <w:szCs w:val="20"/>
        </w:rPr>
      </w:pPr>
    </w:p>
    <w:p w14:paraId="4FEB30A5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  <w:lang w:eastAsia="sl-SI"/>
        </w:rPr>
      </w:pPr>
      <w:bookmarkStart w:id="0" w:name="_Hlk66266060"/>
      <w:r w:rsidRPr="00B5379C"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  <w:lang w:eastAsia="sl-SI"/>
        </w:rPr>
        <w:t>UREDBO</w:t>
      </w:r>
    </w:p>
    <w:p w14:paraId="0CB618D7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before="120" w:line="200" w:lineRule="exact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val="x-none" w:eastAsia="x-none"/>
        </w:rPr>
        <w:t xml:space="preserve">o izvajanju </w:t>
      </w: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U</w:t>
      </w:r>
      <w:proofErr w:type="spellStart"/>
      <w:r w:rsidRPr="00B5379C">
        <w:rPr>
          <w:rFonts w:ascii="Arial" w:eastAsia="Times New Roman" w:hAnsi="Arial" w:cs="Arial"/>
          <w:b/>
          <w:sz w:val="20"/>
          <w:szCs w:val="20"/>
          <w:lang w:val="x-none" w:eastAsia="x-none"/>
        </w:rPr>
        <w:t>redbe</w:t>
      </w:r>
      <w:proofErr w:type="spellEnd"/>
      <w:r w:rsidRPr="00B5379C">
        <w:rPr>
          <w:rFonts w:ascii="Arial" w:eastAsia="Times New Roman" w:hAnsi="Arial" w:cs="Arial"/>
          <w:b/>
          <w:sz w:val="20"/>
          <w:szCs w:val="20"/>
          <w:lang w:val="x-none" w:eastAsia="x-none"/>
        </w:rPr>
        <w:t xml:space="preserve"> (</w:t>
      </w: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EU</w:t>
      </w:r>
      <w:r w:rsidRPr="00B5379C">
        <w:rPr>
          <w:rFonts w:ascii="Arial" w:eastAsia="Times New Roman" w:hAnsi="Arial" w:cs="Arial"/>
          <w:b/>
          <w:sz w:val="20"/>
          <w:szCs w:val="20"/>
          <w:lang w:val="x-none" w:eastAsia="x-none"/>
        </w:rPr>
        <w:t>) 2019/2088 Evropskega Parlamenta in Sveta o razkritjih, povezanih s trajnostnostjo, v sektorju finančnih storitev</w:t>
      </w:r>
      <w:bookmarkEnd w:id="0"/>
    </w:p>
    <w:p w14:paraId="40E39CFD" w14:textId="77777777" w:rsidR="00B5379C" w:rsidRPr="00B5379C" w:rsidRDefault="00B5379C" w:rsidP="00B5379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5379C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14:paraId="770A682E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654B977B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1. člen</w:t>
      </w:r>
    </w:p>
    <w:p w14:paraId="1FFF43BE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(vsebina)</w:t>
      </w:r>
    </w:p>
    <w:p w14:paraId="026BC34E" w14:textId="3E6F4825" w:rsidR="000D7B35" w:rsidRDefault="000D7B35" w:rsidP="00B5379C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4E17CB06" w14:textId="51B085DA" w:rsidR="000D7B35" w:rsidRDefault="000D7B35" w:rsidP="000D7B35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2C65AB">
        <w:rPr>
          <w:rFonts w:ascii="Arial" w:eastAsia="Times New Roman" w:hAnsi="Arial" w:cs="Arial"/>
          <w:sz w:val="20"/>
          <w:szCs w:val="20"/>
          <w:lang w:eastAsia="x-none"/>
        </w:rPr>
        <w:t>S to uredbo se določa</w:t>
      </w:r>
      <w:r>
        <w:rPr>
          <w:rFonts w:ascii="Arial" w:eastAsia="Times New Roman" w:hAnsi="Arial" w:cs="Arial"/>
          <w:sz w:val="20"/>
          <w:szCs w:val="20"/>
          <w:lang w:eastAsia="x-none"/>
        </w:rPr>
        <w:t>ta</w:t>
      </w:r>
      <w:r w:rsidRPr="002C65AB">
        <w:rPr>
          <w:rFonts w:ascii="Arial" w:eastAsia="Times New Roman" w:hAnsi="Arial" w:cs="Arial"/>
          <w:sz w:val="20"/>
          <w:szCs w:val="20"/>
          <w:lang w:eastAsia="x-none"/>
        </w:rPr>
        <w:t xml:space="preserve"> pristojn</w:t>
      </w:r>
      <w:r>
        <w:rPr>
          <w:rFonts w:ascii="Arial" w:eastAsia="Times New Roman" w:hAnsi="Arial" w:cs="Arial"/>
          <w:sz w:val="20"/>
          <w:szCs w:val="20"/>
          <w:lang w:eastAsia="x-none"/>
        </w:rPr>
        <w:t>a</w:t>
      </w:r>
      <w:r w:rsidRPr="002C65AB">
        <w:rPr>
          <w:rFonts w:ascii="Arial" w:eastAsia="Times New Roman" w:hAnsi="Arial" w:cs="Arial"/>
          <w:sz w:val="20"/>
          <w:szCs w:val="20"/>
          <w:lang w:eastAsia="x-none"/>
        </w:rPr>
        <w:t xml:space="preserve"> organ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a, ureja način </w:t>
      </w:r>
      <w:r w:rsidRPr="002C65AB">
        <w:rPr>
          <w:rFonts w:ascii="Arial" w:eastAsia="Times New Roman" w:hAnsi="Arial" w:cs="Arial"/>
          <w:sz w:val="20"/>
          <w:szCs w:val="20"/>
          <w:lang w:eastAsia="x-none"/>
        </w:rPr>
        <w:t>opravljanja nadzora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, določajo nadzorni ukrepi, ureja postopek izrekanja nadzornih ukrepov ter določajo prekrški, ki jih pri izvajanju določb </w:t>
      </w:r>
      <w:r w:rsidRPr="002C65AB">
        <w:rPr>
          <w:rFonts w:ascii="Arial" w:eastAsia="Times New Roman" w:hAnsi="Arial" w:cs="Arial"/>
          <w:sz w:val="20"/>
          <w:szCs w:val="20"/>
          <w:lang w:eastAsia="x-none"/>
        </w:rPr>
        <w:t>Uredbe (EU) 2019/2088 Evropskega parlamenta in Sveta z dne 27. novembra 2019 o razkritjih, povezanih s trajnostnostjo, v sektorju finančnih storitev (UL L št. 317 z dne 9. 12. 2019, str. 1)</w:t>
      </w:r>
      <w:r w:rsidR="0001184A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bookmarkStart w:id="1" w:name="_Hlk94699643"/>
      <w:r w:rsidR="0001184A">
        <w:rPr>
          <w:rFonts w:ascii="Arial" w:eastAsia="Times New Roman" w:hAnsi="Arial" w:cs="Arial"/>
          <w:sz w:val="20"/>
          <w:szCs w:val="20"/>
          <w:lang w:eastAsia="x-none"/>
        </w:rPr>
        <w:t xml:space="preserve">zadnjič spremenjene z </w:t>
      </w:r>
      <w:r w:rsidR="0001184A" w:rsidRPr="0001184A">
        <w:rPr>
          <w:rFonts w:ascii="Arial" w:eastAsia="Times New Roman" w:hAnsi="Arial" w:cs="Arial"/>
          <w:sz w:val="20"/>
          <w:szCs w:val="20"/>
          <w:lang w:eastAsia="x-none"/>
        </w:rPr>
        <w:t>Uredbo (EU) 2020/852 Evropskega parlamenta in Sveta z dne 18. junija 2020 o vzpostavitvi okvira za spodbujanje trajnostnih naložb ter spremembi Uredbe (EU) 2019/2088 (v nadaljnjem besedilu</w:t>
      </w:r>
      <w:r w:rsidR="009A3080">
        <w:rPr>
          <w:rFonts w:ascii="Arial" w:eastAsia="Times New Roman" w:hAnsi="Arial" w:cs="Arial"/>
          <w:sz w:val="20"/>
          <w:szCs w:val="20"/>
          <w:lang w:eastAsia="x-none"/>
        </w:rPr>
        <w:t>:</w:t>
      </w:r>
      <w:r w:rsidR="0001184A" w:rsidRPr="0001184A">
        <w:rPr>
          <w:rFonts w:ascii="Arial" w:eastAsia="Times New Roman" w:hAnsi="Arial" w:cs="Arial"/>
          <w:sz w:val="20"/>
          <w:szCs w:val="20"/>
          <w:lang w:eastAsia="x-none"/>
        </w:rPr>
        <w:t xml:space="preserve"> Uredba (EU) 2019/2088)</w:t>
      </w:r>
      <w:bookmarkEnd w:id="1"/>
      <w:r w:rsidR="0001184A" w:rsidRPr="0001184A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izrekata pristojna organa. </w:t>
      </w:r>
    </w:p>
    <w:p w14:paraId="06C852A9" w14:textId="77777777" w:rsidR="000D7B35" w:rsidRPr="00B5379C" w:rsidRDefault="000D7B35" w:rsidP="00B5379C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638A5468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4CD4F9C4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2. člen</w:t>
      </w:r>
    </w:p>
    <w:p w14:paraId="217EA1D5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(opredelitev pojmov)</w:t>
      </w:r>
    </w:p>
    <w:p w14:paraId="121322C0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0328E656" w14:textId="4E2F7621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Pojmi, uporabljeni v tej uredbi, pomenijo enako kot pojmi, opredeljeni v Uredbi </w:t>
      </w:r>
      <w:r w:rsidR="001E0BDA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p w14:paraId="531928C3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val="x-none" w:eastAsia="x-none"/>
        </w:rPr>
      </w:pPr>
    </w:p>
    <w:p w14:paraId="073DB18A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3. člen</w:t>
      </w:r>
    </w:p>
    <w:p w14:paraId="64D0A670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(pristojna organa)</w:t>
      </w:r>
    </w:p>
    <w:p w14:paraId="338E1671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6CFFBB46" w14:textId="60B582B3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Organa, pristojna za izvajanje </w:t>
      </w:r>
      <w:r w:rsidR="001E0BDA"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Uredbe (EU) 2019/2088 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in te uredbe sta Agencija za trg vrednostnih papirjev in Agencija za zavarovalni nadzor</w:t>
      </w:r>
      <w:r w:rsidRPr="00B5379C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(v nadaljnjem besedilu: pristojna organa),</w:t>
      </w:r>
      <w:r w:rsidR="00011693">
        <w:rPr>
          <w:rFonts w:ascii="Arial" w:eastAsia="Times New Roman" w:hAnsi="Arial" w:cs="Arial"/>
          <w:sz w:val="20"/>
          <w:szCs w:val="20"/>
          <w:lang w:eastAsia="x-none"/>
        </w:rPr>
        <w:t xml:space="preserve"> pri čemer je posamezen pristojni organ pristojen za nadzor nad tistimi osebami, ki so navedene v tretjem odstavku 6. člena Uredbe (EU) 2019/2088, za nadzor nad katerimi je ta organ pristojen na podlagi pravnih aktov Republike Slovenije ali Evropske unije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. </w:t>
      </w:r>
    </w:p>
    <w:p w14:paraId="29C05E8C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53F7ECE9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69488E7E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4. člen</w:t>
      </w:r>
    </w:p>
    <w:p w14:paraId="1F8F6E89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(način opravljanja nadzora)</w:t>
      </w:r>
    </w:p>
    <w:p w14:paraId="5C9053C9" w14:textId="02844314" w:rsidR="00B5379C" w:rsidRPr="00B5379C" w:rsidRDefault="00B5379C" w:rsidP="00B5379C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(1) Pristojna organa opravljajta nadzor nad spoštovanjem Uredbe </w:t>
      </w:r>
      <w:r w:rsidR="001E0BDA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in te uredbe:</w:t>
      </w:r>
    </w:p>
    <w:p w14:paraId="053469F0" w14:textId="7AF1F645" w:rsidR="00B5379C" w:rsidRPr="00B5379C" w:rsidRDefault="00A8598E" w:rsidP="00B5379C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1</w:t>
      </w:r>
      <w:r w:rsidR="00B5379C"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. </w:t>
      </w:r>
      <w:r w:rsidR="007E17D3" w:rsidRPr="007E17D3">
        <w:rPr>
          <w:rFonts w:ascii="Arial" w:eastAsia="Times New Roman" w:hAnsi="Arial" w:cs="Arial"/>
          <w:sz w:val="20"/>
          <w:szCs w:val="20"/>
          <w:lang w:eastAsia="x-none"/>
        </w:rPr>
        <w:t>s spremljanjem, zbiranjem in preverjanjem informacij, poročil in obvestil</w:t>
      </w:r>
      <w:r w:rsidR="00DE352D">
        <w:rPr>
          <w:rFonts w:ascii="Arial" w:eastAsia="Times New Roman" w:hAnsi="Arial" w:cs="Arial"/>
          <w:sz w:val="20"/>
          <w:szCs w:val="20"/>
          <w:lang w:eastAsia="x-none"/>
        </w:rPr>
        <w:t>, ki so pripravljeni</w:t>
      </w:r>
      <w:r w:rsidR="00B5379C"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7E17D3">
        <w:rPr>
          <w:rFonts w:ascii="Arial" w:eastAsia="Times New Roman" w:hAnsi="Arial" w:cs="Arial"/>
          <w:sz w:val="20"/>
          <w:szCs w:val="20"/>
          <w:lang w:eastAsia="x-none"/>
        </w:rPr>
        <w:t xml:space="preserve">in objavljeni </w:t>
      </w:r>
      <w:r w:rsidR="00B5379C"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v skladu s </w:t>
      </w:r>
      <w:r w:rsidR="001A26CC">
        <w:rPr>
          <w:rFonts w:ascii="Arial" w:eastAsia="Times New Roman" w:hAnsi="Arial" w:cs="Arial"/>
          <w:sz w:val="20"/>
          <w:szCs w:val="20"/>
          <w:lang w:eastAsia="x-none"/>
        </w:rPr>
        <w:t>3., 4., 5.</w:t>
      </w:r>
      <w:r w:rsidR="0037369F">
        <w:rPr>
          <w:rFonts w:ascii="Arial" w:eastAsia="Times New Roman" w:hAnsi="Arial" w:cs="Arial"/>
          <w:sz w:val="20"/>
          <w:szCs w:val="20"/>
          <w:lang w:eastAsia="x-none"/>
        </w:rPr>
        <w:t>, 6.</w:t>
      </w:r>
      <w:r w:rsidR="00BB0A30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r w:rsidR="007D4C33">
        <w:rPr>
          <w:rFonts w:ascii="Arial" w:eastAsia="Times New Roman" w:hAnsi="Arial" w:cs="Arial"/>
          <w:sz w:val="20"/>
          <w:szCs w:val="20"/>
          <w:lang w:eastAsia="x-none"/>
        </w:rPr>
        <w:t xml:space="preserve">7., </w:t>
      </w:r>
      <w:r w:rsidR="00BB0A30">
        <w:rPr>
          <w:rFonts w:ascii="Arial" w:eastAsia="Times New Roman" w:hAnsi="Arial" w:cs="Arial"/>
          <w:sz w:val="20"/>
          <w:szCs w:val="20"/>
          <w:lang w:eastAsia="x-none"/>
        </w:rPr>
        <w:t>8., 9.</w:t>
      </w:r>
      <w:r w:rsidR="00903011">
        <w:rPr>
          <w:rFonts w:ascii="Arial" w:eastAsia="Times New Roman" w:hAnsi="Arial" w:cs="Arial"/>
          <w:sz w:val="20"/>
          <w:szCs w:val="20"/>
          <w:lang w:eastAsia="x-none"/>
        </w:rPr>
        <w:t>, 10., 11.</w:t>
      </w:r>
      <w:r w:rsidR="0037369F">
        <w:rPr>
          <w:rFonts w:ascii="Arial" w:eastAsia="Times New Roman" w:hAnsi="Arial" w:cs="Arial"/>
          <w:sz w:val="20"/>
          <w:szCs w:val="20"/>
          <w:lang w:eastAsia="x-none"/>
        </w:rPr>
        <w:t xml:space="preserve"> in 1</w:t>
      </w:r>
      <w:r w:rsidR="00903011">
        <w:rPr>
          <w:rFonts w:ascii="Arial" w:eastAsia="Times New Roman" w:hAnsi="Arial" w:cs="Arial"/>
          <w:sz w:val="20"/>
          <w:szCs w:val="20"/>
          <w:lang w:eastAsia="x-none"/>
        </w:rPr>
        <w:t>2</w:t>
      </w:r>
      <w:r w:rsidR="0037369F">
        <w:rPr>
          <w:rFonts w:ascii="Arial" w:eastAsia="Times New Roman" w:hAnsi="Arial" w:cs="Arial"/>
          <w:sz w:val="20"/>
          <w:szCs w:val="20"/>
          <w:lang w:eastAsia="x-none"/>
        </w:rPr>
        <w:t>.</w:t>
      </w:r>
      <w:r w:rsidR="00B5379C"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členom Uredbe </w:t>
      </w:r>
      <w:r w:rsidR="001E0BDA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="00B5379C" w:rsidRPr="00B5379C">
        <w:rPr>
          <w:rFonts w:ascii="Arial" w:eastAsia="Times New Roman" w:hAnsi="Arial" w:cs="Arial"/>
          <w:sz w:val="20"/>
          <w:szCs w:val="20"/>
          <w:lang w:eastAsia="x-none"/>
        </w:rPr>
        <w:t>,</w:t>
      </w:r>
    </w:p>
    <w:p w14:paraId="46D0D74E" w14:textId="2F81A323" w:rsidR="00B5379C" w:rsidRPr="00B5379C" w:rsidRDefault="00A8598E" w:rsidP="00B5379C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2</w:t>
      </w:r>
      <w:r w:rsidR="00B5379C" w:rsidRPr="00B5379C">
        <w:rPr>
          <w:rFonts w:ascii="Arial" w:eastAsia="Times New Roman" w:hAnsi="Arial" w:cs="Arial"/>
          <w:sz w:val="20"/>
          <w:szCs w:val="20"/>
          <w:lang w:eastAsia="x-none"/>
        </w:rPr>
        <w:t>. z izrekanjem nadzornih ukrepov iz 5. člena te uredbe.</w:t>
      </w:r>
    </w:p>
    <w:p w14:paraId="67F138C9" w14:textId="77777777" w:rsidR="009A3080" w:rsidRDefault="00B5379C" w:rsidP="009A3080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(2) Za odločanje in opravljanje nadzora Agencije za trg vrednostnih papirjev v posamičnih zadevah se smiselno uporabljajo </w:t>
      </w:r>
      <w:r w:rsidR="009A3080"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določbe </w:t>
      </w:r>
      <w:r w:rsidR="009A3080" w:rsidRPr="009E260E">
        <w:rPr>
          <w:rFonts w:ascii="Arial" w:eastAsia="Times New Roman" w:hAnsi="Arial" w:cs="Arial"/>
          <w:sz w:val="20"/>
          <w:szCs w:val="20"/>
          <w:lang w:eastAsia="x-none"/>
        </w:rPr>
        <w:t xml:space="preserve">naslednjih zakonov: Zakon o trgu finančnih instrumentov (Uradni list RS, št. 77/18, 17/19 – </w:t>
      </w:r>
      <w:proofErr w:type="spellStart"/>
      <w:r w:rsidR="009A3080" w:rsidRPr="009E260E">
        <w:rPr>
          <w:rFonts w:ascii="Arial" w:eastAsia="Times New Roman" w:hAnsi="Arial" w:cs="Arial"/>
          <w:sz w:val="20"/>
          <w:szCs w:val="20"/>
          <w:lang w:eastAsia="x-none"/>
        </w:rPr>
        <w:t>popr</w:t>
      </w:r>
      <w:proofErr w:type="spellEnd"/>
      <w:r w:rsidR="009A3080" w:rsidRPr="009E260E">
        <w:rPr>
          <w:rFonts w:ascii="Arial" w:eastAsia="Times New Roman" w:hAnsi="Arial" w:cs="Arial"/>
          <w:sz w:val="20"/>
          <w:szCs w:val="20"/>
          <w:lang w:eastAsia="x-none"/>
        </w:rPr>
        <w:t>., 66/19 in 123/21) za subjekte, ki niso investicijski sklad ali njegov upravljavec, Zakon o investicijskih skladih in družbah za upravljanje (Uradni list RS, št. 31/15, 81/15, 77/16, 77/18 in 161/21) in Zakon o upravljavcih alternativnih investicijskih skladov (Uradni list RS, št. 32/15, 77/18 in 161/21) za subjekte, ki so investicijski sklad ali njegov upravljavec.</w:t>
      </w:r>
      <w:r w:rsidR="009A3080"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14:paraId="681F8D4D" w14:textId="4E484F8C" w:rsidR="00226FF9" w:rsidRDefault="00B5379C" w:rsidP="009A3080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lastRenderedPageBreak/>
        <w:t>(3) Za odločanje in opravljanje nadzora Agencije za zavarovalni nadzor v posamičnih zadevah se smiselno uporabljajo</w:t>
      </w:r>
      <w:r w:rsidR="009A3080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9A3080" w:rsidRPr="00B5379C">
        <w:rPr>
          <w:rFonts w:ascii="Arial" w:eastAsia="Times New Roman" w:hAnsi="Arial" w:cs="Arial"/>
          <w:sz w:val="20"/>
          <w:szCs w:val="20"/>
          <w:lang w:eastAsia="x-none"/>
        </w:rPr>
        <w:t>določbe zakona, ki ureja delovanje Agencije za zavarovalni nadzor.</w:t>
      </w:r>
      <w:r w:rsidR="009A3080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14:paraId="6D77B5D8" w14:textId="77777777" w:rsidR="00B5379C" w:rsidRPr="00B5379C" w:rsidRDefault="00B5379C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2487FF9B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5. člen</w:t>
      </w:r>
    </w:p>
    <w:p w14:paraId="10659296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(nadzorni ukrepi)</w:t>
      </w:r>
    </w:p>
    <w:p w14:paraId="7B088D10" w14:textId="0E48A29C" w:rsidR="00B5379C" w:rsidRPr="00B5379C" w:rsidRDefault="00B5379C" w:rsidP="003628A9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(1) Če pristojna organa pri nadzoru ugotovita </w:t>
      </w:r>
      <w:r w:rsidR="00180A2A">
        <w:rPr>
          <w:rFonts w:ascii="Arial" w:eastAsia="Times New Roman" w:hAnsi="Arial" w:cs="Arial"/>
          <w:sz w:val="20"/>
          <w:szCs w:val="20"/>
          <w:lang w:eastAsia="x-none"/>
        </w:rPr>
        <w:t xml:space="preserve">kršitev </w:t>
      </w:r>
      <w:r w:rsidR="00D13034" w:rsidRPr="00D13034">
        <w:rPr>
          <w:rFonts w:ascii="Arial" w:eastAsia="Times New Roman" w:hAnsi="Arial" w:cs="Arial"/>
          <w:sz w:val="20"/>
          <w:szCs w:val="20"/>
          <w:lang w:eastAsia="x-none"/>
        </w:rPr>
        <w:t>Uredbe 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, lahko izrečeta naslednje nadzorne ukrepe:</w:t>
      </w:r>
    </w:p>
    <w:p w14:paraId="12189C65" w14:textId="287C610E" w:rsidR="00B5379C" w:rsidRPr="00B5379C" w:rsidRDefault="00B5379C" w:rsidP="00B5379C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240" w:lineRule="auto"/>
        <w:ind w:left="714" w:hanging="35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>odredita ukrepe, potrebne za odpravo ugotovljene</w:t>
      </w:r>
      <w:r w:rsidR="00AF4343">
        <w:rPr>
          <w:rFonts w:ascii="Arial" w:eastAsia="Times New Roman" w:hAnsi="Arial" w:cs="Arial"/>
          <w:sz w:val="20"/>
          <w:szCs w:val="20"/>
          <w:lang w:eastAsia="x-none"/>
        </w:rPr>
        <w:t xml:space="preserve"> kršitve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,</w:t>
      </w:r>
    </w:p>
    <w:p w14:paraId="553492A7" w14:textId="77777777" w:rsidR="00B5379C" w:rsidRPr="00B5379C" w:rsidRDefault="00B5379C" w:rsidP="00B5379C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240" w:lineRule="auto"/>
        <w:ind w:left="714" w:hanging="35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izrečeta globo v skladu s 6. členom te uredbe. </w:t>
      </w:r>
    </w:p>
    <w:p w14:paraId="5CEAE0D7" w14:textId="4607E4B8" w:rsidR="00B5379C" w:rsidRPr="00B5379C" w:rsidRDefault="00B5379C" w:rsidP="00B5379C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>(2) Za izrekanje nadzornih ukrepov Agencije za trg vrednostnih papirjev</w:t>
      </w:r>
      <w:r w:rsidR="004846D2">
        <w:rPr>
          <w:rFonts w:ascii="Arial" w:eastAsia="Times New Roman" w:hAnsi="Arial" w:cs="Arial"/>
          <w:sz w:val="20"/>
          <w:szCs w:val="20"/>
          <w:lang w:eastAsia="x-none"/>
        </w:rPr>
        <w:t xml:space="preserve"> v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posamičnih zadevah in za sodno varstvo se smiselno uporabljajo določbe </w:t>
      </w:r>
      <w:r w:rsidR="004846D2" w:rsidRPr="004846D2">
        <w:rPr>
          <w:rFonts w:ascii="Arial" w:eastAsia="Times New Roman" w:hAnsi="Arial" w:cs="Arial"/>
          <w:sz w:val="20"/>
          <w:szCs w:val="20"/>
          <w:lang w:eastAsia="x-none"/>
        </w:rPr>
        <w:t xml:space="preserve">naslednjih zakonov: Zakon o trgu finančnih instrumentov (Uradni list RS, št. 77/18, 17/19 – </w:t>
      </w:r>
      <w:proofErr w:type="spellStart"/>
      <w:r w:rsidR="004846D2" w:rsidRPr="004846D2">
        <w:rPr>
          <w:rFonts w:ascii="Arial" w:eastAsia="Times New Roman" w:hAnsi="Arial" w:cs="Arial"/>
          <w:sz w:val="20"/>
          <w:szCs w:val="20"/>
          <w:lang w:eastAsia="x-none"/>
        </w:rPr>
        <w:t>popr</w:t>
      </w:r>
      <w:proofErr w:type="spellEnd"/>
      <w:r w:rsidR="004846D2" w:rsidRPr="004846D2">
        <w:rPr>
          <w:rFonts w:ascii="Arial" w:eastAsia="Times New Roman" w:hAnsi="Arial" w:cs="Arial"/>
          <w:sz w:val="20"/>
          <w:szCs w:val="20"/>
          <w:lang w:eastAsia="x-none"/>
        </w:rPr>
        <w:t>., 66/19 in 123/21) za subjekte, ki niso investicijski sklad ali njegov upravljavec, Zakon o investicijskih skladih in družbah za upravljanje (Uradni list RS, št. 31/15, 81/15, 77/16, 77/18 in 161/21) in Zakon o upravljavcih alternativnih investicijskih skladov (Uradni list RS, št. 32/15, 77/18 in 161/21) za subjekte, ki so investicijski sklad ali njegov upravljavec.</w:t>
      </w:r>
      <w:r w:rsidRPr="00B5379C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Če Agencija za trg vrednostnih papirjev pri nadzoru ugotovi kršitev </w:t>
      </w:r>
      <w:r w:rsidR="005B1164" w:rsidRPr="005B1164">
        <w:rPr>
          <w:rFonts w:ascii="Arial" w:eastAsia="Times New Roman" w:hAnsi="Arial" w:cs="Arial"/>
          <w:sz w:val="20"/>
          <w:szCs w:val="20"/>
          <w:lang w:eastAsia="x-none"/>
        </w:rPr>
        <w:t>Uredbe (EU) 2019/2088</w:t>
      </w:r>
      <w:r w:rsidR="00A17F00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lahko izreče ukrepe iz prejšnjega odstavka.</w:t>
      </w:r>
    </w:p>
    <w:p w14:paraId="39C07F95" w14:textId="37DE3D3D" w:rsidR="00B5379C" w:rsidRPr="00B5379C" w:rsidRDefault="00B5379C" w:rsidP="00B5379C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(3) Za izrekanje nadzornih ukrepov Agencije za zavarovalni nadzor v posamičnih zadevah se smiselno uporabljajo določbe zakona, ki ureja delovanje Agencije za zavarovalni nadzor. Če Agencija za zavarovalni nadzor pri nadzoru ugotovi kršitev </w:t>
      </w:r>
      <w:r w:rsidR="005B1164" w:rsidRPr="005B1164">
        <w:rPr>
          <w:rFonts w:ascii="Arial" w:eastAsia="Times New Roman" w:hAnsi="Arial" w:cs="Arial"/>
          <w:sz w:val="20"/>
          <w:szCs w:val="20"/>
          <w:lang w:eastAsia="x-none"/>
        </w:rPr>
        <w:t>Uredbe 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, lahko izreče ukrepe iz prvega odstavka tega člena.</w:t>
      </w:r>
    </w:p>
    <w:p w14:paraId="28EB4B0D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</w:p>
    <w:p w14:paraId="65AAF5FB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6</w:t>
      </w:r>
      <w:r w:rsidRPr="00B5379C">
        <w:rPr>
          <w:rFonts w:ascii="Arial" w:eastAsia="Times New Roman" w:hAnsi="Arial" w:cs="Arial"/>
          <w:b/>
          <w:sz w:val="20"/>
          <w:szCs w:val="20"/>
          <w:lang w:val="x-none" w:eastAsia="x-none"/>
        </w:rPr>
        <w:t>. člen</w:t>
      </w:r>
    </w:p>
    <w:p w14:paraId="6AAB8A3A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val="x-none" w:eastAsia="x-none"/>
        </w:rPr>
        <w:t>(</w:t>
      </w: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prekrški in globe)</w:t>
      </w:r>
    </w:p>
    <w:p w14:paraId="51E2D06D" w14:textId="70052024" w:rsidR="00B5379C" w:rsidRPr="00B5379C" w:rsidRDefault="00B5379C" w:rsidP="00B5379C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>Z globo od 2</w:t>
      </w:r>
      <w:r w:rsidR="00D84287">
        <w:rPr>
          <w:rFonts w:ascii="Arial" w:eastAsia="Times New Roman" w:hAnsi="Arial" w:cs="Arial"/>
          <w:sz w:val="20"/>
          <w:szCs w:val="20"/>
          <w:lang w:eastAsia="x-none"/>
        </w:rPr>
        <w:t>00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do 250.000 eurov se za prekršek kaznuje pravna oseba, če:</w:t>
      </w:r>
    </w:p>
    <w:p w14:paraId="0562BB05" w14:textId="5D81E5D0" w:rsidR="00B5379C" w:rsidRPr="00B5379C" w:rsidRDefault="00B5379C" w:rsidP="00B5379C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left="357" w:hanging="35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ne objavi informacij v skladu s 3. členom Uredbe </w:t>
      </w:r>
      <w:r w:rsidR="00025A3F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,</w:t>
      </w:r>
    </w:p>
    <w:p w14:paraId="37AD64FE" w14:textId="7C87BC17" w:rsidR="00B5379C" w:rsidRPr="00B5379C" w:rsidRDefault="00B5379C" w:rsidP="00B5379C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left="357" w:hanging="35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ne objavi informacij oziroma razlogov za </w:t>
      </w:r>
      <w:proofErr w:type="spellStart"/>
      <w:r w:rsidRPr="00B5379C">
        <w:rPr>
          <w:rFonts w:ascii="Arial" w:eastAsia="Times New Roman" w:hAnsi="Arial" w:cs="Arial"/>
          <w:sz w:val="20"/>
          <w:szCs w:val="20"/>
          <w:lang w:eastAsia="x-none"/>
        </w:rPr>
        <w:t>neobjavo</w:t>
      </w:r>
      <w:proofErr w:type="spellEnd"/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, v skladu s prvim odstavkom 4. člena Uredbe </w:t>
      </w:r>
      <w:r w:rsidR="00025A3F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;</w:t>
      </w:r>
    </w:p>
    <w:p w14:paraId="12082444" w14:textId="3662BBA4" w:rsidR="00B5379C" w:rsidRPr="00B5379C" w:rsidRDefault="00B5379C" w:rsidP="00B5379C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left="357" w:hanging="35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objavljene informacije ne vsebujejo sestavin iz drugega odstavka 4. člena Uredbe </w:t>
      </w:r>
      <w:r w:rsidR="00025A3F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;</w:t>
      </w:r>
    </w:p>
    <w:p w14:paraId="5D63FCD3" w14:textId="33AB2B0D" w:rsidR="00B5379C" w:rsidRPr="00B5379C" w:rsidRDefault="00B5379C" w:rsidP="00B5379C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left="357" w:hanging="35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v svoje politike prejemkov ne vključi informacij v skladu s 5. členom Uredbe </w:t>
      </w:r>
      <w:r w:rsidR="00025A3F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;</w:t>
      </w:r>
    </w:p>
    <w:p w14:paraId="5FE7065D" w14:textId="4CF40FC0" w:rsidR="00B5379C" w:rsidRPr="00B5379C" w:rsidRDefault="00B5379C" w:rsidP="00B5379C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left="357" w:hanging="35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v predpogodbena razkritja ne vključi opisov v skladu s 6. členom Uredbe </w:t>
      </w:r>
      <w:r w:rsidR="00025A3F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;</w:t>
      </w:r>
    </w:p>
    <w:p w14:paraId="3CEC0436" w14:textId="195E3D76" w:rsidR="00B5379C" w:rsidRPr="00B5379C" w:rsidRDefault="00B5379C" w:rsidP="00B5379C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left="357" w:hanging="35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ponudi finančni produkt, ki ne vsebuje informacij iz 7.,8., 9., 10. in 11. člena Uredbe </w:t>
      </w:r>
      <w:r w:rsidR="00025A3F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;</w:t>
      </w:r>
    </w:p>
    <w:p w14:paraId="456A7112" w14:textId="4D2724C9" w:rsidR="00B5379C" w:rsidRPr="00B5379C" w:rsidRDefault="00B5379C" w:rsidP="00B5379C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left="357" w:hanging="35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ne posodablja informacij v skladu z 12. členom Uredbe </w:t>
      </w:r>
      <w:r w:rsidR="00025A3F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;</w:t>
      </w:r>
    </w:p>
    <w:p w14:paraId="1F809722" w14:textId="0E438AE8" w:rsidR="00B5379C" w:rsidRPr="00B5379C" w:rsidRDefault="00B5379C" w:rsidP="00B5379C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left="357" w:hanging="357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>so njena tržna sporočila v nasprotju z informacijami razkritimi na podlagi</w:t>
      </w:r>
      <w:r w:rsidR="0079676C">
        <w:rPr>
          <w:rFonts w:ascii="Arial" w:eastAsia="Times New Roman" w:hAnsi="Arial" w:cs="Arial"/>
          <w:sz w:val="20"/>
          <w:szCs w:val="20"/>
          <w:lang w:eastAsia="x-none"/>
        </w:rPr>
        <w:t xml:space="preserve"> 13. člena 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Uredbe </w:t>
      </w:r>
      <w:r w:rsidR="00025A3F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p w14:paraId="2332B3CB" w14:textId="503493C3" w:rsidR="00B5379C" w:rsidRPr="00B5379C" w:rsidRDefault="00B5379C" w:rsidP="00B5379C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                  (2) Z globo od </w:t>
      </w:r>
      <w:r w:rsidR="00D84287">
        <w:rPr>
          <w:rFonts w:ascii="Arial" w:eastAsia="Times New Roman" w:hAnsi="Arial" w:cs="Arial"/>
          <w:sz w:val="20"/>
          <w:szCs w:val="20"/>
          <w:lang w:eastAsia="x-none"/>
        </w:rPr>
        <w:t>4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00 do 500.000 eurov se </w:t>
      </w:r>
      <w:r w:rsidRPr="00B5379C">
        <w:rPr>
          <w:rFonts w:ascii="Arial" w:eastAsia="Times New Roman" w:hAnsi="Arial" w:cs="Times New Roman"/>
          <w:sz w:val="20"/>
          <w:szCs w:val="20"/>
          <w:lang w:val="x-none" w:eastAsia="x-none"/>
        </w:rPr>
        <w:t xml:space="preserve">za prekršek iz </w:t>
      </w:r>
      <w:r w:rsidRPr="00B5379C">
        <w:rPr>
          <w:rFonts w:ascii="Arial" w:eastAsia="Times New Roman" w:hAnsi="Arial" w:cs="Times New Roman"/>
          <w:sz w:val="20"/>
          <w:szCs w:val="20"/>
          <w:lang w:eastAsia="x-none"/>
        </w:rPr>
        <w:t>prejšnjega</w:t>
      </w:r>
      <w:r w:rsidRPr="00B5379C">
        <w:rPr>
          <w:rFonts w:ascii="Arial" w:eastAsia="Times New Roman" w:hAnsi="Arial" w:cs="Times New Roman"/>
          <w:sz w:val="20"/>
          <w:szCs w:val="20"/>
          <w:lang w:val="x-none" w:eastAsia="x-none"/>
        </w:rPr>
        <w:t xml:space="preserve"> odstavka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kaznuje pravna oseba, ki se po zakonu, ki ureja gospodarske družbe, šteje za srednjo ali veliko gospodarsko družbo</w:t>
      </w:r>
      <w:bookmarkStart w:id="2" w:name="_Hlk92434176"/>
      <w:r w:rsidRPr="00B5379C">
        <w:rPr>
          <w:rFonts w:ascii="Arial" w:eastAsia="Times New Roman" w:hAnsi="Arial" w:cs="Arial"/>
          <w:sz w:val="20"/>
          <w:szCs w:val="20"/>
          <w:lang w:eastAsia="x-none"/>
        </w:rPr>
        <w:t>.</w:t>
      </w:r>
      <w:bookmarkEnd w:id="2"/>
    </w:p>
    <w:p w14:paraId="6B282E50" w14:textId="0C15837F" w:rsidR="00B5379C" w:rsidRPr="00B5379C" w:rsidRDefault="00B5379C" w:rsidP="00B5379C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(3) Z globo od 200 do 150.000 eurov se </w:t>
      </w:r>
      <w:r w:rsidRPr="00B5379C">
        <w:rPr>
          <w:rFonts w:ascii="Arial" w:eastAsia="Times New Roman" w:hAnsi="Arial" w:cs="Times New Roman"/>
          <w:sz w:val="20"/>
          <w:szCs w:val="20"/>
          <w:lang w:val="x-none" w:eastAsia="x-none"/>
        </w:rPr>
        <w:t>za prekršek iz prvega odstavka</w:t>
      </w:r>
      <w:r w:rsidRPr="00B5379C">
        <w:rPr>
          <w:rFonts w:ascii="Arial" w:eastAsia="Times New Roman" w:hAnsi="Arial" w:cs="Times New Roman"/>
          <w:sz w:val="20"/>
          <w:szCs w:val="20"/>
          <w:lang w:eastAsia="x-none"/>
        </w:rPr>
        <w:t xml:space="preserve"> tega člena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kaznuje samostojni podjetnik posameznik ali posameznik, ki samostojno opravlja dejavnost. </w:t>
      </w:r>
    </w:p>
    <w:p w14:paraId="7F859C68" w14:textId="306268F1" w:rsidR="00B5379C" w:rsidRPr="00B5379C" w:rsidRDefault="00B5379C" w:rsidP="00B5379C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(4) Z globo od </w:t>
      </w:r>
      <w:r w:rsidR="00D84287">
        <w:rPr>
          <w:rFonts w:ascii="Arial" w:eastAsia="Times New Roman" w:hAnsi="Arial" w:cs="Arial"/>
          <w:sz w:val="20"/>
          <w:szCs w:val="20"/>
          <w:lang w:eastAsia="x-none"/>
        </w:rPr>
        <w:t>40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 do 10.000 eurov se </w:t>
      </w:r>
      <w:r w:rsidRPr="00B5379C">
        <w:rPr>
          <w:rFonts w:ascii="Arial" w:eastAsia="Times New Roman" w:hAnsi="Arial" w:cs="Times New Roman"/>
          <w:sz w:val="20"/>
          <w:szCs w:val="20"/>
          <w:lang w:val="x-none" w:eastAsia="x-none"/>
        </w:rPr>
        <w:t>za prekršek iz prvega odstavka</w:t>
      </w:r>
      <w:r w:rsidRPr="00B5379C">
        <w:rPr>
          <w:rFonts w:ascii="Arial" w:eastAsia="Times New Roman" w:hAnsi="Arial" w:cs="Times New Roman"/>
          <w:sz w:val="20"/>
          <w:szCs w:val="20"/>
          <w:lang w:eastAsia="x-none"/>
        </w:rPr>
        <w:t xml:space="preserve"> tega člena</w:t>
      </w:r>
      <w:r w:rsidRPr="00B5379C">
        <w:rPr>
          <w:rFonts w:ascii="Arial" w:eastAsia="Times New Roman" w:hAnsi="Arial" w:cs="Times New Roman"/>
          <w:sz w:val="20"/>
          <w:szCs w:val="20"/>
          <w:lang w:val="x-none" w:eastAsia="x-none"/>
        </w:rPr>
        <w:t xml:space="preserve"> 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kaznuje odgovorna oseba pravne osebe ali odgovorna oseba samostojnega podjetnika posameznika oziroma posameznika, ki samostojno opravlja dejavnost.</w:t>
      </w:r>
    </w:p>
    <w:p w14:paraId="43CE50F8" w14:textId="1FDA7CBD" w:rsid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bookmarkStart w:id="3" w:name="_Hlk92271201"/>
    </w:p>
    <w:p w14:paraId="1BF02C37" w14:textId="77777777" w:rsidR="000C0A56" w:rsidRPr="00B5379C" w:rsidRDefault="000C0A56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5D05186D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7. člen</w:t>
      </w:r>
    </w:p>
    <w:p w14:paraId="278701BD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(tarifa)</w:t>
      </w:r>
    </w:p>
    <w:p w14:paraId="015A77F8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06B92370" w14:textId="73AA7468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t xml:space="preserve">Pristojna organa v tarifi, ki jo izdata v skladu z zakonoma, ki urejata njuno delovanje, določita višino takse za odločanje o posamičnih zadevah na podlagi Uredbe </w:t>
      </w:r>
      <w:r w:rsidR="00025A3F" w:rsidRPr="00B5379C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="00025A3F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in te uredbe</w:t>
      </w:r>
      <w:r w:rsidR="000C3571">
        <w:rPr>
          <w:rFonts w:ascii="Arial" w:eastAsia="Times New Roman" w:hAnsi="Arial" w:cs="Arial"/>
          <w:sz w:val="20"/>
          <w:szCs w:val="20"/>
          <w:lang w:eastAsia="x-none"/>
        </w:rPr>
        <w:t xml:space="preserve"> ter višino nadomestil za nadzor</w:t>
      </w:r>
      <w:r w:rsidRPr="00B5379C"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bookmarkEnd w:id="3"/>
    <w:p w14:paraId="4E90B0C6" w14:textId="05EDB930" w:rsidR="000C0A56" w:rsidRDefault="000C0A56" w:rsidP="003628A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0BE60A42" w14:textId="77777777" w:rsidR="00611531" w:rsidRPr="00B5379C" w:rsidRDefault="00611531" w:rsidP="003628A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0B457001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before="240"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eastAsia="x-none"/>
        </w:rPr>
        <w:lastRenderedPageBreak/>
        <w:t>KONČNA DOLOČBA</w:t>
      </w:r>
    </w:p>
    <w:p w14:paraId="01E696A8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x-none"/>
        </w:rPr>
        <w:t>8</w:t>
      </w:r>
      <w:r w:rsidRPr="00B5379C">
        <w:rPr>
          <w:rFonts w:ascii="Arial" w:eastAsia="Times New Roman" w:hAnsi="Arial" w:cs="Arial"/>
          <w:b/>
          <w:sz w:val="20"/>
          <w:szCs w:val="20"/>
          <w:lang w:val="x-none" w:eastAsia="x-none"/>
        </w:rPr>
        <w:t>. člen</w:t>
      </w:r>
    </w:p>
    <w:p w14:paraId="062E58AB" w14:textId="77777777" w:rsidR="00B5379C" w:rsidRPr="00B5379C" w:rsidRDefault="00B5379C" w:rsidP="00B5379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B5379C">
        <w:rPr>
          <w:rFonts w:ascii="Arial" w:eastAsia="Times New Roman" w:hAnsi="Arial" w:cs="Arial"/>
          <w:b/>
          <w:sz w:val="20"/>
          <w:szCs w:val="20"/>
          <w:lang w:val="x-none" w:eastAsia="x-none"/>
        </w:rPr>
        <w:t>(začetek veljavnosti)</w:t>
      </w:r>
    </w:p>
    <w:p w14:paraId="3B0C3CFD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5379C">
        <w:rPr>
          <w:rFonts w:ascii="Arial" w:eastAsia="Times New Roman" w:hAnsi="Arial" w:cs="Arial"/>
          <w:sz w:val="20"/>
          <w:szCs w:val="20"/>
          <w:lang w:val="x-none" w:eastAsia="x-none"/>
        </w:rPr>
        <w:t>Ta uredba začne veljati petnajsti dan po objavi v Uradnem listu Republike Slovenije.</w:t>
      </w:r>
    </w:p>
    <w:p w14:paraId="5F8C8E77" w14:textId="77777777" w:rsidR="00B5379C" w:rsidRPr="00B5379C" w:rsidRDefault="00B5379C" w:rsidP="00B5379C">
      <w:pPr>
        <w:spacing w:before="480" w:after="0" w:line="240" w:lineRule="auto"/>
        <w:jc w:val="both"/>
        <w:rPr>
          <w:rFonts w:ascii="Arial" w:eastAsia="Times New Roman" w:hAnsi="Arial" w:cs="Arial"/>
          <w:snapToGrid w:val="0"/>
          <w:color w:val="000000"/>
          <w:sz w:val="20"/>
          <w:szCs w:val="20"/>
          <w:lang w:eastAsia="sl-SI"/>
        </w:rPr>
      </w:pPr>
      <w:r w:rsidRPr="00B5379C">
        <w:rPr>
          <w:rFonts w:ascii="Arial" w:eastAsia="Times New Roman" w:hAnsi="Arial" w:cs="Arial"/>
          <w:snapToGrid w:val="0"/>
          <w:color w:val="000000"/>
          <w:sz w:val="20"/>
          <w:szCs w:val="20"/>
          <w:lang w:eastAsia="sl-SI"/>
        </w:rPr>
        <w:t>Št. ……………..</w:t>
      </w:r>
    </w:p>
    <w:p w14:paraId="2E42509C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napToGrid w:val="0"/>
          <w:color w:val="000000"/>
          <w:sz w:val="20"/>
          <w:szCs w:val="20"/>
          <w:lang w:eastAsia="sl-SI"/>
        </w:rPr>
      </w:pPr>
      <w:r w:rsidRPr="00B5379C">
        <w:rPr>
          <w:rFonts w:ascii="Arial" w:eastAsia="Times New Roman" w:hAnsi="Arial" w:cs="Arial"/>
          <w:snapToGrid w:val="0"/>
          <w:color w:val="000000"/>
          <w:sz w:val="20"/>
          <w:szCs w:val="20"/>
          <w:lang w:eastAsia="sl-SI"/>
        </w:rPr>
        <w:t>Ljubljana, ………..</w:t>
      </w:r>
    </w:p>
    <w:p w14:paraId="411B414C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B5379C">
        <w:rPr>
          <w:rFonts w:ascii="Arial" w:eastAsia="Times New Roman" w:hAnsi="Arial" w:cs="Arial"/>
          <w:sz w:val="20"/>
          <w:szCs w:val="20"/>
          <w:lang w:eastAsia="sl-SI"/>
        </w:rPr>
        <w:t>EVA 2021-1611-0104</w:t>
      </w:r>
    </w:p>
    <w:p w14:paraId="4DA4C52B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before="480" w:after="0" w:line="240" w:lineRule="auto"/>
        <w:ind w:left="567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B5379C">
        <w:rPr>
          <w:rFonts w:ascii="Arial" w:eastAsia="Times New Roman" w:hAnsi="Arial" w:cs="Arial"/>
          <w:b/>
          <w:sz w:val="20"/>
          <w:szCs w:val="20"/>
          <w:lang w:eastAsia="sl-SI"/>
        </w:rPr>
        <w:t>Vlada Republike Slovenije</w:t>
      </w:r>
    </w:p>
    <w:p w14:paraId="452CE42E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B5379C">
        <w:rPr>
          <w:rFonts w:ascii="Arial" w:eastAsia="Times New Roman" w:hAnsi="Arial" w:cs="Arial"/>
          <w:bCs/>
          <w:sz w:val="20"/>
          <w:szCs w:val="20"/>
          <w:lang w:eastAsia="sl-SI"/>
        </w:rPr>
        <w:t>Janez Janša</w:t>
      </w:r>
    </w:p>
    <w:p w14:paraId="663A7F37" w14:textId="77777777" w:rsidR="00B5379C" w:rsidRPr="00B5379C" w:rsidRDefault="00B5379C" w:rsidP="00B5379C">
      <w:pPr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B5379C">
        <w:rPr>
          <w:rFonts w:ascii="Arial" w:eastAsia="Times New Roman" w:hAnsi="Arial" w:cs="Arial"/>
          <w:sz w:val="20"/>
          <w:szCs w:val="20"/>
          <w:lang w:eastAsia="sl-SI"/>
        </w:rPr>
        <w:t>predsednik</w:t>
      </w:r>
    </w:p>
    <w:p w14:paraId="13AB784E" w14:textId="77777777" w:rsidR="00B87462" w:rsidRPr="00B87462" w:rsidRDefault="00B87462" w:rsidP="00B87462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3432FA77" w14:textId="77777777" w:rsidR="00B87462" w:rsidRPr="00B87462" w:rsidRDefault="00B87462" w:rsidP="00B87462">
      <w:pPr>
        <w:spacing w:after="0" w:line="240" w:lineRule="auto"/>
        <w:ind w:left="5670" w:firstLine="1021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E4E373F" w14:textId="77777777" w:rsidR="00611531" w:rsidRPr="00611531" w:rsidRDefault="00B87462" w:rsidP="00611531">
      <w:pPr>
        <w:spacing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B87462">
        <w:rPr>
          <w:rFonts w:ascii="Arial" w:eastAsia="Times New Roman" w:hAnsi="Arial" w:cs="Arial"/>
          <w:sz w:val="20"/>
          <w:szCs w:val="20"/>
        </w:rPr>
        <w:br w:type="page"/>
      </w:r>
      <w:r w:rsidR="00611531" w:rsidRPr="00611531">
        <w:rPr>
          <w:rFonts w:ascii="Arial" w:eastAsia="Times New Roman" w:hAnsi="Arial" w:cs="Arial"/>
          <w:sz w:val="20"/>
          <w:szCs w:val="20"/>
        </w:rPr>
        <w:lastRenderedPageBreak/>
        <w:t>OBRAZLOŽITEV</w:t>
      </w:r>
    </w:p>
    <w:p w14:paraId="09AA3D56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62FFD0BA" w14:textId="77777777" w:rsidR="00611531" w:rsidRPr="00611531" w:rsidRDefault="00611531" w:rsidP="00611531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val="x-none"/>
        </w:rPr>
      </w:pPr>
      <w:r w:rsidRPr="00611531">
        <w:rPr>
          <w:rFonts w:ascii="Arial" w:eastAsia="Times New Roman" w:hAnsi="Arial" w:cs="Arial"/>
          <w:sz w:val="20"/>
          <w:szCs w:val="20"/>
        </w:rPr>
        <w:t>UVOD</w:t>
      </w:r>
    </w:p>
    <w:p w14:paraId="0AF74A2A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4BE4D186" w14:textId="77777777" w:rsidR="00611531" w:rsidRPr="00611531" w:rsidRDefault="00611531" w:rsidP="00611531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611531">
        <w:rPr>
          <w:rFonts w:ascii="Arial" w:hAnsi="Arial" w:cs="Arial"/>
          <w:sz w:val="20"/>
          <w:szCs w:val="20"/>
        </w:rPr>
        <w:t>1. Pravna podlaga</w:t>
      </w:r>
    </w:p>
    <w:p w14:paraId="2446D839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611531">
        <w:rPr>
          <w:rFonts w:ascii="Arial" w:eastAsia="Times New Roman" w:hAnsi="Arial" w:cs="Arial"/>
          <w:color w:val="000000"/>
          <w:sz w:val="20"/>
          <w:szCs w:val="20"/>
        </w:rPr>
        <w:t>Sedmi odstavek 21. člena Zakona o Vladi Republike Slovenije (Uradni list RS, št. 24/05 – uradno prečiščeno besedilo, 109/08, 38/10 – ZUKN, 8/12, 21/13, 47/13 – ZDU-1G, 65/14 in 55/17), ki določa, da za izvrševanje predpisov Evropske unije vlada izdaja uredbe in druge akte iz svoje pristojnosti.</w:t>
      </w:r>
    </w:p>
    <w:p w14:paraId="4CE1D4AE" w14:textId="77777777" w:rsidR="00611531" w:rsidRPr="00611531" w:rsidRDefault="00611531" w:rsidP="0061153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EA8E61D" w14:textId="77777777" w:rsidR="00611531" w:rsidRPr="00611531" w:rsidRDefault="00611531" w:rsidP="00611531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611531">
        <w:rPr>
          <w:rFonts w:ascii="Arial" w:hAnsi="Arial" w:cs="Arial"/>
          <w:sz w:val="20"/>
          <w:szCs w:val="20"/>
        </w:rPr>
        <w:t>2. Rok za izdajo uredbe, določen z zakonom</w:t>
      </w:r>
    </w:p>
    <w:p w14:paraId="0090A448" w14:textId="77777777" w:rsidR="00611531" w:rsidRPr="00611531" w:rsidRDefault="00611531" w:rsidP="00611531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611531">
        <w:rPr>
          <w:rFonts w:ascii="Arial" w:hAnsi="Arial" w:cs="Arial"/>
          <w:sz w:val="20"/>
          <w:szCs w:val="20"/>
        </w:rPr>
        <w:t>/</w:t>
      </w:r>
    </w:p>
    <w:p w14:paraId="47FB050B" w14:textId="77777777" w:rsidR="00611531" w:rsidRPr="00611531" w:rsidRDefault="00611531" w:rsidP="0061153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3FD5B41" w14:textId="77777777" w:rsidR="00611531" w:rsidRPr="00611531" w:rsidRDefault="00611531" w:rsidP="0061153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11531">
        <w:rPr>
          <w:rFonts w:ascii="Arial" w:hAnsi="Arial" w:cs="Arial"/>
          <w:sz w:val="20"/>
          <w:szCs w:val="20"/>
        </w:rPr>
        <w:t>3. Splošna obrazložitev predloga uredbe</w:t>
      </w:r>
    </w:p>
    <w:p w14:paraId="29A28CE7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5C044DE9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11531">
        <w:rPr>
          <w:rFonts w:ascii="Arial" w:eastAsia="Times New Roman" w:hAnsi="Arial" w:cs="Arial"/>
          <w:sz w:val="20"/>
          <w:szCs w:val="20"/>
        </w:rPr>
        <w:t xml:space="preserve">Uredba Evropskega parlamenta in Sveta z dne 27. novembra 2019 o razkritjih, povezanih s </w:t>
      </w:r>
      <w:proofErr w:type="spellStart"/>
      <w:r w:rsidRPr="00611531">
        <w:rPr>
          <w:rFonts w:ascii="Arial" w:eastAsia="Times New Roman" w:hAnsi="Arial" w:cs="Arial"/>
          <w:sz w:val="20"/>
          <w:szCs w:val="20"/>
        </w:rPr>
        <w:t>trajnostnostjo</w:t>
      </w:r>
      <w:proofErr w:type="spellEnd"/>
      <w:r w:rsidRPr="00611531">
        <w:rPr>
          <w:rFonts w:ascii="Arial" w:eastAsia="Times New Roman" w:hAnsi="Arial" w:cs="Arial"/>
          <w:sz w:val="20"/>
          <w:szCs w:val="20"/>
        </w:rPr>
        <w:t xml:space="preserve">, v sektorju finančnih storitev (UL L št 317 z dne 9. 12. 2019, str. 1),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>zadnjič spremenjena z Uredbo (EU) 2020/852 Evropskega parlamenta in Sveta z dne 18. junija 2020 o vzpostavitvi okvira za spodbujanje trajnostnih naložb ter spremembi Uredbe (EU) 2019/2088</w:t>
      </w:r>
      <w:r w:rsidRPr="00611531">
        <w:rPr>
          <w:rFonts w:ascii="Arial" w:eastAsia="Times New Roman" w:hAnsi="Arial" w:cs="Arial"/>
          <w:sz w:val="20"/>
          <w:szCs w:val="20"/>
        </w:rPr>
        <w:t xml:space="preserve"> (v nadaljnjem besedilu: Uredba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611531">
        <w:rPr>
          <w:rFonts w:ascii="Arial" w:eastAsia="Times New Roman" w:hAnsi="Arial" w:cs="Arial"/>
          <w:sz w:val="20"/>
          <w:szCs w:val="20"/>
        </w:rPr>
        <w:t xml:space="preserve">) ureja področja razkritij povezanih s trajnostjo v sektorju finančnih storitev, pri čemer od udeležencev na trgu zahteva, da strankam in vlagateljem zagotovijo informacije o vključevanju </w:t>
      </w:r>
      <w:proofErr w:type="spellStart"/>
      <w:r w:rsidRPr="00611531">
        <w:rPr>
          <w:rFonts w:ascii="Arial" w:eastAsia="Times New Roman" w:hAnsi="Arial" w:cs="Arial"/>
          <w:sz w:val="20"/>
          <w:szCs w:val="20"/>
        </w:rPr>
        <w:t>okoljskiih</w:t>
      </w:r>
      <w:proofErr w:type="spellEnd"/>
      <w:r w:rsidRPr="00611531">
        <w:rPr>
          <w:rFonts w:ascii="Arial" w:eastAsia="Times New Roman" w:hAnsi="Arial" w:cs="Arial"/>
          <w:sz w:val="20"/>
          <w:szCs w:val="20"/>
        </w:rPr>
        <w:t>, socialnih in upravljavskih (</w:t>
      </w:r>
      <w:proofErr w:type="spellStart"/>
      <w:r w:rsidRPr="00611531">
        <w:rPr>
          <w:rFonts w:ascii="Arial" w:eastAsia="Times New Roman" w:hAnsi="Arial" w:cs="Arial"/>
          <w:i/>
          <w:iCs/>
          <w:sz w:val="20"/>
          <w:szCs w:val="20"/>
        </w:rPr>
        <w:t>environmental</w:t>
      </w:r>
      <w:proofErr w:type="spellEnd"/>
      <w:r w:rsidRPr="00611531">
        <w:rPr>
          <w:rFonts w:ascii="Arial" w:eastAsia="Times New Roman" w:hAnsi="Arial" w:cs="Arial"/>
          <w:i/>
          <w:iCs/>
          <w:sz w:val="20"/>
          <w:szCs w:val="20"/>
        </w:rPr>
        <w:t xml:space="preserve">, social </w:t>
      </w:r>
      <w:proofErr w:type="spellStart"/>
      <w:r w:rsidRPr="00611531">
        <w:rPr>
          <w:rFonts w:ascii="Arial" w:eastAsia="Times New Roman" w:hAnsi="Arial" w:cs="Arial"/>
          <w:i/>
          <w:iCs/>
          <w:sz w:val="20"/>
          <w:szCs w:val="20"/>
        </w:rPr>
        <w:t>and</w:t>
      </w:r>
      <w:proofErr w:type="spellEnd"/>
      <w:r w:rsidRPr="00611531">
        <w:rPr>
          <w:rFonts w:ascii="Arial" w:eastAsia="Times New Roman" w:hAnsi="Arial" w:cs="Arial"/>
          <w:i/>
          <w:iCs/>
          <w:sz w:val="20"/>
          <w:szCs w:val="20"/>
        </w:rPr>
        <w:t xml:space="preserve"> </w:t>
      </w:r>
      <w:proofErr w:type="spellStart"/>
      <w:r w:rsidRPr="00611531">
        <w:rPr>
          <w:rFonts w:ascii="Arial" w:eastAsia="Times New Roman" w:hAnsi="Arial" w:cs="Arial"/>
          <w:i/>
          <w:iCs/>
          <w:sz w:val="20"/>
          <w:szCs w:val="20"/>
        </w:rPr>
        <w:t>governance</w:t>
      </w:r>
      <w:proofErr w:type="spellEnd"/>
      <w:r w:rsidRPr="00611531">
        <w:rPr>
          <w:rFonts w:ascii="Arial" w:eastAsia="Times New Roman" w:hAnsi="Arial" w:cs="Arial"/>
          <w:sz w:val="20"/>
          <w:szCs w:val="20"/>
        </w:rPr>
        <w:t xml:space="preserve">, v nadaljnjem besedilu: ESG) vidikov v investicijske in posvetovalne procese. Uredba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611531">
        <w:rPr>
          <w:rFonts w:ascii="Arial" w:eastAsia="Times New Roman" w:hAnsi="Arial" w:cs="Arial"/>
          <w:sz w:val="20"/>
          <w:szCs w:val="20"/>
        </w:rPr>
        <w:t xml:space="preserve"> se uporablja za družbe za upravljanje, investicijska podjetja in banke, ki zagotavljajo storitve upravljanja portfelja in investicijskega svetovanja, zavarovalnice in posrednike. Uredba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611531">
        <w:rPr>
          <w:rFonts w:ascii="Arial" w:eastAsia="Times New Roman" w:hAnsi="Arial" w:cs="Arial"/>
          <w:sz w:val="20"/>
          <w:szCs w:val="20"/>
        </w:rPr>
        <w:t xml:space="preserve"> opredeljuje nove standarde za ravnanje s </w:t>
      </w:r>
      <w:proofErr w:type="spellStart"/>
      <w:r w:rsidRPr="00611531">
        <w:rPr>
          <w:rFonts w:ascii="Arial" w:eastAsia="Times New Roman" w:hAnsi="Arial" w:cs="Arial"/>
          <w:sz w:val="20"/>
          <w:szCs w:val="20"/>
        </w:rPr>
        <w:t>trajnostnostnimi</w:t>
      </w:r>
      <w:proofErr w:type="spellEnd"/>
      <w:r w:rsidRPr="00611531">
        <w:rPr>
          <w:rFonts w:ascii="Arial" w:eastAsia="Times New Roman" w:hAnsi="Arial" w:cs="Arial"/>
          <w:sz w:val="20"/>
          <w:szCs w:val="20"/>
        </w:rPr>
        <w:t xml:space="preserve"> tveganji, negativnimi vplivi na </w:t>
      </w:r>
      <w:proofErr w:type="spellStart"/>
      <w:r w:rsidRPr="00611531">
        <w:rPr>
          <w:rFonts w:ascii="Arial" w:eastAsia="Times New Roman" w:hAnsi="Arial" w:cs="Arial"/>
          <w:sz w:val="20"/>
          <w:szCs w:val="20"/>
        </w:rPr>
        <w:t>trajnostnost</w:t>
      </w:r>
      <w:proofErr w:type="spellEnd"/>
      <w:r w:rsidRPr="00611531">
        <w:rPr>
          <w:rFonts w:ascii="Arial" w:eastAsia="Times New Roman" w:hAnsi="Arial" w:cs="Arial"/>
          <w:sz w:val="20"/>
          <w:szCs w:val="20"/>
        </w:rPr>
        <w:t xml:space="preserve">, oglaševanjem socialnih in ekoloških vidikov ter </w:t>
      </w:r>
      <w:proofErr w:type="spellStart"/>
      <w:r w:rsidRPr="00611531">
        <w:rPr>
          <w:rFonts w:ascii="Arial" w:eastAsia="Times New Roman" w:hAnsi="Arial" w:cs="Arial"/>
          <w:sz w:val="20"/>
          <w:szCs w:val="20"/>
        </w:rPr>
        <w:t>trajnostnostnih</w:t>
      </w:r>
      <w:proofErr w:type="spellEnd"/>
      <w:r w:rsidRPr="00611531">
        <w:rPr>
          <w:rFonts w:ascii="Arial" w:eastAsia="Times New Roman" w:hAnsi="Arial" w:cs="Arial"/>
          <w:sz w:val="20"/>
          <w:szCs w:val="20"/>
        </w:rPr>
        <w:t xml:space="preserve"> naložb. Pojasnjuje ravni in značilnosti razkritja za udeležence na finančnem trgu in finančne svetovalce, ki so podrobneje opredeljene v poročilih o osnutkih regulativnih tehničnih standardov</w:t>
      </w:r>
      <w:r w:rsidRPr="00611531">
        <w:rPr>
          <w:rFonts w:ascii="Arial" w:eastAsia="Times New Roman" w:hAnsi="Arial" w:cs="Arial"/>
          <w:sz w:val="20"/>
          <w:szCs w:val="20"/>
          <w:vertAlign w:val="superscript"/>
        </w:rPr>
        <w:footnoteReference w:id="1"/>
      </w:r>
      <w:r w:rsidRPr="00611531">
        <w:rPr>
          <w:rFonts w:ascii="Arial" w:eastAsia="Times New Roman" w:hAnsi="Arial" w:cs="Arial"/>
          <w:sz w:val="20"/>
          <w:szCs w:val="20"/>
        </w:rPr>
        <w:t>.</w:t>
      </w:r>
    </w:p>
    <w:p w14:paraId="2C2DD53D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55A46B8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11531">
        <w:rPr>
          <w:rFonts w:ascii="Arial" w:eastAsia="Times New Roman" w:hAnsi="Arial" w:cs="Arial"/>
          <w:sz w:val="20"/>
          <w:szCs w:val="20"/>
        </w:rPr>
        <w:t xml:space="preserve">Glavni cilj Uredbe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611531">
        <w:rPr>
          <w:rFonts w:ascii="Arial" w:eastAsia="Times New Roman" w:hAnsi="Arial" w:cs="Arial"/>
          <w:sz w:val="20"/>
          <w:szCs w:val="20"/>
        </w:rPr>
        <w:t xml:space="preserve"> je okrepiti zaščito končnih vlagateljev in izboljšati </w:t>
      </w:r>
      <w:proofErr w:type="spellStart"/>
      <w:r w:rsidRPr="00611531">
        <w:rPr>
          <w:rFonts w:ascii="Arial" w:eastAsia="Times New Roman" w:hAnsi="Arial" w:cs="Arial"/>
          <w:sz w:val="20"/>
          <w:szCs w:val="20"/>
        </w:rPr>
        <w:t>predpogodbena</w:t>
      </w:r>
      <w:proofErr w:type="spellEnd"/>
      <w:r w:rsidRPr="00611531">
        <w:rPr>
          <w:rFonts w:ascii="Arial" w:eastAsia="Times New Roman" w:hAnsi="Arial" w:cs="Arial"/>
          <w:sz w:val="20"/>
          <w:szCs w:val="20"/>
        </w:rPr>
        <w:t xml:space="preserve"> in tekoča razkritja udeležencev na finančnem trgu z namenom zmanjšanja nesimetričnosti informacij o tveganjih glede </w:t>
      </w:r>
      <w:proofErr w:type="spellStart"/>
      <w:r w:rsidRPr="00611531">
        <w:rPr>
          <w:rFonts w:ascii="Arial" w:eastAsia="Times New Roman" w:hAnsi="Arial" w:cs="Arial"/>
          <w:sz w:val="20"/>
          <w:szCs w:val="20"/>
        </w:rPr>
        <w:t>trajnostnosti</w:t>
      </w:r>
      <w:proofErr w:type="spellEnd"/>
      <w:r w:rsidRPr="00611531">
        <w:rPr>
          <w:rFonts w:ascii="Arial" w:eastAsia="Times New Roman" w:hAnsi="Arial" w:cs="Arial"/>
          <w:sz w:val="20"/>
          <w:szCs w:val="20"/>
        </w:rPr>
        <w:t>, vezanih na ESG dogodek ali okoliščino, ki bi v primeru, da do njega oziroma nje pride, lahko povzročil oziroma povzročila znaten negativni vpliv na vrednost naložbe, kot je navedeno v sektorski zakonodaji.</w:t>
      </w:r>
    </w:p>
    <w:p w14:paraId="2357FE93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01CE1F74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11531">
        <w:rPr>
          <w:rFonts w:ascii="Arial" w:eastAsia="Times New Roman" w:hAnsi="Arial" w:cs="Arial"/>
          <w:sz w:val="20"/>
          <w:szCs w:val="20"/>
        </w:rPr>
        <w:t>Z Uredbo o izvajanju Uredbe (EU) 2019/2088 (v nadaljnjem besedilu: predlog uredbe)  se bo zagotovilo nemoteno in ustrezno izvajanje Uredbe (EU) 2019/2088. S predlogom uredbe se bo tako določilo Agencijo za trg vrednostnih papirjev (v nadaljnjem besedilu: ATVP) in Agencijo za zavarovalni nadzor (v nadaljnjem besedilu: AZN) kot pristojna organa, uredilo način opravljanja nadzora, določilo nadzorne ukrepe, uredilo postopek izrekanja nadzornih ukrepov ter določilo prekrške, ki jih pri izvajanju določb Uredbe (EU) 2019/2088 lahko izrekata pristojna organa.</w:t>
      </w:r>
    </w:p>
    <w:p w14:paraId="5B9954A5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24511DEE" w14:textId="77777777" w:rsidR="00611531" w:rsidRPr="00611531" w:rsidRDefault="00611531" w:rsidP="00611531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611531">
        <w:rPr>
          <w:rFonts w:ascii="Arial" w:eastAsia="Times New Roman" w:hAnsi="Arial" w:cs="Arial"/>
          <w:sz w:val="20"/>
          <w:szCs w:val="20"/>
        </w:rPr>
        <w:t>4. Predstavitev presoje posledic za posamezna področja, če te niso mogle biti celovito predstavljene v predlogu uredbe</w:t>
      </w:r>
    </w:p>
    <w:p w14:paraId="56F5F1BA" w14:textId="77777777" w:rsidR="00611531" w:rsidRPr="00611531" w:rsidRDefault="00611531" w:rsidP="00611531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611531">
        <w:rPr>
          <w:rFonts w:ascii="Arial" w:eastAsia="Times New Roman" w:hAnsi="Arial" w:cs="Arial"/>
          <w:sz w:val="20"/>
          <w:szCs w:val="20"/>
        </w:rPr>
        <w:t>/</w:t>
      </w:r>
    </w:p>
    <w:p w14:paraId="3447443D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2D119F91" w14:textId="77777777" w:rsidR="00611531" w:rsidRPr="00611531" w:rsidRDefault="00611531" w:rsidP="00611531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val="x-none"/>
        </w:rPr>
      </w:pPr>
      <w:r w:rsidRPr="00611531">
        <w:rPr>
          <w:rFonts w:ascii="Arial" w:eastAsia="Times New Roman" w:hAnsi="Arial" w:cs="Arial"/>
          <w:sz w:val="20"/>
          <w:szCs w:val="20"/>
        </w:rPr>
        <w:t>VSEBINSKA OBRAZLOŽITEV PREDLAGANIH REŠITEV</w:t>
      </w:r>
    </w:p>
    <w:p w14:paraId="18235B7D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1F798DC6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611531">
        <w:rPr>
          <w:rFonts w:ascii="Arial" w:eastAsia="Times New Roman" w:hAnsi="Arial" w:cs="Arial"/>
          <w:b/>
          <w:bCs/>
          <w:sz w:val="20"/>
          <w:szCs w:val="20"/>
        </w:rPr>
        <w:t>K 1. členu (vsebina uredbe)</w:t>
      </w:r>
    </w:p>
    <w:p w14:paraId="1540A3B9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bookmarkStart w:id="4" w:name="_Hlk66347607"/>
      <w:bookmarkStart w:id="5" w:name="_Hlk66347132"/>
      <w:r w:rsidRPr="00611531">
        <w:rPr>
          <w:rFonts w:ascii="Arial" w:eastAsia="Times New Roman" w:hAnsi="Arial" w:cs="Arial"/>
          <w:sz w:val="20"/>
          <w:szCs w:val="20"/>
        </w:rPr>
        <w:t xml:space="preserve">Z Uredbo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 xml:space="preserve">(EU) 2019/2088 </w:t>
      </w:r>
      <w:r w:rsidRPr="00611531">
        <w:rPr>
          <w:rFonts w:ascii="Arial" w:eastAsia="Times New Roman" w:hAnsi="Arial" w:cs="Arial"/>
          <w:sz w:val="20"/>
          <w:szCs w:val="20"/>
        </w:rPr>
        <w:t>se v slovenski pravni red vpeljujejo rešitve glede razkritij povezanih s trajnostjo v sektorju finančnih storitev, pri čemer od udeležencev na trgu zahteva, da strankam in vlagateljem zagotovijo informacije o vključevanju ESG vidikov.</w:t>
      </w:r>
      <w:bookmarkEnd w:id="4"/>
      <w:bookmarkEnd w:id="5"/>
    </w:p>
    <w:p w14:paraId="6BD5ABEC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11531">
        <w:rPr>
          <w:rFonts w:ascii="Arial" w:hAnsi="Arial" w:cs="Arial"/>
          <w:sz w:val="20"/>
          <w:szCs w:val="20"/>
        </w:rPr>
        <w:lastRenderedPageBreak/>
        <w:t xml:space="preserve">Uredba (EU) 2019/2088 omogoča razkritja končnim vlagateljem tako, da za udeležence na finančnem trgu in finančne svetovalce določa harmonizirana pravila glede preglednosti v zvezi z vključevanjem tveganj glede </w:t>
      </w:r>
      <w:proofErr w:type="spellStart"/>
      <w:r w:rsidRPr="00611531">
        <w:rPr>
          <w:rFonts w:ascii="Arial" w:hAnsi="Arial" w:cs="Arial"/>
          <w:sz w:val="20"/>
          <w:szCs w:val="20"/>
        </w:rPr>
        <w:t>trajnostnosti</w:t>
      </w:r>
      <w:proofErr w:type="spellEnd"/>
      <w:r w:rsidRPr="00611531">
        <w:rPr>
          <w:rFonts w:ascii="Arial" w:hAnsi="Arial" w:cs="Arial"/>
          <w:sz w:val="20"/>
          <w:szCs w:val="20"/>
        </w:rPr>
        <w:t xml:space="preserve"> v njihove procese, upoštevanjem škodljivih vplivov glede </w:t>
      </w:r>
      <w:proofErr w:type="spellStart"/>
      <w:r w:rsidRPr="00611531">
        <w:rPr>
          <w:rFonts w:ascii="Arial" w:hAnsi="Arial" w:cs="Arial"/>
          <w:sz w:val="20"/>
          <w:szCs w:val="20"/>
        </w:rPr>
        <w:t>trajnostnosti</w:t>
      </w:r>
      <w:proofErr w:type="spellEnd"/>
      <w:r w:rsidRPr="00611531">
        <w:rPr>
          <w:rFonts w:ascii="Arial" w:hAnsi="Arial" w:cs="Arial"/>
          <w:sz w:val="20"/>
          <w:szCs w:val="20"/>
        </w:rPr>
        <w:t xml:space="preserve"> v njihovih procesih in zagotavljanjem informacij, povezanih s </w:t>
      </w:r>
      <w:proofErr w:type="spellStart"/>
      <w:r w:rsidRPr="00611531">
        <w:rPr>
          <w:rFonts w:ascii="Arial" w:hAnsi="Arial" w:cs="Arial"/>
          <w:sz w:val="20"/>
          <w:szCs w:val="20"/>
        </w:rPr>
        <w:t>trajnostnostjo</w:t>
      </w:r>
      <w:proofErr w:type="spellEnd"/>
      <w:r w:rsidRPr="00611531">
        <w:rPr>
          <w:rFonts w:ascii="Arial" w:hAnsi="Arial" w:cs="Arial"/>
          <w:sz w:val="20"/>
          <w:szCs w:val="20"/>
        </w:rPr>
        <w:t>, glede finančnih produktov.</w:t>
      </w:r>
    </w:p>
    <w:p w14:paraId="7F317404" w14:textId="77777777" w:rsidR="00611531" w:rsidRPr="00611531" w:rsidRDefault="00611531" w:rsidP="006115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0"/>
          <w:szCs w:val="20"/>
          <w:highlight w:val="yellow"/>
        </w:rPr>
      </w:pPr>
    </w:p>
    <w:p w14:paraId="273CC440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611531">
        <w:rPr>
          <w:rFonts w:ascii="Arial" w:eastAsia="Times New Roman" w:hAnsi="Arial" w:cs="Arial"/>
          <w:color w:val="000000"/>
          <w:sz w:val="20"/>
          <w:szCs w:val="20"/>
        </w:rPr>
        <w:t>V 1. členu predloga uredbe je opredeljena vsebina predloga, in sicer se s tem predlogom določa:</w:t>
      </w:r>
    </w:p>
    <w:p w14:paraId="61419C65" w14:textId="77777777" w:rsidR="00611531" w:rsidRPr="00611531" w:rsidRDefault="00611531" w:rsidP="00611531">
      <w:pPr>
        <w:numPr>
          <w:ilvl w:val="0"/>
          <w:numId w:val="1"/>
        </w:num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sz w:val="20"/>
          <w:szCs w:val="20"/>
          <w:lang w:val="x-none"/>
        </w:rPr>
      </w:pPr>
      <w:r w:rsidRPr="00611531">
        <w:rPr>
          <w:rFonts w:ascii="Arial" w:eastAsia="Times New Roman" w:hAnsi="Arial" w:cs="Arial"/>
          <w:color w:val="000000"/>
          <w:sz w:val="20"/>
          <w:szCs w:val="20"/>
          <w:lang w:val="x-none"/>
        </w:rPr>
        <w:t>pristojn</w:t>
      </w:r>
      <w:r w:rsidRPr="00611531">
        <w:rPr>
          <w:rFonts w:ascii="Arial" w:eastAsia="Times New Roman" w:hAnsi="Arial" w:cs="Arial"/>
          <w:color w:val="000000"/>
          <w:sz w:val="20"/>
          <w:szCs w:val="20"/>
        </w:rPr>
        <w:t>a</w:t>
      </w:r>
      <w:r w:rsidRPr="00611531">
        <w:rPr>
          <w:rFonts w:ascii="Arial" w:eastAsia="Times New Roman" w:hAnsi="Arial" w:cs="Arial"/>
          <w:color w:val="000000"/>
          <w:sz w:val="20"/>
          <w:szCs w:val="20"/>
          <w:lang w:val="x-none"/>
        </w:rPr>
        <w:t xml:space="preserve"> </w:t>
      </w:r>
      <w:r w:rsidRPr="00611531">
        <w:rPr>
          <w:rFonts w:ascii="Arial" w:eastAsia="Times New Roman" w:hAnsi="Arial" w:cs="Arial"/>
          <w:color w:val="000000"/>
          <w:sz w:val="20"/>
          <w:szCs w:val="20"/>
        </w:rPr>
        <w:t xml:space="preserve">nadzorna </w:t>
      </w:r>
      <w:r w:rsidRPr="00611531">
        <w:rPr>
          <w:rFonts w:ascii="Arial" w:eastAsia="Times New Roman" w:hAnsi="Arial" w:cs="Arial"/>
          <w:color w:val="000000"/>
          <w:sz w:val="20"/>
          <w:szCs w:val="20"/>
          <w:lang w:val="x-none"/>
        </w:rPr>
        <w:t>organ</w:t>
      </w:r>
      <w:r w:rsidRPr="00611531">
        <w:rPr>
          <w:rFonts w:ascii="Arial" w:eastAsia="Times New Roman" w:hAnsi="Arial" w:cs="Arial"/>
          <w:color w:val="000000"/>
          <w:sz w:val="20"/>
          <w:szCs w:val="20"/>
        </w:rPr>
        <w:t>a</w:t>
      </w:r>
      <w:r w:rsidRPr="00611531">
        <w:rPr>
          <w:rFonts w:ascii="Arial" w:eastAsia="Times New Roman" w:hAnsi="Arial" w:cs="Arial"/>
          <w:color w:val="000000"/>
          <w:sz w:val="20"/>
          <w:szCs w:val="20"/>
          <w:lang w:val="x-none"/>
        </w:rPr>
        <w:t xml:space="preserve"> (</w:t>
      </w:r>
      <w:r w:rsidRPr="00611531">
        <w:rPr>
          <w:rFonts w:ascii="Arial" w:eastAsia="Times New Roman" w:hAnsi="Arial" w:cs="Arial"/>
          <w:color w:val="000000"/>
          <w:sz w:val="20"/>
          <w:szCs w:val="20"/>
        </w:rPr>
        <w:t>ATVP in AZN</w:t>
      </w:r>
      <w:r w:rsidRPr="00611531">
        <w:rPr>
          <w:rFonts w:ascii="Arial" w:eastAsia="Times New Roman" w:hAnsi="Arial" w:cs="Arial"/>
          <w:color w:val="000000"/>
          <w:sz w:val="20"/>
          <w:szCs w:val="20"/>
          <w:lang w:val="x-none"/>
        </w:rPr>
        <w:t>)</w:t>
      </w:r>
      <w:r w:rsidRPr="00611531">
        <w:rPr>
          <w:rFonts w:ascii="Arial" w:eastAsia="Times New Roman" w:hAnsi="Arial" w:cs="Arial"/>
          <w:color w:val="000000"/>
          <w:sz w:val="20"/>
          <w:szCs w:val="20"/>
        </w:rPr>
        <w:t xml:space="preserve">, </w:t>
      </w:r>
    </w:p>
    <w:p w14:paraId="2D19C408" w14:textId="77777777" w:rsidR="00611531" w:rsidRPr="00611531" w:rsidRDefault="00611531" w:rsidP="00611531">
      <w:pPr>
        <w:numPr>
          <w:ilvl w:val="0"/>
          <w:numId w:val="1"/>
        </w:num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val="x-none"/>
        </w:rPr>
      </w:pPr>
      <w:r w:rsidRPr="00611531">
        <w:rPr>
          <w:rFonts w:ascii="Arial" w:eastAsia="Times New Roman" w:hAnsi="Arial" w:cs="Arial"/>
          <w:color w:val="000000"/>
          <w:sz w:val="20"/>
          <w:szCs w:val="20"/>
        </w:rPr>
        <w:t>način opravljanja nadzora,</w:t>
      </w:r>
    </w:p>
    <w:p w14:paraId="50822B9D" w14:textId="77777777" w:rsidR="00611531" w:rsidRPr="00611531" w:rsidRDefault="00611531" w:rsidP="00611531">
      <w:pPr>
        <w:numPr>
          <w:ilvl w:val="0"/>
          <w:numId w:val="1"/>
        </w:num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val="x-none"/>
        </w:rPr>
      </w:pPr>
      <w:r w:rsidRPr="00611531">
        <w:rPr>
          <w:rFonts w:ascii="Arial" w:eastAsia="Times New Roman" w:hAnsi="Arial" w:cs="Arial"/>
          <w:color w:val="000000"/>
          <w:sz w:val="20"/>
          <w:szCs w:val="20"/>
        </w:rPr>
        <w:t xml:space="preserve">nadzorne ukrepe in postopek izrekanja nadzornih ukrepov,  </w:t>
      </w:r>
    </w:p>
    <w:p w14:paraId="2CD01588" w14:textId="77777777" w:rsidR="00611531" w:rsidRPr="00611531" w:rsidRDefault="00611531" w:rsidP="00611531">
      <w:pPr>
        <w:numPr>
          <w:ilvl w:val="0"/>
          <w:numId w:val="1"/>
        </w:num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val="x-none"/>
        </w:rPr>
      </w:pPr>
      <w:r w:rsidRPr="00611531">
        <w:rPr>
          <w:rFonts w:ascii="Arial" w:eastAsia="Times New Roman" w:hAnsi="Arial" w:cs="Arial"/>
          <w:color w:val="000000"/>
          <w:sz w:val="20"/>
          <w:szCs w:val="20"/>
        </w:rPr>
        <w:t>prekrške in globe ter</w:t>
      </w:r>
    </w:p>
    <w:p w14:paraId="45D6C0AC" w14:textId="77777777" w:rsidR="00611531" w:rsidRPr="00611531" w:rsidRDefault="00611531" w:rsidP="00611531">
      <w:pPr>
        <w:numPr>
          <w:ilvl w:val="0"/>
          <w:numId w:val="1"/>
        </w:num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val="x-none"/>
        </w:rPr>
      </w:pPr>
      <w:r w:rsidRPr="00611531">
        <w:rPr>
          <w:rFonts w:ascii="Arial" w:eastAsia="Times New Roman" w:hAnsi="Arial" w:cs="Arial"/>
          <w:color w:val="000000"/>
          <w:sz w:val="20"/>
          <w:szCs w:val="20"/>
        </w:rPr>
        <w:t>tarife.</w:t>
      </w:r>
    </w:p>
    <w:p w14:paraId="5AAA5E26" w14:textId="77777777" w:rsidR="00611531" w:rsidRPr="00611531" w:rsidRDefault="00611531" w:rsidP="006115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4EAC593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611531">
        <w:rPr>
          <w:rFonts w:ascii="Arial" w:eastAsia="Times New Roman" w:hAnsi="Arial" w:cs="Arial"/>
          <w:b/>
          <w:bCs/>
          <w:sz w:val="20"/>
          <w:szCs w:val="20"/>
        </w:rPr>
        <w:t>K 2. členu (opredelitev pojmov)</w:t>
      </w:r>
    </w:p>
    <w:p w14:paraId="4DAA7636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11531">
        <w:rPr>
          <w:rFonts w:ascii="Arial" w:eastAsia="Times New Roman" w:hAnsi="Arial" w:cs="Arial"/>
          <w:sz w:val="20"/>
          <w:szCs w:val="20"/>
        </w:rPr>
        <w:t xml:space="preserve">Pojmi v tem predlogu uredbe so pomensko usklajeni s pojmi, opredeljenimi v 2. členu Uredbe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>(EU) 2019/2088</w:t>
      </w:r>
      <w:r w:rsidRPr="00611531">
        <w:rPr>
          <w:rFonts w:ascii="Arial" w:eastAsia="Times New Roman" w:hAnsi="Arial" w:cs="Arial"/>
          <w:sz w:val="20"/>
          <w:szCs w:val="20"/>
        </w:rPr>
        <w:t>.</w:t>
      </w:r>
    </w:p>
    <w:p w14:paraId="1F85DF58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Cs/>
          <w:sz w:val="20"/>
          <w:szCs w:val="20"/>
          <w:lang w:eastAsia="x-none"/>
        </w:rPr>
      </w:pPr>
    </w:p>
    <w:p w14:paraId="6DD5F1C2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611531">
        <w:rPr>
          <w:rFonts w:ascii="Arial" w:eastAsia="Times New Roman" w:hAnsi="Arial" w:cs="Arial"/>
          <w:b/>
          <w:sz w:val="20"/>
          <w:szCs w:val="20"/>
          <w:lang w:eastAsia="x-none"/>
        </w:rPr>
        <w:t>K 3. členu (pristojni organi)</w:t>
      </w:r>
    </w:p>
    <w:p w14:paraId="43A8818F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11531">
        <w:rPr>
          <w:rFonts w:ascii="Arial" w:eastAsia="Times New Roman" w:hAnsi="Arial" w:cs="Arial"/>
          <w:sz w:val="20"/>
          <w:szCs w:val="20"/>
        </w:rPr>
        <w:t xml:space="preserve">Pristojnost za izvajanje Uredbe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 xml:space="preserve">(EU) 2019/2088 </w:t>
      </w:r>
      <w:r w:rsidRPr="00611531">
        <w:rPr>
          <w:rFonts w:ascii="Arial" w:eastAsia="Times New Roman" w:hAnsi="Arial" w:cs="Arial"/>
          <w:sz w:val="20"/>
          <w:szCs w:val="20"/>
        </w:rPr>
        <w:t xml:space="preserve">je dodeljena ATVP in AZN. </w:t>
      </w:r>
    </w:p>
    <w:p w14:paraId="327F1BF3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515FFA50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11531">
        <w:rPr>
          <w:rFonts w:ascii="Arial" w:eastAsia="Times New Roman" w:hAnsi="Arial" w:cs="Arial"/>
          <w:sz w:val="20"/>
          <w:szCs w:val="20"/>
        </w:rPr>
        <w:t xml:space="preserve">Skladno s členom 6(3) Uredbe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 xml:space="preserve">(EU) 2019/2088 </w:t>
      </w:r>
      <w:r w:rsidRPr="00611531">
        <w:rPr>
          <w:rFonts w:ascii="Arial" w:eastAsia="Times New Roman" w:hAnsi="Arial" w:cs="Arial"/>
          <w:sz w:val="20"/>
          <w:szCs w:val="20"/>
        </w:rPr>
        <w:t xml:space="preserve">in Zakonom o upravljavcih alternativnih investicijskih skladov (Uradni list RS, št. 32/15, 77/18 in 161/21) ATVP opravlja nadzor nad razkritji na podlagi 69 člena Direktive 2009/65/EU,185(2) člena Direktive 2009/138/EU, 23(1) člena Direktive 2011/61/EU, 24(4) člena Direktive 2014/65/EU, 41 člena Direktive 2016/2341/EU, 13(1) člena Uredbe 2013/345, 14(1) člena Uredbe 2013/346/EU in 23 člena Uredbe 2015/7650/EU. Skladno s 6(3) členom Uredbe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 xml:space="preserve">(EU) 2019/2088 </w:t>
      </w:r>
      <w:r w:rsidRPr="00611531">
        <w:rPr>
          <w:rFonts w:ascii="Arial" w:eastAsia="Times New Roman" w:hAnsi="Arial" w:cs="Arial"/>
          <w:sz w:val="20"/>
          <w:szCs w:val="20"/>
        </w:rPr>
        <w:t xml:space="preserve">in Zakonom o zavarovalništvu (Uradni list RS, št. 93/15, 9/19 in 102/20) AZN opravlja nadzor nad razkritji na podlagi 29 (1) člena Direktive 2016/97/EU in 26. člena Uredbe 2019/1238/EU. </w:t>
      </w:r>
    </w:p>
    <w:p w14:paraId="6A12C260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6CB7CB9E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611531">
        <w:rPr>
          <w:rFonts w:ascii="Arial" w:eastAsia="Times New Roman" w:hAnsi="Arial" w:cs="Arial"/>
          <w:b/>
          <w:sz w:val="20"/>
          <w:szCs w:val="20"/>
          <w:lang w:eastAsia="x-none"/>
        </w:rPr>
        <w:t>K 4. členu (način opravljanja nadzora)</w:t>
      </w:r>
    </w:p>
    <w:p w14:paraId="620B5812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Cs/>
          <w:sz w:val="20"/>
          <w:szCs w:val="20"/>
          <w:lang w:eastAsia="x-none"/>
        </w:rPr>
      </w:pPr>
      <w:r w:rsidRPr="00611531">
        <w:rPr>
          <w:rFonts w:ascii="Arial" w:eastAsia="Times New Roman" w:hAnsi="Arial" w:cs="Arial"/>
          <w:bCs/>
          <w:sz w:val="20"/>
          <w:szCs w:val="20"/>
          <w:lang w:eastAsia="x-none"/>
        </w:rPr>
        <w:t>Kot način opravljanja nadzora se smiselno uporabijo določbe zakona, ki ureja področje dela ATVP v delu, ki se nanaša na področje nadzora dejavnosti kolektivnih naložbenih podjemov za vlaganja v prenosljive vrednostne papirje, upraviteljev kvalificiranih skladov tveganega kapitala, upraviteljev kvalificiranih skladov za socialno podjetništvo, upraviteljev alternativnih investicijskih skladov, ki upravljajo ali tržijo alternativne investicijske sklade, vključno z evropskimi dolgoročnimi investicijskimi skladi in investicijskih podjetij, skladno z Zakonom o upravljavcih alternativnih investicijskih skladov (Uradni list RS, št. 32/15, 77/18 in 161/21).</w:t>
      </w:r>
    </w:p>
    <w:p w14:paraId="683E8520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Cs/>
          <w:sz w:val="20"/>
          <w:szCs w:val="20"/>
          <w:lang w:eastAsia="x-none"/>
        </w:rPr>
      </w:pPr>
    </w:p>
    <w:p w14:paraId="41860D9E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Cs/>
          <w:sz w:val="20"/>
          <w:szCs w:val="20"/>
          <w:lang w:eastAsia="x-none"/>
        </w:rPr>
      </w:pPr>
      <w:r w:rsidRPr="0061153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Za opravljanje nadzora razkritij zavarovalnic, zavarovalnih posrednikov in institucij za poklicno pokojninsko zavarovanje in področje ponudnikov vseevropskih osebnih pokojninskih produktov se smiselno uporabijo določbe zakona, ki ureja področje dela AZN, skladno z Zakonom o zavarovalništvu (Uradni list RS, št. 93/15, 9/19 in 102/20). </w:t>
      </w:r>
    </w:p>
    <w:p w14:paraId="4EC53CF1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7FBFBB85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611531">
        <w:rPr>
          <w:rFonts w:ascii="Arial" w:eastAsia="Times New Roman" w:hAnsi="Arial" w:cs="Arial"/>
          <w:b/>
          <w:sz w:val="20"/>
          <w:szCs w:val="20"/>
          <w:lang w:eastAsia="x-none"/>
        </w:rPr>
        <w:t>K 5. (nadzorni ukrepi)</w:t>
      </w:r>
    </w:p>
    <w:p w14:paraId="7989D293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Cs/>
          <w:sz w:val="20"/>
          <w:szCs w:val="20"/>
          <w:lang w:eastAsia="x-none"/>
        </w:rPr>
      </w:pPr>
      <w:r w:rsidRPr="00611531">
        <w:rPr>
          <w:rFonts w:ascii="Arial" w:eastAsia="Times New Roman" w:hAnsi="Arial" w:cs="Arial"/>
          <w:bCs/>
          <w:sz w:val="20"/>
          <w:szCs w:val="20"/>
          <w:lang w:eastAsia="x-none"/>
        </w:rPr>
        <w:t>Kot način izrekanja ukrepov se smiselno uporabijo določbe zakona, ki ureja področje dela ATVP in AZN.</w:t>
      </w:r>
    </w:p>
    <w:p w14:paraId="37605BF2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Cs/>
          <w:sz w:val="20"/>
          <w:szCs w:val="20"/>
          <w:lang w:eastAsia="x-none"/>
        </w:rPr>
      </w:pPr>
    </w:p>
    <w:p w14:paraId="06B42736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Cs/>
          <w:sz w:val="20"/>
          <w:szCs w:val="20"/>
          <w:lang w:eastAsia="x-none"/>
        </w:rPr>
      </w:pPr>
      <w:r w:rsidRPr="0061153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V primeru ugotovljene kršitve Uredbe 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 xml:space="preserve">(EU) 2019/2088 </w:t>
      </w:r>
      <w:r w:rsidRPr="0061153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lahko nadzorni organ odredi ukrepe, potrebne za odpravo ugotovljene kršitve oz. izreče globo v skladu z zakonom, ki ureja trg finančnih instrumentov in zakonom, ki ureja </w:t>
      </w:r>
      <w:proofErr w:type="spellStart"/>
      <w:r w:rsidRPr="00611531">
        <w:rPr>
          <w:rFonts w:ascii="Arial" w:eastAsia="Times New Roman" w:hAnsi="Arial" w:cs="Arial"/>
          <w:bCs/>
          <w:sz w:val="20"/>
          <w:szCs w:val="20"/>
          <w:lang w:eastAsia="x-none"/>
        </w:rPr>
        <w:t>prekrškovno</w:t>
      </w:r>
      <w:proofErr w:type="spellEnd"/>
      <w:r w:rsidRPr="0061153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 pravo.</w:t>
      </w:r>
    </w:p>
    <w:p w14:paraId="4851035B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Cs/>
          <w:sz w:val="20"/>
          <w:szCs w:val="20"/>
          <w:lang w:eastAsia="x-none"/>
        </w:rPr>
      </w:pPr>
    </w:p>
    <w:p w14:paraId="66FA917F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0"/>
          <w:szCs w:val="20"/>
          <w:lang w:val="x-none" w:eastAsia="x-none"/>
        </w:rPr>
      </w:pPr>
      <w:r w:rsidRPr="00611531">
        <w:rPr>
          <w:rFonts w:ascii="Arial" w:eastAsia="Times New Roman" w:hAnsi="Arial" w:cs="Arial"/>
          <w:b/>
          <w:bCs/>
          <w:sz w:val="20"/>
          <w:szCs w:val="20"/>
          <w:lang w:eastAsia="x-none"/>
        </w:rPr>
        <w:t>K 6. členu (prekrški in globe)</w:t>
      </w:r>
    </w:p>
    <w:p w14:paraId="35ACB45E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611531">
        <w:rPr>
          <w:rFonts w:ascii="Arial" w:eastAsia="Times New Roman" w:hAnsi="Arial" w:cs="Arial"/>
          <w:sz w:val="20"/>
          <w:szCs w:val="20"/>
          <w:lang w:eastAsia="x-none"/>
        </w:rPr>
        <w:t xml:space="preserve">Člen določa višino glob skladno s 17. členom Zakona o prekrških (ZP-1). </w:t>
      </w:r>
    </w:p>
    <w:p w14:paraId="3D903DF6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61A5C89A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0"/>
          <w:szCs w:val="20"/>
          <w:lang w:eastAsia="x-none"/>
        </w:rPr>
      </w:pPr>
      <w:r w:rsidRPr="00611531">
        <w:rPr>
          <w:rFonts w:ascii="Arial" w:eastAsia="Times New Roman" w:hAnsi="Arial" w:cs="Arial"/>
          <w:b/>
          <w:bCs/>
          <w:sz w:val="20"/>
          <w:szCs w:val="20"/>
          <w:lang w:eastAsia="x-none"/>
        </w:rPr>
        <w:t>K 7. členu (tarife)</w:t>
      </w:r>
    </w:p>
    <w:p w14:paraId="300DABAA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0"/>
          <w:szCs w:val="20"/>
          <w:lang w:eastAsia="x-none"/>
        </w:rPr>
      </w:pPr>
    </w:p>
    <w:p w14:paraId="177F6BEE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611531">
        <w:rPr>
          <w:rFonts w:ascii="Arial" w:eastAsia="Times New Roman" w:hAnsi="Arial" w:cs="Arial"/>
          <w:sz w:val="20"/>
          <w:szCs w:val="20"/>
          <w:lang w:eastAsia="x-none"/>
        </w:rPr>
        <w:t>Pristojna organa za svoje delo v zvezi z delom in nadzorom skladno z Uredbo (EU) 2019/2088 določita višino takse za odločanje o posamičnih zadevah. Tarifa je izdana v skladu z zakonoma, ki ureja trg finančnih instrumentov in zavarovalništva.</w:t>
      </w:r>
    </w:p>
    <w:p w14:paraId="0E5C54C4" w14:textId="77777777" w:rsidR="00611531" w:rsidRPr="00611531" w:rsidRDefault="00611531" w:rsidP="006115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072CABBD" w14:textId="77777777" w:rsidR="00611531" w:rsidRPr="00611531" w:rsidRDefault="00611531" w:rsidP="0061153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611531">
        <w:rPr>
          <w:rFonts w:ascii="Arial" w:eastAsia="Times New Roman" w:hAnsi="Arial" w:cs="Arial"/>
          <w:b/>
          <w:bCs/>
          <w:sz w:val="20"/>
          <w:szCs w:val="20"/>
          <w:lang w:eastAsia="x-none"/>
        </w:rPr>
        <w:t xml:space="preserve">K </w:t>
      </w:r>
      <w:r w:rsidRPr="00611531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8. </w:t>
      </w:r>
      <w:r w:rsidRPr="00611531">
        <w:rPr>
          <w:rFonts w:ascii="Arial" w:eastAsia="Times New Roman" w:hAnsi="Arial" w:cs="Arial"/>
          <w:b/>
          <w:bCs/>
          <w:sz w:val="20"/>
          <w:szCs w:val="20"/>
          <w:lang w:eastAsia="x-none"/>
        </w:rPr>
        <w:t>členu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 xml:space="preserve"> (</w:t>
      </w:r>
      <w:r w:rsidRPr="00611531">
        <w:rPr>
          <w:rFonts w:ascii="Arial" w:eastAsia="Times New Roman" w:hAnsi="Arial" w:cs="Arial"/>
          <w:b/>
          <w:sz w:val="20"/>
          <w:szCs w:val="20"/>
          <w:lang w:eastAsia="x-none"/>
        </w:rPr>
        <w:t>uveljavitev zakona</w:t>
      </w:r>
      <w:r w:rsidRPr="00611531">
        <w:rPr>
          <w:rFonts w:ascii="Arial" w:eastAsia="Times New Roman" w:hAnsi="Arial" w:cs="Arial"/>
          <w:sz w:val="20"/>
          <w:szCs w:val="20"/>
          <w:lang w:eastAsia="x-none"/>
        </w:rPr>
        <w:t>)</w:t>
      </w:r>
    </w:p>
    <w:p w14:paraId="57C51E8B" w14:textId="77777777" w:rsidR="00611531" w:rsidRPr="00611531" w:rsidRDefault="00611531" w:rsidP="006115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11531">
        <w:rPr>
          <w:rFonts w:ascii="Arial" w:eastAsia="Times New Roman" w:hAnsi="Arial" w:cs="Arial"/>
          <w:sz w:val="20"/>
          <w:szCs w:val="20"/>
        </w:rPr>
        <w:t>Člen določa začetek veljavnosti predloga uredbe o izvajanju uredbe.</w:t>
      </w:r>
    </w:p>
    <w:p w14:paraId="371CFC8F" w14:textId="23C80AA4" w:rsidR="00B37ADA" w:rsidRPr="007E5DD5" w:rsidRDefault="00B37ADA" w:rsidP="00611531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B37ADA" w:rsidRPr="007E5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2F0FF9" w14:textId="77777777" w:rsidR="00F216B2" w:rsidRDefault="00F216B2" w:rsidP="00B37ADA">
      <w:pPr>
        <w:spacing w:after="0" w:line="240" w:lineRule="auto"/>
      </w:pPr>
      <w:r>
        <w:separator/>
      </w:r>
    </w:p>
  </w:endnote>
  <w:endnote w:type="continuationSeparator" w:id="0">
    <w:p w14:paraId="55406490" w14:textId="77777777" w:rsidR="00F216B2" w:rsidRDefault="00F216B2" w:rsidP="00B37A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FEC4B" w14:textId="77777777" w:rsidR="00F216B2" w:rsidRDefault="00F216B2" w:rsidP="00B37ADA">
      <w:pPr>
        <w:spacing w:after="0" w:line="240" w:lineRule="auto"/>
      </w:pPr>
      <w:r>
        <w:separator/>
      </w:r>
    </w:p>
  </w:footnote>
  <w:footnote w:type="continuationSeparator" w:id="0">
    <w:p w14:paraId="3C5818B2" w14:textId="77777777" w:rsidR="00F216B2" w:rsidRDefault="00F216B2" w:rsidP="00B37ADA">
      <w:pPr>
        <w:spacing w:after="0" w:line="240" w:lineRule="auto"/>
      </w:pPr>
      <w:r>
        <w:continuationSeparator/>
      </w:r>
    </w:p>
  </w:footnote>
  <w:footnote w:id="1">
    <w:p w14:paraId="4C4D0B12" w14:textId="77777777" w:rsidR="00611531" w:rsidRPr="006853C1" w:rsidRDefault="00611531" w:rsidP="00611531">
      <w:pPr>
        <w:pStyle w:val="Sprotnaopomba-besedilo"/>
        <w:rPr>
          <w:rFonts w:ascii="Arial" w:hAnsi="Arial" w:cs="Arial"/>
          <w:sz w:val="16"/>
          <w:szCs w:val="16"/>
        </w:rPr>
      </w:pPr>
      <w:r w:rsidRPr="006853C1">
        <w:rPr>
          <w:rStyle w:val="Sprotnaopomba-sklic"/>
          <w:rFonts w:ascii="Arial" w:hAnsi="Arial" w:cs="Arial"/>
          <w:sz w:val="16"/>
          <w:szCs w:val="16"/>
        </w:rPr>
        <w:footnoteRef/>
      </w:r>
      <w:r w:rsidRPr="006853C1">
        <w:rPr>
          <w:rFonts w:ascii="Arial" w:hAnsi="Arial" w:cs="Arial"/>
          <w:sz w:val="16"/>
          <w:szCs w:val="16"/>
        </w:rPr>
        <w:t>Poročil</w:t>
      </w:r>
      <w:r>
        <w:rPr>
          <w:rFonts w:ascii="Arial" w:hAnsi="Arial" w:cs="Arial"/>
          <w:sz w:val="16"/>
          <w:szCs w:val="16"/>
        </w:rPr>
        <w:t>a</w:t>
      </w:r>
      <w:r w:rsidRPr="006853C1">
        <w:rPr>
          <w:rFonts w:ascii="Arial" w:hAnsi="Arial" w:cs="Arial"/>
          <w:sz w:val="16"/>
          <w:szCs w:val="16"/>
        </w:rPr>
        <w:t xml:space="preserve"> o osnutk</w:t>
      </w:r>
      <w:r>
        <w:rPr>
          <w:rFonts w:ascii="Arial" w:hAnsi="Arial" w:cs="Arial"/>
          <w:sz w:val="16"/>
          <w:szCs w:val="16"/>
        </w:rPr>
        <w:t>ih</w:t>
      </w:r>
      <w:r w:rsidRPr="006853C1">
        <w:rPr>
          <w:rFonts w:ascii="Arial" w:hAnsi="Arial" w:cs="Arial"/>
          <w:sz w:val="16"/>
          <w:szCs w:val="16"/>
        </w:rPr>
        <w:t xml:space="preserve"> regulativnih tehničnih standardov z dne 2. 2. 2021</w:t>
      </w:r>
      <w:r>
        <w:rPr>
          <w:rFonts w:ascii="Arial" w:hAnsi="Arial" w:cs="Arial"/>
          <w:sz w:val="16"/>
          <w:szCs w:val="16"/>
        </w:rPr>
        <w:t xml:space="preserve"> in dne 22. 10. 2022</w:t>
      </w:r>
      <w:r w:rsidRPr="006853C1">
        <w:rPr>
          <w:rFonts w:ascii="Arial" w:hAnsi="Arial" w:cs="Arial"/>
          <w:sz w:val="16"/>
          <w:szCs w:val="16"/>
        </w:rPr>
        <w:t>, dostopn</w:t>
      </w:r>
      <w:r>
        <w:rPr>
          <w:rFonts w:ascii="Arial" w:hAnsi="Arial" w:cs="Arial"/>
          <w:sz w:val="16"/>
          <w:szCs w:val="16"/>
        </w:rPr>
        <w:t>a</w:t>
      </w:r>
      <w:r w:rsidRPr="006853C1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</w:t>
      </w:r>
      <w:r w:rsidRPr="006853C1">
        <w:rPr>
          <w:rFonts w:ascii="Arial" w:hAnsi="Arial" w:cs="Arial"/>
          <w:sz w:val="16"/>
          <w:szCs w:val="16"/>
        </w:rPr>
        <w:t>:</w:t>
      </w:r>
    </w:p>
    <w:p w14:paraId="42AE950B" w14:textId="77777777" w:rsidR="00611531" w:rsidRDefault="00354B08" w:rsidP="00611531">
      <w:pPr>
        <w:pStyle w:val="Sprotnaopomba-besedilo"/>
        <w:rPr>
          <w:rFonts w:ascii="Arial" w:hAnsi="Arial" w:cs="Arial"/>
          <w:sz w:val="16"/>
          <w:szCs w:val="16"/>
        </w:rPr>
      </w:pPr>
      <w:hyperlink r:id="rId1" w:history="1">
        <w:r w:rsidR="00611531" w:rsidRPr="006853C1">
          <w:rPr>
            <w:rStyle w:val="Hiperpovezava"/>
            <w:rFonts w:ascii="Arial" w:hAnsi="Arial" w:cs="Arial"/>
            <w:sz w:val="16"/>
            <w:szCs w:val="16"/>
          </w:rPr>
          <w:t>https://www.esma.europa.eu/sites/default/files/library/jc_2021_03_joint_esas_final_report_on_rts_under_sfdr.pdf</w:t>
        </w:r>
      </w:hyperlink>
      <w:r w:rsidR="00611531" w:rsidRPr="006853C1">
        <w:rPr>
          <w:rFonts w:ascii="Arial" w:hAnsi="Arial" w:cs="Arial"/>
          <w:sz w:val="16"/>
          <w:szCs w:val="16"/>
        </w:rPr>
        <w:t xml:space="preserve"> </w:t>
      </w:r>
    </w:p>
    <w:p w14:paraId="3E98A93A" w14:textId="77777777" w:rsidR="00611531" w:rsidRPr="006803E5" w:rsidRDefault="00354B08" w:rsidP="00611531">
      <w:pPr>
        <w:pStyle w:val="Sprotnaopomba-besedilo"/>
        <w:rPr>
          <w:rFonts w:ascii="Arial" w:hAnsi="Arial" w:cs="Arial"/>
          <w:sz w:val="16"/>
          <w:szCs w:val="16"/>
        </w:rPr>
      </w:pPr>
      <w:hyperlink r:id="rId2" w:history="1">
        <w:r w:rsidR="00611531" w:rsidRPr="007B490B">
          <w:rPr>
            <w:rStyle w:val="Hiperpovezava"/>
            <w:rFonts w:ascii="Arial" w:hAnsi="Arial" w:cs="Arial"/>
            <w:sz w:val="16"/>
            <w:szCs w:val="16"/>
          </w:rPr>
          <w:t>https://www.esma.europa.eu/sites/default/files/library/jc_2021_50_-_final_report_on_taxonomy-related_product_disclosure_rts.pdf</w:t>
        </w:r>
      </w:hyperlink>
      <w:r w:rsidR="00611531">
        <w:rPr>
          <w:rFonts w:ascii="Arial" w:hAnsi="Arial" w:cs="Arial"/>
          <w:sz w:val="16"/>
          <w:szCs w:val="16"/>
        </w:rPr>
        <w:t xml:space="preserve"> </w:t>
      </w:r>
    </w:p>
    <w:p w14:paraId="01A0F4EF" w14:textId="77777777" w:rsidR="00611531" w:rsidRPr="006853C1" w:rsidRDefault="00611531" w:rsidP="00611531">
      <w:pPr>
        <w:pStyle w:val="Sprotnaopomba-besedilo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DB73EE"/>
    <w:multiLevelType w:val="hybridMultilevel"/>
    <w:tmpl w:val="4244A972"/>
    <w:lvl w:ilvl="0" w:tplc="53124456">
      <w:start w:val="1"/>
      <w:numFmt w:val="decimal"/>
      <w:lvlText w:val="(%1)"/>
      <w:lvlJc w:val="left"/>
      <w:pPr>
        <w:ind w:left="142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45" w:hanging="360"/>
      </w:pPr>
    </w:lvl>
    <w:lvl w:ilvl="2" w:tplc="0424001B" w:tentative="1">
      <w:start w:val="1"/>
      <w:numFmt w:val="lowerRoman"/>
      <w:lvlText w:val="%3."/>
      <w:lvlJc w:val="right"/>
      <w:pPr>
        <w:ind w:left="2865" w:hanging="180"/>
      </w:pPr>
    </w:lvl>
    <w:lvl w:ilvl="3" w:tplc="0424000F" w:tentative="1">
      <w:start w:val="1"/>
      <w:numFmt w:val="decimal"/>
      <w:lvlText w:val="%4."/>
      <w:lvlJc w:val="left"/>
      <w:pPr>
        <w:ind w:left="3585" w:hanging="360"/>
      </w:pPr>
    </w:lvl>
    <w:lvl w:ilvl="4" w:tplc="04240019" w:tentative="1">
      <w:start w:val="1"/>
      <w:numFmt w:val="lowerLetter"/>
      <w:lvlText w:val="%5."/>
      <w:lvlJc w:val="left"/>
      <w:pPr>
        <w:ind w:left="4305" w:hanging="360"/>
      </w:pPr>
    </w:lvl>
    <w:lvl w:ilvl="5" w:tplc="0424001B" w:tentative="1">
      <w:start w:val="1"/>
      <w:numFmt w:val="lowerRoman"/>
      <w:lvlText w:val="%6."/>
      <w:lvlJc w:val="right"/>
      <w:pPr>
        <w:ind w:left="5025" w:hanging="180"/>
      </w:pPr>
    </w:lvl>
    <w:lvl w:ilvl="6" w:tplc="0424000F" w:tentative="1">
      <w:start w:val="1"/>
      <w:numFmt w:val="decimal"/>
      <w:lvlText w:val="%7."/>
      <w:lvlJc w:val="left"/>
      <w:pPr>
        <w:ind w:left="5745" w:hanging="360"/>
      </w:pPr>
    </w:lvl>
    <w:lvl w:ilvl="7" w:tplc="04240019" w:tentative="1">
      <w:start w:val="1"/>
      <w:numFmt w:val="lowerLetter"/>
      <w:lvlText w:val="%8."/>
      <w:lvlJc w:val="left"/>
      <w:pPr>
        <w:ind w:left="6465" w:hanging="360"/>
      </w:pPr>
    </w:lvl>
    <w:lvl w:ilvl="8" w:tplc="0424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" w15:restartNumberingAfterBreak="0">
    <w:nsid w:val="181D37BF"/>
    <w:multiLevelType w:val="hybridMultilevel"/>
    <w:tmpl w:val="BA90B278"/>
    <w:lvl w:ilvl="0" w:tplc="97BCA2CA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52E7124"/>
    <w:multiLevelType w:val="hybridMultilevel"/>
    <w:tmpl w:val="A2646A48"/>
    <w:lvl w:ilvl="0" w:tplc="597AFF36">
      <w:numFmt w:val="bullet"/>
      <w:lvlText w:val="-"/>
      <w:lvlJc w:val="left"/>
      <w:pPr>
        <w:ind w:left="1429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49FE6BC5"/>
    <w:multiLevelType w:val="hybridMultilevel"/>
    <w:tmpl w:val="049E97C4"/>
    <w:lvl w:ilvl="0" w:tplc="0424000F">
      <w:start w:val="1"/>
      <w:numFmt w:val="decimal"/>
      <w:lvlText w:val="%1."/>
      <w:lvlJc w:val="left"/>
      <w:pPr>
        <w:ind w:left="-177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-1059" w:hanging="360"/>
      </w:pPr>
    </w:lvl>
    <w:lvl w:ilvl="2" w:tplc="0424001B" w:tentative="1">
      <w:start w:val="1"/>
      <w:numFmt w:val="lowerRoman"/>
      <w:lvlText w:val="%3."/>
      <w:lvlJc w:val="right"/>
      <w:pPr>
        <w:ind w:left="-339" w:hanging="180"/>
      </w:pPr>
    </w:lvl>
    <w:lvl w:ilvl="3" w:tplc="0424000F" w:tentative="1">
      <w:start w:val="1"/>
      <w:numFmt w:val="decimal"/>
      <w:lvlText w:val="%4."/>
      <w:lvlJc w:val="left"/>
      <w:pPr>
        <w:ind w:left="381" w:hanging="360"/>
      </w:pPr>
    </w:lvl>
    <w:lvl w:ilvl="4" w:tplc="04240019" w:tentative="1">
      <w:start w:val="1"/>
      <w:numFmt w:val="lowerLetter"/>
      <w:lvlText w:val="%5."/>
      <w:lvlJc w:val="left"/>
      <w:pPr>
        <w:ind w:left="1101" w:hanging="360"/>
      </w:pPr>
    </w:lvl>
    <w:lvl w:ilvl="5" w:tplc="0424001B" w:tentative="1">
      <w:start w:val="1"/>
      <w:numFmt w:val="lowerRoman"/>
      <w:lvlText w:val="%6."/>
      <w:lvlJc w:val="right"/>
      <w:pPr>
        <w:ind w:left="1821" w:hanging="180"/>
      </w:pPr>
    </w:lvl>
    <w:lvl w:ilvl="6" w:tplc="0424000F" w:tentative="1">
      <w:start w:val="1"/>
      <w:numFmt w:val="decimal"/>
      <w:lvlText w:val="%7."/>
      <w:lvlJc w:val="left"/>
      <w:pPr>
        <w:ind w:left="2541" w:hanging="360"/>
      </w:pPr>
    </w:lvl>
    <w:lvl w:ilvl="7" w:tplc="04240019" w:tentative="1">
      <w:start w:val="1"/>
      <w:numFmt w:val="lowerLetter"/>
      <w:lvlText w:val="%8."/>
      <w:lvlJc w:val="left"/>
      <w:pPr>
        <w:ind w:left="3261" w:hanging="360"/>
      </w:pPr>
    </w:lvl>
    <w:lvl w:ilvl="8" w:tplc="0424001B" w:tentative="1">
      <w:start w:val="1"/>
      <w:numFmt w:val="lowerRoman"/>
      <w:lvlText w:val="%9."/>
      <w:lvlJc w:val="right"/>
      <w:pPr>
        <w:ind w:left="3981" w:hanging="180"/>
      </w:pPr>
    </w:lvl>
  </w:abstractNum>
  <w:abstractNum w:abstractNumId="4" w15:restartNumberingAfterBreak="0">
    <w:nsid w:val="5D357520"/>
    <w:multiLevelType w:val="hybridMultilevel"/>
    <w:tmpl w:val="26981D3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7ADA"/>
    <w:rsid w:val="00011693"/>
    <w:rsid w:val="0001184A"/>
    <w:rsid w:val="00020B51"/>
    <w:rsid w:val="00025A3F"/>
    <w:rsid w:val="000B22ED"/>
    <w:rsid w:val="000C0A56"/>
    <w:rsid w:val="000C3571"/>
    <w:rsid w:val="000D222B"/>
    <w:rsid w:val="000D7B35"/>
    <w:rsid w:val="001503DC"/>
    <w:rsid w:val="0017508D"/>
    <w:rsid w:val="00180A2A"/>
    <w:rsid w:val="001A26CC"/>
    <w:rsid w:val="001A4FF8"/>
    <w:rsid w:val="001C33FD"/>
    <w:rsid w:val="001E0BDA"/>
    <w:rsid w:val="001F66B0"/>
    <w:rsid w:val="00221E82"/>
    <w:rsid w:val="00226FF9"/>
    <w:rsid w:val="003002C3"/>
    <w:rsid w:val="00354B08"/>
    <w:rsid w:val="003628A9"/>
    <w:rsid w:val="00371EA7"/>
    <w:rsid w:val="0037369F"/>
    <w:rsid w:val="003F41F8"/>
    <w:rsid w:val="00413A72"/>
    <w:rsid w:val="00481C81"/>
    <w:rsid w:val="004846D2"/>
    <w:rsid w:val="00495E8B"/>
    <w:rsid w:val="004C64F6"/>
    <w:rsid w:val="0054399A"/>
    <w:rsid w:val="005B0ABE"/>
    <w:rsid w:val="005B1164"/>
    <w:rsid w:val="005F5323"/>
    <w:rsid w:val="00611531"/>
    <w:rsid w:val="006B233A"/>
    <w:rsid w:val="006D0D55"/>
    <w:rsid w:val="00716071"/>
    <w:rsid w:val="0074095A"/>
    <w:rsid w:val="0079676C"/>
    <w:rsid w:val="007D4C33"/>
    <w:rsid w:val="007D5310"/>
    <w:rsid w:val="007E17D3"/>
    <w:rsid w:val="007E5DD5"/>
    <w:rsid w:val="00807BD4"/>
    <w:rsid w:val="00872169"/>
    <w:rsid w:val="008C1192"/>
    <w:rsid w:val="00903011"/>
    <w:rsid w:val="009A3080"/>
    <w:rsid w:val="009E260E"/>
    <w:rsid w:val="00A14983"/>
    <w:rsid w:val="00A17F00"/>
    <w:rsid w:val="00A3192C"/>
    <w:rsid w:val="00A70A5B"/>
    <w:rsid w:val="00A8598E"/>
    <w:rsid w:val="00AA58AE"/>
    <w:rsid w:val="00AE0D49"/>
    <w:rsid w:val="00AF12A0"/>
    <w:rsid w:val="00AF4343"/>
    <w:rsid w:val="00B37ADA"/>
    <w:rsid w:val="00B477FD"/>
    <w:rsid w:val="00B5379C"/>
    <w:rsid w:val="00B60215"/>
    <w:rsid w:val="00B66460"/>
    <w:rsid w:val="00B87462"/>
    <w:rsid w:val="00BA2BDC"/>
    <w:rsid w:val="00BB0A30"/>
    <w:rsid w:val="00BB1565"/>
    <w:rsid w:val="00BB6A54"/>
    <w:rsid w:val="00C12C3D"/>
    <w:rsid w:val="00CB5129"/>
    <w:rsid w:val="00CC779A"/>
    <w:rsid w:val="00CF3084"/>
    <w:rsid w:val="00D13034"/>
    <w:rsid w:val="00D34EB8"/>
    <w:rsid w:val="00D84287"/>
    <w:rsid w:val="00D9158E"/>
    <w:rsid w:val="00D91FAC"/>
    <w:rsid w:val="00DD2FAC"/>
    <w:rsid w:val="00DD3F5F"/>
    <w:rsid w:val="00DE352D"/>
    <w:rsid w:val="00E66F47"/>
    <w:rsid w:val="00E824DF"/>
    <w:rsid w:val="00F00124"/>
    <w:rsid w:val="00F1463D"/>
    <w:rsid w:val="00F216B2"/>
    <w:rsid w:val="00F40E3D"/>
    <w:rsid w:val="00F47AC6"/>
    <w:rsid w:val="00F6611D"/>
    <w:rsid w:val="00F74F05"/>
    <w:rsid w:val="00FD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C29F9"/>
  <w15:chartTrackingRefBased/>
  <w15:docId w15:val="{781E6E3D-F21D-4978-8D6F-ACEB0539E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37AD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37ADA"/>
    <w:rPr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37ADA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37ADA"/>
    <w:rPr>
      <w:sz w:val="20"/>
      <w:szCs w:val="20"/>
    </w:rPr>
  </w:style>
  <w:style w:type="character" w:styleId="Hiperpovezava">
    <w:name w:val="Hyperlink"/>
    <w:uiPriority w:val="99"/>
    <w:rsid w:val="00B37ADA"/>
    <w:rPr>
      <w:color w:val="0000FF"/>
      <w:u w:val="single"/>
    </w:rPr>
  </w:style>
  <w:style w:type="character" w:styleId="Pripombasklic">
    <w:name w:val="annotation reference"/>
    <w:uiPriority w:val="99"/>
    <w:unhideWhenUsed/>
    <w:rsid w:val="00B37ADA"/>
    <w:rPr>
      <w:sz w:val="16"/>
      <w:szCs w:val="16"/>
    </w:rPr>
  </w:style>
  <w:style w:type="character" w:styleId="Sprotnaopomba-sklic">
    <w:name w:val="footnote reference"/>
    <w:aliases w:val="Footnote Reference Number,Footnote Reference_LVL6,Footnote Reference_LVL61,Footnote Reference_LVL62,Footnote Reference_LVL63,Footnote Reference_LVL64,C26 Footnote Number,Footnote Reference_LVL65,Footnote symbol,Re"/>
    <w:uiPriority w:val="99"/>
    <w:unhideWhenUsed/>
    <w:qFormat/>
    <w:rsid w:val="00B37ADA"/>
    <w:rPr>
      <w:vertAlign w:val="superscript"/>
    </w:rPr>
  </w:style>
  <w:style w:type="paragraph" w:customStyle="1" w:styleId="Odstavek">
    <w:name w:val="Odstavek"/>
    <w:basedOn w:val="Navaden"/>
    <w:link w:val="OdstavekZnak"/>
    <w:qFormat/>
    <w:rsid w:val="00B8746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B87462"/>
    <w:rPr>
      <w:rFonts w:ascii="Arial" w:eastAsia="Times New Roman" w:hAnsi="Arial" w:cs="Times New Roman"/>
      <w:lang w:val="x-none" w:eastAsia="x-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25A3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25A3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esma.europa.eu/sites/default/files/library/jc_2021_50_-_final_report_on_taxonomy-related_product_disclosure_rts.pdf" TargetMode="External"/><Relationship Id="rId1" Type="http://schemas.openxmlformats.org/officeDocument/2006/relationships/hyperlink" Target="https://www.esma.europa.eu/sites/default/files/library/jc_2021_03_joint_esas_final_report_on_rts_under_sfdr.pdf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1902</Words>
  <Characters>10848</Characters>
  <Application>Microsoft Office Word</Application>
  <DocSecurity>0</DocSecurity>
  <Lines>90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Gul</dc:creator>
  <cp:keywords/>
  <dc:description/>
  <cp:lastModifiedBy>Nada Bizjak</cp:lastModifiedBy>
  <cp:revision>2</cp:revision>
  <dcterms:created xsi:type="dcterms:W3CDTF">2022-04-01T09:05:00Z</dcterms:created>
  <dcterms:modified xsi:type="dcterms:W3CDTF">2022-04-01T09:05:00Z</dcterms:modified>
</cp:coreProperties>
</file>