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A5A09D" w14:textId="71BBA65D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spacing w:before="240"/>
        <w:rPr>
          <w:color w:val="000000"/>
        </w:rPr>
      </w:pPr>
      <w:r>
        <w:rPr>
          <w:color w:val="000000"/>
        </w:rPr>
        <w:t>Za izvrševanje Zakona o zdravstveni dejavnosti (Uradni list RS, št. 23/05 – uradno prečiščeno besedilo, 15/08 – ZPacP, 23/08, 58/08 – ZZdrS-E, 77/08 – ZDZdr, 40/12 – ZUJF, 14/13, 88/16 – ZdZPZD, 64/17, </w:t>
      </w:r>
      <w:hyperlink r:id="rId7">
        <w:r>
          <w:rPr>
            <w:color w:val="000000"/>
          </w:rPr>
          <w:t>1/19</w:t>
        </w:r>
      </w:hyperlink>
      <w:r>
        <w:rPr>
          <w:color w:val="000000"/>
        </w:rPr>
        <w:t> – odl. US, </w:t>
      </w:r>
      <w:hyperlink r:id="rId8">
        <w:r>
          <w:rPr>
            <w:color w:val="000000"/>
          </w:rPr>
          <w:t>73/19</w:t>
        </w:r>
      </w:hyperlink>
      <w:r>
        <w:rPr>
          <w:color w:val="000000"/>
        </w:rPr>
        <w:t xml:space="preserve">, </w:t>
      </w:r>
      <w:hyperlink r:id="rId9">
        <w:r>
          <w:rPr>
            <w:color w:val="000000"/>
          </w:rPr>
          <w:t>82/20</w:t>
        </w:r>
      </w:hyperlink>
      <w:r>
        <w:rPr>
          <w:color w:val="000000"/>
        </w:rPr>
        <w:t xml:space="preserve"> 152/20 – ZZUOOP</w:t>
      </w:r>
      <w:r w:rsidR="0073676F">
        <w:rPr>
          <w:color w:val="000000"/>
        </w:rPr>
        <w:t>,</w:t>
      </w:r>
      <w:r>
        <w:rPr>
          <w:color w:val="000000"/>
        </w:rPr>
        <w:t xml:space="preserve"> 203/20 – ZIUPOPDVE</w:t>
      </w:r>
      <w:r w:rsidR="0073676F">
        <w:rPr>
          <w:color w:val="000000"/>
        </w:rPr>
        <w:t xml:space="preserve">, </w:t>
      </w:r>
      <w:hyperlink r:id="rId10" w:tgtFrame="_blank" w:tooltip="Zakon o nujnih ukrepih na področju zdravstva" w:history="1">
        <w:r w:rsidR="0073676F" w:rsidRPr="00F96D37">
          <w:rPr>
            <w:color w:val="000000"/>
          </w:rPr>
          <w:t>112/21</w:t>
        </w:r>
      </w:hyperlink>
      <w:r w:rsidR="0073676F" w:rsidRPr="00F96D37">
        <w:rPr>
          <w:color w:val="000000"/>
        </w:rPr>
        <w:t> – ZNUPZ in </w:t>
      </w:r>
      <w:hyperlink r:id="rId11" w:tgtFrame="_blank" w:tooltip="Zakon o dolgotrajni oskrbi" w:history="1">
        <w:r w:rsidR="0073676F" w:rsidRPr="00F96D37">
          <w:rPr>
            <w:color w:val="000000"/>
          </w:rPr>
          <w:t>196/21</w:t>
        </w:r>
      </w:hyperlink>
      <w:r w:rsidR="0073676F" w:rsidRPr="00F96D37">
        <w:rPr>
          <w:color w:val="000000"/>
        </w:rPr>
        <w:t> – ZDOsk</w:t>
      </w:r>
      <w:r w:rsidR="0073676F">
        <w:rPr>
          <w:color w:val="000000"/>
        </w:rPr>
        <w:t xml:space="preserve">) </w:t>
      </w:r>
      <w:r>
        <w:rPr>
          <w:color w:val="000000"/>
        </w:rPr>
        <w:t xml:space="preserve">in Zakona o zdravstvenem varstvu in zdravstvenem zavarovanju (Uradni list RS, št. 72/06 – uradno prečiščeno besedilo, 114/06 – ZUTPG, 91/07, 76/08, 62/10 – ZUPJS, 87/11, 40/12 – ZUJF, 21/13 – ZUTD-A, 91/13, 99/13 – ZUPJS-C, 99/13 – ZSVarPre-C, 111/13 – ZMEPIZ-1, 95/14 – ZUJF-C, 47/15 – ZZSDT, 61/17 – ZUPŠ, 64/17 – ZZDej-K, </w:t>
      </w:r>
      <w:hyperlink r:id="rId12">
        <w:r>
          <w:rPr>
            <w:color w:val="000000"/>
          </w:rPr>
          <w:t>36/19</w:t>
        </w:r>
      </w:hyperlink>
      <w:r w:rsidR="0073676F">
        <w:rPr>
          <w:color w:val="000000"/>
        </w:rPr>
        <w:t>,</w:t>
      </w:r>
      <w:r>
        <w:rPr>
          <w:color w:val="000000"/>
        </w:rPr>
        <w:t xml:space="preserve"> 189/20 – ZFRO</w:t>
      </w:r>
      <w:r w:rsidR="0073676F">
        <w:rPr>
          <w:color w:val="000000"/>
        </w:rPr>
        <w:t xml:space="preserve">, </w:t>
      </w:r>
      <w:r w:rsidR="0073676F">
        <w:rPr>
          <w:b/>
          <w:bCs/>
          <w:color w:val="626060"/>
          <w:sz w:val="18"/>
          <w:szCs w:val="18"/>
          <w:shd w:val="clear" w:color="auto" w:fill="FFFFFF"/>
        </w:rPr>
        <w:t> </w:t>
      </w:r>
      <w:hyperlink r:id="rId13" w:tgtFrame="_blank" w:tooltip="Zakon o spremembah in dopolnitvah Zakona o zdravstvenem varstvu in zdravstvenem zavarovanju" w:history="1">
        <w:r w:rsidR="0073676F" w:rsidRPr="00F96D37">
          <w:rPr>
            <w:color w:val="000000"/>
          </w:rPr>
          <w:t>51/21</w:t>
        </w:r>
      </w:hyperlink>
      <w:r w:rsidR="0073676F" w:rsidRPr="00F96D37">
        <w:rPr>
          <w:color w:val="000000"/>
        </w:rPr>
        <w:t>, </w:t>
      </w:r>
      <w:hyperlink r:id="rId14" w:tgtFrame="_blank" w:tooltip="Zakon o dopolnitvah Zakona o zdravstvenem varstvu in zdravstvenem zavarovanju" w:history="1">
        <w:r w:rsidR="0073676F" w:rsidRPr="00F96D37">
          <w:rPr>
            <w:color w:val="000000"/>
          </w:rPr>
          <w:t>159/21</w:t>
        </w:r>
      </w:hyperlink>
      <w:r w:rsidR="0073676F" w:rsidRPr="00F96D37">
        <w:rPr>
          <w:color w:val="000000"/>
        </w:rPr>
        <w:t>, </w:t>
      </w:r>
      <w:hyperlink r:id="rId15" w:tgtFrame="_blank" w:tooltip="Zakon o dolgotrajni oskrbi" w:history="1">
        <w:r w:rsidR="0073676F" w:rsidRPr="00F96D37">
          <w:rPr>
            <w:color w:val="000000"/>
          </w:rPr>
          <w:t>196/21</w:t>
        </w:r>
      </w:hyperlink>
      <w:r w:rsidR="0073676F" w:rsidRPr="00F96D37">
        <w:rPr>
          <w:color w:val="000000"/>
        </w:rPr>
        <w:t> – ZDOsk in </w:t>
      </w:r>
      <w:hyperlink r:id="rId16" w:tgtFrame="_blank" w:tooltip="Zakon o dopolnitvi Zakona o zdravstvenem varstvu in zdravstvenem zavarovanju" w:history="1">
        <w:r w:rsidR="0073676F" w:rsidRPr="00F96D37">
          <w:rPr>
            <w:color w:val="000000"/>
          </w:rPr>
          <w:t>15/22</w:t>
        </w:r>
      </w:hyperlink>
      <w:r>
        <w:rPr>
          <w:color w:val="000000"/>
        </w:rPr>
        <w:t>) minister za zdravje izdaja</w:t>
      </w:r>
    </w:p>
    <w:p w14:paraId="750F67B2" w14:textId="77777777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spacing w:before="240"/>
        <w:rPr>
          <w:color w:val="000000"/>
        </w:rPr>
      </w:pPr>
    </w:p>
    <w:p w14:paraId="6B0A0E7F" w14:textId="77777777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spacing w:before="240"/>
        <w:jc w:val="center"/>
        <w:rPr>
          <w:b/>
          <w:color w:val="000000"/>
        </w:rPr>
      </w:pPr>
      <w:r>
        <w:rPr>
          <w:b/>
          <w:color w:val="000000"/>
        </w:rPr>
        <w:t>Pravilnik o spremembah in dopolnitvah Pravilnika za izvajanje preventivnega zdravstvenega varstva na primarni ravni</w:t>
      </w:r>
    </w:p>
    <w:p w14:paraId="7BDB21A2" w14:textId="77777777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spacing w:before="480"/>
        <w:ind w:left="825"/>
        <w:jc w:val="center"/>
        <w:rPr>
          <w:rFonts w:eastAsia="Arial"/>
          <w:b/>
          <w:color w:val="000000"/>
          <w:szCs w:val="22"/>
        </w:rPr>
      </w:pPr>
      <w:r>
        <w:rPr>
          <w:rFonts w:eastAsia="Arial"/>
          <w:b/>
          <w:color w:val="000000"/>
          <w:szCs w:val="22"/>
        </w:rPr>
        <w:t>1. člen</w:t>
      </w:r>
    </w:p>
    <w:p w14:paraId="20A63BAA" w14:textId="46EA3B84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spacing w:before="480"/>
        <w:rPr>
          <w:color w:val="000000"/>
        </w:rPr>
      </w:pPr>
      <w:r>
        <w:rPr>
          <w:color w:val="000000"/>
        </w:rPr>
        <w:t>V Pravilniku za izvajanje preventivnega zdravstvenega varstva na primarni ravni (Uradni list RS, št. 19/98, 47/98, 26/00, 67/01, 33/02, 37/03, 117/04, 31/05, 83/07, 22/09, 17/15, 47/18, 57/18</w:t>
      </w:r>
      <w:r w:rsidR="0073676F">
        <w:rPr>
          <w:color w:val="000000"/>
        </w:rPr>
        <w:t>,</w:t>
      </w:r>
      <w:r>
        <w:rPr>
          <w:color w:val="000000"/>
        </w:rPr>
        <w:t xml:space="preserve"> 57/18</w:t>
      </w:r>
      <w:r w:rsidR="0073676F">
        <w:rPr>
          <w:color w:val="000000"/>
        </w:rPr>
        <w:t xml:space="preserve">, </w:t>
      </w:r>
      <w:r w:rsidR="0073676F" w:rsidRPr="00F96D37">
        <w:rPr>
          <w:color w:val="000000"/>
        </w:rPr>
        <w:t> </w:t>
      </w:r>
      <w:hyperlink r:id="rId17" w:tgtFrame="_blank" w:tooltip="Pravilnik o spremembah Pravilnika za izvajanje preventivnega zdravstvenega varstva na primarni ravni" w:history="1">
        <w:r w:rsidR="0073676F" w:rsidRPr="00F96D37">
          <w:rPr>
            <w:color w:val="000000"/>
          </w:rPr>
          <w:t>57/21</w:t>
        </w:r>
      </w:hyperlink>
      <w:r w:rsidR="0073676F" w:rsidRPr="00F96D37">
        <w:rPr>
          <w:color w:val="000000"/>
        </w:rPr>
        <w:t> in </w:t>
      </w:r>
      <w:hyperlink r:id="rId18" w:tgtFrame="_blank" w:tooltip="Pravilnik o dopolnitvah Pravilnika za izvajanje preventivnega zdravstvenega varstva na primarni ravni" w:history="1">
        <w:r w:rsidR="0073676F" w:rsidRPr="00F96D37">
          <w:rPr>
            <w:color w:val="000000"/>
          </w:rPr>
          <w:t>162/21</w:t>
        </w:r>
      </w:hyperlink>
      <w:r>
        <w:rPr>
          <w:color w:val="000000"/>
        </w:rPr>
        <w:t xml:space="preserve">) se v točki II besedilo poglavja 1.2.2 spremeni tako, da se glasi: </w:t>
      </w:r>
    </w:p>
    <w:p w14:paraId="244BAD52" w14:textId="77777777" w:rsidR="00536654" w:rsidRDefault="00536654" w:rsidP="00F96D37">
      <w:pPr>
        <w:pBdr>
          <w:top w:val="nil"/>
          <w:left w:val="nil"/>
          <w:bottom w:val="nil"/>
          <w:right w:val="nil"/>
          <w:between w:val="nil"/>
        </w:pBdr>
        <w:spacing w:before="240"/>
        <w:rPr>
          <w:rFonts w:eastAsia="Arial"/>
          <w:color w:val="000000"/>
          <w:szCs w:val="22"/>
        </w:rPr>
      </w:pPr>
    </w:p>
    <w:p w14:paraId="0644DDFC" w14:textId="77777777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spacing w:before="240"/>
        <w:ind w:firstLine="1021"/>
        <w:rPr>
          <w:rFonts w:eastAsia="Arial"/>
          <w:color w:val="000000"/>
          <w:szCs w:val="22"/>
        </w:rPr>
      </w:pPr>
      <w:r>
        <w:rPr>
          <w:rFonts w:eastAsia="Arial"/>
          <w:color w:val="000000"/>
          <w:szCs w:val="22"/>
        </w:rPr>
        <w:t xml:space="preserve">»Namen teh pregledov je aktiven zdravstveni nadzor nosečnic in ploda (ocena tveganja za neugoden izid nosečnosti). </w:t>
      </w:r>
    </w:p>
    <w:p w14:paraId="1B04D30F" w14:textId="77777777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spacing w:before="240"/>
        <w:ind w:firstLine="1021"/>
        <w:rPr>
          <w:rFonts w:eastAsia="Arial"/>
          <w:color w:val="000000"/>
          <w:szCs w:val="22"/>
        </w:rPr>
      </w:pPr>
      <w:r>
        <w:rPr>
          <w:rFonts w:eastAsia="Arial"/>
          <w:color w:val="000000"/>
          <w:szCs w:val="22"/>
        </w:rPr>
        <w:t xml:space="preserve">V času nosečnosti je treba opraviti deset sistematičnih pregledov, tri ultrazvočne preiskave, ki so del sistematičnega pregleda in pregled zaradi presejanja za kromosomopatije pri plodu ter izvesti individualna svetovanja. </w:t>
      </w:r>
    </w:p>
    <w:p w14:paraId="23219701" w14:textId="3448829B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spacing w:before="240"/>
        <w:ind w:firstLine="1021"/>
        <w:rPr>
          <w:rFonts w:eastAsia="Arial"/>
          <w:color w:val="000000"/>
          <w:szCs w:val="22"/>
        </w:rPr>
      </w:pPr>
      <w:r>
        <w:rPr>
          <w:rFonts w:eastAsia="Arial"/>
          <w:color w:val="000000"/>
          <w:szCs w:val="22"/>
        </w:rPr>
        <w:t>Prvi pregled nosečnice opravi ginekolog v času do 12. tedna nosečnosti in opredeli stopnjo ogroženosti nosečnosti; pri ogroženih nosečnicah se za nadaljnje spremljanje poveže s sekundarnim centrom. Ponovni sistematični preventivni pregledi so okvirno v 24., 28., 35. in 40. tednu nosečnosti in jih mora opraviti izbrani ginekolog. V 20. -</w:t>
      </w:r>
      <w:r w:rsidR="0073676F">
        <w:rPr>
          <w:rFonts w:eastAsia="Arial"/>
          <w:color w:val="000000"/>
          <w:szCs w:val="22"/>
        </w:rPr>
        <w:t xml:space="preserve"> </w:t>
      </w:r>
      <w:r>
        <w:rPr>
          <w:rFonts w:eastAsia="Arial"/>
          <w:color w:val="000000"/>
          <w:szCs w:val="22"/>
        </w:rPr>
        <w:t xml:space="preserve">21. tednu nosečnosti se opravi ultrazvočni pregled in usmerjen pogovor z nosečnico. Ostalih pet sistematičnih pregledov pri zdravi nosečnici z nizkim tveganjem za zaplete v 16., 32., 37., 38. in 39. tednu nosečnosti pa opravi diplomirana babica ali za samostojno delo izobražena diplomirana medicinska sestra v ginekološkem timu. Če v ginekološkem timu ni zaposlena diplomirana babica ali za samostojno delo izobražena diplomirana medicinska sestra ali zdravstvena ustanova nima ginekološko-porodniške referenčne ambulante, opravi tudi te preglede ginekolog. </w:t>
      </w:r>
    </w:p>
    <w:p w14:paraId="5AAACFD0" w14:textId="77777777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spacing w:before="240"/>
        <w:ind w:firstLine="1021"/>
        <w:rPr>
          <w:rFonts w:eastAsia="Arial"/>
          <w:color w:val="000000"/>
          <w:szCs w:val="22"/>
        </w:rPr>
      </w:pPr>
      <w:r>
        <w:rPr>
          <w:rFonts w:eastAsia="Arial"/>
          <w:color w:val="000000"/>
          <w:szCs w:val="22"/>
        </w:rPr>
        <w:t xml:space="preserve">Prvi sistematični preventivni pregled nosečnice naj bo v času do 12. tedna nosečnosti;. </w:t>
      </w:r>
    </w:p>
    <w:p w14:paraId="65F33F38" w14:textId="77777777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spacing w:before="240"/>
        <w:ind w:firstLine="1021"/>
        <w:rPr>
          <w:rFonts w:eastAsia="Arial"/>
          <w:color w:val="000000"/>
          <w:szCs w:val="22"/>
        </w:rPr>
      </w:pPr>
      <w:r>
        <w:rPr>
          <w:rFonts w:eastAsia="Arial"/>
          <w:color w:val="000000"/>
          <w:szCs w:val="22"/>
        </w:rPr>
        <w:t xml:space="preserve">Prvi sistematični pregled nosečnice obsega: </w:t>
      </w:r>
    </w:p>
    <w:p w14:paraId="3FCD2D52" w14:textId="77777777" w:rsidR="00536654" w:rsidRDefault="00536654" w:rsidP="0053665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</w:pPr>
      <w:r>
        <w:rPr>
          <w:rFonts w:eastAsia="Arial"/>
          <w:color w:val="000000"/>
          <w:szCs w:val="22"/>
        </w:rPr>
        <w:t xml:space="preserve">pregled zdravstvene dokumentacije; </w:t>
      </w:r>
    </w:p>
    <w:p w14:paraId="3D5084CC" w14:textId="77777777" w:rsidR="00536654" w:rsidRDefault="00536654" w:rsidP="0053665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</w:pPr>
      <w:r>
        <w:rPr>
          <w:rFonts w:eastAsia="Arial"/>
          <w:color w:val="000000"/>
          <w:szCs w:val="22"/>
        </w:rPr>
        <w:t>družinsko, osebno, ginekološko in porodniško anamnezo, usmerjeno v dejavnike tveganja;</w:t>
      </w:r>
    </w:p>
    <w:p w14:paraId="55035010" w14:textId="77777777" w:rsidR="00536654" w:rsidRDefault="00536654" w:rsidP="0053665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</w:pPr>
      <w:r>
        <w:rPr>
          <w:rFonts w:eastAsia="Arial"/>
          <w:color w:val="000000"/>
          <w:szCs w:val="22"/>
        </w:rPr>
        <w:t>presejanje za depresivne in anksiozne motnje,</w:t>
      </w:r>
      <w:r>
        <w:t xml:space="preserve"> odvisnost</w:t>
      </w:r>
      <w:r>
        <w:rPr>
          <w:rFonts w:eastAsia="Arial"/>
          <w:color w:val="000000"/>
          <w:szCs w:val="22"/>
        </w:rPr>
        <w:t xml:space="preserve"> ter nasilje v družini;</w:t>
      </w:r>
    </w:p>
    <w:p w14:paraId="7B235A5D" w14:textId="77777777" w:rsidR="00536654" w:rsidRDefault="00536654" w:rsidP="0053665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</w:pPr>
      <w:r>
        <w:rPr>
          <w:rFonts w:eastAsia="Arial"/>
          <w:color w:val="000000"/>
          <w:szCs w:val="22"/>
        </w:rPr>
        <w:t xml:space="preserve">preverjanje jemanja folne kisline in vitamina D; </w:t>
      </w:r>
    </w:p>
    <w:p w14:paraId="164E98D9" w14:textId="77777777" w:rsidR="00536654" w:rsidRDefault="00536654" w:rsidP="0053665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</w:pPr>
      <w:r>
        <w:rPr>
          <w:rFonts w:eastAsia="Arial"/>
          <w:color w:val="000000"/>
          <w:szCs w:val="22"/>
        </w:rPr>
        <w:t xml:space="preserve">ginekološki pregled, bris materničnega vratu pa le, če je zadnji izvid starejši od treh let ali pa je bil ocenjen </w:t>
      </w:r>
      <w:r>
        <w:t>z</w:t>
      </w:r>
      <w:r>
        <w:rPr>
          <w:rFonts w:eastAsia="Arial"/>
          <w:color w:val="000000"/>
          <w:szCs w:val="22"/>
        </w:rPr>
        <w:t xml:space="preserve"> </w:t>
      </w:r>
      <w:r>
        <w:t>APC-N</w:t>
      </w:r>
      <w:r>
        <w:rPr>
          <w:rFonts w:eastAsia="Arial"/>
          <w:color w:val="000000"/>
          <w:szCs w:val="22"/>
        </w:rPr>
        <w:t xml:space="preserve"> ali več; </w:t>
      </w:r>
    </w:p>
    <w:p w14:paraId="604A886F" w14:textId="77777777" w:rsidR="00536654" w:rsidRDefault="00536654" w:rsidP="0053665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</w:pPr>
      <w:r>
        <w:rPr>
          <w:rFonts w:eastAsia="Arial"/>
          <w:color w:val="000000"/>
          <w:szCs w:val="22"/>
        </w:rPr>
        <w:lastRenderedPageBreak/>
        <w:t xml:space="preserve">orientacijski splošni somatski status, merjenje telesne teže in krvnega tlaka; </w:t>
      </w:r>
    </w:p>
    <w:p w14:paraId="2660EEBB" w14:textId="77777777" w:rsidR="00536654" w:rsidRDefault="00536654" w:rsidP="0053665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eastAsia="Arial"/>
          <w:color w:val="000000"/>
          <w:szCs w:val="22"/>
        </w:rPr>
      </w:pPr>
      <w:r>
        <w:rPr>
          <w:rFonts w:eastAsia="Arial"/>
          <w:color w:val="000000"/>
          <w:szCs w:val="22"/>
        </w:rPr>
        <w:t>laboratorijske preiskave: hemogram, krvni sladkor na tešče, krvna skupina in Rh</w:t>
      </w:r>
      <w:r>
        <w:t>-</w:t>
      </w:r>
      <w:r>
        <w:rPr>
          <w:rFonts w:eastAsia="Arial"/>
          <w:color w:val="000000"/>
          <w:szCs w:val="22"/>
        </w:rPr>
        <w:t>D, ICT, serološke preiskave na toksoplazmozo, sifilis, anti-HIV, anti-HCV, hepatitis B, urinske preiskave</w:t>
      </w:r>
      <w:r>
        <w:t xml:space="preserve"> - </w:t>
      </w:r>
      <w:r>
        <w:rPr>
          <w:rFonts w:eastAsia="Arial"/>
          <w:color w:val="000000"/>
          <w:szCs w:val="22"/>
        </w:rPr>
        <w:t>albumen, sedimen</w:t>
      </w:r>
      <w:r>
        <w:t xml:space="preserve">t, urinokulturo. </w:t>
      </w:r>
      <w:r w:rsidRPr="00536654">
        <w:t>PCR test na spolno prenosljive bolezni (C. trachomatis, N. gonorrhoeae in urogenitalne mikoplazme) in anti-HCV opravimo glede na strokovno opredeljeno indikacijo.</w:t>
      </w:r>
      <w:r>
        <w:t xml:space="preserve"> Serološka preiskava na hepatitis B se izvaja na sledeči način: anti-HBs (za roj. po letu 1992 ali cepljene), anti-HBc (za roj. pred letom 1992 ali necepljene), HBsAg opravimo, če je anti-HBc pozitiven.</w:t>
      </w:r>
    </w:p>
    <w:p w14:paraId="6FB33EB1" w14:textId="77777777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spacing w:before="240"/>
        <w:ind w:firstLine="1021"/>
      </w:pPr>
      <w:r>
        <w:rPr>
          <w:rFonts w:eastAsia="Arial"/>
          <w:i/>
          <w:color w:val="000000"/>
          <w:szCs w:val="22"/>
        </w:rPr>
        <w:t>Individualno zdravstveno vzgojno svetovanje v nosečnosti</w:t>
      </w:r>
      <w:r>
        <w:rPr>
          <w:rFonts w:eastAsia="Arial"/>
          <w:color w:val="000000"/>
          <w:szCs w:val="22"/>
        </w:rPr>
        <w:t xml:space="preserve"> obsega zdravstvena priporočila v zvezi z nosečnostjo, s posebnim poudarkom na delu, ki ga nosečnica opravlja, ter je posvečeno spodbujanju zdravega načina življenja in nadzoru telesne teže. Opravi ga lahko diplomirana babica individualno ali v skupinski obliki.</w:t>
      </w:r>
      <w:r>
        <w:t xml:space="preserve"> N</w:t>
      </w:r>
      <w:r>
        <w:rPr>
          <w:highlight w:val="white"/>
        </w:rPr>
        <w:t>osečnico spodbudi k udeležbi na Pripravi na porod in starševstvo in Vadbi za nosečnice in pri ponovnem pregledu preveri ali je priporočilo upoštevala.</w:t>
      </w:r>
    </w:p>
    <w:p w14:paraId="4A79066F" w14:textId="77777777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spacing w:before="240"/>
        <w:ind w:firstLine="1021"/>
        <w:rPr>
          <w:rFonts w:eastAsia="Arial"/>
          <w:color w:val="000000"/>
          <w:szCs w:val="22"/>
        </w:rPr>
      </w:pPr>
      <w:r>
        <w:rPr>
          <w:rFonts w:eastAsia="Arial"/>
          <w:i/>
          <w:color w:val="000000"/>
          <w:szCs w:val="22"/>
        </w:rPr>
        <w:t>Izdaja materinske knjižice</w:t>
      </w:r>
      <w:r>
        <w:rPr>
          <w:rFonts w:eastAsia="Arial"/>
          <w:color w:val="000000"/>
          <w:szCs w:val="22"/>
        </w:rPr>
        <w:t xml:space="preserve"> z vpisanimi podatki opravljenega pregleda, preiskav in opozoril. Materinska knjižica je obvezna dokumentacija preventivnega programa nosečnic, ki jo izda izbrani ginekolog ob prvem pregledu v nosečnosti. Materinska knjižica vsebuje sledeče podatke o nosečnici:</w:t>
      </w:r>
    </w:p>
    <w:p w14:paraId="1FF8AD2A" w14:textId="77777777" w:rsidR="00536654" w:rsidRDefault="00536654" w:rsidP="0053665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eastAsia="Arial"/>
          <w:color w:val="000000"/>
          <w:szCs w:val="22"/>
        </w:rPr>
      </w:pPr>
      <w:r>
        <w:rPr>
          <w:rFonts w:eastAsia="Arial"/>
          <w:color w:val="000000"/>
          <w:szCs w:val="22"/>
        </w:rPr>
        <w:t>ime in priimek</w:t>
      </w:r>
    </w:p>
    <w:p w14:paraId="2217D9C2" w14:textId="77777777" w:rsidR="00536654" w:rsidRDefault="00536654" w:rsidP="0053665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eastAsia="Arial"/>
          <w:color w:val="000000"/>
          <w:szCs w:val="22"/>
        </w:rPr>
      </w:pPr>
      <w:r>
        <w:rPr>
          <w:rFonts w:eastAsia="Arial"/>
          <w:color w:val="000000"/>
          <w:szCs w:val="22"/>
        </w:rPr>
        <w:t>rojstni datum</w:t>
      </w:r>
    </w:p>
    <w:p w14:paraId="0809B57B" w14:textId="77777777" w:rsidR="00536654" w:rsidRDefault="00536654" w:rsidP="0053665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eastAsia="Arial"/>
          <w:color w:val="000000"/>
          <w:szCs w:val="22"/>
        </w:rPr>
      </w:pPr>
      <w:r>
        <w:rPr>
          <w:rFonts w:eastAsia="Arial"/>
          <w:color w:val="000000"/>
          <w:szCs w:val="22"/>
        </w:rPr>
        <w:t>naslov stalnega bivališča</w:t>
      </w:r>
    </w:p>
    <w:p w14:paraId="7783E687" w14:textId="77777777" w:rsidR="00536654" w:rsidRDefault="00536654" w:rsidP="0053665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eastAsia="Arial"/>
          <w:color w:val="000000"/>
          <w:szCs w:val="22"/>
        </w:rPr>
      </w:pPr>
      <w:r>
        <w:rPr>
          <w:rFonts w:eastAsia="Arial"/>
          <w:color w:val="000000"/>
          <w:szCs w:val="22"/>
        </w:rPr>
        <w:t>opravljene presejalne preiskave in testi</w:t>
      </w:r>
    </w:p>
    <w:p w14:paraId="1A2FC7C0" w14:textId="77777777" w:rsidR="00536654" w:rsidRDefault="00536654" w:rsidP="0053665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eastAsia="Arial"/>
          <w:color w:val="000000"/>
          <w:szCs w:val="22"/>
        </w:rPr>
      </w:pPr>
      <w:r>
        <w:rPr>
          <w:rFonts w:eastAsia="Arial"/>
          <w:color w:val="000000"/>
          <w:szCs w:val="22"/>
        </w:rPr>
        <w:t>zabeležka o aplikaciji IgG anti-D pri Rh-D negativnih nosečnicah</w:t>
      </w:r>
    </w:p>
    <w:p w14:paraId="360ECA39" w14:textId="77777777" w:rsidR="00536654" w:rsidRDefault="00536654" w:rsidP="0053665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eastAsia="Arial"/>
          <w:color w:val="000000"/>
          <w:szCs w:val="22"/>
        </w:rPr>
      </w:pPr>
      <w:r>
        <w:rPr>
          <w:rFonts w:eastAsia="Arial"/>
          <w:color w:val="000000"/>
          <w:szCs w:val="22"/>
        </w:rPr>
        <w:t>anamnestične podatke</w:t>
      </w:r>
    </w:p>
    <w:p w14:paraId="7070AC65" w14:textId="77777777" w:rsidR="00536654" w:rsidRDefault="00536654" w:rsidP="0053665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eastAsia="Arial"/>
          <w:color w:val="000000"/>
          <w:szCs w:val="22"/>
        </w:rPr>
      </w:pPr>
      <w:r>
        <w:rPr>
          <w:rFonts w:eastAsia="Arial"/>
          <w:color w:val="000000"/>
          <w:szCs w:val="22"/>
        </w:rPr>
        <w:t>datum zadnje menstruacije</w:t>
      </w:r>
    </w:p>
    <w:p w14:paraId="2D9287AB" w14:textId="77777777" w:rsidR="00536654" w:rsidRDefault="00536654" w:rsidP="0053665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eastAsia="Arial"/>
          <w:color w:val="000000"/>
          <w:szCs w:val="22"/>
        </w:rPr>
      </w:pPr>
      <w:r>
        <w:rPr>
          <w:rFonts w:eastAsia="Arial"/>
          <w:color w:val="000000"/>
          <w:szCs w:val="22"/>
        </w:rPr>
        <w:t>datum predvidenega poroda</w:t>
      </w:r>
    </w:p>
    <w:p w14:paraId="696B7107" w14:textId="77777777" w:rsidR="00536654" w:rsidRDefault="00536654" w:rsidP="0053665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eastAsia="Arial"/>
          <w:color w:val="000000"/>
          <w:szCs w:val="22"/>
        </w:rPr>
      </w:pPr>
      <w:r>
        <w:rPr>
          <w:rFonts w:eastAsia="Arial"/>
          <w:color w:val="000000"/>
          <w:szCs w:val="22"/>
        </w:rPr>
        <w:t>zabeležke o ambulantnih pregledih in izvidih, ultrazvočnih pregledih in meritevah</w:t>
      </w:r>
    </w:p>
    <w:p w14:paraId="59DC0570" w14:textId="77777777" w:rsidR="00536654" w:rsidRDefault="00536654" w:rsidP="0053665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eastAsia="Arial"/>
          <w:color w:val="000000"/>
          <w:szCs w:val="22"/>
        </w:rPr>
      </w:pPr>
      <w:r>
        <w:rPr>
          <w:rFonts w:eastAsia="Arial"/>
          <w:color w:val="000000"/>
          <w:szCs w:val="22"/>
        </w:rPr>
        <w:t>zabeležka o genetskem posvetu in intrauterinih posegih, če so bili opravljeni</w:t>
      </w:r>
    </w:p>
    <w:p w14:paraId="68C9891B" w14:textId="77777777" w:rsidR="00536654" w:rsidRDefault="00536654" w:rsidP="0053665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eastAsia="Arial"/>
          <w:color w:val="000000"/>
          <w:szCs w:val="22"/>
        </w:rPr>
      </w:pPr>
      <w:r>
        <w:rPr>
          <w:rFonts w:eastAsia="Arial"/>
          <w:color w:val="000000"/>
          <w:szCs w:val="22"/>
        </w:rPr>
        <w:t>zapis zdravil v nosečnosti</w:t>
      </w:r>
    </w:p>
    <w:p w14:paraId="169DAE79" w14:textId="77777777" w:rsidR="00536654" w:rsidRDefault="00536654" w:rsidP="0053665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eastAsia="Arial"/>
          <w:color w:val="000000"/>
          <w:szCs w:val="22"/>
        </w:rPr>
      </w:pPr>
      <w:r>
        <w:rPr>
          <w:rFonts w:eastAsia="Arial"/>
          <w:color w:val="000000"/>
          <w:szCs w:val="22"/>
        </w:rPr>
        <w:t>označitev bolezni v nosečnosti</w:t>
      </w:r>
    </w:p>
    <w:p w14:paraId="3A3B0D62" w14:textId="77777777" w:rsidR="00536654" w:rsidRDefault="00536654" w:rsidP="0053665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eastAsia="Arial"/>
          <w:color w:val="000000"/>
          <w:szCs w:val="22"/>
        </w:rPr>
      </w:pPr>
      <w:r>
        <w:rPr>
          <w:rFonts w:eastAsia="Arial"/>
          <w:color w:val="000000"/>
          <w:szCs w:val="22"/>
        </w:rPr>
        <w:t>označitev dejavnikov tveganja in opozorilnih znakov za zaplete v nosečnosti (prezgodnji porod, sladkorna bolezen, zastoj rasti, preeklampsija, napake ploda), če so ti prisotni</w:t>
      </w:r>
    </w:p>
    <w:p w14:paraId="067D2FA3" w14:textId="77777777" w:rsidR="00536654" w:rsidRDefault="00536654" w:rsidP="0053665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eastAsia="Arial"/>
          <w:color w:val="000000"/>
          <w:szCs w:val="22"/>
        </w:rPr>
      </w:pPr>
      <w:r>
        <w:rPr>
          <w:rFonts w:eastAsia="Arial"/>
          <w:color w:val="000000"/>
          <w:szCs w:val="22"/>
        </w:rPr>
        <w:t>zapis o porodu in otroku ter o premestitvi otroka, če je bil ta premeščen</w:t>
      </w:r>
    </w:p>
    <w:p w14:paraId="0B993B30" w14:textId="77777777" w:rsidR="00536654" w:rsidRDefault="00536654" w:rsidP="0053665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eastAsia="Arial"/>
          <w:color w:val="000000"/>
          <w:szCs w:val="22"/>
        </w:rPr>
      </w:pPr>
      <w:r>
        <w:rPr>
          <w:rFonts w:eastAsia="Arial"/>
          <w:color w:val="000000"/>
          <w:szCs w:val="22"/>
        </w:rPr>
        <w:t>zapis o poporodnem pregledu</w:t>
      </w:r>
    </w:p>
    <w:p w14:paraId="1080520B" w14:textId="77777777" w:rsidR="00536654" w:rsidRDefault="00536654" w:rsidP="0053665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</w:pPr>
      <w:r>
        <w:rPr>
          <w:rFonts w:eastAsia="Arial"/>
          <w:color w:val="000000"/>
          <w:szCs w:val="22"/>
        </w:rPr>
        <w:t>ime in priimek ter zdravstvena ustanova izbranega ginekologa.</w:t>
      </w:r>
    </w:p>
    <w:p w14:paraId="25D82CEA" w14:textId="77777777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spacing w:before="240"/>
        <w:ind w:firstLine="1021"/>
        <w:rPr>
          <w:rFonts w:eastAsia="Arial"/>
          <w:i/>
          <w:color w:val="000000"/>
          <w:szCs w:val="22"/>
        </w:rPr>
      </w:pPr>
      <w:r>
        <w:rPr>
          <w:rFonts w:eastAsia="Arial"/>
          <w:i/>
          <w:color w:val="000000"/>
          <w:szCs w:val="22"/>
        </w:rPr>
        <w:t xml:space="preserve">Ponovni preventivni sistematični pregledi nosečnic obsegajo: </w:t>
      </w:r>
    </w:p>
    <w:p w14:paraId="713FDA55" w14:textId="77777777" w:rsidR="00536654" w:rsidRDefault="00536654" w:rsidP="0053665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</w:pPr>
      <w:r>
        <w:rPr>
          <w:rFonts w:eastAsia="Arial"/>
          <w:color w:val="000000"/>
          <w:szCs w:val="22"/>
        </w:rPr>
        <w:t xml:space="preserve">pregled zdravstvene dokumentacije; </w:t>
      </w:r>
    </w:p>
    <w:p w14:paraId="39A7DA1A" w14:textId="77777777" w:rsidR="00536654" w:rsidRDefault="00536654" w:rsidP="0053665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</w:pPr>
      <w:r>
        <w:rPr>
          <w:rFonts w:eastAsia="Arial"/>
          <w:color w:val="000000"/>
          <w:szCs w:val="22"/>
        </w:rPr>
        <w:t>osebno in nosečnostno anamnezo od zadnjega pregleda;</w:t>
      </w:r>
    </w:p>
    <w:p w14:paraId="7766EE95" w14:textId="77777777" w:rsidR="00536654" w:rsidRDefault="00536654" w:rsidP="0053665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</w:pPr>
      <w:r>
        <w:rPr>
          <w:rFonts w:eastAsia="Arial"/>
          <w:color w:val="000000"/>
          <w:szCs w:val="22"/>
        </w:rPr>
        <w:t xml:space="preserve">presejanje za depresivne in anksiozne motnje, </w:t>
      </w:r>
      <w:r>
        <w:t>odvisnost</w:t>
      </w:r>
      <w:r>
        <w:rPr>
          <w:rFonts w:eastAsia="Arial"/>
          <w:color w:val="000000"/>
          <w:szCs w:val="22"/>
        </w:rPr>
        <w:t xml:space="preserve"> ter nasilje v družini (še dvakrat – v drugem in tretjem trimesečju);</w:t>
      </w:r>
      <w:r>
        <w:t xml:space="preserve"> </w:t>
      </w:r>
    </w:p>
    <w:p w14:paraId="42DBD3D9" w14:textId="77777777" w:rsidR="00536654" w:rsidRDefault="00536654" w:rsidP="0053665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</w:pPr>
      <w:r>
        <w:rPr>
          <w:rFonts w:eastAsia="Arial"/>
          <w:color w:val="000000"/>
          <w:szCs w:val="22"/>
        </w:rPr>
        <w:t xml:space="preserve">ginekološki pregled po presoji, merjenje oziroma ocena rasti maternice, CTG (po strokovni presoji, skladno z veljavnimi strokovnimi priporočili); </w:t>
      </w:r>
    </w:p>
    <w:p w14:paraId="065B0048" w14:textId="77777777" w:rsidR="00536654" w:rsidRDefault="00536654" w:rsidP="0053665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</w:pPr>
      <w:r>
        <w:rPr>
          <w:rFonts w:eastAsia="Arial"/>
          <w:color w:val="000000"/>
          <w:szCs w:val="22"/>
        </w:rPr>
        <w:t xml:space="preserve">merjenje telesne teže, krvnega tlaka; </w:t>
      </w:r>
    </w:p>
    <w:p w14:paraId="6C267277" w14:textId="77777777" w:rsidR="00536654" w:rsidRDefault="00536654" w:rsidP="0053665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eastAsia="Arial"/>
          <w:color w:val="000000"/>
          <w:szCs w:val="22"/>
        </w:rPr>
      </w:pPr>
      <w:r>
        <w:rPr>
          <w:rFonts w:eastAsia="Arial"/>
          <w:color w:val="000000"/>
          <w:szCs w:val="22"/>
        </w:rPr>
        <w:t>laboratorijske preiskave: urin (albumen, sediment) (</w:t>
      </w:r>
      <w:r>
        <w:t xml:space="preserve">v </w:t>
      </w:r>
      <w:r>
        <w:rPr>
          <w:rFonts w:eastAsia="Arial"/>
          <w:color w:val="000000"/>
          <w:szCs w:val="22"/>
        </w:rPr>
        <w:t>24. tedn</w:t>
      </w:r>
      <w:r>
        <w:t>u</w:t>
      </w:r>
      <w:r>
        <w:rPr>
          <w:rFonts w:eastAsia="Arial"/>
          <w:color w:val="000000"/>
          <w:szCs w:val="22"/>
        </w:rPr>
        <w:t xml:space="preserve"> </w:t>
      </w:r>
      <w:r>
        <w:t>in nato</w:t>
      </w:r>
      <w:r>
        <w:rPr>
          <w:rFonts w:eastAsia="Arial"/>
          <w:color w:val="000000"/>
          <w:szCs w:val="22"/>
        </w:rPr>
        <w:t xml:space="preserve"> pri vsakem pregledu, če je urinokultura pri prvem pregledu v nosečnosti negativna</w:t>
      </w:r>
      <w:r>
        <w:t>)</w:t>
      </w:r>
      <w:r>
        <w:rPr>
          <w:rFonts w:eastAsia="Arial"/>
          <w:color w:val="000000"/>
          <w:szCs w:val="22"/>
        </w:rPr>
        <w:t>, hemogram (še dvakrat v nosečnosti).</w:t>
      </w:r>
    </w:p>
    <w:p w14:paraId="1A0234CC" w14:textId="77777777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ind w:left="425" w:hanging="425"/>
        <w:rPr>
          <w:rFonts w:eastAsia="Arial"/>
          <w:color w:val="000000"/>
          <w:szCs w:val="22"/>
        </w:rPr>
      </w:pPr>
    </w:p>
    <w:p w14:paraId="61B0296F" w14:textId="77777777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ind w:left="425" w:hanging="425"/>
        <w:rPr>
          <w:rFonts w:eastAsia="Arial"/>
          <w:i/>
          <w:color w:val="000000"/>
          <w:szCs w:val="22"/>
        </w:rPr>
      </w:pPr>
      <w:r>
        <w:rPr>
          <w:rFonts w:eastAsia="Arial"/>
          <w:i/>
          <w:color w:val="000000"/>
          <w:szCs w:val="22"/>
        </w:rPr>
        <w:t xml:space="preserve">Ostale laboratorijske preiskave in testi v nosečnosti </w:t>
      </w:r>
    </w:p>
    <w:p w14:paraId="3E32716C" w14:textId="77777777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ind w:left="425" w:hanging="425"/>
        <w:rPr>
          <w:rFonts w:eastAsia="Arial"/>
          <w:color w:val="000000"/>
          <w:szCs w:val="22"/>
        </w:rPr>
      </w:pPr>
    </w:p>
    <w:p w14:paraId="30361DDE" w14:textId="77777777" w:rsidR="00536654" w:rsidRDefault="00536654" w:rsidP="0053665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eastAsia="Arial"/>
          <w:color w:val="000000"/>
          <w:szCs w:val="22"/>
        </w:rPr>
      </w:pPr>
      <w:r>
        <w:rPr>
          <w:rFonts w:eastAsia="Arial"/>
          <w:color w:val="000000"/>
          <w:szCs w:val="22"/>
        </w:rPr>
        <w:t xml:space="preserve">Za odkrivanje sladkorne bolezni v nosečnosti se pri nosečnicah </w:t>
      </w:r>
      <w:r>
        <w:t>z normalno  vrednostjo</w:t>
      </w:r>
      <w:r>
        <w:rPr>
          <w:rFonts w:eastAsia="Arial"/>
          <w:color w:val="000000"/>
          <w:szCs w:val="22"/>
        </w:rPr>
        <w:t xml:space="preserve"> krvnega sladkorj</w:t>
      </w:r>
      <w:r>
        <w:t>a</w:t>
      </w:r>
      <w:r>
        <w:rPr>
          <w:rFonts w:eastAsia="Arial"/>
          <w:color w:val="000000"/>
          <w:szCs w:val="22"/>
        </w:rPr>
        <w:t xml:space="preserve"> na tešče v prvem trimesečju opravi obremenilni test z glukozo (24. do 28. teden).</w:t>
      </w:r>
    </w:p>
    <w:p w14:paraId="27249B20" w14:textId="77777777" w:rsidR="00536654" w:rsidRPr="00536654" w:rsidRDefault="00536654" w:rsidP="0053665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eastAsia="Arial"/>
          <w:color w:val="000000"/>
          <w:szCs w:val="22"/>
        </w:rPr>
      </w:pPr>
      <w:r w:rsidRPr="00536654">
        <w:rPr>
          <w:rFonts w:eastAsia="Arial"/>
          <w:color w:val="000000"/>
          <w:szCs w:val="22"/>
        </w:rPr>
        <w:lastRenderedPageBreak/>
        <w:t>Pri Rh-D negativnih nosečnicah se določi Rh-D genotip ploda iz proste plodove DNK iz materine krvi (2</w:t>
      </w:r>
      <w:r w:rsidRPr="00536654">
        <w:t>4</w:t>
      </w:r>
      <w:r w:rsidRPr="00536654">
        <w:rPr>
          <w:rFonts w:eastAsia="Arial"/>
          <w:color w:val="000000"/>
          <w:szCs w:val="22"/>
        </w:rPr>
        <w:t>. – 28. teden) ter indirektni Coombsov test (28. – 30. teden) pri Rh-D</w:t>
      </w:r>
      <w:r w:rsidRPr="00536654">
        <w:t xml:space="preserve"> </w:t>
      </w:r>
      <w:r w:rsidRPr="00536654">
        <w:rPr>
          <w:rFonts w:eastAsia="Arial"/>
          <w:color w:val="000000"/>
          <w:szCs w:val="22"/>
        </w:rPr>
        <w:t>negativnih nosečnicah z Rh-D pozitivnim plodom.</w:t>
      </w:r>
    </w:p>
    <w:p w14:paraId="425FED6C" w14:textId="77777777" w:rsidR="00536654" w:rsidRPr="00536654" w:rsidRDefault="00536654" w:rsidP="0053665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</w:pPr>
      <w:r w:rsidRPr="00536654">
        <w:rPr>
          <w:rFonts w:eastAsia="Arial"/>
          <w:color w:val="000000"/>
          <w:szCs w:val="22"/>
        </w:rPr>
        <w:t>Pri nosečnicah z negativno anamnezo okužbe s streptokokom B se opravi bris nožnice</w:t>
      </w:r>
      <w:r w:rsidRPr="00536654">
        <w:t xml:space="preserve">, </w:t>
      </w:r>
      <w:r w:rsidRPr="00536654">
        <w:rPr>
          <w:rFonts w:eastAsia="Arial"/>
          <w:color w:val="000000"/>
          <w:szCs w:val="22"/>
        </w:rPr>
        <w:t>presredka in</w:t>
      </w:r>
      <w:r w:rsidRPr="00536654">
        <w:t xml:space="preserve"> spodnjega</w:t>
      </w:r>
      <w:r w:rsidRPr="00536654">
        <w:rPr>
          <w:rFonts w:eastAsia="Arial"/>
          <w:color w:val="000000"/>
          <w:szCs w:val="22"/>
        </w:rPr>
        <w:t xml:space="preserve"> dela rektuma na streptokok B (35. do 37. teden).</w:t>
      </w:r>
    </w:p>
    <w:p w14:paraId="7524170E" w14:textId="77777777" w:rsidR="00536654" w:rsidRDefault="00536654" w:rsidP="0053665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</w:pPr>
      <w:r>
        <w:rPr>
          <w:rFonts w:eastAsia="Arial"/>
          <w:color w:val="000000"/>
          <w:szCs w:val="22"/>
        </w:rPr>
        <w:t>Pri seronegativnih ženskah se opravi presejalni test na okužbo s povzročiteljem toksoplazmoze v nosečnosti ob prvem pregledu (do 12. tedna), in če je ta negativen, še v 20. - 24.  in 3</w:t>
      </w:r>
      <w:r>
        <w:t>4</w:t>
      </w:r>
      <w:r>
        <w:rPr>
          <w:rFonts w:eastAsia="Arial"/>
          <w:color w:val="000000"/>
          <w:szCs w:val="22"/>
        </w:rPr>
        <w:t xml:space="preserve">. - 36. tednu nosečnosti. V primeru, da je presejalni test pozitiven, se opravi potrditveni test v referenčnem Laboratoriju za </w:t>
      </w:r>
      <w:r>
        <w:t>toksoplazmozo</w:t>
      </w:r>
      <w:r>
        <w:rPr>
          <w:rFonts w:eastAsia="Arial"/>
          <w:color w:val="000000"/>
          <w:szCs w:val="22"/>
        </w:rPr>
        <w:t xml:space="preserve"> Inštituta za mikrobiologijo in imunologijo Medicinske fakultete Univerze v Ljubljani</w:t>
      </w:r>
      <w:r>
        <w:t>;</w:t>
      </w:r>
      <w:r>
        <w:rPr>
          <w:rFonts w:eastAsia="Arial"/>
          <w:color w:val="000000"/>
          <w:szCs w:val="22"/>
        </w:rPr>
        <w:t xml:space="preserve"> v sodelovanju z navedenim referenčnim laboratorijem pa tudi v laboratorijih za medicinsko mikrobiologijo v okviru Nacionalnega inštituta za javno zdravje in njegovih območnih enot.</w:t>
      </w:r>
    </w:p>
    <w:p w14:paraId="04957797" w14:textId="77777777" w:rsidR="00536654" w:rsidRDefault="00536654" w:rsidP="0073676F">
      <w:pPr>
        <w:pBdr>
          <w:top w:val="nil"/>
          <w:left w:val="nil"/>
          <w:bottom w:val="nil"/>
          <w:right w:val="nil"/>
          <w:between w:val="nil"/>
        </w:pBdr>
        <w:ind w:left="425"/>
      </w:pPr>
    </w:p>
    <w:p w14:paraId="751986F0" w14:textId="77777777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spacing w:before="240"/>
        <w:ind w:firstLine="1021"/>
        <w:rPr>
          <w:rFonts w:eastAsia="Arial"/>
          <w:i/>
          <w:color w:val="000000"/>
          <w:szCs w:val="22"/>
        </w:rPr>
      </w:pPr>
      <w:r>
        <w:rPr>
          <w:rFonts w:eastAsia="Arial"/>
          <w:i/>
          <w:color w:val="000000"/>
          <w:szCs w:val="22"/>
        </w:rPr>
        <w:t xml:space="preserve">Ultrazvočne preiskave v nosečnosti </w:t>
      </w:r>
    </w:p>
    <w:p w14:paraId="6F5A9008" w14:textId="77777777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spacing w:before="240"/>
        <w:ind w:firstLine="1021"/>
        <w:rPr>
          <w:rFonts w:eastAsia="Arial"/>
          <w:color w:val="000000"/>
          <w:szCs w:val="22"/>
        </w:rPr>
      </w:pPr>
      <w:r>
        <w:rPr>
          <w:rFonts w:eastAsia="Arial"/>
          <w:color w:val="000000"/>
          <w:szCs w:val="22"/>
        </w:rPr>
        <w:t>Prva ultrazvočna preiskava se opravi pri prvem pregledu v nosečnosti v obdobju med 8. in 12. tednom nosečnosti (izključitev oziroma potrditev večplodnih nosečnosti in horionosti, nepravilnosti maternice, nepravilnosti zgodnjih oblik nosečnosti, nepravilne tvorbe v spodnjem delu trebuha, ne obsega pa pregleda nuhalne svetline).</w:t>
      </w:r>
    </w:p>
    <w:p w14:paraId="00548403" w14:textId="77777777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spacing w:before="240"/>
        <w:ind w:firstLine="1021"/>
        <w:rPr>
          <w:rFonts w:eastAsia="Arial"/>
          <w:color w:val="000000"/>
          <w:szCs w:val="22"/>
        </w:rPr>
      </w:pPr>
      <w:r>
        <w:rPr>
          <w:rFonts w:eastAsia="Arial"/>
          <w:color w:val="000000"/>
          <w:szCs w:val="22"/>
        </w:rPr>
        <w:t xml:space="preserve">Druga ultrazvočna preiskava se opravi med 11. in 14. tednom nosečnosti v okviru presejanja za kromosomopatije pri plodu. </w:t>
      </w:r>
    </w:p>
    <w:p w14:paraId="4559195E" w14:textId="77777777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spacing w:before="240"/>
        <w:ind w:firstLine="1021"/>
        <w:rPr>
          <w:rFonts w:eastAsia="Arial"/>
          <w:color w:val="000000"/>
          <w:szCs w:val="22"/>
        </w:rPr>
      </w:pPr>
      <w:r>
        <w:rPr>
          <w:rFonts w:eastAsia="Arial"/>
          <w:color w:val="000000"/>
          <w:szCs w:val="22"/>
        </w:rPr>
        <w:t>Tretja ultrazvočna preiskava se opravi okrog 20. tedna nosečnosti</w:t>
      </w:r>
      <w:r>
        <w:t xml:space="preserve"> (19. - 23. teden)</w:t>
      </w:r>
      <w:r>
        <w:rPr>
          <w:rFonts w:eastAsia="Arial"/>
          <w:color w:val="000000"/>
          <w:szCs w:val="22"/>
        </w:rPr>
        <w:t xml:space="preserve"> (morfologija ploda, ocena plodove rasti, položaj posteljice, količina plodovnice).</w:t>
      </w:r>
    </w:p>
    <w:p w14:paraId="062F006C" w14:textId="77777777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spacing w:before="240"/>
        <w:ind w:firstLine="1021"/>
        <w:rPr>
          <w:rFonts w:eastAsia="Arial"/>
          <w:color w:val="000000"/>
          <w:szCs w:val="22"/>
        </w:rPr>
      </w:pPr>
      <w:r>
        <w:rPr>
          <w:rFonts w:eastAsia="Arial"/>
          <w:color w:val="000000"/>
          <w:szCs w:val="22"/>
        </w:rPr>
        <w:t>Četrta ultrazvočna preiskava se opravi med 35. in 37. tednom nosečnosti za oceno plodove rasti in kasneje v nosečnosti vidnih razvojnih nepravilnosti.</w:t>
      </w:r>
    </w:p>
    <w:p w14:paraId="542FE5DB" w14:textId="77777777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spacing w:before="240"/>
        <w:ind w:firstLine="1021"/>
        <w:rPr>
          <w:rFonts w:eastAsia="Arial"/>
          <w:color w:val="000000"/>
          <w:szCs w:val="22"/>
        </w:rPr>
      </w:pPr>
      <w:r>
        <w:rPr>
          <w:rFonts w:eastAsia="Arial"/>
          <w:color w:val="000000"/>
          <w:szCs w:val="22"/>
        </w:rPr>
        <w:t xml:space="preserve">Če pride nosečnica na prvi pregled po 24. tednu nosečnosti, se opravita dve ultrazvočni preiskavi (določitev pričakovanega datuma poroda in morfologija ploda, ocena plodove rasti). </w:t>
      </w:r>
    </w:p>
    <w:p w14:paraId="4C91EC5B" w14:textId="77777777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spacing w:before="240"/>
        <w:ind w:firstLine="1021"/>
      </w:pPr>
      <w:r>
        <w:rPr>
          <w:rFonts w:eastAsia="Arial"/>
          <w:color w:val="000000"/>
          <w:szCs w:val="22"/>
        </w:rPr>
        <w:t xml:space="preserve">Opomba: Pri obremenilni anamnezi oziroma kliničnem izvidu </w:t>
      </w:r>
      <w:r>
        <w:t xml:space="preserve">oziroma </w:t>
      </w:r>
      <w:r>
        <w:rPr>
          <w:rFonts w:eastAsia="Arial"/>
          <w:color w:val="000000"/>
          <w:szCs w:val="22"/>
        </w:rPr>
        <w:t>povečan</w:t>
      </w:r>
      <w:r>
        <w:t>em</w:t>
      </w:r>
      <w:r>
        <w:rPr>
          <w:rFonts w:eastAsia="Arial"/>
          <w:color w:val="000000"/>
          <w:szCs w:val="22"/>
        </w:rPr>
        <w:t xml:space="preserve"> tveganj</w:t>
      </w:r>
      <w:r>
        <w:t>u</w:t>
      </w:r>
      <w:r>
        <w:rPr>
          <w:rFonts w:eastAsia="Arial"/>
          <w:color w:val="000000"/>
          <w:szCs w:val="22"/>
        </w:rPr>
        <w:t xml:space="preserve"> za zaplete v nosečnosti se opravijo serijske ultrazvočne preiskave po strokovnih priporočilih</w:t>
      </w:r>
      <w:r>
        <w:t xml:space="preserve"> in</w:t>
      </w:r>
      <w:r>
        <w:rPr>
          <w:rFonts w:eastAsia="Arial"/>
          <w:color w:val="000000"/>
          <w:szCs w:val="22"/>
        </w:rPr>
        <w:t xml:space="preserve"> so del kurativne obravnave.</w:t>
      </w:r>
    </w:p>
    <w:p w14:paraId="15254B2F" w14:textId="77777777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spacing w:before="240"/>
        <w:ind w:firstLine="1021"/>
      </w:pPr>
    </w:p>
    <w:p w14:paraId="52C201AC" w14:textId="77777777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spacing w:before="240"/>
        <w:ind w:firstLine="1021"/>
        <w:rPr>
          <w:i/>
        </w:rPr>
      </w:pPr>
      <w:r>
        <w:rPr>
          <w:rFonts w:eastAsia="Arial"/>
          <w:i/>
          <w:color w:val="000000"/>
          <w:szCs w:val="22"/>
        </w:rPr>
        <w:t>Presejanje za kromosomopatije pri plodu</w:t>
      </w:r>
    </w:p>
    <w:p w14:paraId="77C6F4C7" w14:textId="77777777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spacing w:before="240"/>
        <w:ind w:firstLine="1021"/>
        <w:rPr>
          <w:i/>
        </w:rPr>
      </w:pPr>
    </w:p>
    <w:p w14:paraId="26A97992" w14:textId="77777777" w:rsidR="00536654" w:rsidRDefault="00536654" w:rsidP="00536654">
      <w:pPr>
        <w:rPr>
          <w:color w:val="000000"/>
        </w:rPr>
      </w:pPr>
      <w:r>
        <w:rPr>
          <w:color w:val="000000"/>
        </w:rPr>
        <w:t>Vsem nosečnicam se ponudi kombinirano presejalno preiskavo za kromosomopatije pri plodu v prvem trimesečju (ultrazvočna preiskava z merjenjem nuhalne svetline in biokemični test). Upošteva se tveganje v času opravljanja testa (in ne ob pričakovanem dnevu poroda). Nosečnice, ki pridejo na prvi pregled po 13. tednu nosečnosti in 6/7, se napoti na četverni test ali natančen UZ genetski sonogram. V primeru povečanega tveganja za kromosomopatije pri plodu se nosečnici ponudi neinvazivni presejalni test iz plodove prostocelične DNA iz materine krvi (ppcDNA test)</w:t>
      </w:r>
      <w:r>
        <w:t xml:space="preserve"> ali invazivni diagnostični test</w:t>
      </w:r>
      <w:r>
        <w:rPr>
          <w:color w:val="000000"/>
        </w:rPr>
        <w:t>. V primeru zelo povečanega tveganja za kromosomopatije pri plodu, ali če ppcDNA testa ni možno izvesti, nosečnici ponudimo invazivni diagnostični test.</w:t>
      </w:r>
    </w:p>
    <w:p w14:paraId="4EA99281" w14:textId="77777777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spacing w:before="240"/>
        <w:ind w:firstLine="1021"/>
        <w:rPr>
          <w:rFonts w:eastAsia="Arial"/>
          <w:color w:val="000000"/>
          <w:szCs w:val="22"/>
        </w:rPr>
      </w:pPr>
      <w:r>
        <w:rPr>
          <w:rFonts w:eastAsia="Arial"/>
          <w:color w:val="000000"/>
          <w:szCs w:val="22"/>
        </w:rPr>
        <w:t xml:space="preserve">Kombinirano presejalno preiskavo lahko opravi za to licenciran specialist ginekologije in porodništva. Biokemične teste, ppcDNA test in genetske preiskave lahko </w:t>
      </w:r>
      <w:r>
        <w:rPr>
          <w:rFonts w:eastAsia="Arial"/>
          <w:color w:val="000000"/>
          <w:szCs w:val="22"/>
        </w:rPr>
        <w:lastRenderedPageBreak/>
        <w:t xml:space="preserve">opravijo v laboratorijih, ki so verificirani za opravljanje navedenih preiskav. Invazivno diagnostično preiskavo lahko opravijo v centru, ki ima ustrezno opremo (ultrazvok) in pripomočke ter kader, ki je usposobljen za intrauterine posege. Podatki presejalnih in genetskih preiskav se </w:t>
      </w:r>
      <w:r>
        <w:t>sistematično zbirajo in so del Perinatalnega informacijskega sistema.</w:t>
      </w:r>
    </w:p>
    <w:p w14:paraId="5A664F1B" w14:textId="77777777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spacing w:before="240"/>
        <w:ind w:firstLine="1021"/>
        <w:rPr>
          <w:rFonts w:eastAsia="Arial"/>
          <w:i/>
          <w:color w:val="000000"/>
          <w:szCs w:val="22"/>
        </w:rPr>
      </w:pPr>
      <w:r>
        <w:rPr>
          <w:rFonts w:eastAsia="Arial"/>
          <w:i/>
          <w:color w:val="000000"/>
          <w:szCs w:val="22"/>
        </w:rPr>
        <w:t xml:space="preserve">Priporočila za uporabo IgG anti D </w:t>
      </w:r>
    </w:p>
    <w:p w14:paraId="21F59C65" w14:textId="77777777" w:rsidR="00536654" w:rsidRDefault="00536654" w:rsidP="0053665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</w:pPr>
      <w:r>
        <w:rPr>
          <w:rFonts w:eastAsia="Arial"/>
          <w:color w:val="000000"/>
          <w:szCs w:val="22"/>
        </w:rPr>
        <w:t xml:space="preserve">vsaka Rh-D-negativna ženska med 28. in 30. tednom nosečnosti, če nosi Rh-D pozitiven plod in je ICT negativen; </w:t>
      </w:r>
    </w:p>
    <w:p w14:paraId="667DA382" w14:textId="77777777" w:rsidR="00536654" w:rsidRDefault="00536654" w:rsidP="0053665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</w:pPr>
      <w:r>
        <w:rPr>
          <w:rFonts w:eastAsia="Arial"/>
          <w:color w:val="000000"/>
          <w:szCs w:val="22"/>
        </w:rPr>
        <w:t xml:space="preserve">vsaka Rh-D-negativna ženska, ki je rodila Rh-D-pozitivnega otroka, po porodu, če je ICT-negativen; </w:t>
      </w:r>
    </w:p>
    <w:p w14:paraId="7CF6A3BD" w14:textId="77777777" w:rsidR="00536654" w:rsidRDefault="00536654" w:rsidP="0053665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</w:pPr>
      <w:r>
        <w:rPr>
          <w:rFonts w:eastAsia="Arial"/>
          <w:color w:val="000000"/>
          <w:szCs w:val="22"/>
        </w:rPr>
        <w:t xml:space="preserve">vsaka Rh-D-negativna ženska, ko v nosečnosti krvavi ali ki ji opravijo intrauterini poseg (horionska biopsija, amniocenteza, placentocenteza, kordocenteza, feticid, redukcija plodov pri večplodni nosečnosti idr.); </w:t>
      </w:r>
    </w:p>
    <w:p w14:paraId="1CF490FC" w14:textId="77777777" w:rsidR="00536654" w:rsidRDefault="00536654" w:rsidP="0053665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</w:pPr>
      <w:r>
        <w:rPr>
          <w:rFonts w:eastAsia="Arial"/>
          <w:color w:val="000000"/>
          <w:szCs w:val="22"/>
        </w:rPr>
        <w:t>vsaka Rh-D-negativna ženska po umetni ali spontani prekinitvi ali zunajmaternični nosečnosti.«</w:t>
      </w:r>
    </w:p>
    <w:p w14:paraId="6D6AC8D2" w14:textId="77777777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ind w:left="425" w:hanging="425"/>
        <w:rPr>
          <w:rFonts w:eastAsia="Arial"/>
          <w:color w:val="000000"/>
          <w:szCs w:val="22"/>
        </w:rPr>
      </w:pPr>
    </w:p>
    <w:p w14:paraId="34A6FFC0" w14:textId="77777777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spacing w:before="480"/>
        <w:jc w:val="center"/>
        <w:rPr>
          <w:rFonts w:eastAsia="Arial"/>
          <w:color w:val="000000"/>
          <w:szCs w:val="22"/>
        </w:rPr>
      </w:pPr>
      <w:r>
        <w:rPr>
          <w:rFonts w:eastAsia="Arial"/>
          <w:color w:val="000000"/>
          <w:szCs w:val="22"/>
        </w:rPr>
        <w:t>2. člen</w:t>
      </w:r>
    </w:p>
    <w:p w14:paraId="05AE2C1D" w14:textId="77777777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rPr>
          <w:rFonts w:eastAsia="Arial"/>
          <w:color w:val="000000"/>
          <w:szCs w:val="22"/>
        </w:rPr>
      </w:pPr>
    </w:p>
    <w:p w14:paraId="05DF1354" w14:textId="77777777" w:rsidR="00536654" w:rsidRDefault="00E06950" w:rsidP="00536654">
      <w:pPr>
        <w:pBdr>
          <w:top w:val="nil"/>
          <w:left w:val="nil"/>
          <w:bottom w:val="nil"/>
          <w:right w:val="nil"/>
          <w:between w:val="nil"/>
        </w:pBdr>
        <w:rPr>
          <w:rFonts w:eastAsia="Arial"/>
          <w:color w:val="000000"/>
          <w:szCs w:val="22"/>
        </w:rPr>
      </w:pPr>
      <w:sdt>
        <w:sdtPr>
          <w:tag w:val="goog_rdk_0"/>
          <w:id w:val="757254073"/>
        </w:sdtPr>
        <w:sdtEndPr/>
        <w:sdtContent/>
      </w:sdt>
      <w:r w:rsidR="00536654">
        <w:rPr>
          <w:rFonts w:eastAsia="Arial"/>
          <w:color w:val="000000"/>
          <w:szCs w:val="22"/>
        </w:rPr>
        <w:t>V točki II se za drugo alinejo drugega odstavka poglavja 1.2.3 doda nova tretja alineja, ki se glasi:</w:t>
      </w:r>
    </w:p>
    <w:p w14:paraId="59F5393B" w14:textId="77777777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rPr>
          <w:rFonts w:eastAsia="Arial"/>
          <w:color w:val="000000"/>
          <w:szCs w:val="22"/>
        </w:rPr>
      </w:pPr>
      <w:r>
        <w:rPr>
          <w:rFonts w:eastAsia="Arial"/>
          <w:color w:val="000000"/>
          <w:szCs w:val="22"/>
        </w:rPr>
        <w:t>»- presejanje za depresivne motnje in anksioznost, odvisnost ter nasilje v družini;«.</w:t>
      </w:r>
    </w:p>
    <w:p w14:paraId="2FA183B9" w14:textId="77777777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rPr>
          <w:rFonts w:eastAsia="Arial"/>
          <w:color w:val="000000"/>
          <w:szCs w:val="22"/>
        </w:rPr>
      </w:pPr>
    </w:p>
    <w:p w14:paraId="62470A46" w14:textId="77777777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rPr>
          <w:rFonts w:eastAsia="Arial"/>
          <w:color w:val="000000"/>
          <w:szCs w:val="22"/>
        </w:rPr>
      </w:pPr>
      <w:r>
        <w:rPr>
          <w:rFonts w:eastAsia="Arial"/>
          <w:color w:val="000000"/>
          <w:szCs w:val="22"/>
        </w:rPr>
        <w:t>Dosedanje tretja, četrta in peta alineja postanejo četrta, peta in šesta alineja.</w:t>
      </w:r>
    </w:p>
    <w:p w14:paraId="5A6216DD" w14:textId="77777777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spacing w:before="480"/>
        <w:rPr>
          <w:rFonts w:eastAsia="Arial"/>
          <w:color w:val="000000"/>
          <w:szCs w:val="22"/>
        </w:rPr>
      </w:pPr>
    </w:p>
    <w:p w14:paraId="00140AA9" w14:textId="77777777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</w:rPr>
      </w:pPr>
      <w:r>
        <w:rPr>
          <w:b/>
          <w:color w:val="000000"/>
        </w:rPr>
        <w:t>3. člen</w:t>
      </w:r>
    </w:p>
    <w:p w14:paraId="1BE997DD" w14:textId="77777777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</w:rPr>
      </w:pPr>
    </w:p>
    <w:p w14:paraId="6B73C20A" w14:textId="77777777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 xml:space="preserve">Ta pravilnik začne veljati petnajsti dan po objavi v Uradnem listu Republike Slovenije. </w:t>
      </w:r>
    </w:p>
    <w:p w14:paraId="52E7EF6B" w14:textId="77777777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26D8CA64" w14:textId="77777777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spacing w:before="280"/>
        <w:rPr>
          <w:color w:val="000000"/>
        </w:rPr>
      </w:pPr>
    </w:p>
    <w:p w14:paraId="65D93518" w14:textId="2F051104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spacing w:before="280"/>
        <w:rPr>
          <w:color w:val="000000"/>
        </w:rPr>
      </w:pPr>
      <w:r>
        <w:rPr>
          <w:color w:val="000000"/>
        </w:rPr>
        <w:t xml:space="preserve">Št. </w:t>
      </w:r>
      <w:r w:rsidR="009D773A">
        <w:rPr>
          <w:color w:val="000000"/>
        </w:rPr>
        <w:t>007</w:t>
      </w:r>
      <w:r w:rsidR="006811E5">
        <w:rPr>
          <w:color w:val="000000"/>
        </w:rPr>
        <w:t>0-</w:t>
      </w:r>
      <w:r w:rsidR="00E06950">
        <w:rPr>
          <w:color w:val="000000"/>
        </w:rPr>
        <w:t>70/</w:t>
      </w:r>
      <w:r w:rsidR="006811E5">
        <w:rPr>
          <w:color w:val="000000"/>
        </w:rPr>
        <w:t>2022</w:t>
      </w:r>
    </w:p>
    <w:p w14:paraId="58D6C098" w14:textId="53463F82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spacing w:before="120"/>
      </w:pPr>
      <w:r>
        <w:rPr>
          <w:color w:val="000000"/>
          <w:highlight w:val="white"/>
        </w:rPr>
        <w:t xml:space="preserve">Ljubljana, dne </w:t>
      </w:r>
      <w:r w:rsidR="009D773A">
        <w:rPr>
          <w:color w:val="000000"/>
        </w:rPr>
        <w:t>__. marca 2022</w:t>
      </w:r>
    </w:p>
    <w:p w14:paraId="41A7701E" w14:textId="4C3AE771" w:rsidR="00536654" w:rsidRDefault="00536654" w:rsidP="00536654">
      <w:pPr>
        <w:spacing w:before="120" w:after="120"/>
      </w:pPr>
      <w:r>
        <w:t>EVA</w:t>
      </w:r>
      <w:r w:rsidR="009D773A">
        <w:t xml:space="preserve"> 2022-2711-0038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</w:p>
    <w:p w14:paraId="4F851420" w14:textId="77777777" w:rsidR="00536654" w:rsidRDefault="00536654" w:rsidP="00536654">
      <w:pPr>
        <w:spacing w:before="240"/>
        <w:ind w:left="4643"/>
      </w:pPr>
      <w:r>
        <w:t xml:space="preserve">        Janez Poklukar</w:t>
      </w:r>
    </w:p>
    <w:p w14:paraId="3F61F8AD" w14:textId="77777777" w:rsidR="00536654" w:rsidRDefault="00536654" w:rsidP="00536654">
      <w:pPr>
        <w:spacing w:before="240"/>
        <w:ind w:left="4643"/>
      </w:pPr>
      <w:r>
        <w:t xml:space="preserve">         M I N IS T E R</w:t>
      </w:r>
    </w:p>
    <w:p w14:paraId="2C8DD1A7" w14:textId="77777777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spacing w:before="240"/>
        <w:ind w:firstLine="1021"/>
        <w:rPr>
          <w:rFonts w:eastAsia="Arial"/>
          <w:color w:val="000000"/>
          <w:szCs w:val="22"/>
        </w:rPr>
      </w:pPr>
    </w:p>
    <w:p w14:paraId="280897DC" w14:textId="77777777" w:rsidR="00847D13" w:rsidRDefault="00847D13"/>
    <w:sectPr w:rsidR="00847D13">
      <w:headerReference w:type="default" r:id="rId19"/>
      <w:footerReference w:type="default" r:id="rId20"/>
      <w:pgSz w:w="11907" w:h="16840"/>
      <w:pgMar w:top="1417" w:right="1417" w:bottom="1417" w:left="1417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964C86" w14:textId="77777777" w:rsidR="00844129" w:rsidRDefault="009D773A">
      <w:r>
        <w:separator/>
      </w:r>
    </w:p>
  </w:endnote>
  <w:endnote w:type="continuationSeparator" w:id="0">
    <w:p w14:paraId="6FF88255" w14:textId="77777777" w:rsidR="00844129" w:rsidRDefault="009D77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Noto Sans Symbols"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E48EBB" w14:textId="77777777" w:rsidR="00C533AD" w:rsidRDefault="00E06950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rFonts w:eastAsia="Arial"/>
        <w:color w:val="000000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E31D4D" w14:textId="77777777" w:rsidR="00844129" w:rsidRDefault="009D773A">
      <w:r>
        <w:separator/>
      </w:r>
    </w:p>
  </w:footnote>
  <w:footnote w:type="continuationSeparator" w:id="0">
    <w:p w14:paraId="20615E27" w14:textId="77777777" w:rsidR="00844129" w:rsidRDefault="009D77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75F146" w14:textId="77777777" w:rsidR="00C533AD" w:rsidRDefault="00E06950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rFonts w:eastAsia="Arial"/>
        <w:color w:val="000000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1B559D"/>
    <w:multiLevelType w:val="multilevel"/>
    <w:tmpl w:val="6954451C"/>
    <w:lvl w:ilvl="0">
      <w:start w:val="1"/>
      <w:numFmt w:val="bullet"/>
      <w:lvlText w:val="-"/>
      <w:lvlJc w:val="left"/>
      <w:pPr>
        <w:ind w:left="425" w:hanging="425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6654"/>
    <w:rsid w:val="00536654"/>
    <w:rsid w:val="006811E5"/>
    <w:rsid w:val="0073676F"/>
    <w:rsid w:val="00844129"/>
    <w:rsid w:val="00847D13"/>
    <w:rsid w:val="009D773A"/>
    <w:rsid w:val="00E06950"/>
    <w:rsid w:val="00F96D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14F44B"/>
  <w15:chartTrackingRefBased/>
  <w15:docId w15:val="{62AC94E3-20E3-4C9D-A9E9-903F360242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536654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Arial"/>
      <w:szCs w:val="16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Pripombasklic">
    <w:name w:val="annotation reference"/>
    <w:semiHidden/>
    <w:rsid w:val="00536654"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rsid w:val="00536654"/>
    <w:pPr>
      <w:overflowPunct/>
      <w:autoSpaceDE/>
      <w:autoSpaceDN/>
      <w:adjustRightInd/>
      <w:textAlignment w:val="auto"/>
    </w:pPr>
    <w:rPr>
      <w:sz w:val="20"/>
      <w:szCs w:val="20"/>
      <w:lang w:eastAsia="en-US"/>
    </w:rPr>
  </w:style>
  <w:style w:type="character" w:customStyle="1" w:styleId="PripombabesediloZnak">
    <w:name w:val="Pripomba – besedilo Znak"/>
    <w:basedOn w:val="Privzetapisavaodstavka"/>
    <w:link w:val="Pripombabesedilo"/>
    <w:semiHidden/>
    <w:rsid w:val="00536654"/>
    <w:rPr>
      <w:rFonts w:ascii="Arial" w:eastAsia="Times New Roman" w:hAnsi="Arial" w:cs="Arial"/>
      <w:sz w:val="20"/>
      <w:szCs w:val="20"/>
    </w:rPr>
  </w:style>
  <w:style w:type="character" w:styleId="Hiperpovezava">
    <w:name w:val="Hyperlink"/>
    <w:basedOn w:val="Privzetapisavaodstavka"/>
    <w:uiPriority w:val="99"/>
    <w:semiHidden/>
    <w:unhideWhenUsed/>
    <w:rsid w:val="0073676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9-01-3228" TargetMode="External"/><Relationship Id="rId13" Type="http://schemas.openxmlformats.org/officeDocument/2006/relationships/hyperlink" Target="http://www.uradni-list.si/1/objava.jsp?sop=2021-01-0968" TargetMode="External"/><Relationship Id="rId18" Type="http://schemas.openxmlformats.org/officeDocument/2006/relationships/hyperlink" Target="http://www.uradni-list.si/1/objava.jsp?sop=2021-01-3100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://www.uradni-list.si/1/objava.jsp?sop=2019-01-0005" TargetMode="External"/><Relationship Id="rId12" Type="http://schemas.openxmlformats.org/officeDocument/2006/relationships/hyperlink" Target="http://www.uradni-list.si/1/objava.jsp?sop=2019-01-1624" TargetMode="External"/><Relationship Id="rId17" Type="http://schemas.openxmlformats.org/officeDocument/2006/relationships/hyperlink" Target="http://www.uradni-list.si/1/objava.jsp?sop=2021-01-1157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uradni-list.si/1/objava.jsp?sop=2022-01-0216" TargetMode="External"/><Relationship Id="rId20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uradni-list.si/1/objava.jsp?sop=2021-01-3898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www.uradni-list.si/1/objava.jsp?sop=2021-01-3898" TargetMode="External"/><Relationship Id="rId10" Type="http://schemas.openxmlformats.org/officeDocument/2006/relationships/hyperlink" Target="http://www.uradni-list.si/1/objava.jsp?sop=2021-01-2452" TargetMode="External"/><Relationship Id="rId19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uradni-list.si/1/objava.jsp?sop=2020-01-1233" TargetMode="External"/><Relationship Id="rId14" Type="http://schemas.openxmlformats.org/officeDocument/2006/relationships/hyperlink" Target="http://www.uradni-list.si/1/objava.jsp?sop=2021-01-2989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4</Pages>
  <Words>1805</Words>
  <Characters>10293</Characters>
  <Application>Microsoft Office Word</Application>
  <DocSecurity>0</DocSecurity>
  <Lines>85</Lines>
  <Paragraphs>24</Paragraphs>
  <ScaleCrop>false</ScaleCrop>
  <Company/>
  <LinksUpToDate>false</LinksUpToDate>
  <CharactersWithSpaces>12074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Tanja Mate</dc:creator>
  <cp:keywords/>
  <dc:description/>
  <cp:lastModifiedBy>Anita Tomc</cp:lastModifiedBy>
  <cp:revision>12</cp:revision>
  <dcterms:created xsi:type="dcterms:W3CDTF">2022-03-08T14:02:00Z</dcterms:created>
  <dcterms:modified xsi:type="dcterms:W3CDTF">2022-03-08T14:49:00Z</dcterms:modified>
</cp:coreProperties>
</file>