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5809" w:rsidRDefault="00465809" w:rsidP="009F668C">
      <w:pPr>
        <w:pStyle w:val="datumtevilka"/>
        <w:rPr>
          <w:rFonts w:cs="Arial"/>
          <w:color w:val="000000"/>
        </w:rPr>
      </w:pPr>
    </w:p>
    <w:p w:rsidR="00465809" w:rsidRPr="00A9231D" w:rsidRDefault="00465809" w:rsidP="00465809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16A1A88C" wp14:editId="52CBCB17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5809" w:rsidRPr="00A9231D" w:rsidRDefault="00465809" w:rsidP="0046580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  <w:t>T: +386 1 478 1000</w:t>
      </w:r>
    </w:p>
    <w:p w:rsidR="00465809" w:rsidRPr="00A9231D" w:rsidRDefault="00465809" w:rsidP="0046580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F: +386 1 478 1607</w:t>
      </w:r>
    </w:p>
    <w:p w:rsidR="00465809" w:rsidRPr="00A9231D" w:rsidRDefault="00465809" w:rsidP="0046580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E: gp.gs@gov.si</w:t>
      </w:r>
    </w:p>
    <w:p w:rsidR="00465809" w:rsidRPr="00A9231D" w:rsidRDefault="00465809" w:rsidP="00465809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http://www.vlada.si/</w:t>
      </w:r>
    </w:p>
    <w:p w:rsidR="00465809" w:rsidRDefault="00465809" w:rsidP="009F668C">
      <w:pPr>
        <w:pStyle w:val="datumtevilka"/>
        <w:rPr>
          <w:rFonts w:cs="Arial"/>
          <w:color w:val="000000"/>
        </w:rPr>
      </w:pPr>
    </w:p>
    <w:p w:rsidR="00465809" w:rsidRDefault="00465809" w:rsidP="009F668C">
      <w:pPr>
        <w:pStyle w:val="datumtevilka"/>
        <w:rPr>
          <w:rFonts w:cs="Arial"/>
          <w:color w:val="000000"/>
        </w:rPr>
      </w:pPr>
    </w:p>
    <w:p w:rsidR="00465809" w:rsidRDefault="00465809" w:rsidP="009F668C">
      <w:pPr>
        <w:pStyle w:val="datumtevilka"/>
        <w:rPr>
          <w:rFonts w:cs="Arial"/>
          <w:color w:val="000000"/>
        </w:rPr>
      </w:pPr>
    </w:p>
    <w:p w:rsidR="00896FBD" w:rsidRDefault="00896FBD" w:rsidP="009F668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36824">
        <w:rPr>
          <w:rFonts w:cs="Arial"/>
          <w:color w:val="000000"/>
        </w:rPr>
        <w:t>2021-2330-0085</w:t>
      </w:r>
    </w:p>
    <w:p w:rsidR="00896FBD" w:rsidRDefault="00896FBD" w:rsidP="009F668C">
      <w:pPr>
        <w:pStyle w:val="datumtevilka"/>
      </w:pPr>
      <w:r>
        <w:t xml:space="preserve">Številka: </w:t>
      </w:r>
      <w:r>
        <w:tab/>
      </w:r>
      <w:r w:rsidR="00B36824">
        <w:rPr>
          <w:rFonts w:cs="Arial"/>
          <w:color w:val="000000"/>
        </w:rPr>
        <w:t>00715-51/2021/9</w:t>
      </w:r>
    </w:p>
    <w:p w:rsidR="00896FBD" w:rsidRDefault="00896FBD" w:rsidP="009F668C">
      <w:pPr>
        <w:pStyle w:val="datumtevilka"/>
      </w:pPr>
      <w:r>
        <w:t>Datum:</w:t>
      </w:r>
      <w:r>
        <w:tab/>
      </w:r>
      <w:r w:rsidR="00B36824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9F668C"/>
    <w:p w:rsidR="00465809" w:rsidRDefault="00465809" w:rsidP="009F668C">
      <w:pPr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465809" w:rsidRDefault="00465809" w:rsidP="009F668C">
      <w:pPr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896FBD" w:rsidRPr="00465809" w:rsidRDefault="009F668C" w:rsidP="00465809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465809">
        <w:rPr>
          <w:rFonts w:cs="Arial"/>
          <w:b/>
          <w:color w:val="000000"/>
          <w:szCs w:val="20"/>
        </w:rPr>
        <w:t>P</w:t>
      </w:r>
      <w:r w:rsidR="00465809" w:rsidRPr="00465809">
        <w:rPr>
          <w:rFonts w:cs="Arial"/>
          <w:b/>
          <w:color w:val="000000"/>
          <w:szCs w:val="20"/>
        </w:rPr>
        <w:t>redlogi</w:t>
      </w:r>
      <w:r w:rsidR="00B36824" w:rsidRPr="00465809">
        <w:rPr>
          <w:rFonts w:cs="Arial"/>
          <w:b/>
          <w:color w:val="000000"/>
          <w:szCs w:val="20"/>
        </w:rPr>
        <w:t xml:space="preserve"> amandmajev k Predlogu zakona o spremembah in dopolnitvah Zakona o agrarnih skupnostih</w:t>
      </w:r>
    </w:p>
    <w:p w:rsidR="00896FBD" w:rsidRDefault="00896FBD" w:rsidP="009F66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9F66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65809" w:rsidRDefault="00465809" w:rsidP="00465809">
      <w:pPr>
        <w:spacing w:line="276" w:lineRule="auto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1. členu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2. členu se v novem drugem odstavku za besedilom »15. maju 1945« doda besedilo »ali odločba o odvzemu premoženja ni bila v celoti ali delno izvršena ali premoženje ni bilo v celoti odvzeto«.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novem tretjem odstavku se besedilo »solastnik, skupni lastnik nepremičnega premoženja« nadomesti z besedilom »solastnik ali skupni lastnik nepremičnega premoženja te agrarne skupnosti«, za besedo »pravice« pa se doda besedilo »ali kot bivša agrarna skupnost«.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b/>
          <w:szCs w:val="20"/>
        </w:rPr>
        <w:t>Obrazložitev: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Za agrarno skupnost po </w:t>
      </w:r>
      <w:proofErr w:type="spellStart"/>
      <w:r>
        <w:rPr>
          <w:rFonts w:cs="Arial"/>
          <w:szCs w:val="20"/>
        </w:rPr>
        <w:t>ZAgrS</w:t>
      </w:r>
      <w:proofErr w:type="spellEnd"/>
      <w:r>
        <w:rPr>
          <w:rFonts w:cs="Arial"/>
          <w:szCs w:val="20"/>
        </w:rPr>
        <w:t xml:space="preserve"> je potrebno določiti tudi agrarno skupnost, ki je skupnost fizičnih in pravnih oseb na podlagi pogodbe ali statuta, ki imajo skupne pravice, dolžnosti in obveznosti, določene s pravili agrarne skupnosti in ji premoženje z odločbo v skladu z Zakonom o agrarnih skupnostih (Uradni list LRS, št. 52/47), Zakonom o razpolaganju s premoženjem bivših agrarnih skupnosti (Uradni list SRS, št. 7/65 – prečiščeno besedilo) in drugimi predpisi, izdanimi po 15. maju 1945, ni bilo odvzeto v celoti ali odločba o odvzemu premoženja ni bila v celoti ali delno izvršena, ter je vpisana v register agrarnih skupnosti iz 15. člena </w:t>
      </w:r>
      <w:proofErr w:type="spellStart"/>
      <w:r>
        <w:rPr>
          <w:rFonts w:cs="Arial"/>
          <w:szCs w:val="20"/>
        </w:rPr>
        <w:t>ZAgrS</w:t>
      </w:r>
      <w:proofErr w:type="spellEnd"/>
      <w:r>
        <w:rPr>
          <w:rFonts w:cs="Arial"/>
          <w:szCs w:val="20"/>
        </w:rPr>
        <w:t xml:space="preserve">. Na tak način bo omogočeno delovanje in upravljanje s skupnim premoženjem, kot je urejeno z </w:t>
      </w:r>
      <w:proofErr w:type="spellStart"/>
      <w:r>
        <w:rPr>
          <w:rFonts w:cs="Arial"/>
          <w:szCs w:val="20"/>
        </w:rPr>
        <w:t>ZAgrS</w:t>
      </w:r>
      <w:proofErr w:type="spellEnd"/>
      <w:r>
        <w:rPr>
          <w:rFonts w:cs="Arial"/>
          <w:szCs w:val="20"/>
        </w:rPr>
        <w:t>, tudi za tiste agrarne skupnosti, katerim le del premoženja ni bil odvzet ter tistim agrarnim skupnostim, ki jim kljub odločbi o odvzemu premoženja le-to ni bilo odvzeto oziroma jim ni bilo odvzeto v celoti.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4. členu</w:t>
      </w: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Člen se spremeni tako, da se glasi: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»4. člen</w:t>
      </w:r>
    </w:p>
    <w:p w:rsidR="00465809" w:rsidRDefault="00465809" w:rsidP="00465809">
      <w:pPr>
        <w:rPr>
          <w:rFonts w:cs="Arial"/>
          <w:b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15. členu se v četrtem odstavku 4. točka se spremeni tako, da se glasi: 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»4. seznam zemljiških parcel (številka parcele in katastrska občina) z navedbo podatkov o lastnikih: osebno ime, EMŠO, naslov stalnega ali začasnega prebivališča in datum pridobitve deleža člana fizične osebe ali firma, matična številka, naslov sedeža in datum pridobitve deleža člana pravne osebe in podatek o idealnem deležu pri solastnini oziroma navedba, da gre za skupno lastnino;«.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Šesti odstavek se spremeni tako, da se glasi: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»(6) Podatki iz četrtega odstavka tega člena so javni, razen podatkov o enotni matični številki in podatkov o naslovu stalnega ali začasnega prebivališča članov, ki so fizične osebe.«.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Za sedmim odstavkom se doda nov, osmi odstavek, ki se glasi: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»(8) Ministrstvo, pristojno za kmetijstvo in gozdarstvo, omogoči pridobivanje podatkov iz registra agrarnih skupnosti državnim organom in občinam, če jih ti potrebujejo za izvajanje zakonsko določenih nalog.«.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b/>
          <w:szCs w:val="20"/>
        </w:rPr>
        <w:t>Obrazložitev:</w:t>
      </w:r>
      <w:r>
        <w:rPr>
          <w:rFonts w:cs="Arial"/>
          <w:szCs w:val="20"/>
        </w:rPr>
        <w:t xml:space="preserve"> 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Pojem obdelave podatkov je v skladu z Zakonom o varstvu osebnih podatkov (ZVOP-1) kot sistemskim zakonom za varstvo osebnih podatkov zbirni pojem za kakršnokoli delovanje ali niz delovanj, ki se izvaja v zvezi z osebnimi podatki, zato ni razloga za določitev vodenja osebnih podatkov kot ene od oblik obdelave osebnih podatkov v napovednem stavku četrtega odstavka 15. člena zakona. Z amandmajem pa se drugih sprememb tega člena ne določa.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10. členu</w:t>
      </w: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Nov 43.b člen se spremeni tako, da se glasi:</w:t>
      </w:r>
    </w:p>
    <w:p w:rsidR="00465809" w:rsidRDefault="00465809" w:rsidP="00465809">
      <w:pPr>
        <w:jc w:val="center"/>
        <w:rPr>
          <w:rFonts w:cs="Arial"/>
          <w:szCs w:val="20"/>
        </w:rPr>
      </w:pPr>
      <w:r>
        <w:rPr>
          <w:rFonts w:cs="Arial"/>
          <w:b/>
          <w:szCs w:val="20"/>
        </w:rPr>
        <w:t>»43.b člen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(prenos deleža države in občine)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(1) Republika Slovenija neodplačno prenese svoj solastniški delež ali nedoločen delež na nepremičnini članov, ki je v skupni lastnini, v agrarni skupnosti na druge člane agrarne skupnosti, če tako odločitev sprejme občni zbor z večino vseh glasov in ne gre za zemljišče, ki spada v zavarovano območje ali v območje naravne vrednote v skladu z zakonom, ki ureja ohranjanje narave.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(2) V primeru iz prejšnjega odstavka se delež Republike Slovenije ne prenese na občino, če je članica agrarne skupnosti, pri čemer njen solastniški delež pridobijo drugi člani agrarne skupnosti v enakem deležu.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(3) Občina lahko neodplačno prenese svoj solastniški delež ali nedoločen delež na nepremičnini članov, ki je v skupni lastnini, v agrarni skupnosti na druge člane agrarne skupnosti, če tako odločitev sprejme občni zbor z večino vseh glasov.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(4) V primeru iz prvega in tretjega odstavka tega člena člani agrarne skupnosti pridobijo lastninsko pravico, ki je predmet prenosa, v enakem deležu.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(5) Solastniški delež, ki je pridobljen v skladu s tem členom, ne more biti predmet razpolaganja v skladu s tretjim odstavkom 37. člena tega zakona.«.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b/>
          <w:szCs w:val="20"/>
        </w:rPr>
        <w:t>Obrazložitev:</w:t>
      </w:r>
      <w:r>
        <w:rPr>
          <w:rFonts w:cs="Arial"/>
          <w:szCs w:val="20"/>
        </w:rPr>
        <w:t xml:space="preserve"> 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Z amandmajem se na novo ureja prenos nedoločenega deleža države ali občine na nepremičnini, ki je v lasti agrarne skupnosti. Poleg tega se odpravlja neskladje pri pridobivanju deleža občine s strani preostalih članov agrarne skupnosti. Z amandmajem pa se drugih sprememb tega člena ne določa.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11. členu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Člen se spremeni tako, da se glasi: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szCs w:val="20"/>
        </w:rPr>
        <w:t>»</w:t>
      </w:r>
      <w:r>
        <w:rPr>
          <w:rFonts w:cs="Arial"/>
          <w:b/>
          <w:szCs w:val="20"/>
        </w:rPr>
        <w:t>51. člen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(zapuščina brez dedičev)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(1) Zapuščina brez dedičev postane last občine, kjer ima agrarna skupnost sedež.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(2) Ne glede na prejšnji odstavek zapuščina brez dedičev postane last članov agrarne skupnosti, če tako odločitev sprejme občni zbor z večino vseh glasov.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(3) V primeru iz prvega in drugega odstavka tega člena ni izplačila nujnih deležev.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(4) V primeru iz drugega odstavka tega člena se solastniški delež ne prenese na Republiko Slovenijo oziroma občino, če je članica agrarne skupnosti.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(5) V primeru iz drugega odstavka tega člena člani agrarne skupnosti pridobijo lastninsko pravico, ki je predmet prenosa, v sorazmerju z njihovim deležem na nepremičnini.«.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b/>
          <w:szCs w:val="20"/>
        </w:rPr>
        <w:t>Obrazložitev:</w:t>
      </w:r>
      <w:r>
        <w:rPr>
          <w:rFonts w:cs="Arial"/>
          <w:szCs w:val="20"/>
        </w:rPr>
        <w:t xml:space="preserve"> </w:t>
      </w: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Z amandmajem se določi, da ni izplačila nujnega deleža v primeru, ko zapuščina brez dedičev postane last članov, saj gre tudi v tem primeru za poseben način prehoda premoženja. Z amandmajem pa se drugih sprememb tega člena ne določa.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Za nov 12.a člen</w:t>
      </w:r>
    </w:p>
    <w:p w:rsidR="00465809" w:rsidRDefault="00465809" w:rsidP="00465809">
      <w:pPr>
        <w:jc w:val="both"/>
        <w:rPr>
          <w:rFonts w:cs="Arial"/>
          <w:szCs w:val="20"/>
        </w:rPr>
      </w:pPr>
    </w:p>
    <w:p w:rsidR="00465809" w:rsidRDefault="00465809" w:rsidP="0046580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Doda se nov 12.a člen, ki se glasi: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szCs w:val="20"/>
        </w:rPr>
        <w:t>»</w:t>
      </w:r>
      <w:r>
        <w:rPr>
          <w:rFonts w:cs="Arial"/>
          <w:b/>
          <w:szCs w:val="20"/>
        </w:rPr>
        <w:t>12.a člen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(uporaba 51. člena zakona)</w:t>
      </w:r>
    </w:p>
    <w:p w:rsidR="00465809" w:rsidRDefault="00465809" w:rsidP="00465809">
      <w:pPr>
        <w:jc w:val="center"/>
        <w:rPr>
          <w:rFonts w:cs="Arial"/>
          <w:b/>
          <w:szCs w:val="20"/>
        </w:rPr>
      </w:pPr>
    </w:p>
    <w:p w:rsidR="00465809" w:rsidRDefault="00465809" w:rsidP="00465809">
      <w:pPr>
        <w:rPr>
          <w:rFonts w:cs="Arial"/>
          <w:szCs w:val="20"/>
        </w:rPr>
      </w:pPr>
      <w:r>
        <w:rPr>
          <w:rFonts w:cs="Arial"/>
          <w:szCs w:val="20"/>
        </w:rPr>
        <w:t>Nov drugi odstavek 51. člena zakona se uporablja za zapuščinske postopke, začete po uveljavitvi tega zakona.«.</w:t>
      </w:r>
    </w:p>
    <w:p w:rsidR="00465809" w:rsidRDefault="00465809" w:rsidP="00465809">
      <w:pPr>
        <w:rPr>
          <w:rFonts w:cs="Arial"/>
          <w:szCs w:val="20"/>
        </w:rPr>
      </w:pPr>
    </w:p>
    <w:p w:rsidR="00465809" w:rsidRDefault="00465809" w:rsidP="00465809">
      <w:pPr>
        <w:rPr>
          <w:rFonts w:cs="Arial"/>
          <w:szCs w:val="20"/>
        </w:rPr>
      </w:pPr>
      <w:r>
        <w:rPr>
          <w:rFonts w:cs="Arial"/>
          <w:b/>
          <w:szCs w:val="20"/>
        </w:rPr>
        <w:t>Obrazložitev:</w:t>
      </w:r>
      <w:r>
        <w:rPr>
          <w:rFonts w:cs="Arial"/>
          <w:szCs w:val="20"/>
        </w:rPr>
        <w:t xml:space="preserve"> </w:t>
      </w:r>
    </w:p>
    <w:p w:rsidR="00465809" w:rsidRDefault="00465809" w:rsidP="00465809">
      <w:pPr>
        <w:jc w:val="both"/>
        <w:rPr>
          <w:rFonts w:cs="Arial"/>
          <w:szCs w:val="20"/>
        </w:rPr>
        <w:sectPr w:rsidR="00465809">
          <w:pgSz w:w="11900" w:h="16840"/>
          <w:pgMar w:top="1701" w:right="1701" w:bottom="851" w:left="1701" w:header="993" w:footer="794" w:gutter="0"/>
          <w:cols w:space="708"/>
        </w:sectPr>
      </w:pPr>
      <w:r>
        <w:rPr>
          <w:rFonts w:cs="Arial"/>
          <w:szCs w:val="20"/>
        </w:rPr>
        <w:t>Nov drugi odstavek 51. člena zakona se lahko uporabi samo v zapuščinskih postopkih, ki se bodo začeli po uveljavitvi tega zakona, v že začetih zapuščinskih postopkih pa se za zapuščino brez dedičev še naprej uporabljata le prvi in tretji odstavek 51. člena zakona.</w:t>
      </w:r>
      <w:bookmarkStart w:id="0" w:name="_GoBack"/>
      <w:bookmarkEnd w:id="0"/>
    </w:p>
    <w:p w:rsidR="00782FD4" w:rsidRPr="00EC13B0" w:rsidRDefault="00782FD4" w:rsidP="00465809">
      <w:pPr>
        <w:tabs>
          <w:tab w:val="left" w:pos="7920"/>
        </w:tabs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2B57" w:rsidRDefault="00DB2B57" w:rsidP="00767987">
      <w:pPr>
        <w:spacing w:line="240" w:lineRule="auto"/>
      </w:pPr>
      <w:r>
        <w:separator/>
      </w:r>
    </w:p>
  </w:endnote>
  <w:endnote w:type="continuationSeparator" w:id="0">
    <w:p w:rsidR="00DB2B57" w:rsidRDefault="00DB2B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2B57" w:rsidRDefault="00DB2B57" w:rsidP="00767987">
      <w:pPr>
        <w:spacing w:line="240" w:lineRule="auto"/>
      </w:pPr>
      <w:r>
        <w:separator/>
      </w:r>
    </w:p>
  </w:footnote>
  <w:footnote w:type="continuationSeparator" w:id="0">
    <w:p w:rsidR="00DB2B57" w:rsidRDefault="00DB2B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4E1D" w:rsidRDefault="00C84E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65809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9F668C"/>
    <w:rsid w:val="00A50E4B"/>
    <w:rsid w:val="00A9231D"/>
    <w:rsid w:val="00B36824"/>
    <w:rsid w:val="00B40287"/>
    <w:rsid w:val="00C0216A"/>
    <w:rsid w:val="00C84E1D"/>
    <w:rsid w:val="00CD6077"/>
    <w:rsid w:val="00CE234E"/>
    <w:rsid w:val="00D02973"/>
    <w:rsid w:val="00DA09BE"/>
    <w:rsid w:val="00DB2B57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4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929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2022-02-17T05:26:00Z</dcterms:created>
  <dcterms:modified xsi:type="dcterms:W3CDTF">2022-02-17T05:26:00Z</dcterms:modified>
</cp:coreProperties>
</file>