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213A00">
      <w:pPr>
        <w:pStyle w:val="datumtevilka"/>
      </w:pPr>
      <w:r>
        <w:rPr>
          <w:rFonts w:cs="Arial"/>
          <w:color w:val="000000"/>
        </w:rPr>
        <w:t>EVA:</w:t>
      </w:r>
      <w:r>
        <w:rPr>
          <w:rFonts w:cs="Arial"/>
          <w:color w:val="000000"/>
        </w:rPr>
        <w:tab/>
      </w:r>
      <w:r w:rsidR="00BF725E">
        <w:rPr>
          <w:rFonts w:cs="Arial"/>
          <w:color w:val="000000"/>
        </w:rPr>
        <w:t>2021-2330-0117</w:t>
      </w:r>
    </w:p>
    <w:p w:rsidR="00896FBD" w:rsidRDefault="00896FBD" w:rsidP="00213A00">
      <w:pPr>
        <w:pStyle w:val="datumtevilka"/>
      </w:pPr>
      <w:r>
        <w:t xml:space="preserve">Številka: </w:t>
      </w:r>
      <w:r>
        <w:tab/>
      </w:r>
      <w:r w:rsidR="00BF725E">
        <w:rPr>
          <w:rFonts w:cs="Arial"/>
          <w:color w:val="000000"/>
        </w:rPr>
        <w:t>00715-54/2021/9</w:t>
      </w:r>
    </w:p>
    <w:p w:rsidR="00896FBD" w:rsidRDefault="00896FBD" w:rsidP="00213A00">
      <w:pPr>
        <w:pStyle w:val="datumtevilka"/>
      </w:pPr>
      <w:r>
        <w:t>Datum:</w:t>
      </w:r>
      <w:r>
        <w:tab/>
      </w:r>
      <w:r w:rsidR="00BF725E">
        <w:rPr>
          <w:rFonts w:cs="Arial"/>
          <w:color w:val="000000"/>
        </w:rPr>
        <w:t>16. 2. 2022</w:t>
      </w:r>
      <w:r>
        <w:t xml:space="preserve"> </w:t>
      </w:r>
    </w:p>
    <w:p w:rsidR="00896FBD" w:rsidRDefault="00896FBD" w:rsidP="00213A00"/>
    <w:p w:rsidR="00896FBD" w:rsidRDefault="00896FBD" w:rsidP="00213A00">
      <w:pPr>
        <w:autoSpaceDE w:val="0"/>
        <w:autoSpaceDN w:val="0"/>
        <w:adjustRightInd w:val="0"/>
        <w:rPr>
          <w:rFonts w:cs="Arial"/>
          <w:color w:val="000000"/>
          <w:szCs w:val="20"/>
        </w:rPr>
      </w:pPr>
    </w:p>
    <w:p w:rsidR="00896FBD" w:rsidRPr="00AD0B8D" w:rsidRDefault="00AD0B8D" w:rsidP="00AD0B8D">
      <w:pPr>
        <w:autoSpaceDE w:val="0"/>
        <w:autoSpaceDN w:val="0"/>
        <w:adjustRightInd w:val="0"/>
        <w:jc w:val="center"/>
        <w:rPr>
          <w:rFonts w:cs="Arial"/>
          <w:b/>
          <w:color w:val="000000"/>
          <w:szCs w:val="20"/>
        </w:rPr>
      </w:pPr>
      <w:r w:rsidRPr="00AD0B8D">
        <w:rPr>
          <w:rFonts w:cs="Arial"/>
          <w:b/>
          <w:color w:val="000000"/>
          <w:szCs w:val="20"/>
        </w:rPr>
        <w:t>Predlog</w:t>
      </w:r>
      <w:r w:rsidR="00213A00" w:rsidRPr="00AD0B8D">
        <w:rPr>
          <w:rFonts w:cs="Arial"/>
          <w:b/>
          <w:color w:val="000000"/>
          <w:szCs w:val="20"/>
        </w:rPr>
        <w:t xml:space="preserve"> amandmaja</w:t>
      </w:r>
      <w:r w:rsidR="00BF725E" w:rsidRPr="00AD0B8D">
        <w:rPr>
          <w:rFonts w:cs="Arial"/>
          <w:b/>
          <w:color w:val="000000"/>
          <w:szCs w:val="20"/>
        </w:rPr>
        <w:t xml:space="preserve"> k Predlogu zakona o spremembi Zakona o divjadi in lovstvu</w:t>
      </w:r>
    </w:p>
    <w:p w:rsidR="00AD0B8D" w:rsidRDefault="00AD0B8D" w:rsidP="00213A00">
      <w:pPr>
        <w:autoSpaceDE w:val="0"/>
        <w:autoSpaceDN w:val="0"/>
        <w:adjustRightInd w:val="0"/>
        <w:jc w:val="both"/>
        <w:rPr>
          <w:rFonts w:cs="Arial"/>
          <w:color w:val="000000"/>
          <w:szCs w:val="20"/>
        </w:rPr>
      </w:pPr>
    </w:p>
    <w:p w:rsidR="00AD0B8D" w:rsidRDefault="00AD0B8D" w:rsidP="00213A00">
      <w:pPr>
        <w:autoSpaceDE w:val="0"/>
        <w:autoSpaceDN w:val="0"/>
        <w:adjustRightInd w:val="0"/>
        <w:jc w:val="both"/>
        <w:rPr>
          <w:rFonts w:cs="Arial"/>
          <w:color w:val="000000"/>
          <w:szCs w:val="20"/>
        </w:rPr>
      </w:pPr>
    </w:p>
    <w:p w:rsidR="00896FBD" w:rsidRDefault="00896FBD" w:rsidP="00213A00">
      <w:pPr>
        <w:autoSpaceDE w:val="0"/>
        <w:autoSpaceDN w:val="0"/>
        <w:adjustRightInd w:val="0"/>
        <w:jc w:val="both"/>
        <w:rPr>
          <w:rFonts w:cs="Arial"/>
          <w:color w:val="000000"/>
          <w:szCs w:val="20"/>
          <w:lang w:eastAsia="sl-SI"/>
        </w:rPr>
      </w:pPr>
    </w:p>
    <w:p w:rsidR="00AD0B8D" w:rsidRDefault="00AD0B8D" w:rsidP="00AD0B8D">
      <w:pPr>
        <w:rPr>
          <w:rFonts w:cs="Arial"/>
        </w:rPr>
      </w:pPr>
    </w:p>
    <w:p w:rsidR="00AD0B8D" w:rsidRDefault="00AD0B8D" w:rsidP="00AD0B8D">
      <w:pPr>
        <w:rPr>
          <w:rFonts w:cs="Arial"/>
        </w:rPr>
      </w:pPr>
    </w:p>
    <w:p w:rsidR="00AD0B8D" w:rsidRDefault="00AD0B8D" w:rsidP="00AD0B8D">
      <w:pPr>
        <w:rPr>
          <w:rFonts w:cs="Arial"/>
          <w:b/>
          <w:u w:val="single"/>
        </w:rPr>
      </w:pPr>
      <w:r>
        <w:rPr>
          <w:rFonts w:cs="Arial"/>
          <w:b/>
          <w:u w:val="single"/>
        </w:rPr>
        <w:t>K 1. členu</w:t>
      </w:r>
    </w:p>
    <w:p w:rsidR="00AD0B8D" w:rsidRDefault="00AD0B8D" w:rsidP="00AD0B8D">
      <w:pPr>
        <w:rPr>
          <w:rFonts w:cs="Arial"/>
        </w:rPr>
      </w:pPr>
    </w:p>
    <w:p w:rsidR="00AD0B8D" w:rsidRDefault="00AD0B8D" w:rsidP="00AD0B8D">
      <w:pPr>
        <w:rPr>
          <w:rFonts w:cs="Arial"/>
        </w:rPr>
      </w:pPr>
      <w:r>
        <w:rPr>
          <w:rFonts w:cs="Arial"/>
        </w:rPr>
        <w:t>Besedilo 1. člena se spremeni tako, da se glasi:</w:t>
      </w:r>
    </w:p>
    <w:p w:rsidR="00AD0B8D" w:rsidRDefault="00AD0B8D" w:rsidP="00AD0B8D">
      <w:pPr>
        <w:rPr>
          <w:rFonts w:cs="Arial"/>
          <w:u w:val="single"/>
        </w:rPr>
      </w:pPr>
    </w:p>
    <w:p w:rsidR="00AD0B8D" w:rsidRDefault="00AD0B8D" w:rsidP="00AD0B8D">
      <w:pPr>
        <w:jc w:val="center"/>
        <w:rPr>
          <w:rFonts w:cs="Arial"/>
        </w:rPr>
      </w:pPr>
      <w:r>
        <w:rPr>
          <w:rFonts w:cs="Arial"/>
        </w:rPr>
        <w:t>»1. člen</w:t>
      </w:r>
    </w:p>
    <w:p w:rsidR="00AD0B8D" w:rsidRDefault="00AD0B8D" w:rsidP="00AD0B8D">
      <w:pPr>
        <w:rPr>
          <w:rFonts w:cs="Arial"/>
        </w:rPr>
      </w:pPr>
    </w:p>
    <w:p w:rsidR="00AD0B8D" w:rsidRDefault="00AD0B8D" w:rsidP="00AD0B8D">
      <w:pPr>
        <w:rPr>
          <w:rFonts w:cs="Arial"/>
        </w:rPr>
      </w:pPr>
      <w:r>
        <w:rPr>
          <w:rFonts w:cs="Arial"/>
        </w:rPr>
        <w:t xml:space="preserve">V Zakonu o divjadi in lovstvu (Uradni list RS, št. 16/04, 120/06 – </w:t>
      </w:r>
      <w:proofErr w:type="spellStart"/>
      <w:r>
        <w:rPr>
          <w:rFonts w:cs="Arial"/>
        </w:rPr>
        <w:t>odl</w:t>
      </w:r>
      <w:proofErr w:type="spellEnd"/>
      <w:r>
        <w:rPr>
          <w:rFonts w:cs="Arial"/>
        </w:rPr>
        <w:t xml:space="preserve">. US, 17/08, 46/14 – ZON-C, 31/18, 65/20 in 97/20 – </w:t>
      </w:r>
      <w:proofErr w:type="spellStart"/>
      <w:r>
        <w:rPr>
          <w:rFonts w:cs="Arial"/>
        </w:rPr>
        <w:t>popr</w:t>
      </w:r>
      <w:proofErr w:type="spellEnd"/>
      <w:r>
        <w:rPr>
          <w:rFonts w:cs="Arial"/>
        </w:rPr>
        <w:t>.) se 68. člen spremeni tako, da se glasi:</w:t>
      </w:r>
    </w:p>
    <w:p w:rsidR="00AD0B8D" w:rsidRDefault="00AD0B8D" w:rsidP="00AD0B8D">
      <w:pPr>
        <w:rPr>
          <w:rFonts w:cs="Arial"/>
        </w:rPr>
      </w:pPr>
    </w:p>
    <w:p w:rsidR="00AD0B8D" w:rsidRDefault="00AD0B8D" w:rsidP="00AD0B8D">
      <w:pPr>
        <w:jc w:val="center"/>
        <w:rPr>
          <w:rFonts w:cs="Arial"/>
        </w:rPr>
      </w:pPr>
      <w:r>
        <w:rPr>
          <w:rFonts w:cs="Arial"/>
        </w:rPr>
        <w:t>68. člen</w:t>
      </w:r>
    </w:p>
    <w:p w:rsidR="00AD0B8D" w:rsidRDefault="00AD0B8D" w:rsidP="00AD0B8D">
      <w:pPr>
        <w:jc w:val="center"/>
        <w:rPr>
          <w:rFonts w:cs="Arial"/>
        </w:rPr>
      </w:pPr>
      <w:r>
        <w:rPr>
          <w:rFonts w:cs="Arial"/>
        </w:rPr>
        <w:t>(lovišče s posebnim namenom)</w:t>
      </w:r>
    </w:p>
    <w:p w:rsidR="00AD0B8D" w:rsidRDefault="00AD0B8D" w:rsidP="00AD0B8D">
      <w:pPr>
        <w:jc w:val="center"/>
        <w:rPr>
          <w:rFonts w:cs="Arial"/>
          <w:b/>
        </w:rPr>
      </w:pPr>
    </w:p>
    <w:p w:rsidR="00AD0B8D" w:rsidRDefault="00AD0B8D" w:rsidP="00AD0B8D">
      <w:pPr>
        <w:pStyle w:val="Odstavekseznama"/>
        <w:ind w:left="0"/>
        <w:rPr>
          <w:rFonts w:cs="Arial"/>
        </w:rPr>
      </w:pPr>
      <w:r>
        <w:rPr>
          <w:rFonts w:cs="Arial"/>
        </w:rPr>
        <w:t>Ne glede na določbo tretjega odstavka 7. člena tega zakona so v Republiki Sloveniji naslednja lovišča s posebnim namenom: Triglav Bled, Kozorog Kamnik, Pohorje, Fazan Beltinci, Kompas Peskovci, Jelen, Kočevsko, Ljubljanski vrh in Brdo pri Kranju.«.</w:t>
      </w:r>
    </w:p>
    <w:p w:rsidR="00AD0B8D" w:rsidRDefault="00AD0B8D" w:rsidP="00AD0B8D">
      <w:pPr>
        <w:pStyle w:val="Odstavekseznama"/>
        <w:ind w:left="0"/>
        <w:rPr>
          <w:rFonts w:cs="Arial"/>
          <w:b/>
          <w:sz w:val="22"/>
        </w:rPr>
      </w:pPr>
    </w:p>
    <w:p w:rsidR="00AD0B8D" w:rsidRDefault="00AD0B8D" w:rsidP="00AD0B8D">
      <w:pPr>
        <w:pStyle w:val="Odstavekseznama"/>
        <w:ind w:left="0"/>
        <w:rPr>
          <w:rFonts w:cs="Arial"/>
          <w:b/>
        </w:rPr>
      </w:pPr>
    </w:p>
    <w:p w:rsidR="00AD0B8D" w:rsidRDefault="00AD0B8D" w:rsidP="00AD0B8D">
      <w:pPr>
        <w:jc w:val="both"/>
        <w:rPr>
          <w:rFonts w:cs="Arial"/>
        </w:rPr>
      </w:pPr>
      <w:r>
        <w:rPr>
          <w:rFonts w:cs="Arial"/>
          <w:b/>
        </w:rPr>
        <w:t>Obrazložitev:</w:t>
      </w:r>
    </w:p>
    <w:p w:rsidR="00AD0B8D" w:rsidRDefault="00AD0B8D" w:rsidP="00AD0B8D">
      <w:pPr>
        <w:jc w:val="both"/>
        <w:rPr>
          <w:rFonts w:cs="Arial"/>
        </w:rPr>
      </w:pPr>
      <w:r>
        <w:rPr>
          <w:rFonts w:cs="Arial"/>
        </w:rPr>
        <w:t xml:space="preserve">S tem amandmajem se predlaga črtanje lovišč s posebnim namenom Prodi Razor, Medved, Snežnik Kočevska Reka in Žitna Gora kot so določena v 68. členu Zakona o divjadi in lovstvu (Uradni list RS, št. 16/04, 120/06 – </w:t>
      </w:r>
      <w:proofErr w:type="spellStart"/>
      <w:r>
        <w:rPr>
          <w:rFonts w:cs="Arial"/>
        </w:rPr>
        <w:t>odl</w:t>
      </w:r>
      <w:proofErr w:type="spellEnd"/>
      <w:r>
        <w:rPr>
          <w:rFonts w:cs="Arial"/>
        </w:rPr>
        <w:t xml:space="preserve">. US, 17/08, 46/14 – ZON-C, 31/18, 65/20 in 97/20 – </w:t>
      </w:r>
      <w:proofErr w:type="spellStart"/>
      <w:r>
        <w:rPr>
          <w:rFonts w:cs="Arial"/>
        </w:rPr>
        <w:t>popr</w:t>
      </w:r>
      <w:proofErr w:type="spellEnd"/>
      <w:r>
        <w:rPr>
          <w:rFonts w:cs="Arial"/>
        </w:rPr>
        <w:t xml:space="preserve">.). Lovišče s posebnim namenom Prodi Razor bo postalo del lovišča s posebnim namenom Triglav Bled in pa lovišča Ljubinj. Prav tako se črtajo lovišča s posebnim namenom Medved, Snežnik Kočevska Reka in Žitna Gora, ki se združijo v enotno lovišče s posebnim namenom Kočevsko, saj se ta lovišča s posebnim namenom teritorialno držijo med seboj in imajo že sedaj istega vodjo ter sedež, voditi pa morajo tri različne računovodske izkaze, lovske evidence in druge evidence. Navedena združitev teh treh lovišč s posebnim namenom v enega bo racionalizirala delovanje in izboljšala učinkovitost delovanja tega lovišča s posebnim namenom. </w:t>
      </w:r>
    </w:p>
    <w:p w:rsidR="00AD0B8D" w:rsidRDefault="00AD0B8D" w:rsidP="00AD0B8D">
      <w:pPr>
        <w:jc w:val="both"/>
        <w:rPr>
          <w:rFonts w:cs="Arial"/>
        </w:rPr>
      </w:pPr>
    </w:p>
    <w:p w:rsidR="00AD0B8D" w:rsidRDefault="00AD0B8D" w:rsidP="00AD0B8D">
      <w:pPr>
        <w:jc w:val="both"/>
        <w:rPr>
          <w:rFonts w:cs="Arial"/>
        </w:rPr>
      </w:pPr>
      <w:r>
        <w:rPr>
          <w:rFonts w:cs="Arial"/>
        </w:rPr>
        <w:t>Poleg navedenega se v Zakon o divjadi in lovstvu dodaja lovišče s posebnim namenom Brdo pri Kranju, ki je bil ustanovljen z Uredbo o ustanovitvi lovišča s posebnim namenom Brdo pri Kranju (Uradni list RS, št. 114/04).</w:t>
      </w:r>
    </w:p>
    <w:p w:rsidR="00AD0B8D" w:rsidRDefault="00AD0B8D" w:rsidP="00AD0B8D">
      <w:pPr>
        <w:jc w:val="both"/>
        <w:rPr>
          <w:rFonts w:cs="Arial"/>
        </w:rPr>
      </w:pPr>
    </w:p>
    <w:p w:rsidR="00AD0B8D" w:rsidRDefault="00AD0B8D" w:rsidP="00AD0B8D">
      <w:pPr>
        <w:jc w:val="both"/>
      </w:pPr>
      <w:r>
        <w:rPr>
          <w:rFonts w:cs="Arial"/>
        </w:rPr>
        <w:t>S predpisom vlade se določijo posebne naloge lovišč s posebnim namenom, ki niso zajete v Zakonu o divjadi in lovstvu. Prav tako se določi upravljavca, morebitne posebne režime upravljanja z divjadjo in samim loviščem ter načine oziroma vire financiranja vsakega lovišča s posebnim namenom.</w:t>
      </w:r>
      <w:r>
        <w:t xml:space="preserve"> </w:t>
      </w: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pStyle w:val="Naslovpredpisa"/>
        <w:spacing w:before="0" w:after="0" w:line="260" w:lineRule="exact"/>
        <w:jc w:val="both"/>
        <w:rPr>
          <w:sz w:val="20"/>
          <w:szCs w:val="20"/>
        </w:rPr>
      </w:pPr>
    </w:p>
    <w:p w:rsidR="00AD0B8D" w:rsidRDefault="00AD0B8D" w:rsidP="00AD0B8D">
      <w:pPr>
        <w:rPr>
          <w:rFonts w:cs="Arial"/>
          <w:b/>
        </w:rPr>
      </w:pPr>
      <w:r>
        <w:rPr>
          <w:rFonts w:cs="Arial"/>
          <w:b/>
        </w:rPr>
        <w:t>K naslovu poglavja</w:t>
      </w:r>
    </w:p>
    <w:p w:rsidR="00AD0B8D" w:rsidRDefault="00AD0B8D" w:rsidP="00AD0B8D">
      <w:pPr>
        <w:rPr>
          <w:rFonts w:cs="Arial"/>
        </w:rPr>
      </w:pPr>
    </w:p>
    <w:p w:rsidR="00AD0B8D" w:rsidRDefault="00AD0B8D" w:rsidP="00AD0B8D">
      <w:pPr>
        <w:jc w:val="both"/>
        <w:rPr>
          <w:rFonts w:cs="Arial"/>
        </w:rPr>
      </w:pPr>
      <w:r>
        <w:rPr>
          <w:rFonts w:cs="Arial"/>
        </w:rPr>
        <w:t>Naslov poglavja »KONČNA DOLOČBA« se spremeni tako, da se glasi: »PREHODNA IN KONČNA DOLOČBA«.</w:t>
      </w:r>
    </w:p>
    <w:p w:rsidR="00AD0B8D" w:rsidRDefault="00AD0B8D" w:rsidP="00AD0B8D">
      <w:pPr>
        <w:rPr>
          <w:rFonts w:cs="Arial"/>
        </w:rPr>
      </w:pPr>
    </w:p>
    <w:p w:rsidR="00AD0B8D" w:rsidRDefault="00AD0B8D" w:rsidP="00AD0B8D">
      <w:pPr>
        <w:rPr>
          <w:rFonts w:cs="Arial"/>
          <w:u w:val="single"/>
        </w:rPr>
      </w:pPr>
      <w:r>
        <w:rPr>
          <w:rFonts w:cs="Arial"/>
          <w:u w:val="single"/>
        </w:rPr>
        <w:t>Za nov 1.a člen</w:t>
      </w:r>
    </w:p>
    <w:p w:rsidR="00AD0B8D" w:rsidRDefault="00AD0B8D" w:rsidP="00AD0B8D">
      <w:pPr>
        <w:rPr>
          <w:rFonts w:cs="Arial"/>
        </w:rPr>
      </w:pPr>
    </w:p>
    <w:p w:rsidR="00AD0B8D" w:rsidRDefault="00AD0B8D" w:rsidP="00AD0B8D">
      <w:pPr>
        <w:rPr>
          <w:rFonts w:cs="Arial"/>
        </w:rPr>
      </w:pPr>
      <w:r>
        <w:rPr>
          <w:rFonts w:cs="Arial"/>
        </w:rPr>
        <w:t>Za naslovom poglavja se doda nov 1.a člen, ki se glasi:</w:t>
      </w:r>
    </w:p>
    <w:p w:rsidR="00AD0B8D" w:rsidRDefault="00AD0B8D" w:rsidP="00AD0B8D">
      <w:pPr>
        <w:rPr>
          <w:rFonts w:cs="Arial"/>
        </w:rPr>
      </w:pPr>
    </w:p>
    <w:p w:rsidR="00AD0B8D" w:rsidRDefault="00AD0B8D" w:rsidP="00AD0B8D">
      <w:pPr>
        <w:jc w:val="center"/>
        <w:rPr>
          <w:rFonts w:cs="Arial"/>
        </w:rPr>
      </w:pPr>
      <w:r>
        <w:rPr>
          <w:rFonts w:cs="Arial"/>
        </w:rPr>
        <w:t>»1.a člen</w:t>
      </w:r>
    </w:p>
    <w:p w:rsidR="00AD0B8D" w:rsidRDefault="00AD0B8D" w:rsidP="00AD0B8D">
      <w:pPr>
        <w:jc w:val="center"/>
        <w:rPr>
          <w:rFonts w:cs="Arial"/>
        </w:rPr>
      </w:pPr>
      <w:r>
        <w:rPr>
          <w:rFonts w:cs="Arial"/>
        </w:rPr>
        <w:t>(združitev in razdelitev lovišč s posebnim namenom)</w:t>
      </w:r>
    </w:p>
    <w:p w:rsidR="00AD0B8D" w:rsidRDefault="00AD0B8D" w:rsidP="00AD0B8D">
      <w:pPr>
        <w:rPr>
          <w:rFonts w:cs="Arial"/>
        </w:rPr>
      </w:pPr>
    </w:p>
    <w:p w:rsidR="00AD0B8D" w:rsidRDefault="00AD0B8D" w:rsidP="00AD0B8D">
      <w:pPr>
        <w:numPr>
          <w:ilvl w:val="0"/>
          <w:numId w:val="6"/>
        </w:numPr>
        <w:jc w:val="both"/>
        <w:rPr>
          <w:rFonts w:cs="Arial"/>
        </w:rPr>
      </w:pPr>
      <w:r>
        <w:rPr>
          <w:rFonts w:cs="Arial"/>
        </w:rPr>
        <w:t xml:space="preserve">Lovišča s posebnim namenom Medved, Snežnik Kočevska Reka in Žitna Gora se združijo v enotno lovišče s posebnim namenom Kočevsko, s katerim ima pravico do upravljanja še naprej Zavod. </w:t>
      </w:r>
    </w:p>
    <w:p w:rsidR="00AD0B8D" w:rsidRDefault="00AD0B8D" w:rsidP="00AD0B8D">
      <w:pPr>
        <w:numPr>
          <w:ilvl w:val="0"/>
          <w:numId w:val="6"/>
        </w:numPr>
        <w:jc w:val="both"/>
        <w:rPr>
          <w:rFonts w:cs="Arial"/>
        </w:rPr>
      </w:pPr>
      <w:r>
        <w:rPr>
          <w:rFonts w:cs="Arial"/>
        </w:rPr>
        <w:t xml:space="preserve">Lovišče s posebnim namenom Prodi Razor se razdeli na način, da se del pripoji lovišču s posebnim namenom Triglav Bled in del lovišču Ljubinj, in sicer tako, da se lovišču s posebnim namenom Triglav Bled pripoji najmanj del, ki se nahaja v Triglavskem narodnem parku in del, kjer se nahaja premoženje v lasti Republike Slovenije.  </w:t>
      </w:r>
    </w:p>
    <w:p w:rsidR="00AD0B8D" w:rsidRDefault="00AD0B8D" w:rsidP="00AD0B8D">
      <w:pPr>
        <w:numPr>
          <w:ilvl w:val="0"/>
          <w:numId w:val="6"/>
        </w:numPr>
        <w:jc w:val="both"/>
        <w:rPr>
          <w:rFonts w:cs="Arial"/>
        </w:rPr>
      </w:pPr>
      <w:r>
        <w:rPr>
          <w:rFonts w:cs="Arial"/>
        </w:rPr>
        <w:t xml:space="preserve">Zaradi povečanja lovišča Ljubinj morata koncesionar in </w:t>
      </w:r>
      <w:proofErr w:type="spellStart"/>
      <w:r>
        <w:rPr>
          <w:rFonts w:cs="Arial"/>
        </w:rPr>
        <w:t>koncendent</w:t>
      </w:r>
      <w:proofErr w:type="spellEnd"/>
      <w:r>
        <w:rPr>
          <w:rFonts w:cs="Arial"/>
        </w:rPr>
        <w:t xml:space="preserve"> skleniti aneks h koncesijski pogodbi za trajnostno gospodarjenje z divjadjo v lovišču Ljubinj in na novo določiti skupno površino, opis meje in osnovo za izračun koncesijske dajatve za lovišče Ljubinj.</w:t>
      </w:r>
    </w:p>
    <w:p w:rsidR="00AD0B8D" w:rsidRDefault="00AD0B8D" w:rsidP="00AD0B8D">
      <w:pPr>
        <w:numPr>
          <w:ilvl w:val="0"/>
          <w:numId w:val="6"/>
        </w:numPr>
        <w:jc w:val="both"/>
        <w:rPr>
          <w:rFonts w:cs="Arial"/>
        </w:rPr>
      </w:pPr>
      <w:r>
        <w:rPr>
          <w:rFonts w:cs="Arial"/>
        </w:rPr>
        <w:t>Strokovne podlage za združitev in razdelitev lovišč s posebnim namenom izdela Zavod</w:t>
      </w:r>
      <w:r>
        <w:t xml:space="preserve"> </w:t>
      </w:r>
      <w:r>
        <w:rPr>
          <w:rFonts w:cs="Arial"/>
        </w:rPr>
        <w:t>najkasneje v šestih mesecih po uveljavitvi tega zakona.</w:t>
      </w:r>
    </w:p>
    <w:p w:rsidR="00AD0B8D" w:rsidRDefault="00AD0B8D" w:rsidP="00AD0B8D">
      <w:pPr>
        <w:numPr>
          <w:ilvl w:val="0"/>
          <w:numId w:val="6"/>
        </w:numPr>
        <w:jc w:val="both"/>
        <w:rPr>
          <w:rFonts w:cs="Arial"/>
        </w:rPr>
      </w:pPr>
      <w:r>
        <w:rPr>
          <w:rFonts w:cs="Arial"/>
        </w:rPr>
        <w:t xml:space="preserve">Do razdelitve lovišča s posebnim namenom Prodi Razor nadaljuje z upravljanjem sedanji upravljavec. Upravljalec premoženja v lasti Republike Slovenije, ki je bilo pripojeno lovišču s posebnim namenom Triglav Bled je javni zavod Triglavski narodni park. Javni zavod Triglavski narodni park prevzame tudi zaposlenega iz lovišča s posebnim namenom Prodi Razor. </w:t>
      </w:r>
    </w:p>
    <w:p w:rsidR="00AD0B8D" w:rsidRDefault="00AD0B8D" w:rsidP="00AD0B8D">
      <w:pPr>
        <w:numPr>
          <w:ilvl w:val="0"/>
          <w:numId w:val="6"/>
        </w:numPr>
        <w:jc w:val="both"/>
        <w:rPr>
          <w:rFonts w:cs="Arial"/>
        </w:rPr>
      </w:pPr>
      <w:r>
        <w:rPr>
          <w:rFonts w:cs="Arial"/>
        </w:rPr>
        <w:t>Združitev lovišč s posebnim namenom Medved, Snežnik Kočevska Reka in Žitna Gora ter razdelitev lovišča s posebnim namenom Prodi Razor začne veljati z dne 1. 1. 2023. Vlada do uveljavitve združitve in razdelitve lovišč s posebnim namenom uskladi podzakonske predpise.«.</w:t>
      </w:r>
    </w:p>
    <w:p w:rsidR="00AD0B8D" w:rsidRDefault="00AD0B8D" w:rsidP="00AD0B8D">
      <w:pPr>
        <w:jc w:val="both"/>
        <w:rPr>
          <w:rFonts w:cs="Arial"/>
          <w:b/>
        </w:rPr>
      </w:pPr>
    </w:p>
    <w:p w:rsidR="00AD0B8D" w:rsidRDefault="00AD0B8D" w:rsidP="00AD0B8D">
      <w:pPr>
        <w:jc w:val="both"/>
        <w:rPr>
          <w:rFonts w:cs="Arial"/>
          <w:b/>
        </w:rPr>
      </w:pPr>
    </w:p>
    <w:p w:rsidR="00AD0B8D" w:rsidRDefault="00AD0B8D" w:rsidP="00AD0B8D">
      <w:pPr>
        <w:rPr>
          <w:rFonts w:cs="Arial"/>
          <w:u w:val="single"/>
        </w:rPr>
      </w:pPr>
      <w:r>
        <w:rPr>
          <w:rFonts w:cs="Arial"/>
          <w:u w:val="single"/>
        </w:rPr>
        <w:t>Obrazložitev:</w:t>
      </w:r>
    </w:p>
    <w:p w:rsidR="00AD0B8D" w:rsidRDefault="00AD0B8D" w:rsidP="00AD0B8D">
      <w:pPr>
        <w:jc w:val="both"/>
        <w:rPr>
          <w:rFonts w:cs="Arial"/>
        </w:rPr>
      </w:pPr>
    </w:p>
    <w:p w:rsidR="00AD0B8D" w:rsidRDefault="00AD0B8D" w:rsidP="00AD0B8D">
      <w:pPr>
        <w:jc w:val="both"/>
        <w:rPr>
          <w:rFonts w:cs="Arial"/>
        </w:rPr>
      </w:pPr>
      <w:r>
        <w:rPr>
          <w:rFonts w:cs="Arial"/>
        </w:rPr>
        <w:t xml:space="preserve">V skladu s predlagano spremembo 68. člena se bo s predpisom Vlade podrobneje uredila združitev treh lovišč s posebnim namenom (Medved, Snežnik Kočevska Reka in Žitna Gora) v eno lovišče s posebni namenom Kočevsko, hkrati pa se bo razdelilo lovišče s posebnim namenom Prodi Razor na dva dela (lovišče s posebnim namenom Triglav Bled in lovišče Ljubinj). Navedeno se bo uredilo s sprejetjem nove Uredbe o ustanovitvi lovišč s posebnim namenom v Republiki Sloveniji, ki bo nadomestila veljavno Uredbo o ustanovitvi lovišč s posebnim namenom v </w:t>
      </w:r>
      <w:r>
        <w:rPr>
          <w:rFonts w:cs="Arial"/>
        </w:rPr>
        <w:lastRenderedPageBreak/>
        <w:t xml:space="preserve">Republiki Sloveniji (Uradni list RS, št. 117/04 in 38/14) in Uredbo o ustanovitvi lovišča s posebnim namenom Brdo pri Kranju (Uradni list RS, št. 114/04). </w:t>
      </w:r>
    </w:p>
    <w:p w:rsidR="00AD0B8D" w:rsidRDefault="00AD0B8D" w:rsidP="00AD0B8D">
      <w:pPr>
        <w:pStyle w:val="Naslovpredpisa"/>
        <w:spacing w:before="0" w:after="0" w:line="260" w:lineRule="exact"/>
        <w:jc w:val="both"/>
        <w:rPr>
          <w:sz w:val="20"/>
          <w:szCs w:val="20"/>
        </w:rPr>
      </w:pPr>
    </w:p>
    <w:p w:rsidR="00782FD4" w:rsidRPr="00EC13B0" w:rsidRDefault="00782FD4" w:rsidP="00AD0B8D">
      <w:pPr>
        <w:tabs>
          <w:tab w:val="left" w:pos="7920"/>
        </w:tabs>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3043" w:rsidRDefault="00013043" w:rsidP="00767987">
      <w:pPr>
        <w:spacing w:line="240" w:lineRule="auto"/>
      </w:pPr>
      <w:r>
        <w:separator/>
      </w:r>
    </w:p>
  </w:endnote>
  <w:endnote w:type="continuationSeparator" w:id="0">
    <w:p w:rsidR="00013043" w:rsidRDefault="0001304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39B7" w:rsidRDefault="004039B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39B7" w:rsidRDefault="004039B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39B7" w:rsidRDefault="004039B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3043" w:rsidRDefault="00013043" w:rsidP="00767987">
      <w:pPr>
        <w:spacing w:line="240" w:lineRule="auto"/>
      </w:pPr>
      <w:r>
        <w:separator/>
      </w:r>
    </w:p>
  </w:footnote>
  <w:footnote w:type="continuationSeparator" w:id="0">
    <w:p w:rsidR="00013043" w:rsidRDefault="0001304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39B7" w:rsidRDefault="004039B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39B7" w:rsidRDefault="004039B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0D6B75EA"/>
    <w:multiLevelType w:val="hybridMultilevel"/>
    <w:tmpl w:val="9F0635C2"/>
    <w:lvl w:ilvl="0" w:tplc="FCCEFB76">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2"/>
  </w:num>
  <w:num w:numId="3">
    <w:abstractNumId w:val="3"/>
  </w:num>
  <w:num w:numId="4">
    <w:abstractNumId w:val="0"/>
  </w:num>
  <w:num w:numId="5">
    <w:abstractNumId w:val="4"/>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13043"/>
    <w:rsid w:val="000B3FE6"/>
    <w:rsid w:val="000E21B2"/>
    <w:rsid w:val="00204177"/>
    <w:rsid w:val="00213A00"/>
    <w:rsid w:val="00366636"/>
    <w:rsid w:val="00367DE6"/>
    <w:rsid w:val="003B3E19"/>
    <w:rsid w:val="004039B7"/>
    <w:rsid w:val="004076C6"/>
    <w:rsid w:val="004B7F76"/>
    <w:rsid w:val="004E1BCE"/>
    <w:rsid w:val="005115C2"/>
    <w:rsid w:val="0056541B"/>
    <w:rsid w:val="00592079"/>
    <w:rsid w:val="005D5957"/>
    <w:rsid w:val="00676475"/>
    <w:rsid w:val="00682FFE"/>
    <w:rsid w:val="006C69EC"/>
    <w:rsid w:val="007039D0"/>
    <w:rsid w:val="00710C90"/>
    <w:rsid w:val="00767987"/>
    <w:rsid w:val="00782FD4"/>
    <w:rsid w:val="00811140"/>
    <w:rsid w:val="00896FBD"/>
    <w:rsid w:val="008A3F94"/>
    <w:rsid w:val="00904A48"/>
    <w:rsid w:val="00980294"/>
    <w:rsid w:val="009C5392"/>
    <w:rsid w:val="00A50E4B"/>
    <w:rsid w:val="00A9231D"/>
    <w:rsid w:val="00AD0B8D"/>
    <w:rsid w:val="00B40287"/>
    <w:rsid w:val="00BF725E"/>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NaslovpredpisaZnak">
    <w:name w:val="Naslov_predpisa Znak"/>
    <w:link w:val="Naslovpredpisa"/>
    <w:locked/>
    <w:rsid w:val="00AD0B8D"/>
    <w:rPr>
      <w:rFonts w:ascii="Arial" w:hAnsi="Arial" w:cs="Arial"/>
      <w:b/>
    </w:rPr>
  </w:style>
  <w:style w:type="paragraph" w:customStyle="1" w:styleId="Naslovpredpisa">
    <w:name w:val="Naslov_predpisa"/>
    <w:basedOn w:val="Navaden"/>
    <w:link w:val="NaslovpredpisaZnak"/>
    <w:qFormat/>
    <w:rsid w:val="00AD0B8D"/>
    <w:pPr>
      <w:suppressAutoHyphens/>
      <w:overflowPunct w:val="0"/>
      <w:autoSpaceDE w:val="0"/>
      <w:autoSpaceDN w:val="0"/>
      <w:adjustRightInd w:val="0"/>
      <w:spacing w:before="120" w:after="160" w:line="200" w:lineRule="exact"/>
      <w:jc w:val="center"/>
    </w:pPr>
    <w:rPr>
      <w:rFonts w:eastAsiaTheme="minorHAnsi"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78492686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692</Words>
  <Characters>3945</Characters>
  <Application>Microsoft Office Word</Application>
  <DocSecurity>0</DocSecurity>
  <Lines>32</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2022-02-17T05:30:00Z</dcterms:created>
  <dcterms:modified xsi:type="dcterms:W3CDTF">2022-02-17T05:30:00Z</dcterms:modified>
</cp:coreProperties>
</file>