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435E5" w:rsidRPr="00B435E5" w:rsidRDefault="00B435E5" w:rsidP="00B435E5">
      <w:pPr>
        <w:pStyle w:val="datumtevilka"/>
        <w:rPr>
          <w:rFonts w:cs="Arial"/>
          <w:color w:val="000000"/>
        </w:rPr>
      </w:pPr>
      <w:bookmarkStart w:id="0" w:name="_Hlk61014710"/>
      <w:bookmarkEnd w:id="0"/>
    </w:p>
    <w:p w:rsidR="009C657E" w:rsidRPr="00B435E5" w:rsidRDefault="009C657E" w:rsidP="00B435E5">
      <w:pPr>
        <w:pStyle w:val="datumtevilka"/>
        <w:rPr>
          <w:rFonts w:cs="Arial"/>
        </w:rPr>
      </w:pPr>
      <w:r w:rsidRPr="00B435E5">
        <w:rPr>
          <w:rFonts w:cs="Arial"/>
          <w:color w:val="000000"/>
        </w:rPr>
        <w:t>EVA:</w:t>
      </w:r>
      <w:r w:rsidRPr="00B435E5">
        <w:rPr>
          <w:rFonts w:cs="Arial"/>
          <w:color w:val="000000"/>
        </w:rPr>
        <w:tab/>
      </w:r>
      <w:r w:rsidR="00112C96" w:rsidRPr="00B435E5">
        <w:rPr>
          <w:rFonts w:cs="Arial"/>
          <w:color w:val="000000"/>
        </w:rPr>
        <w:t>2021-1811-0023</w:t>
      </w:r>
    </w:p>
    <w:p w:rsidR="009C657E" w:rsidRPr="00B435E5" w:rsidRDefault="009C657E" w:rsidP="00B435E5">
      <w:pPr>
        <w:pStyle w:val="datumtevilka"/>
        <w:rPr>
          <w:rFonts w:cs="Arial"/>
        </w:rPr>
      </w:pPr>
      <w:r w:rsidRPr="00B435E5">
        <w:rPr>
          <w:rFonts w:cs="Arial"/>
        </w:rPr>
        <w:t xml:space="preserve">Številka: </w:t>
      </w:r>
      <w:r w:rsidRPr="00B435E5">
        <w:rPr>
          <w:rFonts w:cs="Arial"/>
        </w:rPr>
        <w:tab/>
      </w:r>
      <w:r w:rsidR="00112C96" w:rsidRPr="00B435E5">
        <w:rPr>
          <w:rFonts w:cs="Arial"/>
          <w:color w:val="000000"/>
        </w:rPr>
        <w:t>00724-24/2021/31</w:t>
      </w:r>
    </w:p>
    <w:p w:rsidR="009C657E" w:rsidRPr="00B435E5" w:rsidRDefault="009C657E" w:rsidP="00B435E5">
      <w:pPr>
        <w:pStyle w:val="datumtevilka"/>
        <w:rPr>
          <w:rFonts w:cs="Arial"/>
        </w:rPr>
      </w:pPr>
      <w:r w:rsidRPr="00B435E5">
        <w:rPr>
          <w:rFonts w:cs="Arial"/>
        </w:rPr>
        <w:t>Datum:</w:t>
      </w:r>
      <w:r w:rsidRPr="00B435E5">
        <w:rPr>
          <w:rFonts w:cs="Arial"/>
        </w:rPr>
        <w:tab/>
      </w:r>
      <w:r w:rsidR="00112C96" w:rsidRPr="00B435E5">
        <w:rPr>
          <w:rFonts w:cs="Arial"/>
          <w:color w:val="000000"/>
        </w:rPr>
        <w:t>9. 2. 2022</w:t>
      </w:r>
      <w:r w:rsidRPr="00B435E5">
        <w:rPr>
          <w:rFonts w:cs="Arial"/>
        </w:rPr>
        <w:t xml:space="preserve"> </w:t>
      </w:r>
    </w:p>
    <w:p w:rsidR="009C657E" w:rsidRPr="00B435E5" w:rsidRDefault="009C657E" w:rsidP="00B435E5">
      <w:pPr>
        <w:rPr>
          <w:rFonts w:cs="Arial"/>
        </w:rPr>
      </w:pPr>
    </w:p>
    <w:p w:rsidR="00B435E5" w:rsidRPr="00B435E5" w:rsidRDefault="00B435E5" w:rsidP="00B435E5">
      <w:pPr>
        <w:rPr>
          <w:rFonts w:cs="Arial"/>
        </w:rPr>
      </w:pPr>
    </w:p>
    <w:p w:rsidR="00B435E5" w:rsidRPr="00B435E5" w:rsidRDefault="00B435E5" w:rsidP="00B435E5">
      <w:pPr>
        <w:rPr>
          <w:rFonts w:cs="Arial"/>
        </w:rPr>
      </w:pPr>
    </w:p>
    <w:p w:rsidR="009C657E" w:rsidRPr="004176EA" w:rsidRDefault="009C657E" w:rsidP="004176EA">
      <w:pPr>
        <w:autoSpaceDE w:val="0"/>
        <w:autoSpaceDN w:val="0"/>
        <w:adjustRightInd w:val="0"/>
        <w:jc w:val="center"/>
        <w:rPr>
          <w:rFonts w:cs="Arial"/>
          <w:b/>
          <w:color w:val="000000"/>
          <w:szCs w:val="20"/>
        </w:rPr>
      </w:pPr>
      <w:bookmarkStart w:id="1" w:name="_GoBack"/>
    </w:p>
    <w:p w:rsidR="009C657E" w:rsidRPr="004176EA" w:rsidRDefault="004176EA" w:rsidP="004176EA">
      <w:pPr>
        <w:autoSpaceDE w:val="0"/>
        <w:autoSpaceDN w:val="0"/>
        <w:adjustRightInd w:val="0"/>
        <w:jc w:val="center"/>
        <w:rPr>
          <w:rFonts w:cs="Arial"/>
          <w:b/>
          <w:color w:val="000000"/>
          <w:szCs w:val="20"/>
        </w:rPr>
      </w:pPr>
      <w:r w:rsidRPr="004176EA">
        <w:rPr>
          <w:rFonts w:cs="Arial"/>
          <w:b/>
          <w:color w:val="000000"/>
          <w:szCs w:val="20"/>
        </w:rPr>
        <w:t>P</w:t>
      </w:r>
      <w:r w:rsidR="00B435E5" w:rsidRPr="004176EA">
        <w:rPr>
          <w:rFonts w:cs="Arial"/>
          <w:b/>
          <w:color w:val="000000"/>
          <w:szCs w:val="20"/>
        </w:rPr>
        <w:t>redlogi</w:t>
      </w:r>
      <w:r w:rsidR="00112C96" w:rsidRPr="004176EA">
        <w:rPr>
          <w:rFonts w:cs="Arial"/>
          <w:b/>
          <w:color w:val="000000"/>
          <w:szCs w:val="20"/>
        </w:rPr>
        <w:t xml:space="preserve"> amandmajev k Predlogu zakona o spremembah in dopolnitvah Zakona o omejevalnih ukrepih, ki jih Republika Slovenija uvede ali izvaja skladno s pravnimi akti in odločitvami, sprejetimi v okviru mednarodnih organizacij</w:t>
      </w:r>
    </w:p>
    <w:bookmarkEnd w:id="1"/>
    <w:p w:rsidR="004176EA" w:rsidRDefault="004176EA" w:rsidP="00B435E5">
      <w:pPr>
        <w:autoSpaceDE w:val="0"/>
        <w:autoSpaceDN w:val="0"/>
        <w:adjustRightInd w:val="0"/>
        <w:jc w:val="both"/>
        <w:rPr>
          <w:rFonts w:cs="Arial"/>
          <w:color w:val="000000"/>
          <w:szCs w:val="20"/>
        </w:rPr>
      </w:pPr>
    </w:p>
    <w:p w:rsidR="004176EA" w:rsidRDefault="004176EA" w:rsidP="00B435E5">
      <w:pPr>
        <w:autoSpaceDE w:val="0"/>
        <w:autoSpaceDN w:val="0"/>
        <w:adjustRightInd w:val="0"/>
        <w:jc w:val="both"/>
        <w:rPr>
          <w:rFonts w:cs="Arial"/>
          <w:color w:val="000000"/>
          <w:szCs w:val="20"/>
        </w:rPr>
      </w:pPr>
    </w:p>
    <w:p w:rsidR="004176EA" w:rsidRPr="00B435E5" w:rsidRDefault="004176EA" w:rsidP="004176EA">
      <w:pPr>
        <w:autoSpaceDE w:val="0"/>
        <w:autoSpaceDN w:val="0"/>
        <w:adjustRightInd w:val="0"/>
        <w:jc w:val="both"/>
        <w:rPr>
          <w:rFonts w:cs="Arial"/>
          <w:color w:val="000000"/>
          <w:szCs w:val="20"/>
        </w:rPr>
      </w:pPr>
    </w:p>
    <w:p w:rsidR="009C657E" w:rsidRPr="00B435E5" w:rsidRDefault="009C657E" w:rsidP="004176EA">
      <w:pPr>
        <w:autoSpaceDE w:val="0"/>
        <w:autoSpaceDN w:val="0"/>
        <w:adjustRightInd w:val="0"/>
        <w:jc w:val="both"/>
        <w:rPr>
          <w:rFonts w:cs="Arial"/>
          <w:color w:val="000000"/>
          <w:szCs w:val="20"/>
          <w:lang w:eastAsia="sl-SI"/>
        </w:rPr>
      </w:pPr>
    </w:p>
    <w:p w:rsidR="004176EA" w:rsidRDefault="004176EA" w:rsidP="004176EA">
      <w:pPr>
        <w:autoSpaceDE w:val="0"/>
        <w:autoSpaceDN w:val="0"/>
        <w:adjustRightInd w:val="0"/>
        <w:jc w:val="both"/>
        <w:rPr>
          <w:rFonts w:cs="Arial"/>
          <w:b/>
          <w:bCs/>
          <w:szCs w:val="20"/>
          <w:lang w:eastAsia="sr-Cyrl-RS"/>
        </w:rPr>
      </w:pPr>
    </w:p>
    <w:p w:rsidR="004176EA" w:rsidRDefault="004176EA" w:rsidP="004176EA">
      <w:pPr>
        <w:autoSpaceDE w:val="0"/>
        <w:autoSpaceDN w:val="0"/>
        <w:adjustRightInd w:val="0"/>
        <w:jc w:val="both"/>
        <w:rPr>
          <w:rFonts w:cs="Arial"/>
          <w:b/>
          <w:bCs/>
          <w:szCs w:val="20"/>
          <w:lang w:eastAsia="sr-Cyrl-RS"/>
        </w:rPr>
      </w:pPr>
      <w:r>
        <w:rPr>
          <w:rFonts w:cs="Arial"/>
          <w:b/>
          <w:bCs/>
          <w:szCs w:val="20"/>
          <w:lang w:eastAsia="sr-Cyrl-RS"/>
        </w:rPr>
        <w:t xml:space="preserve">K 1. členu  </w:t>
      </w:r>
    </w:p>
    <w:p w:rsidR="004176EA" w:rsidRDefault="004176EA" w:rsidP="004176EA">
      <w:pPr>
        <w:autoSpaceDE w:val="0"/>
        <w:autoSpaceDN w:val="0"/>
        <w:adjustRightInd w:val="0"/>
        <w:jc w:val="both"/>
        <w:rPr>
          <w:rFonts w:cs="Arial"/>
          <w:bCs/>
          <w:szCs w:val="20"/>
          <w:lang w:eastAsia="sr-Cyrl-RS"/>
        </w:rPr>
      </w:pPr>
      <w:r>
        <w:rPr>
          <w:rFonts w:cs="Arial"/>
          <w:bCs/>
          <w:szCs w:val="20"/>
          <w:lang w:eastAsia="sr-Cyrl-RS"/>
        </w:rPr>
        <w:t xml:space="preserve">V 1. členu se v prvem odstavku besedilo »uporabljajo tudi v prehodnem obdobju do uveljavitve ustreznih dopolnitev ustreznih prilog k uredbam EU, torej takoj že z dnem objave dopolnitve seznama s temi osebami na spletni strani VSZN« nadomesti z besedilom »uporabljajo z dnem objave dopolnitve seznama s temi osebami na spletni strani VSZN do uveljavitve ustrezne dopolnitve ustreznih prilog k uredbam EU.« </w:t>
      </w:r>
    </w:p>
    <w:p w:rsidR="004176EA" w:rsidRDefault="004176EA" w:rsidP="004176EA">
      <w:pPr>
        <w:autoSpaceDE w:val="0"/>
        <w:autoSpaceDN w:val="0"/>
        <w:adjustRightInd w:val="0"/>
        <w:jc w:val="both"/>
        <w:rPr>
          <w:rFonts w:cs="Arial"/>
          <w:bCs/>
          <w:szCs w:val="20"/>
          <w:u w:val="single"/>
          <w:lang w:eastAsia="sr-Cyrl-RS"/>
        </w:rPr>
      </w:pPr>
      <w:r>
        <w:rPr>
          <w:rFonts w:cs="Arial"/>
          <w:bCs/>
          <w:szCs w:val="20"/>
          <w:u w:val="single"/>
          <w:lang w:eastAsia="sr-Cyrl-RS"/>
        </w:rPr>
        <w:t>Obrazložitev:</w:t>
      </w:r>
    </w:p>
    <w:p w:rsidR="004176EA" w:rsidRDefault="004176EA" w:rsidP="004176EA">
      <w:pPr>
        <w:autoSpaceDE w:val="0"/>
        <w:autoSpaceDN w:val="0"/>
        <w:adjustRightInd w:val="0"/>
        <w:jc w:val="both"/>
        <w:rPr>
          <w:rFonts w:cs="Arial"/>
          <w:bCs/>
          <w:szCs w:val="20"/>
          <w:lang w:eastAsia="sr-Cyrl-RS"/>
        </w:rPr>
      </w:pPr>
      <w:r>
        <w:rPr>
          <w:rFonts w:cs="Arial"/>
          <w:bCs/>
          <w:szCs w:val="20"/>
          <w:lang w:eastAsia="sr-Cyrl-RS"/>
        </w:rPr>
        <w:t xml:space="preserve">Amandma sledi mnenju Zakonodajno-pravne službe Državnega zbora (v nadaljnjem besedilu: ZPS) glede neprimernosti besedila »torej takoj že z dnem objave dopolnitve seznama s temi osebami na spletni strani VSZN«, tako da je zdaj preoblikovano v bolj normativno besedilo. </w:t>
      </w:r>
    </w:p>
    <w:p w:rsidR="004176EA" w:rsidRDefault="004176EA" w:rsidP="004176EA">
      <w:pPr>
        <w:autoSpaceDE w:val="0"/>
        <w:autoSpaceDN w:val="0"/>
        <w:adjustRightInd w:val="0"/>
        <w:jc w:val="both"/>
        <w:rPr>
          <w:rFonts w:cs="Arial"/>
          <w:b/>
          <w:bCs/>
          <w:szCs w:val="20"/>
          <w:lang w:eastAsia="sr-Cyrl-RS"/>
        </w:rPr>
      </w:pPr>
    </w:p>
    <w:p w:rsidR="004176EA" w:rsidRDefault="004176EA" w:rsidP="004176EA">
      <w:pPr>
        <w:autoSpaceDE w:val="0"/>
        <w:autoSpaceDN w:val="0"/>
        <w:adjustRightInd w:val="0"/>
        <w:jc w:val="both"/>
        <w:rPr>
          <w:rFonts w:cs="Arial"/>
          <w:szCs w:val="20"/>
          <w:lang w:eastAsia="sr-Cyrl-RS"/>
        </w:rPr>
      </w:pPr>
      <w:r>
        <w:rPr>
          <w:rFonts w:cs="Arial"/>
          <w:b/>
          <w:bCs/>
          <w:szCs w:val="20"/>
          <w:lang w:eastAsia="sr-Cyrl-RS"/>
        </w:rPr>
        <w:t>K 2. členu</w:t>
      </w:r>
      <w:r>
        <w:rPr>
          <w:rFonts w:cs="Arial"/>
          <w:szCs w:val="20"/>
          <w:lang w:eastAsia="sr-Cyrl-RS"/>
        </w:rPr>
        <w:t xml:space="preserve"> </w:t>
      </w:r>
    </w:p>
    <w:p w:rsidR="004176EA" w:rsidRDefault="004176EA" w:rsidP="004176EA">
      <w:pPr>
        <w:autoSpaceDE w:val="0"/>
        <w:autoSpaceDN w:val="0"/>
        <w:adjustRightInd w:val="0"/>
        <w:jc w:val="both"/>
        <w:rPr>
          <w:rFonts w:cs="Arial"/>
          <w:szCs w:val="20"/>
        </w:rPr>
      </w:pPr>
      <w:r>
        <w:rPr>
          <w:rFonts w:cs="Arial"/>
          <w:szCs w:val="20"/>
        </w:rPr>
        <w:t xml:space="preserve">V 2. členu se prvi odstavek spremeni tako, da se glasi: </w:t>
      </w:r>
    </w:p>
    <w:p w:rsidR="004176EA" w:rsidRDefault="004176EA" w:rsidP="004176EA">
      <w:pPr>
        <w:autoSpaceDE w:val="0"/>
        <w:autoSpaceDN w:val="0"/>
        <w:adjustRightInd w:val="0"/>
        <w:jc w:val="both"/>
        <w:rPr>
          <w:rFonts w:cs="Arial"/>
          <w:szCs w:val="20"/>
        </w:rPr>
      </w:pPr>
      <w:r>
        <w:rPr>
          <w:rFonts w:cs="Arial"/>
          <w:szCs w:val="20"/>
        </w:rPr>
        <w:t xml:space="preserve">»V 8. členu se drugi odstavek spremeni tako, da se glasi: </w:t>
      </w:r>
    </w:p>
    <w:p w:rsidR="004176EA" w:rsidRDefault="004176EA" w:rsidP="004176EA">
      <w:pPr>
        <w:autoSpaceDE w:val="0"/>
        <w:autoSpaceDN w:val="0"/>
        <w:adjustRightInd w:val="0"/>
        <w:jc w:val="both"/>
        <w:rPr>
          <w:rFonts w:cs="Arial"/>
          <w:szCs w:val="20"/>
        </w:rPr>
      </w:pPr>
      <w:r>
        <w:rPr>
          <w:rFonts w:cs="Arial"/>
          <w:szCs w:val="20"/>
        </w:rPr>
        <w:t>(2) O vlogah iz prejšnjega odstavka odločajo ministrstvo ali ministrstva, pristojna za področje, na katero se nanašajo omejevalni ukrepi, v zvezi s katerimi so bile vloge vložene. Ne glede na navedeno pa o takih vlogah odloča:</w:t>
      </w:r>
    </w:p>
    <w:p w:rsidR="004176EA" w:rsidRDefault="004176EA" w:rsidP="004176EA">
      <w:pPr>
        <w:autoSpaceDE w:val="0"/>
        <w:autoSpaceDN w:val="0"/>
        <w:adjustRightInd w:val="0"/>
        <w:jc w:val="both"/>
        <w:rPr>
          <w:rFonts w:cs="Arial"/>
          <w:szCs w:val="20"/>
        </w:rPr>
      </w:pPr>
      <w:r>
        <w:rPr>
          <w:rFonts w:cs="Arial"/>
          <w:szCs w:val="20"/>
        </w:rPr>
        <w:t>– ministrstvo, pristojno za finance, če se vloga nanaša na finančne omejevalne ukrepe,</w:t>
      </w:r>
    </w:p>
    <w:p w:rsidR="004176EA" w:rsidRDefault="004176EA" w:rsidP="004176EA">
      <w:pPr>
        <w:autoSpaceDE w:val="0"/>
        <w:autoSpaceDN w:val="0"/>
        <w:adjustRightInd w:val="0"/>
        <w:jc w:val="both"/>
        <w:rPr>
          <w:rFonts w:cs="Arial"/>
          <w:szCs w:val="20"/>
        </w:rPr>
      </w:pPr>
      <w:r>
        <w:rPr>
          <w:rFonts w:cs="Arial"/>
          <w:szCs w:val="20"/>
        </w:rPr>
        <w:t>– ministrstvo, pristojno za gospodarstvo, če se vloga nanaša ukrepe za omejevanje trgovine,</w:t>
      </w:r>
    </w:p>
    <w:p w:rsidR="004176EA" w:rsidRDefault="004176EA" w:rsidP="004176EA">
      <w:pPr>
        <w:autoSpaceDE w:val="0"/>
        <w:autoSpaceDN w:val="0"/>
        <w:adjustRightInd w:val="0"/>
        <w:jc w:val="both"/>
        <w:rPr>
          <w:rFonts w:cs="Arial"/>
          <w:szCs w:val="20"/>
        </w:rPr>
      </w:pPr>
      <w:r>
        <w:rPr>
          <w:rFonts w:cs="Arial"/>
          <w:szCs w:val="20"/>
        </w:rPr>
        <w:t>– ministrstvo, pristojno za zunanje zadeve, če se vloga nanaša na ukrepe omejevanja potovanj ali razvojno sodelovanje in humanitarno pomoč,</w:t>
      </w:r>
    </w:p>
    <w:p w:rsidR="004176EA" w:rsidRDefault="004176EA" w:rsidP="004176EA">
      <w:pPr>
        <w:autoSpaceDE w:val="0"/>
        <w:autoSpaceDN w:val="0"/>
        <w:adjustRightInd w:val="0"/>
        <w:jc w:val="both"/>
        <w:rPr>
          <w:rFonts w:cs="Arial"/>
          <w:szCs w:val="20"/>
        </w:rPr>
      </w:pPr>
      <w:r>
        <w:rPr>
          <w:rFonts w:cs="Arial"/>
          <w:szCs w:val="20"/>
        </w:rPr>
        <w:t>– ministrstvo, pristojno za notranje zadeve, če se vloga nanaša na civilno orožje ali opremo, ki bi se lahko uporabila za notranjo represijo,</w:t>
      </w:r>
    </w:p>
    <w:p w:rsidR="004176EA" w:rsidRDefault="004176EA" w:rsidP="004176EA">
      <w:pPr>
        <w:autoSpaceDE w:val="0"/>
        <w:autoSpaceDN w:val="0"/>
        <w:adjustRightInd w:val="0"/>
        <w:jc w:val="both"/>
        <w:rPr>
          <w:rFonts w:cs="Arial"/>
          <w:szCs w:val="20"/>
        </w:rPr>
      </w:pPr>
      <w:r>
        <w:rPr>
          <w:rFonts w:cs="Arial"/>
          <w:szCs w:val="20"/>
        </w:rPr>
        <w:t>– ministrstvo, pristojno za obrambo, če se vloga nanaša na vojaško orožje in opremo ter druge obrambne proizvode,</w:t>
      </w:r>
    </w:p>
    <w:p w:rsidR="004176EA" w:rsidRDefault="004176EA" w:rsidP="004176EA">
      <w:pPr>
        <w:autoSpaceDE w:val="0"/>
        <w:autoSpaceDN w:val="0"/>
        <w:adjustRightInd w:val="0"/>
        <w:jc w:val="both"/>
        <w:rPr>
          <w:rFonts w:cs="Arial"/>
          <w:szCs w:val="20"/>
        </w:rPr>
      </w:pPr>
      <w:r>
        <w:rPr>
          <w:rFonts w:cs="Arial"/>
          <w:szCs w:val="20"/>
        </w:rPr>
        <w:t>– urad, pristojen za informacijsko varnost, če se vloga nanaša na incidente informacijske varnosti in kibernetske napade.</w:t>
      </w:r>
    </w:p>
    <w:p w:rsidR="004176EA" w:rsidRDefault="004176EA" w:rsidP="004176EA">
      <w:pPr>
        <w:autoSpaceDE w:val="0"/>
        <w:autoSpaceDN w:val="0"/>
        <w:adjustRightInd w:val="0"/>
        <w:jc w:val="both"/>
        <w:rPr>
          <w:rFonts w:cs="Arial"/>
          <w:szCs w:val="20"/>
        </w:rPr>
      </w:pPr>
      <w:r>
        <w:rPr>
          <w:rFonts w:cs="Arial"/>
          <w:szCs w:val="20"/>
        </w:rPr>
        <w:t>Vlada na podlagi 3. člena tega zakona po potrebi na predlog pristojnega organa iz posamezne alineje in po predhodnem mnenju skupine sprejme podrobnejša pravila za odločanje o vlogah.«</w:t>
      </w:r>
    </w:p>
    <w:p w:rsidR="004176EA" w:rsidRDefault="004176EA" w:rsidP="004176EA">
      <w:pPr>
        <w:autoSpaceDE w:val="0"/>
        <w:autoSpaceDN w:val="0"/>
        <w:adjustRightInd w:val="0"/>
        <w:jc w:val="both"/>
        <w:rPr>
          <w:rFonts w:cs="Arial"/>
          <w:szCs w:val="20"/>
        </w:rPr>
      </w:pPr>
      <w:r>
        <w:rPr>
          <w:rFonts w:cs="Arial"/>
          <w:szCs w:val="20"/>
        </w:rPr>
        <w:t>Doda se nov drugi odstavek, ki se glasi:</w:t>
      </w:r>
    </w:p>
    <w:p w:rsidR="004176EA" w:rsidRDefault="004176EA" w:rsidP="004176EA">
      <w:pPr>
        <w:autoSpaceDE w:val="0"/>
        <w:autoSpaceDN w:val="0"/>
        <w:adjustRightInd w:val="0"/>
        <w:jc w:val="both"/>
        <w:rPr>
          <w:rFonts w:cs="Arial"/>
          <w:szCs w:val="20"/>
        </w:rPr>
      </w:pPr>
      <w:r>
        <w:rPr>
          <w:rFonts w:cs="Arial"/>
          <w:szCs w:val="20"/>
        </w:rPr>
        <w:t xml:space="preserve">»Doda se nov tretji odstavek, ki se glasi: </w:t>
      </w:r>
    </w:p>
    <w:p w:rsidR="004176EA" w:rsidRDefault="004176EA" w:rsidP="004176EA">
      <w:pPr>
        <w:autoSpaceDE w:val="0"/>
        <w:autoSpaceDN w:val="0"/>
        <w:adjustRightInd w:val="0"/>
        <w:jc w:val="both"/>
        <w:rPr>
          <w:rFonts w:cs="Arial"/>
          <w:szCs w:val="20"/>
        </w:rPr>
      </w:pPr>
      <w:r>
        <w:rPr>
          <w:rFonts w:cs="Arial"/>
          <w:szCs w:val="20"/>
        </w:rPr>
        <w:t xml:space="preserve">(3) Ministrstvo iz druge prejšnjega odstavka odloča na podlagi strokovnega mnenja organa, vsebinsko pristojnega za konkretno blago, tehnologijo in povezano tehnično pomoč, ki ga ta </w:t>
      </w:r>
      <w:r>
        <w:rPr>
          <w:rFonts w:cs="Arial"/>
          <w:szCs w:val="20"/>
        </w:rPr>
        <w:lastRenderedPageBreak/>
        <w:t>predloži ministrstvu, pristojnemu za gospodarstvo, v treh delovnih dneh od prejetja zahteve, sicer navedeno ministrstvo šteje, da ta organ glede trgovine s tem blagom, tehnologijo ali tehnično pomočjo nima zadržkov.«</w:t>
      </w:r>
    </w:p>
    <w:p w:rsidR="004176EA" w:rsidRDefault="004176EA" w:rsidP="004176EA">
      <w:pPr>
        <w:autoSpaceDE w:val="0"/>
        <w:autoSpaceDN w:val="0"/>
        <w:adjustRightInd w:val="0"/>
        <w:jc w:val="both"/>
        <w:rPr>
          <w:rFonts w:cs="Arial"/>
          <w:szCs w:val="20"/>
        </w:rPr>
      </w:pPr>
      <w:r>
        <w:rPr>
          <w:rFonts w:cs="Arial"/>
          <w:szCs w:val="20"/>
        </w:rPr>
        <w:t>V dosedanjem drugem odstavku, ki postane tretji odstavek, se v besedilu tretje alineje črta besedilo</w:t>
      </w:r>
      <w:r>
        <w:t xml:space="preserve"> »</w:t>
      </w:r>
      <w:r>
        <w:rPr>
          <w:rFonts w:cs="Arial"/>
          <w:szCs w:val="20"/>
        </w:rPr>
        <w:t>razvojno sodelovanje in humanitarna pomoč pa pomenita tisto, kar ureja zakon, ki ureja mednarodno razvojno sodelovanje in humanitarno pomoč;«, za to alinejo pa se doda nova četrta alineja, ki se glasi:</w:t>
      </w:r>
    </w:p>
    <w:p w:rsidR="004176EA" w:rsidRDefault="004176EA" w:rsidP="004176EA">
      <w:pPr>
        <w:autoSpaceDE w:val="0"/>
        <w:autoSpaceDN w:val="0"/>
        <w:adjustRightInd w:val="0"/>
        <w:jc w:val="both"/>
        <w:rPr>
          <w:rFonts w:cs="Arial"/>
          <w:szCs w:val="20"/>
        </w:rPr>
      </w:pPr>
      <w:r>
        <w:rPr>
          <w:rFonts w:ascii="Times New Roman" w:hAnsi="Times New Roman"/>
          <w:szCs w:val="20"/>
        </w:rPr>
        <w:t>»</w:t>
      </w:r>
      <w:r>
        <w:rPr>
          <w:rFonts w:cs="Arial"/>
          <w:szCs w:val="20"/>
        </w:rPr>
        <w:t>– razvojno sodelovanje in humanitarna pomoč pomenita tisto, kar ureja zakon, ki ureja mednarodno razvojno sodelovanje in humanitarno pomoč;</w:t>
      </w:r>
      <w:r>
        <w:rPr>
          <w:rFonts w:ascii="Times New Roman" w:hAnsi="Times New Roman"/>
          <w:szCs w:val="20"/>
        </w:rPr>
        <w:t>«</w:t>
      </w:r>
      <w:r>
        <w:rPr>
          <w:rFonts w:cs="Arial"/>
          <w:szCs w:val="20"/>
        </w:rPr>
        <w:t xml:space="preserve"> </w:t>
      </w:r>
    </w:p>
    <w:p w:rsidR="004176EA" w:rsidRDefault="004176EA" w:rsidP="004176EA">
      <w:pPr>
        <w:autoSpaceDE w:val="0"/>
        <w:autoSpaceDN w:val="0"/>
        <w:adjustRightInd w:val="0"/>
        <w:jc w:val="both"/>
        <w:rPr>
          <w:rFonts w:cs="Arial"/>
          <w:szCs w:val="20"/>
        </w:rPr>
      </w:pPr>
      <w:r>
        <w:rPr>
          <w:rFonts w:cs="Arial"/>
          <w:szCs w:val="20"/>
        </w:rPr>
        <w:t xml:space="preserve">Dosedanje četrta, peta in šesta alineja postanejo peta, šesta in sedma alineja. </w:t>
      </w:r>
    </w:p>
    <w:p w:rsidR="004176EA" w:rsidRDefault="004176EA" w:rsidP="004176EA">
      <w:pPr>
        <w:autoSpaceDE w:val="0"/>
        <w:autoSpaceDN w:val="0"/>
        <w:adjustRightInd w:val="0"/>
        <w:jc w:val="both"/>
        <w:rPr>
          <w:rFonts w:cs="Arial"/>
          <w:szCs w:val="20"/>
        </w:rPr>
      </w:pPr>
      <w:r>
        <w:rPr>
          <w:rFonts w:cs="Arial"/>
          <w:szCs w:val="20"/>
        </w:rPr>
        <w:t xml:space="preserve">Besedilo tretjega odstavka se spremeni tako, da se glasi: </w:t>
      </w:r>
    </w:p>
    <w:p w:rsidR="004176EA" w:rsidRDefault="004176EA" w:rsidP="004176EA">
      <w:pPr>
        <w:autoSpaceDE w:val="0"/>
        <w:autoSpaceDN w:val="0"/>
        <w:adjustRightInd w:val="0"/>
        <w:jc w:val="both"/>
        <w:rPr>
          <w:rFonts w:cs="Arial"/>
          <w:szCs w:val="20"/>
        </w:rPr>
      </w:pPr>
      <w:r>
        <w:rPr>
          <w:rFonts w:cs="Arial"/>
          <w:szCs w:val="20"/>
        </w:rPr>
        <w:t>»Dosedanji tretji, četrti in peti odstavek postanejo peti, šesti in sedmi odstavek.</w:t>
      </w:r>
      <w:r>
        <w:t xml:space="preserve"> </w:t>
      </w:r>
      <w:r>
        <w:rPr>
          <w:rFonts w:cs="Arial"/>
          <w:szCs w:val="20"/>
        </w:rPr>
        <w:t xml:space="preserve">V novem četrtem odstavku se besedilo "ministrstvo ali ministrstva" nadomesti z besedilom "ministrstvo ali ministrstva ali urad", beseda "ministrstva" pa z besedilom "ministrstva ali urada", v novem petem odstavku se besedilo "ministrstvo ali ministrstva, ki so pristojna za področje, na katero se nanaša vloga, če je med njimi vsaj eno ministrstvo, ki je navedeno" nadomesti z besedilom "ministrstvo ali ministrstva ali urad, pristojen za področje, na katero se nanašajo omejevalni ukrepi, če je med njimi vsaj eden od teh organov, ki je naveden", v novem šestem odstavku pa se v prvi alineji beseda »tretjega« nadomesti z besedo »četrtega« ter beseda "ministrstva" z besedo "ministrstva ali urada".«.  </w:t>
      </w:r>
    </w:p>
    <w:p w:rsidR="004176EA" w:rsidRDefault="004176EA" w:rsidP="004176EA">
      <w:pPr>
        <w:autoSpaceDE w:val="0"/>
        <w:autoSpaceDN w:val="0"/>
        <w:adjustRightInd w:val="0"/>
        <w:jc w:val="both"/>
        <w:rPr>
          <w:rFonts w:cs="Arial"/>
          <w:szCs w:val="20"/>
        </w:rPr>
      </w:pPr>
    </w:p>
    <w:p w:rsidR="004176EA" w:rsidRDefault="004176EA" w:rsidP="004176EA">
      <w:pPr>
        <w:autoSpaceDE w:val="0"/>
        <w:autoSpaceDN w:val="0"/>
        <w:adjustRightInd w:val="0"/>
        <w:jc w:val="both"/>
        <w:rPr>
          <w:rFonts w:cs="Arial"/>
          <w:szCs w:val="20"/>
        </w:rPr>
      </w:pPr>
      <w:bookmarkStart w:id="2" w:name="_Hlk94711743"/>
      <w:r>
        <w:rPr>
          <w:rFonts w:cs="Arial"/>
          <w:szCs w:val="20"/>
          <w:u w:val="single"/>
        </w:rPr>
        <w:t>Obrazložitev</w:t>
      </w:r>
      <w:r>
        <w:rPr>
          <w:rFonts w:cs="Arial"/>
          <w:szCs w:val="20"/>
        </w:rPr>
        <w:t>:</w:t>
      </w:r>
    </w:p>
    <w:bookmarkEnd w:id="2"/>
    <w:p w:rsidR="004176EA" w:rsidRDefault="004176EA" w:rsidP="004176EA">
      <w:pPr>
        <w:autoSpaceDE w:val="0"/>
        <w:autoSpaceDN w:val="0"/>
        <w:adjustRightInd w:val="0"/>
        <w:jc w:val="both"/>
        <w:rPr>
          <w:rFonts w:cs="Arial"/>
          <w:bCs/>
          <w:szCs w:val="20"/>
          <w:lang w:eastAsia="sr-Cyrl-RS"/>
        </w:rPr>
      </w:pPr>
      <w:r>
        <w:rPr>
          <w:rFonts w:cs="Arial"/>
          <w:bCs/>
          <w:szCs w:val="20"/>
          <w:lang w:eastAsia="sr-Cyrl-RS"/>
        </w:rPr>
        <w:t>Amandma sledi predlogu ZPS, da vladne službe in uradi splošno po Zakonu o državni upravi niso pristojni za opravljanje upravnih nalog, zato je bilo splošno sklicevane nanje črtano. Ohranjeno pa je sklicevanje na urad, pristojen za informacijsko varnost, saj je po veljavni normativni ureditvi Zakon o informacijski varnosti, še posebej z njegovo zadnjo novelo (</w:t>
      </w:r>
      <w:proofErr w:type="spellStart"/>
      <w:r>
        <w:rPr>
          <w:rFonts w:cs="Arial"/>
          <w:bCs/>
          <w:szCs w:val="20"/>
          <w:lang w:eastAsia="sr-Cyrl-RS"/>
        </w:rPr>
        <w:t>ZInfV</w:t>
      </w:r>
      <w:proofErr w:type="spellEnd"/>
      <w:r>
        <w:rPr>
          <w:rFonts w:cs="Arial"/>
          <w:bCs/>
          <w:szCs w:val="20"/>
          <w:lang w:eastAsia="sr-Cyrl-RS"/>
        </w:rPr>
        <w:t xml:space="preserve">-A), izrecno podelil upravne naloge Uradu Vlade Republike Slovenije za informacijsko varnost. Ob tem velja pojasniti, da ministrstvo, pristojno za informacijsko varnost, kot tako sploh ne obstaja več, saj so bile zadevne naloge v celoti prenesene iz Ministrstva za javno upravo na </w:t>
      </w:r>
      <w:bookmarkStart w:id="3" w:name="_Hlk94859600"/>
      <w:r>
        <w:rPr>
          <w:rFonts w:cs="Arial"/>
          <w:bCs/>
          <w:szCs w:val="20"/>
          <w:lang w:eastAsia="sr-Cyrl-RS"/>
        </w:rPr>
        <w:t>navedeni urad</w:t>
      </w:r>
      <w:bookmarkEnd w:id="3"/>
      <w:r>
        <w:rPr>
          <w:rFonts w:cs="Arial"/>
          <w:bCs/>
          <w:szCs w:val="20"/>
          <w:lang w:eastAsia="sr-Cyrl-RS"/>
        </w:rPr>
        <w:t>.</w:t>
      </w:r>
    </w:p>
    <w:p w:rsidR="004176EA" w:rsidRDefault="004176EA" w:rsidP="004176EA">
      <w:pPr>
        <w:autoSpaceDE w:val="0"/>
        <w:autoSpaceDN w:val="0"/>
        <w:adjustRightInd w:val="0"/>
        <w:jc w:val="both"/>
        <w:rPr>
          <w:rFonts w:cs="Arial"/>
          <w:bCs/>
          <w:szCs w:val="20"/>
          <w:lang w:eastAsia="sr-Cyrl-RS"/>
        </w:rPr>
      </w:pPr>
      <w:r>
        <w:rPr>
          <w:rFonts w:cs="Arial"/>
          <w:bCs/>
          <w:szCs w:val="20"/>
          <w:lang w:eastAsia="sr-Cyrl-RS"/>
        </w:rPr>
        <w:t xml:space="preserve">Prav tako amandma sledi predlogu, da se besedilo glede strokovnih mnenj iz druge alineje spremenjenega 8. člena uvrsti v samostojni odstavek, kar je bilo uvrščeno v novi tretji odstavek. </w:t>
      </w:r>
    </w:p>
    <w:p w:rsidR="004176EA" w:rsidRDefault="004176EA" w:rsidP="004176EA">
      <w:pPr>
        <w:autoSpaceDE w:val="0"/>
        <w:autoSpaceDN w:val="0"/>
        <w:adjustRightInd w:val="0"/>
        <w:jc w:val="both"/>
        <w:rPr>
          <w:rFonts w:cs="Arial"/>
          <w:bCs/>
          <w:szCs w:val="20"/>
          <w:lang w:eastAsia="sr-Cyrl-RS"/>
        </w:rPr>
      </w:pPr>
      <w:r>
        <w:rPr>
          <w:rFonts w:cs="Arial"/>
          <w:bCs/>
          <w:szCs w:val="20"/>
          <w:lang w:eastAsia="sr-Cyrl-RS"/>
        </w:rPr>
        <w:t xml:space="preserve">Amandma sledi tudi predlogu za odpravo dvodelnosti v tretji alineji novega tretjega odstavka 8. člena, s tem da je bila ta alineja razdeljena na dve ločeni alineji. Glede na črtanje vladnih služb in uradov iz člena je bil črtan tudi ustrezen del tretjega odstavka.  </w:t>
      </w:r>
    </w:p>
    <w:p w:rsidR="004176EA" w:rsidRDefault="004176EA" w:rsidP="004176EA">
      <w:pPr>
        <w:autoSpaceDE w:val="0"/>
        <w:autoSpaceDN w:val="0"/>
        <w:adjustRightInd w:val="0"/>
        <w:jc w:val="both"/>
        <w:rPr>
          <w:rFonts w:cs="Arial"/>
          <w:b/>
          <w:bCs/>
          <w:szCs w:val="20"/>
          <w:lang w:eastAsia="sr-Cyrl-RS"/>
        </w:rPr>
      </w:pPr>
    </w:p>
    <w:p w:rsidR="004176EA" w:rsidRDefault="004176EA" w:rsidP="004176EA">
      <w:pPr>
        <w:autoSpaceDE w:val="0"/>
        <w:autoSpaceDN w:val="0"/>
        <w:adjustRightInd w:val="0"/>
        <w:jc w:val="both"/>
        <w:rPr>
          <w:rFonts w:cs="Arial"/>
          <w:b/>
          <w:bCs/>
          <w:szCs w:val="20"/>
          <w:lang w:eastAsia="sr-Cyrl-RS"/>
        </w:rPr>
      </w:pPr>
      <w:r>
        <w:rPr>
          <w:rFonts w:cs="Arial"/>
          <w:b/>
          <w:bCs/>
          <w:szCs w:val="20"/>
          <w:lang w:eastAsia="sr-Cyrl-RS"/>
        </w:rPr>
        <w:t>K 3. členu:</w:t>
      </w:r>
    </w:p>
    <w:p w:rsidR="004176EA" w:rsidRDefault="004176EA" w:rsidP="004176EA">
      <w:pPr>
        <w:autoSpaceDE w:val="0"/>
        <w:autoSpaceDN w:val="0"/>
        <w:adjustRightInd w:val="0"/>
        <w:jc w:val="both"/>
        <w:rPr>
          <w:rFonts w:cs="Arial"/>
          <w:szCs w:val="20"/>
          <w:lang w:eastAsia="sr-Cyrl-RS"/>
        </w:rPr>
      </w:pPr>
      <w:r>
        <w:rPr>
          <w:rFonts w:cs="Arial"/>
          <w:szCs w:val="20"/>
          <w:lang w:eastAsia="sr-Cyrl-RS"/>
        </w:rPr>
        <w:t>V tretjem odstavku se besedilo »druge alineje drugega odstavka 8. člena tega zakona« nadomesti z besedilom »tretjega odstavka 8. člena tega zakona«.</w:t>
      </w:r>
    </w:p>
    <w:p w:rsidR="004176EA" w:rsidRDefault="004176EA" w:rsidP="004176EA">
      <w:pPr>
        <w:autoSpaceDE w:val="0"/>
        <w:autoSpaceDN w:val="0"/>
        <w:adjustRightInd w:val="0"/>
        <w:jc w:val="both"/>
        <w:rPr>
          <w:rFonts w:cs="Arial"/>
          <w:szCs w:val="20"/>
          <w:u w:val="single"/>
          <w:lang w:eastAsia="sr-Cyrl-RS"/>
        </w:rPr>
      </w:pPr>
      <w:r>
        <w:rPr>
          <w:rFonts w:cs="Arial"/>
          <w:szCs w:val="20"/>
          <w:u w:val="single"/>
          <w:lang w:eastAsia="sr-Cyrl-RS"/>
        </w:rPr>
        <w:t>Obrazložitev:</w:t>
      </w:r>
    </w:p>
    <w:p w:rsidR="004176EA" w:rsidRDefault="004176EA" w:rsidP="004176EA">
      <w:pPr>
        <w:autoSpaceDE w:val="0"/>
        <w:autoSpaceDN w:val="0"/>
        <w:adjustRightInd w:val="0"/>
        <w:jc w:val="both"/>
        <w:rPr>
          <w:rFonts w:cs="Arial"/>
          <w:szCs w:val="20"/>
          <w:lang w:eastAsia="sr-Cyrl-RS"/>
        </w:rPr>
      </w:pPr>
      <w:r>
        <w:rPr>
          <w:rFonts w:cs="Arial"/>
          <w:szCs w:val="20"/>
          <w:lang w:eastAsia="sr-Cyrl-RS"/>
        </w:rPr>
        <w:t>Ta sprememba je posledica prestavitve dela besedila druge alineje drugega odstavka 8. člena v novi tretji odstavek istega člena v skladu z mnenjem ZPS.</w:t>
      </w:r>
    </w:p>
    <w:p w:rsidR="004176EA" w:rsidRDefault="004176EA" w:rsidP="004176EA">
      <w:pPr>
        <w:autoSpaceDE w:val="0"/>
        <w:autoSpaceDN w:val="0"/>
        <w:adjustRightInd w:val="0"/>
        <w:jc w:val="both"/>
        <w:rPr>
          <w:rFonts w:cs="Arial"/>
          <w:szCs w:val="20"/>
          <w:lang w:eastAsia="sr-Cyrl-RS"/>
        </w:rPr>
      </w:pPr>
      <w:r>
        <w:rPr>
          <w:rFonts w:cs="Arial"/>
          <w:szCs w:val="20"/>
          <w:lang w:eastAsia="sr-Cyrl-RS"/>
        </w:rPr>
        <w:t xml:space="preserve"> </w:t>
      </w:r>
    </w:p>
    <w:p w:rsidR="004176EA" w:rsidRDefault="004176EA" w:rsidP="004176EA">
      <w:pPr>
        <w:autoSpaceDE w:val="0"/>
        <w:autoSpaceDN w:val="0"/>
        <w:adjustRightInd w:val="0"/>
        <w:jc w:val="both"/>
        <w:rPr>
          <w:rFonts w:cs="Arial"/>
          <w:szCs w:val="20"/>
          <w:lang w:eastAsia="sr-Cyrl-RS"/>
        </w:rPr>
      </w:pPr>
      <w:r>
        <w:rPr>
          <w:rFonts w:cs="Arial"/>
          <w:b/>
          <w:bCs/>
          <w:szCs w:val="20"/>
          <w:lang w:eastAsia="sr-Cyrl-RS"/>
        </w:rPr>
        <w:t>K 4. členu</w:t>
      </w:r>
      <w:r>
        <w:rPr>
          <w:rFonts w:cs="Arial"/>
          <w:szCs w:val="20"/>
          <w:lang w:eastAsia="sr-Cyrl-RS"/>
        </w:rPr>
        <w:t xml:space="preserve"> </w:t>
      </w:r>
    </w:p>
    <w:p w:rsidR="004176EA" w:rsidRDefault="004176EA" w:rsidP="004176EA">
      <w:pPr>
        <w:autoSpaceDE w:val="0"/>
        <w:autoSpaceDN w:val="0"/>
        <w:adjustRightInd w:val="0"/>
        <w:jc w:val="both"/>
        <w:rPr>
          <w:rFonts w:cs="Arial"/>
          <w:bCs/>
          <w:szCs w:val="20"/>
          <w:lang w:eastAsia="sr-Cyrl-RS"/>
        </w:rPr>
      </w:pPr>
      <w:r>
        <w:rPr>
          <w:rFonts w:cs="Arial"/>
          <w:bCs/>
          <w:szCs w:val="20"/>
          <w:lang w:eastAsia="sr-Cyrl-RS"/>
        </w:rPr>
        <w:t>V 4. členu se v prvem odstavku besedilo »doda naslov poglavja »KAZENSKE DOLOČBE« ter« nadomesti z besedilom »dodajo«, besedilo 10.b člena pa se spremeni tako, da se glasi:</w:t>
      </w:r>
    </w:p>
    <w:p w:rsidR="004176EA" w:rsidRDefault="004176EA" w:rsidP="004176EA">
      <w:pPr>
        <w:autoSpaceDE w:val="0"/>
        <w:autoSpaceDN w:val="0"/>
        <w:adjustRightInd w:val="0"/>
        <w:jc w:val="both"/>
        <w:rPr>
          <w:rFonts w:cs="Arial"/>
          <w:szCs w:val="20"/>
          <w:u w:val="single"/>
        </w:rPr>
      </w:pPr>
      <w:r>
        <w:rPr>
          <w:rFonts w:cs="Arial"/>
          <w:bCs/>
          <w:szCs w:val="20"/>
          <w:lang w:eastAsia="sr-Cyrl-RS"/>
        </w:rPr>
        <w:t>»Za prekršek iz 1. točke prvega odstavka 10.a člena tega zakona se izreče tudi stranska sankcija odvzema predmetov, ki so bili uporabljeni ali namenjeni za prekršek, ali pa so nastali s prekrškom. Stranska sankcija se izreče tudi, če predmeti, ki so bili uporabljeni ali namenjeni za prekršek, ali pa so nastali s prekrškom, niso storilčeva last.«.</w:t>
      </w:r>
    </w:p>
    <w:p w:rsidR="004176EA" w:rsidRDefault="004176EA" w:rsidP="004176EA">
      <w:pPr>
        <w:autoSpaceDE w:val="0"/>
        <w:autoSpaceDN w:val="0"/>
        <w:adjustRightInd w:val="0"/>
        <w:jc w:val="both"/>
        <w:rPr>
          <w:rFonts w:cs="Arial"/>
          <w:szCs w:val="20"/>
        </w:rPr>
      </w:pPr>
      <w:r>
        <w:rPr>
          <w:rFonts w:cs="Arial"/>
          <w:szCs w:val="20"/>
          <w:u w:val="single"/>
        </w:rPr>
        <w:t>Obrazložitev</w:t>
      </w:r>
      <w:r>
        <w:rPr>
          <w:rFonts w:cs="Arial"/>
          <w:szCs w:val="20"/>
        </w:rPr>
        <w:t>:</w:t>
      </w:r>
    </w:p>
    <w:p w:rsidR="004176EA" w:rsidRDefault="004176EA" w:rsidP="004176EA">
      <w:pPr>
        <w:autoSpaceDE w:val="0"/>
        <w:autoSpaceDN w:val="0"/>
        <w:adjustRightInd w:val="0"/>
        <w:jc w:val="both"/>
        <w:rPr>
          <w:rFonts w:cs="Arial"/>
          <w:b/>
          <w:bCs/>
          <w:szCs w:val="20"/>
          <w:lang w:eastAsia="sr-Cyrl-RS"/>
        </w:rPr>
      </w:pPr>
      <w:r>
        <w:rPr>
          <w:rFonts w:cs="Arial"/>
          <w:bCs/>
          <w:szCs w:val="20"/>
          <w:lang w:eastAsia="sr-Cyrl-RS"/>
        </w:rPr>
        <w:t xml:space="preserve">Amandma sledi predlogu ZPS, da je glede na odsotnost poglavij v zakonu treba črtati naslov poglavja, in da se namesto besedila »blago, tehnologija, denar ali premoženje« v skladu z </w:t>
      </w:r>
      <w:r>
        <w:rPr>
          <w:rFonts w:cs="Arial"/>
          <w:bCs/>
          <w:szCs w:val="20"/>
          <w:lang w:eastAsia="sr-Cyrl-RS"/>
        </w:rPr>
        <w:lastRenderedPageBreak/>
        <w:t>Zakonom o prekrških uporablja besedilo »predmeti, ki so bili uporabljeni ali namenjeni za prekršek, ali pa so nastali s prekrškom«.</w:t>
      </w:r>
    </w:p>
    <w:p w:rsidR="004176EA" w:rsidRDefault="004176EA" w:rsidP="004176EA">
      <w:pPr>
        <w:autoSpaceDE w:val="0"/>
        <w:autoSpaceDN w:val="0"/>
        <w:adjustRightInd w:val="0"/>
        <w:jc w:val="both"/>
        <w:rPr>
          <w:rFonts w:cs="Arial"/>
          <w:b/>
          <w:bCs/>
          <w:szCs w:val="20"/>
          <w:lang w:eastAsia="sr-Cyrl-RS"/>
        </w:rPr>
      </w:pPr>
    </w:p>
    <w:p w:rsidR="004176EA" w:rsidRDefault="004176EA" w:rsidP="004176EA">
      <w:pPr>
        <w:autoSpaceDE w:val="0"/>
        <w:autoSpaceDN w:val="0"/>
        <w:adjustRightInd w:val="0"/>
        <w:jc w:val="both"/>
        <w:rPr>
          <w:rFonts w:cs="Arial"/>
          <w:szCs w:val="20"/>
          <w:lang w:eastAsia="sr-Cyrl-RS"/>
        </w:rPr>
      </w:pPr>
      <w:r>
        <w:rPr>
          <w:rFonts w:cs="Arial"/>
          <w:b/>
          <w:bCs/>
          <w:szCs w:val="20"/>
          <w:lang w:eastAsia="sr-Cyrl-RS"/>
        </w:rPr>
        <w:t>K 5. členu</w:t>
      </w:r>
      <w:r>
        <w:rPr>
          <w:rFonts w:cs="Arial"/>
          <w:szCs w:val="20"/>
          <w:lang w:eastAsia="sr-Cyrl-RS"/>
        </w:rPr>
        <w:t xml:space="preserve"> </w:t>
      </w:r>
    </w:p>
    <w:p w:rsidR="004176EA" w:rsidRDefault="004176EA" w:rsidP="004176EA">
      <w:pPr>
        <w:autoSpaceDE w:val="0"/>
        <w:autoSpaceDN w:val="0"/>
        <w:adjustRightInd w:val="0"/>
        <w:jc w:val="both"/>
        <w:rPr>
          <w:rFonts w:cs="Arial"/>
          <w:szCs w:val="20"/>
        </w:rPr>
      </w:pPr>
      <w:r>
        <w:rPr>
          <w:rFonts w:cs="Arial"/>
          <w:szCs w:val="20"/>
        </w:rPr>
        <w:t xml:space="preserve">V 5. členu se beseda »šestega« nadomesti z besedo »petega«, besedilo »izvedbo drugega stavka šestega odstavka 3. člena tega zakona« pa se nadomesti z besedilom »o možnostih za elektronsko obveščanje o </w:t>
      </w:r>
      <w:proofErr w:type="spellStart"/>
      <w:r>
        <w:rPr>
          <w:rFonts w:cs="Arial"/>
          <w:szCs w:val="20"/>
        </w:rPr>
        <w:t>sankcijskih</w:t>
      </w:r>
      <w:proofErr w:type="spellEnd"/>
      <w:r>
        <w:rPr>
          <w:rFonts w:cs="Arial"/>
          <w:szCs w:val="20"/>
        </w:rPr>
        <w:t xml:space="preserve"> seznamih iz drugega stavka šestega odstavka 3. člena tega zakona«.</w:t>
      </w:r>
    </w:p>
    <w:p w:rsidR="004176EA" w:rsidRDefault="004176EA" w:rsidP="004176EA">
      <w:pPr>
        <w:autoSpaceDE w:val="0"/>
        <w:autoSpaceDN w:val="0"/>
        <w:adjustRightInd w:val="0"/>
        <w:jc w:val="both"/>
        <w:rPr>
          <w:rFonts w:cs="Arial"/>
          <w:szCs w:val="20"/>
        </w:rPr>
      </w:pPr>
      <w:r>
        <w:rPr>
          <w:rFonts w:cs="Arial"/>
          <w:szCs w:val="20"/>
          <w:u w:val="single"/>
        </w:rPr>
        <w:t>Obrazložitev</w:t>
      </w:r>
      <w:r>
        <w:rPr>
          <w:rFonts w:cs="Arial"/>
          <w:szCs w:val="20"/>
        </w:rPr>
        <w:t>:</w:t>
      </w:r>
    </w:p>
    <w:p w:rsidR="004176EA" w:rsidRDefault="004176EA" w:rsidP="004176EA">
      <w:pPr>
        <w:autoSpaceDE w:val="0"/>
        <w:autoSpaceDN w:val="0"/>
        <w:adjustRightInd w:val="0"/>
        <w:jc w:val="both"/>
        <w:rPr>
          <w:rFonts w:cs="Arial"/>
          <w:bCs/>
          <w:szCs w:val="20"/>
          <w:lang w:eastAsia="sr-Cyrl-RS"/>
        </w:rPr>
      </w:pPr>
      <w:r>
        <w:rPr>
          <w:rFonts w:cs="Arial"/>
          <w:bCs/>
          <w:szCs w:val="20"/>
          <w:lang w:eastAsia="sr-Cyrl-RS"/>
        </w:rPr>
        <w:t xml:space="preserve">Amandma sledi predlogu ZPS za popravek sklicevanja in za pojasnitev naloge, ki jo je treba v skladu s tem členom izvesti. </w:t>
      </w:r>
    </w:p>
    <w:p w:rsidR="004176EA" w:rsidRDefault="004176EA" w:rsidP="004176EA">
      <w:pPr>
        <w:autoSpaceDE w:val="0"/>
        <w:autoSpaceDN w:val="0"/>
        <w:adjustRightInd w:val="0"/>
        <w:jc w:val="both"/>
        <w:rPr>
          <w:rFonts w:cs="Arial"/>
          <w:b/>
          <w:bCs/>
          <w:szCs w:val="20"/>
          <w:lang w:eastAsia="sr-Cyrl-RS"/>
        </w:rPr>
      </w:pPr>
    </w:p>
    <w:p w:rsidR="004176EA" w:rsidRDefault="004176EA" w:rsidP="004176EA">
      <w:pPr>
        <w:autoSpaceDE w:val="0"/>
        <w:autoSpaceDN w:val="0"/>
        <w:adjustRightInd w:val="0"/>
        <w:jc w:val="both"/>
        <w:rPr>
          <w:rFonts w:cs="Arial"/>
          <w:szCs w:val="20"/>
          <w:lang w:eastAsia="sr-Cyrl-RS"/>
        </w:rPr>
      </w:pPr>
      <w:r>
        <w:rPr>
          <w:rFonts w:cs="Arial"/>
          <w:b/>
          <w:bCs/>
          <w:szCs w:val="20"/>
          <w:lang w:eastAsia="sr-Cyrl-RS"/>
        </w:rPr>
        <w:t>K 6. členu</w:t>
      </w:r>
      <w:r>
        <w:rPr>
          <w:rFonts w:cs="Arial"/>
          <w:szCs w:val="20"/>
          <w:lang w:eastAsia="sr-Cyrl-RS"/>
        </w:rPr>
        <w:t xml:space="preserve"> </w:t>
      </w:r>
    </w:p>
    <w:p w:rsidR="004176EA" w:rsidRDefault="004176EA" w:rsidP="004176EA">
      <w:pPr>
        <w:autoSpaceDE w:val="0"/>
        <w:autoSpaceDN w:val="0"/>
        <w:adjustRightInd w:val="0"/>
        <w:jc w:val="both"/>
        <w:rPr>
          <w:rFonts w:cs="Arial"/>
          <w:szCs w:val="20"/>
          <w:lang w:eastAsia="sr-Cyrl-RS"/>
        </w:rPr>
      </w:pPr>
      <w:r>
        <w:rPr>
          <w:rFonts w:cs="Arial"/>
          <w:szCs w:val="20"/>
          <w:lang w:eastAsia="sr-Cyrl-RS"/>
        </w:rPr>
        <w:t>6. člen se spremeni tako, da se glasi:</w:t>
      </w:r>
    </w:p>
    <w:p w:rsidR="004176EA" w:rsidRDefault="004176EA" w:rsidP="004176EA">
      <w:pPr>
        <w:autoSpaceDE w:val="0"/>
        <w:autoSpaceDN w:val="0"/>
        <w:adjustRightInd w:val="0"/>
        <w:jc w:val="both"/>
        <w:rPr>
          <w:rFonts w:cs="Arial"/>
          <w:szCs w:val="20"/>
        </w:rPr>
      </w:pPr>
      <w:r>
        <w:rPr>
          <w:rFonts w:cs="Arial"/>
          <w:szCs w:val="20"/>
        </w:rPr>
        <w:t>»6. člen</w:t>
      </w:r>
    </w:p>
    <w:p w:rsidR="004176EA" w:rsidRDefault="004176EA" w:rsidP="004176EA">
      <w:pPr>
        <w:autoSpaceDE w:val="0"/>
        <w:autoSpaceDN w:val="0"/>
        <w:adjustRightInd w:val="0"/>
        <w:jc w:val="both"/>
        <w:rPr>
          <w:rFonts w:cs="Arial"/>
          <w:szCs w:val="20"/>
        </w:rPr>
      </w:pPr>
      <w:r>
        <w:rPr>
          <w:rFonts w:cs="Arial"/>
          <w:szCs w:val="20"/>
        </w:rPr>
        <w:t>(prenehanje veljavnosti in uporabe)</w:t>
      </w:r>
    </w:p>
    <w:p w:rsidR="004176EA" w:rsidRDefault="004176EA" w:rsidP="004176EA">
      <w:pPr>
        <w:autoSpaceDE w:val="0"/>
        <w:autoSpaceDN w:val="0"/>
        <w:adjustRightInd w:val="0"/>
        <w:jc w:val="both"/>
        <w:rPr>
          <w:rFonts w:cs="Arial"/>
          <w:szCs w:val="20"/>
        </w:rPr>
      </w:pPr>
      <w:r>
        <w:rPr>
          <w:rFonts w:cs="Arial"/>
          <w:szCs w:val="20"/>
        </w:rPr>
        <w:t>(1) Z dnem uveljavitve tega zakona prenehajo veljati naslednji predpisi:</w:t>
      </w:r>
    </w:p>
    <w:p w:rsidR="004176EA" w:rsidRDefault="004176EA" w:rsidP="004176EA">
      <w:pPr>
        <w:autoSpaceDE w:val="0"/>
        <w:autoSpaceDN w:val="0"/>
        <w:adjustRightInd w:val="0"/>
        <w:jc w:val="both"/>
        <w:rPr>
          <w:rFonts w:cs="Arial"/>
          <w:szCs w:val="20"/>
        </w:rPr>
      </w:pPr>
      <w:r>
        <w:rPr>
          <w:rFonts w:cs="Arial"/>
          <w:szCs w:val="20"/>
        </w:rPr>
        <w:t>– Uredba o omejevalnih ukrepih proti Demokratični ljudski republiki Koreji (Uradni list RS, št. 58/19),</w:t>
      </w:r>
    </w:p>
    <w:p w:rsidR="004176EA" w:rsidRDefault="004176EA" w:rsidP="004176EA">
      <w:pPr>
        <w:autoSpaceDE w:val="0"/>
        <w:autoSpaceDN w:val="0"/>
        <w:adjustRightInd w:val="0"/>
        <w:jc w:val="both"/>
        <w:rPr>
          <w:rFonts w:cs="Arial"/>
          <w:szCs w:val="20"/>
        </w:rPr>
      </w:pPr>
      <w:r>
        <w:rPr>
          <w:rFonts w:cs="Arial"/>
          <w:szCs w:val="20"/>
        </w:rPr>
        <w:t>– Uredba o omejevalnih ukrepih proti Iranu in izvajanju uredbe Sveta (EU) št. 267/2012 (Uradni list RS, št. 74/16),</w:t>
      </w:r>
    </w:p>
    <w:p w:rsidR="004176EA" w:rsidRDefault="004176EA" w:rsidP="004176EA">
      <w:pPr>
        <w:autoSpaceDE w:val="0"/>
        <w:autoSpaceDN w:val="0"/>
        <w:adjustRightInd w:val="0"/>
        <w:jc w:val="both"/>
        <w:rPr>
          <w:rFonts w:cs="Arial"/>
          <w:szCs w:val="20"/>
        </w:rPr>
      </w:pPr>
      <w:r>
        <w:rPr>
          <w:rFonts w:cs="Arial"/>
          <w:szCs w:val="20"/>
        </w:rPr>
        <w:t>– Uredba o omejevalnih ukrepih proti Demokratični republiki Kongo in izvajanju uredb (EU) v zvezi s temi omejevalnimi ukrepi (Uradni list RS, št. 56/15),</w:t>
      </w:r>
    </w:p>
    <w:p w:rsidR="004176EA" w:rsidRDefault="004176EA" w:rsidP="004176EA">
      <w:pPr>
        <w:autoSpaceDE w:val="0"/>
        <w:autoSpaceDN w:val="0"/>
        <w:adjustRightInd w:val="0"/>
        <w:jc w:val="both"/>
        <w:rPr>
          <w:rFonts w:cs="Arial"/>
          <w:szCs w:val="20"/>
        </w:rPr>
      </w:pPr>
      <w:r>
        <w:rPr>
          <w:rFonts w:cs="Arial"/>
          <w:szCs w:val="20"/>
        </w:rPr>
        <w:t>– Uredba o omejevalnih ukrepih glede na razmere v Južnem Sudanu in izvajanju uredb (EU) v zvezi s temi omejevalnimi ukrepi (Uradni list RS, št. 37/15),</w:t>
      </w:r>
    </w:p>
    <w:p w:rsidR="004176EA" w:rsidRDefault="004176EA" w:rsidP="004176EA">
      <w:pPr>
        <w:autoSpaceDE w:val="0"/>
        <w:autoSpaceDN w:val="0"/>
        <w:adjustRightInd w:val="0"/>
        <w:jc w:val="both"/>
        <w:rPr>
          <w:rFonts w:cs="Arial"/>
          <w:szCs w:val="20"/>
        </w:rPr>
      </w:pPr>
      <w:r>
        <w:rPr>
          <w:rFonts w:cs="Arial"/>
          <w:szCs w:val="20"/>
        </w:rPr>
        <w:t>– Uredba o omejevalnih ukrepih glede na razmere v Sudanu in izvajanju uredb (EU) v zvezi s temi omejevalnimi ukrepi (Uradni list RS, št. 37/15),</w:t>
      </w:r>
    </w:p>
    <w:p w:rsidR="004176EA" w:rsidRDefault="004176EA" w:rsidP="004176EA">
      <w:pPr>
        <w:autoSpaceDE w:val="0"/>
        <w:autoSpaceDN w:val="0"/>
        <w:adjustRightInd w:val="0"/>
        <w:jc w:val="both"/>
        <w:rPr>
          <w:rFonts w:cs="Arial"/>
          <w:szCs w:val="20"/>
        </w:rPr>
      </w:pPr>
      <w:r>
        <w:rPr>
          <w:rFonts w:cs="Arial"/>
          <w:szCs w:val="20"/>
        </w:rPr>
        <w:t>– Uredba o omejevalnih ukrepih glede na razmere v Jemnu in izvajanju uredb (EU) v zvezi s temi omejevalnimi ukrepi (Uradni list RS, št. 37/15),</w:t>
      </w:r>
    </w:p>
    <w:p w:rsidR="004176EA" w:rsidRDefault="004176EA" w:rsidP="004176EA">
      <w:pPr>
        <w:autoSpaceDE w:val="0"/>
        <w:autoSpaceDN w:val="0"/>
        <w:adjustRightInd w:val="0"/>
        <w:jc w:val="both"/>
        <w:rPr>
          <w:rFonts w:cs="Arial"/>
          <w:szCs w:val="20"/>
        </w:rPr>
      </w:pPr>
      <w:r>
        <w:rPr>
          <w:rFonts w:cs="Arial"/>
          <w:szCs w:val="20"/>
        </w:rPr>
        <w:t>– Uredba o omejevalnih ukrepih zaradi delovanja Rusije v povezavi z razmerami v Ukrajini in izvajanju uredb (EU) v zvezi s temi omejevalnimi ukrepi (Uradni list RS, št. 74/14 in 30/15),</w:t>
      </w:r>
    </w:p>
    <w:p w:rsidR="004176EA" w:rsidRDefault="004176EA" w:rsidP="004176EA">
      <w:pPr>
        <w:autoSpaceDE w:val="0"/>
        <w:autoSpaceDN w:val="0"/>
        <w:adjustRightInd w:val="0"/>
        <w:jc w:val="both"/>
        <w:rPr>
          <w:rFonts w:cs="Arial"/>
          <w:szCs w:val="20"/>
        </w:rPr>
      </w:pPr>
      <w:r>
        <w:rPr>
          <w:rFonts w:cs="Arial"/>
          <w:szCs w:val="20"/>
        </w:rPr>
        <w:t>– Uredba o izvajanju Uredbe Sveta (EU) št. 208/2014 z dne 5. marca 2014 o omejevalnih ukrepih proti določenim osebam, subjektom in organom zaradi razmer v Ukrajini (Uradni list RS, št. 35/14),</w:t>
      </w:r>
    </w:p>
    <w:p w:rsidR="004176EA" w:rsidRDefault="004176EA" w:rsidP="004176EA">
      <w:pPr>
        <w:autoSpaceDE w:val="0"/>
        <w:autoSpaceDN w:val="0"/>
        <w:adjustRightInd w:val="0"/>
        <w:jc w:val="both"/>
        <w:rPr>
          <w:rFonts w:cs="Arial"/>
          <w:szCs w:val="20"/>
        </w:rPr>
      </w:pPr>
      <w:r>
        <w:rPr>
          <w:rFonts w:cs="Arial"/>
          <w:szCs w:val="20"/>
        </w:rPr>
        <w:t>– Uredba o omejevalnih ukrepih proti Belorusiji in izvajanju Uredbe Sveta (ES) št. 765/2006 (Uradni list RS, št. 48/13),</w:t>
      </w:r>
    </w:p>
    <w:p w:rsidR="004176EA" w:rsidRDefault="004176EA" w:rsidP="004176EA">
      <w:pPr>
        <w:autoSpaceDE w:val="0"/>
        <w:autoSpaceDN w:val="0"/>
        <w:adjustRightInd w:val="0"/>
        <w:jc w:val="both"/>
        <w:rPr>
          <w:rFonts w:cs="Arial"/>
          <w:szCs w:val="20"/>
        </w:rPr>
      </w:pPr>
      <w:r>
        <w:rPr>
          <w:rFonts w:cs="Arial"/>
          <w:szCs w:val="20"/>
        </w:rPr>
        <w:t>– Uredba o omejevalnih ukrepih proti Siriji in izvajanju Uredbe Sveta (EU) št. 36/2012 (Ur. l. št. 21/13),</w:t>
      </w:r>
    </w:p>
    <w:p w:rsidR="004176EA" w:rsidRDefault="004176EA" w:rsidP="004176EA">
      <w:pPr>
        <w:autoSpaceDE w:val="0"/>
        <w:autoSpaceDN w:val="0"/>
        <w:adjustRightInd w:val="0"/>
        <w:jc w:val="both"/>
        <w:rPr>
          <w:rFonts w:cs="Arial"/>
          <w:szCs w:val="20"/>
        </w:rPr>
      </w:pPr>
      <w:r>
        <w:rPr>
          <w:rFonts w:cs="Arial"/>
          <w:szCs w:val="20"/>
        </w:rPr>
        <w:t>– Uredba o omejevalnih ukrepih proti Republiki Gvineji Bissau in izvajanju Uredbe Sveta (EU) št. 377/2012 (Uradni list RS, št. 20/13),</w:t>
      </w:r>
    </w:p>
    <w:p w:rsidR="004176EA" w:rsidRDefault="004176EA" w:rsidP="004176EA">
      <w:pPr>
        <w:autoSpaceDE w:val="0"/>
        <w:autoSpaceDN w:val="0"/>
        <w:adjustRightInd w:val="0"/>
        <w:jc w:val="both"/>
        <w:rPr>
          <w:rFonts w:cs="Arial"/>
          <w:szCs w:val="20"/>
        </w:rPr>
      </w:pPr>
      <w:r>
        <w:rPr>
          <w:rFonts w:cs="Arial"/>
          <w:szCs w:val="20"/>
        </w:rPr>
        <w:t>– Uredba o omejevalnih ukrepih proti nekaterim posameznikom, skupinam, podjetjem in subjektom zaradi razmer v Afganistanu in izvajanju Uredbe Sveta (EU) št. 753/2011 (Uradni list RS, št. 20/13),</w:t>
      </w:r>
    </w:p>
    <w:p w:rsidR="004176EA" w:rsidRDefault="004176EA" w:rsidP="004176EA">
      <w:pPr>
        <w:autoSpaceDE w:val="0"/>
        <w:autoSpaceDN w:val="0"/>
        <w:adjustRightInd w:val="0"/>
        <w:jc w:val="both"/>
        <w:rPr>
          <w:rFonts w:cs="Arial"/>
          <w:szCs w:val="20"/>
        </w:rPr>
      </w:pPr>
      <w:r>
        <w:rPr>
          <w:rFonts w:cs="Arial"/>
          <w:szCs w:val="20"/>
        </w:rPr>
        <w:t>– Uredba o omejevalnih ukrepih proti nekaterim osebam in subjektom, povezanim z organizacijama ISIL (</w:t>
      </w:r>
      <w:proofErr w:type="spellStart"/>
      <w:r>
        <w:rPr>
          <w:rFonts w:cs="Arial"/>
          <w:szCs w:val="20"/>
        </w:rPr>
        <w:t>Daiš</w:t>
      </w:r>
      <w:proofErr w:type="spellEnd"/>
      <w:r>
        <w:rPr>
          <w:rFonts w:cs="Arial"/>
          <w:szCs w:val="20"/>
        </w:rPr>
        <w:t>) in Al-</w:t>
      </w:r>
      <w:proofErr w:type="spellStart"/>
      <w:r>
        <w:rPr>
          <w:rFonts w:cs="Arial"/>
          <w:szCs w:val="20"/>
        </w:rPr>
        <w:t>Kaida</w:t>
      </w:r>
      <w:proofErr w:type="spellEnd"/>
      <w:r>
        <w:rPr>
          <w:rFonts w:cs="Arial"/>
          <w:szCs w:val="20"/>
        </w:rPr>
        <w:t>, ter izvajanju Uredbe Sveta (ES) št. 881/2002 (Uradni list RS, št. 20/13 in 75/17),</w:t>
      </w:r>
    </w:p>
    <w:p w:rsidR="004176EA" w:rsidRDefault="004176EA" w:rsidP="004176EA">
      <w:pPr>
        <w:autoSpaceDE w:val="0"/>
        <w:autoSpaceDN w:val="0"/>
        <w:adjustRightInd w:val="0"/>
        <w:jc w:val="both"/>
        <w:rPr>
          <w:rFonts w:cs="Arial"/>
          <w:szCs w:val="20"/>
        </w:rPr>
      </w:pPr>
      <w:r>
        <w:rPr>
          <w:rFonts w:cs="Arial"/>
          <w:szCs w:val="20"/>
        </w:rPr>
        <w:t>– Uredba o omejevalnih ukrepih proti Iranu in izvajanju uredbe Sveta (EU) št. 359/2011 (Uradni list RS, št. 53/12),</w:t>
      </w:r>
    </w:p>
    <w:p w:rsidR="004176EA" w:rsidRDefault="004176EA" w:rsidP="004176EA">
      <w:pPr>
        <w:autoSpaceDE w:val="0"/>
        <w:autoSpaceDN w:val="0"/>
        <w:adjustRightInd w:val="0"/>
        <w:jc w:val="both"/>
        <w:rPr>
          <w:rFonts w:cs="Arial"/>
          <w:szCs w:val="20"/>
        </w:rPr>
      </w:pPr>
      <w:r>
        <w:rPr>
          <w:rFonts w:cs="Arial"/>
          <w:szCs w:val="20"/>
        </w:rPr>
        <w:t>– Uredba o izvajanju uredbe Sveta (EU) št. 270/2011 z dne 21. marca 2011 o omejevalnih ukrepih zoper nekatere osebe in subjekte glede na razmere v Egiptu (Uradni list RS, št. 37/11),</w:t>
      </w:r>
    </w:p>
    <w:p w:rsidR="004176EA" w:rsidRDefault="004176EA" w:rsidP="004176EA">
      <w:pPr>
        <w:autoSpaceDE w:val="0"/>
        <w:autoSpaceDN w:val="0"/>
        <w:adjustRightInd w:val="0"/>
        <w:jc w:val="both"/>
        <w:rPr>
          <w:rFonts w:cs="Arial"/>
          <w:szCs w:val="20"/>
        </w:rPr>
      </w:pPr>
      <w:r>
        <w:rPr>
          <w:rFonts w:cs="Arial"/>
          <w:szCs w:val="20"/>
        </w:rPr>
        <w:t>– Uredba o omejevalnih ukrepih proti Libiji in izvajanju uredbe Sveta (EU) št. 204/2011 (Uradni list RS, št. 37/11 in 53/12),</w:t>
      </w:r>
    </w:p>
    <w:p w:rsidR="004176EA" w:rsidRDefault="004176EA" w:rsidP="004176EA">
      <w:pPr>
        <w:autoSpaceDE w:val="0"/>
        <w:autoSpaceDN w:val="0"/>
        <w:adjustRightInd w:val="0"/>
        <w:jc w:val="both"/>
        <w:rPr>
          <w:rFonts w:cs="Arial"/>
          <w:szCs w:val="20"/>
        </w:rPr>
      </w:pPr>
      <w:r>
        <w:rPr>
          <w:rFonts w:cs="Arial"/>
          <w:szCs w:val="20"/>
        </w:rPr>
        <w:lastRenderedPageBreak/>
        <w:t>– Uredba o izvajanju Uredbe Sveta (EU) št. 101/2011 z dne 4. februarja 2011 o omejevalnih ukrepih zoper nekatere osebe, subjekte in organe glede na razmere v Tuniziji (Uradni list RS, št. 27/11),</w:t>
      </w:r>
    </w:p>
    <w:p w:rsidR="004176EA" w:rsidRDefault="004176EA" w:rsidP="004176EA">
      <w:pPr>
        <w:autoSpaceDE w:val="0"/>
        <w:autoSpaceDN w:val="0"/>
        <w:adjustRightInd w:val="0"/>
        <w:jc w:val="both"/>
        <w:rPr>
          <w:rFonts w:cs="Arial"/>
          <w:szCs w:val="20"/>
        </w:rPr>
      </w:pPr>
      <w:r>
        <w:rPr>
          <w:rFonts w:cs="Arial"/>
          <w:szCs w:val="20"/>
        </w:rPr>
        <w:t>– Uredba o omejevalnih ukrepih proti Republiki Gvineji in izvajanju uredbe Sveta (EU) št. 1284/2009 z dne 22. decembra 2009 o uvedbi nekaterih posebnih omejevalnih ukrepov v zvezi z Republiko Gvinejo (Uradni list RS, št. 102/10),</w:t>
      </w:r>
    </w:p>
    <w:p w:rsidR="004176EA" w:rsidRDefault="004176EA" w:rsidP="004176EA">
      <w:pPr>
        <w:autoSpaceDE w:val="0"/>
        <w:autoSpaceDN w:val="0"/>
        <w:adjustRightInd w:val="0"/>
        <w:jc w:val="both"/>
        <w:rPr>
          <w:rFonts w:cs="Arial"/>
          <w:szCs w:val="20"/>
        </w:rPr>
      </w:pPr>
      <w:r>
        <w:rPr>
          <w:rFonts w:cs="Arial"/>
          <w:szCs w:val="20"/>
        </w:rPr>
        <w:t>– Uredba o omejevalnih ukrepih proti Somaliji ter izvajanju uredbe Sveta (ES) št. 147/2003 in uredbe Sveta (EU) št. 356/2010 (Uradni list RS, št. 97/10),</w:t>
      </w:r>
    </w:p>
    <w:p w:rsidR="004176EA" w:rsidRDefault="004176EA" w:rsidP="004176EA">
      <w:pPr>
        <w:autoSpaceDE w:val="0"/>
        <w:autoSpaceDN w:val="0"/>
        <w:adjustRightInd w:val="0"/>
        <w:jc w:val="both"/>
        <w:rPr>
          <w:rFonts w:cs="Arial"/>
          <w:szCs w:val="20"/>
        </w:rPr>
      </w:pPr>
      <w:r>
        <w:rPr>
          <w:rFonts w:cs="Arial"/>
          <w:szCs w:val="20"/>
        </w:rPr>
        <w:t xml:space="preserve">– Uredba o prepovedi izpolnjevanja zahtevkov haitijskih oblasti v zvezi s pogodbami in posli, na izvajanje katerih vplivajo ukrepi, sprejeti z resolucijami Varnostnega sveta Združenih narodov 917 (1994), 841 (1993), 873 (1993) in 875 (1993) ali v skladu z njimi (Uradni list RS, št. 80/06), </w:t>
      </w:r>
    </w:p>
    <w:p w:rsidR="004176EA" w:rsidRDefault="004176EA" w:rsidP="004176EA">
      <w:pPr>
        <w:autoSpaceDE w:val="0"/>
        <w:autoSpaceDN w:val="0"/>
        <w:adjustRightInd w:val="0"/>
        <w:jc w:val="both"/>
        <w:rPr>
          <w:rFonts w:cs="Arial"/>
          <w:szCs w:val="20"/>
        </w:rPr>
      </w:pPr>
      <w:r>
        <w:rPr>
          <w:rFonts w:cs="Arial"/>
          <w:szCs w:val="20"/>
        </w:rPr>
        <w:t xml:space="preserve">– Uredba o omejevalnih ukrepih proti vodstvu </w:t>
      </w:r>
      <w:proofErr w:type="spellStart"/>
      <w:r>
        <w:rPr>
          <w:rFonts w:cs="Arial"/>
          <w:szCs w:val="20"/>
        </w:rPr>
        <w:t>pridnestrske</w:t>
      </w:r>
      <w:proofErr w:type="spellEnd"/>
      <w:r>
        <w:rPr>
          <w:rFonts w:cs="Arial"/>
          <w:szCs w:val="20"/>
        </w:rPr>
        <w:t xml:space="preserve"> regije Republike </w:t>
      </w:r>
      <w:proofErr w:type="spellStart"/>
      <w:r>
        <w:rPr>
          <w:rFonts w:cs="Arial"/>
          <w:szCs w:val="20"/>
        </w:rPr>
        <w:t>Moldove</w:t>
      </w:r>
      <w:proofErr w:type="spellEnd"/>
      <w:r>
        <w:rPr>
          <w:rFonts w:cs="Arial"/>
          <w:szCs w:val="20"/>
        </w:rPr>
        <w:t xml:space="preserve"> (Uradni list RS, št. 80/06),</w:t>
      </w:r>
    </w:p>
    <w:p w:rsidR="004176EA" w:rsidRDefault="004176EA" w:rsidP="004176EA">
      <w:pPr>
        <w:autoSpaceDE w:val="0"/>
        <w:autoSpaceDN w:val="0"/>
        <w:adjustRightInd w:val="0"/>
        <w:jc w:val="both"/>
        <w:rPr>
          <w:rFonts w:cs="Arial"/>
          <w:szCs w:val="20"/>
        </w:rPr>
      </w:pPr>
      <w:r>
        <w:rPr>
          <w:rFonts w:cs="Arial"/>
          <w:szCs w:val="20"/>
        </w:rPr>
        <w:t>– Uredba o prepovedi izpolnjevanja zahtevkov s pogodbami in transakcijami, na izvajanje katerih vplivajo Resolucija Varnostnega sveta Združenih narodov 757 (1992) in sorodne resolucije (Uradni list RS, št. 118/05),</w:t>
      </w:r>
    </w:p>
    <w:p w:rsidR="004176EA" w:rsidRDefault="004176EA" w:rsidP="004176EA">
      <w:pPr>
        <w:autoSpaceDE w:val="0"/>
        <w:autoSpaceDN w:val="0"/>
        <w:adjustRightInd w:val="0"/>
        <w:jc w:val="both"/>
        <w:rPr>
          <w:rFonts w:cs="Arial"/>
          <w:szCs w:val="20"/>
        </w:rPr>
      </w:pPr>
      <w:r>
        <w:rPr>
          <w:rFonts w:cs="Arial"/>
          <w:szCs w:val="20"/>
        </w:rPr>
        <w:t>– Uredba o ohranitvi posebnih omejevalnih ukrepov proti Slobodanu Miloševiću in z njim povezanim osebam (Uradni list RS, št. 112/05),</w:t>
      </w:r>
    </w:p>
    <w:p w:rsidR="004176EA" w:rsidRDefault="004176EA" w:rsidP="004176EA">
      <w:pPr>
        <w:autoSpaceDE w:val="0"/>
        <w:autoSpaceDN w:val="0"/>
        <w:adjustRightInd w:val="0"/>
        <w:jc w:val="both"/>
        <w:rPr>
          <w:rFonts w:cs="Arial"/>
          <w:szCs w:val="20"/>
        </w:rPr>
      </w:pPr>
      <w:r>
        <w:rPr>
          <w:rFonts w:cs="Arial"/>
          <w:szCs w:val="20"/>
        </w:rPr>
        <w:t>– Uredba o omejevalnih ukrepih proti Libiji (Uradni list RS, št. 108/05),</w:t>
      </w:r>
    </w:p>
    <w:p w:rsidR="004176EA" w:rsidRDefault="004176EA" w:rsidP="004176EA">
      <w:pPr>
        <w:autoSpaceDE w:val="0"/>
        <w:autoSpaceDN w:val="0"/>
        <w:adjustRightInd w:val="0"/>
        <w:jc w:val="both"/>
        <w:rPr>
          <w:rFonts w:cs="Arial"/>
          <w:szCs w:val="20"/>
        </w:rPr>
      </w:pPr>
      <w:r>
        <w:rPr>
          <w:rFonts w:cs="Arial"/>
          <w:szCs w:val="20"/>
        </w:rPr>
        <w:t>– Uredba o omejevalnih ukrepih proti Zimbabveju (Uradni list RS, št. 108/05),</w:t>
      </w:r>
    </w:p>
    <w:p w:rsidR="004176EA" w:rsidRDefault="004176EA" w:rsidP="004176EA">
      <w:pPr>
        <w:autoSpaceDE w:val="0"/>
        <w:autoSpaceDN w:val="0"/>
        <w:adjustRightInd w:val="0"/>
        <w:jc w:val="both"/>
        <w:rPr>
          <w:rFonts w:cs="Arial"/>
          <w:szCs w:val="20"/>
        </w:rPr>
      </w:pPr>
      <w:r>
        <w:rPr>
          <w:rFonts w:cs="Arial"/>
          <w:szCs w:val="20"/>
        </w:rPr>
        <w:t>– Uredba o posebnih omejevalnih ukrepih za nekatere osebe in subjekte zaradi boja proti terorizmu (Uradni list RS, št. 67/05),</w:t>
      </w:r>
    </w:p>
    <w:p w:rsidR="004176EA" w:rsidRDefault="004176EA" w:rsidP="004176EA">
      <w:pPr>
        <w:autoSpaceDE w:val="0"/>
        <w:autoSpaceDN w:val="0"/>
        <w:adjustRightInd w:val="0"/>
        <w:jc w:val="both"/>
        <w:rPr>
          <w:rFonts w:cs="Arial"/>
          <w:szCs w:val="20"/>
        </w:rPr>
      </w:pPr>
      <w:r>
        <w:rPr>
          <w:rFonts w:cs="Arial"/>
          <w:szCs w:val="20"/>
        </w:rPr>
        <w:t>– Uredba o dopolnitvah uredbe o omejevanju in nadzoru uvoza in izvoza surovih diamantov (Uradni list RS, št. 8/04),</w:t>
      </w:r>
    </w:p>
    <w:p w:rsidR="004176EA" w:rsidRDefault="004176EA" w:rsidP="004176EA">
      <w:pPr>
        <w:autoSpaceDE w:val="0"/>
        <w:autoSpaceDN w:val="0"/>
        <w:adjustRightInd w:val="0"/>
        <w:jc w:val="both"/>
        <w:rPr>
          <w:rFonts w:cs="Arial"/>
          <w:szCs w:val="20"/>
        </w:rPr>
      </w:pPr>
      <w:r>
        <w:rPr>
          <w:rFonts w:cs="Arial"/>
          <w:szCs w:val="20"/>
        </w:rPr>
        <w:t>– Uredba o spremembi uredbe o omejevanju in nadzoru uvoza in izvoza surovih diamantov (Uradni list RS, št. 114/03),</w:t>
      </w:r>
    </w:p>
    <w:p w:rsidR="004176EA" w:rsidRDefault="004176EA" w:rsidP="004176EA">
      <w:pPr>
        <w:autoSpaceDE w:val="0"/>
        <w:autoSpaceDN w:val="0"/>
        <w:adjustRightInd w:val="0"/>
        <w:jc w:val="both"/>
        <w:rPr>
          <w:rFonts w:cs="Arial"/>
          <w:szCs w:val="20"/>
        </w:rPr>
      </w:pPr>
      <w:r>
        <w:rPr>
          <w:rFonts w:cs="Arial"/>
          <w:szCs w:val="20"/>
        </w:rPr>
        <w:t>– Uredba o ukrepih proti Iraku (Uradni list RS, št. 79/01, 11/03, 58/03, 8/04 in 127/06 – ZOUPAMO).</w:t>
      </w:r>
    </w:p>
    <w:p w:rsidR="004176EA" w:rsidRDefault="004176EA" w:rsidP="004176EA">
      <w:pPr>
        <w:autoSpaceDE w:val="0"/>
        <w:autoSpaceDN w:val="0"/>
        <w:adjustRightInd w:val="0"/>
        <w:jc w:val="both"/>
        <w:rPr>
          <w:rFonts w:cs="Arial"/>
          <w:szCs w:val="20"/>
        </w:rPr>
      </w:pPr>
      <w:r>
        <w:rPr>
          <w:rFonts w:cs="Arial"/>
          <w:szCs w:val="20"/>
        </w:rPr>
        <w:t>(2) Z dnem uveljavitve tega zakona se prenehajo uporabljati naslednji predpisi:</w:t>
      </w:r>
    </w:p>
    <w:p w:rsidR="004176EA" w:rsidRDefault="004176EA" w:rsidP="004176EA">
      <w:pPr>
        <w:autoSpaceDE w:val="0"/>
        <w:autoSpaceDN w:val="0"/>
        <w:adjustRightInd w:val="0"/>
        <w:jc w:val="both"/>
        <w:rPr>
          <w:rFonts w:cs="Arial"/>
          <w:szCs w:val="20"/>
        </w:rPr>
      </w:pPr>
      <w:r>
        <w:rPr>
          <w:rFonts w:cs="Arial"/>
          <w:szCs w:val="20"/>
        </w:rPr>
        <w:t>– Uredba o izvajanju resolucije Varnostnega sveta OZN, št. 1160/1998 (Uradni list RS, št. 35/98),</w:t>
      </w:r>
    </w:p>
    <w:p w:rsidR="004176EA" w:rsidRDefault="004176EA" w:rsidP="004176EA">
      <w:pPr>
        <w:autoSpaceDE w:val="0"/>
        <w:autoSpaceDN w:val="0"/>
        <w:adjustRightInd w:val="0"/>
        <w:jc w:val="both"/>
        <w:rPr>
          <w:rFonts w:cs="Arial"/>
          <w:szCs w:val="20"/>
        </w:rPr>
      </w:pPr>
      <w:r>
        <w:rPr>
          <w:rFonts w:cs="Arial"/>
          <w:szCs w:val="20"/>
        </w:rPr>
        <w:t>– Zakon o uvedbi sankcij proti Zvezni republiki Jugoslaviji (ZUSZRJ) (Uradni list RS, št. 50/99),</w:t>
      </w:r>
    </w:p>
    <w:p w:rsidR="004176EA" w:rsidRDefault="004176EA" w:rsidP="004176EA">
      <w:pPr>
        <w:autoSpaceDE w:val="0"/>
        <w:autoSpaceDN w:val="0"/>
        <w:adjustRightInd w:val="0"/>
        <w:jc w:val="both"/>
        <w:rPr>
          <w:rFonts w:cs="Arial"/>
          <w:szCs w:val="20"/>
        </w:rPr>
      </w:pPr>
      <w:r>
        <w:rPr>
          <w:rFonts w:cs="Arial"/>
          <w:szCs w:val="20"/>
        </w:rPr>
        <w:t>– Uredba o preklicu sankcij proti Zvezni republiki Jugoslaviji (Uradni list RS, št. 99/00)</w:t>
      </w:r>
    </w:p>
    <w:p w:rsidR="004176EA" w:rsidRDefault="004176EA" w:rsidP="004176EA">
      <w:pPr>
        <w:autoSpaceDE w:val="0"/>
        <w:autoSpaceDN w:val="0"/>
        <w:adjustRightInd w:val="0"/>
        <w:jc w:val="both"/>
        <w:rPr>
          <w:rFonts w:cs="Arial"/>
          <w:szCs w:val="20"/>
        </w:rPr>
      </w:pPr>
      <w:r>
        <w:rPr>
          <w:rFonts w:cs="Arial"/>
          <w:szCs w:val="20"/>
        </w:rPr>
        <w:t>– Uredba o omejevalnih ukrepih za boj proti terorizmu in izvajanju Uredbe Sveta (ES) št. 2580/2001 (Uradni list RS, št. 22/13), razen 2. člena,</w:t>
      </w:r>
    </w:p>
    <w:p w:rsidR="004176EA" w:rsidRDefault="004176EA" w:rsidP="004176EA">
      <w:pPr>
        <w:autoSpaceDE w:val="0"/>
        <w:autoSpaceDN w:val="0"/>
        <w:adjustRightInd w:val="0"/>
        <w:jc w:val="both"/>
        <w:rPr>
          <w:rFonts w:cs="Arial"/>
          <w:szCs w:val="20"/>
        </w:rPr>
      </w:pPr>
      <w:r>
        <w:rPr>
          <w:rFonts w:cs="Arial"/>
          <w:szCs w:val="20"/>
        </w:rPr>
        <w:t xml:space="preserve">– Uredba o posebnih omejevalnih ukrepih proti določenim osebam, osumljenim vpletenosti v umor nekdanjega predsednika libanonske vlade </w:t>
      </w:r>
      <w:proofErr w:type="spellStart"/>
      <w:r>
        <w:rPr>
          <w:rFonts w:cs="Arial"/>
          <w:szCs w:val="20"/>
        </w:rPr>
        <w:t>Rafika</w:t>
      </w:r>
      <w:proofErr w:type="spellEnd"/>
      <w:r>
        <w:rPr>
          <w:rFonts w:cs="Arial"/>
          <w:szCs w:val="20"/>
        </w:rPr>
        <w:t xml:space="preserve"> </w:t>
      </w:r>
      <w:proofErr w:type="spellStart"/>
      <w:r>
        <w:rPr>
          <w:rFonts w:cs="Arial"/>
          <w:szCs w:val="20"/>
        </w:rPr>
        <w:t>Haririja</w:t>
      </w:r>
      <w:proofErr w:type="spellEnd"/>
      <w:r>
        <w:rPr>
          <w:rFonts w:cs="Arial"/>
          <w:szCs w:val="20"/>
        </w:rPr>
        <w:t xml:space="preserve"> (Uradni list RS, št. 45/06), razen 7. člena,</w:t>
      </w:r>
    </w:p>
    <w:p w:rsidR="004176EA" w:rsidRDefault="004176EA" w:rsidP="004176EA">
      <w:pPr>
        <w:autoSpaceDE w:val="0"/>
        <w:autoSpaceDN w:val="0"/>
        <w:adjustRightInd w:val="0"/>
        <w:jc w:val="both"/>
        <w:rPr>
          <w:rFonts w:cs="Arial"/>
          <w:szCs w:val="20"/>
        </w:rPr>
      </w:pPr>
      <w:r>
        <w:rPr>
          <w:rFonts w:cs="Arial"/>
          <w:szCs w:val="20"/>
        </w:rPr>
        <w:t>– Uredba o omejevalnih ukrepih proti Mjanmaru (Burmi) (Uradni list RS, št. 108/05, 127/06 – ZOUPAMO in 94/07), razen 9. člena,</w:t>
      </w:r>
    </w:p>
    <w:p w:rsidR="004176EA" w:rsidRDefault="004176EA" w:rsidP="004176EA">
      <w:pPr>
        <w:autoSpaceDE w:val="0"/>
        <w:autoSpaceDN w:val="0"/>
        <w:adjustRightInd w:val="0"/>
        <w:jc w:val="both"/>
        <w:rPr>
          <w:rFonts w:cs="Arial"/>
          <w:szCs w:val="20"/>
        </w:rPr>
      </w:pPr>
      <w:r>
        <w:rPr>
          <w:rFonts w:cs="Arial"/>
          <w:szCs w:val="20"/>
        </w:rPr>
        <w:t xml:space="preserve">– Uredba o izvajanju sistema potrjevanja procesa </w:t>
      </w:r>
      <w:proofErr w:type="spellStart"/>
      <w:r>
        <w:rPr>
          <w:rFonts w:cs="Arial"/>
          <w:szCs w:val="20"/>
        </w:rPr>
        <w:t>Kimberley</w:t>
      </w:r>
      <w:proofErr w:type="spellEnd"/>
      <w:r>
        <w:rPr>
          <w:rFonts w:cs="Arial"/>
          <w:szCs w:val="20"/>
        </w:rPr>
        <w:t xml:space="preserve"> v mednarodni trgovini s surovimi diamanti (Uradni list RS, št. 87/04), razen 3. člena.«.</w:t>
      </w:r>
    </w:p>
    <w:p w:rsidR="004176EA" w:rsidRDefault="004176EA" w:rsidP="004176EA">
      <w:pPr>
        <w:autoSpaceDE w:val="0"/>
        <w:autoSpaceDN w:val="0"/>
        <w:adjustRightInd w:val="0"/>
        <w:jc w:val="both"/>
        <w:rPr>
          <w:rFonts w:cs="Arial"/>
          <w:szCs w:val="20"/>
        </w:rPr>
      </w:pPr>
    </w:p>
    <w:p w:rsidR="004176EA" w:rsidRDefault="004176EA" w:rsidP="004176EA">
      <w:pPr>
        <w:autoSpaceDE w:val="0"/>
        <w:autoSpaceDN w:val="0"/>
        <w:adjustRightInd w:val="0"/>
        <w:jc w:val="both"/>
        <w:rPr>
          <w:rFonts w:cs="Arial"/>
          <w:szCs w:val="20"/>
        </w:rPr>
      </w:pPr>
      <w:r>
        <w:rPr>
          <w:rFonts w:cs="Arial"/>
          <w:szCs w:val="20"/>
          <w:u w:val="single"/>
        </w:rPr>
        <w:t>Obrazložitev</w:t>
      </w:r>
      <w:r>
        <w:rPr>
          <w:rFonts w:cs="Arial"/>
          <w:szCs w:val="20"/>
        </w:rPr>
        <w:t>:</w:t>
      </w:r>
    </w:p>
    <w:p w:rsidR="004176EA" w:rsidRDefault="004176EA" w:rsidP="004176EA">
      <w:pPr>
        <w:autoSpaceDE w:val="0"/>
        <w:autoSpaceDN w:val="0"/>
        <w:adjustRightInd w:val="0"/>
        <w:jc w:val="both"/>
        <w:rPr>
          <w:rFonts w:cs="Arial"/>
          <w:bCs/>
          <w:szCs w:val="20"/>
          <w:lang w:eastAsia="sr-Cyrl-RS"/>
        </w:rPr>
      </w:pPr>
      <w:r>
        <w:rPr>
          <w:rFonts w:cs="Arial"/>
          <w:bCs/>
          <w:szCs w:val="20"/>
          <w:lang w:eastAsia="sr-Cyrl-RS"/>
        </w:rPr>
        <w:t>Amandma sledi predlogu ZPS za združitev prvega in drugega odstavka ter prestavitev uredb, pri katerih se ohranja uporaba določenih členov, med predpise, ki se prenehajo uporabljati z izjemo navedenih členov.</w:t>
      </w:r>
    </w:p>
    <w:p w:rsidR="004176EA" w:rsidRDefault="004176EA" w:rsidP="004176EA">
      <w:pPr>
        <w:autoSpaceDE w:val="0"/>
        <w:autoSpaceDN w:val="0"/>
        <w:adjustRightInd w:val="0"/>
        <w:jc w:val="both"/>
        <w:rPr>
          <w:rFonts w:cs="Arial"/>
          <w:b/>
          <w:bCs/>
          <w:szCs w:val="20"/>
          <w:lang w:eastAsia="sr-Cyrl-RS"/>
        </w:rPr>
      </w:pPr>
    </w:p>
    <w:p w:rsidR="004176EA" w:rsidRDefault="004176EA" w:rsidP="004176EA">
      <w:pPr>
        <w:autoSpaceDE w:val="0"/>
        <w:autoSpaceDN w:val="0"/>
        <w:adjustRightInd w:val="0"/>
        <w:spacing w:line="240" w:lineRule="auto"/>
        <w:jc w:val="both"/>
        <w:rPr>
          <w:rFonts w:cs="Arial"/>
          <w:b/>
          <w:bCs/>
          <w:szCs w:val="20"/>
          <w:lang w:eastAsia="sr-Cyrl-RS"/>
        </w:rPr>
      </w:pPr>
    </w:p>
    <w:p w:rsidR="004176EA" w:rsidRDefault="004176EA" w:rsidP="004176EA">
      <w:pPr>
        <w:autoSpaceDE w:val="0"/>
        <w:autoSpaceDN w:val="0"/>
        <w:adjustRightInd w:val="0"/>
        <w:spacing w:line="240" w:lineRule="auto"/>
        <w:jc w:val="both"/>
        <w:rPr>
          <w:rFonts w:cs="Arial"/>
          <w:b/>
          <w:bCs/>
          <w:szCs w:val="20"/>
          <w:lang w:eastAsia="sr-Cyrl-RS"/>
        </w:rPr>
      </w:pPr>
    </w:p>
    <w:p w:rsidR="007E1230" w:rsidRPr="00B435E5" w:rsidRDefault="007E1230" w:rsidP="004176EA">
      <w:pPr>
        <w:rPr>
          <w:rFonts w:cs="Arial"/>
          <w:color w:val="000000"/>
          <w:szCs w:val="20"/>
        </w:rPr>
      </w:pPr>
    </w:p>
    <w:sectPr w:rsidR="007E1230" w:rsidRPr="00B435E5"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05DF" w:rsidRDefault="005B05DF" w:rsidP="00767987">
      <w:pPr>
        <w:spacing w:line="240" w:lineRule="auto"/>
      </w:pPr>
      <w:r>
        <w:separator/>
      </w:r>
    </w:p>
  </w:endnote>
  <w:endnote w:type="continuationSeparator" w:id="0">
    <w:p w:rsidR="005B05DF" w:rsidRDefault="005B05DF"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6A22" w:rsidRDefault="00BB6A22">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6A22" w:rsidRDefault="00BB6A22">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6A22" w:rsidRDefault="00BB6A2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05DF" w:rsidRDefault="005B05DF" w:rsidP="00767987">
      <w:pPr>
        <w:spacing w:line="240" w:lineRule="auto"/>
      </w:pPr>
      <w:r>
        <w:separator/>
      </w:r>
    </w:p>
  </w:footnote>
  <w:footnote w:type="continuationSeparator" w:id="0">
    <w:p w:rsidR="005B05DF" w:rsidRDefault="005B05DF"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6A22" w:rsidRDefault="00BB6A22">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B6A22" w:rsidRDefault="00BB6A22">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FE6"/>
    <w:rsid w:val="00112C96"/>
    <w:rsid w:val="00366636"/>
    <w:rsid w:val="00367DE6"/>
    <w:rsid w:val="003B3E19"/>
    <w:rsid w:val="004076C6"/>
    <w:rsid w:val="004176EA"/>
    <w:rsid w:val="00457A58"/>
    <w:rsid w:val="004B7F76"/>
    <w:rsid w:val="004E1BCE"/>
    <w:rsid w:val="00592079"/>
    <w:rsid w:val="005B05DF"/>
    <w:rsid w:val="00682FFE"/>
    <w:rsid w:val="00684751"/>
    <w:rsid w:val="006C69EC"/>
    <w:rsid w:val="007039D0"/>
    <w:rsid w:val="00767987"/>
    <w:rsid w:val="00782FD4"/>
    <w:rsid w:val="007E1230"/>
    <w:rsid w:val="00811140"/>
    <w:rsid w:val="00904A48"/>
    <w:rsid w:val="00980294"/>
    <w:rsid w:val="009C5392"/>
    <w:rsid w:val="009C657E"/>
    <w:rsid w:val="00A16E6F"/>
    <w:rsid w:val="00A50E4B"/>
    <w:rsid w:val="00A56EFB"/>
    <w:rsid w:val="00A9231D"/>
    <w:rsid w:val="00AD3BB3"/>
    <w:rsid w:val="00B435E5"/>
    <w:rsid w:val="00BB6A22"/>
    <w:rsid w:val="00C0216A"/>
    <w:rsid w:val="00CD6077"/>
    <w:rsid w:val="00CE234E"/>
    <w:rsid w:val="00D02973"/>
    <w:rsid w:val="00DA09BE"/>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4503024">
      <w:bodyDiv w:val="1"/>
      <w:marLeft w:val="0"/>
      <w:marRight w:val="0"/>
      <w:marTop w:val="0"/>
      <w:marBottom w:val="0"/>
      <w:divBdr>
        <w:top w:val="none" w:sz="0" w:space="0" w:color="auto"/>
        <w:left w:val="none" w:sz="0" w:space="0" w:color="auto"/>
        <w:bottom w:val="none" w:sz="0" w:space="0" w:color="auto"/>
        <w:right w:val="none" w:sz="0" w:space="0" w:color="auto"/>
      </w:divBdr>
    </w:div>
    <w:div w:id="1145463191">
      <w:bodyDiv w:val="1"/>
      <w:marLeft w:val="0"/>
      <w:marRight w:val="0"/>
      <w:marTop w:val="0"/>
      <w:marBottom w:val="0"/>
      <w:divBdr>
        <w:top w:val="none" w:sz="0" w:space="0" w:color="auto"/>
        <w:left w:val="none" w:sz="0" w:space="0" w:color="auto"/>
        <w:bottom w:val="none" w:sz="0" w:space="0" w:color="auto"/>
        <w:right w:val="none" w:sz="0" w:space="0" w:color="auto"/>
      </w:divBdr>
    </w:div>
    <w:div w:id="15395816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1873</Words>
  <Characters>10679</Characters>
  <Application>Microsoft Office Word</Application>
  <DocSecurity>0</DocSecurity>
  <Lines>88</Lines>
  <Paragraphs>25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12527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2022-02-09T06:53:00Z</dcterms:created>
  <dcterms:modified xsi:type="dcterms:W3CDTF">2022-02-09T06:53:00Z</dcterms:modified>
</cp:coreProperties>
</file>