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8F6B05" w14:textId="77777777" w:rsidR="004004F2" w:rsidRPr="0072677C" w:rsidRDefault="004004F2" w:rsidP="004004F2">
      <w:pPr>
        <w:pStyle w:val="len"/>
        <w:rPr>
          <w:rFonts w:cs="Arial"/>
          <w:szCs w:val="20"/>
        </w:rPr>
      </w:pPr>
    </w:p>
    <w:p w14:paraId="50447A0E" w14:textId="28518A46" w:rsidR="004004F2" w:rsidRPr="0072677C" w:rsidRDefault="004004F2" w:rsidP="004004F2">
      <w:pPr>
        <w:suppressAutoHyphens/>
        <w:spacing w:line="276" w:lineRule="auto"/>
        <w:rPr>
          <w:rFonts w:cs="Arial"/>
          <w:b/>
          <w:szCs w:val="20"/>
          <w:lang w:eastAsia="ar-SA"/>
        </w:rPr>
      </w:pPr>
      <w:r w:rsidRPr="0072677C">
        <w:rPr>
          <w:rFonts w:cs="Arial"/>
          <w:b/>
          <w:szCs w:val="20"/>
          <w:lang w:eastAsia="ar-SA"/>
        </w:rPr>
        <w:t>O</w:t>
      </w:r>
      <w:r w:rsidR="006728C8" w:rsidRPr="0072677C">
        <w:rPr>
          <w:rFonts w:cs="Arial"/>
          <w:b/>
          <w:szCs w:val="20"/>
          <w:lang w:eastAsia="ar-SA"/>
        </w:rPr>
        <w:t>brazložitev</w:t>
      </w:r>
      <w:r w:rsidRPr="0072677C">
        <w:rPr>
          <w:rFonts w:cs="Arial"/>
          <w:b/>
          <w:szCs w:val="20"/>
          <w:lang w:eastAsia="ar-SA"/>
        </w:rPr>
        <w:t>:</w:t>
      </w:r>
    </w:p>
    <w:p w14:paraId="6E0B3F4E" w14:textId="77777777" w:rsidR="004004F2" w:rsidRPr="0072677C" w:rsidRDefault="004004F2" w:rsidP="004004F2">
      <w:pPr>
        <w:suppressAutoHyphens/>
        <w:spacing w:line="276" w:lineRule="auto"/>
        <w:rPr>
          <w:rFonts w:cs="Arial"/>
          <w:b/>
          <w:szCs w:val="20"/>
          <w:lang w:eastAsia="ar-SA"/>
        </w:rPr>
      </w:pPr>
    </w:p>
    <w:p w14:paraId="321D1DCA" w14:textId="77777777" w:rsidR="00224858" w:rsidRPr="0072677C" w:rsidRDefault="00224858" w:rsidP="00224858">
      <w:pPr>
        <w:spacing w:after="200" w:line="276" w:lineRule="auto"/>
        <w:rPr>
          <w:rFonts w:cs="Arial"/>
          <w:szCs w:val="20"/>
        </w:rPr>
      </w:pPr>
      <w:r w:rsidRPr="0072677C">
        <w:rPr>
          <w:rFonts w:cs="Arial"/>
          <w:szCs w:val="20"/>
        </w:rPr>
        <w:t>1. Pravna podlaga</w:t>
      </w:r>
    </w:p>
    <w:p w14:paraId="220C9D22" w14:textId="248002BC" w:rsidR="00224858" w:rsidRPr="0072677C" w:rsidRDefault="00224858" w:rsidP="00224858">
      <w:pPr>
        <w:spacing w:after="200" w:line="276" w:lineRule="auto"/>
        <w:rPr>
          <w:rFonts w:cs="Arial"/>
          <w:szCs w:val="20"/>
        </w:rPr>
      </w:pPr>
      <w:r w:rsidRPr="0072677C">
        <w:rPr>
          <w:rFonts w:cs="Arial"/>
          <w:szCs w:val="20"/>
        </w:rPr>
        <w:t>Pravna podlaga za predlog Uredbe o spremembah Uredbe o ocenjevanju in urejanju hrupa v okolju sta prvi in drugi odstavek 23.</w:t>
      </w:r>
      <w:r w:rsidR="00FC5DD7" w:rsidRPr="0072677C">
        <w:rPr>
          <w:rFonts w:cs="Arial"/>
          <w:szCs w:val="20"/>
        </w:rPr>
        <w:t> </w:t>
      </w:r>
      <w:r w:rsidRPr="0072677C">
        <w:rPr>
          <w:rFonts w:cs="Arial"/>
          <w:szCs w:val="20"/>
        </w:rPr>
        <w:t xml:space="preserve">člena Zakona o varstvu okolja </w:t>
      </w:r>
      <w:r w:rsidRPr="0072677C">
        <w:rPr>
          <w:rFonts w:cs="Arial"/>
          <w:bCs/>
          <w:szCs w:val="20"/>
        </w:rPr>
        <w:t>(</w:t>
      </w:r>
      <w:r w:rsidR="00FC5DD7" w:rsidRPr="0072677C">
        <w:rPr>
          <w:rFonts w:cs="Arial"/>
          <w:bCs/>
          <w:szCs w:val="20"/>
        </w:rPr>
        <w:t xml:space="preserve">Uradni list RS, št. 39/06 – uradno prečiščeno besedilo, 49/06 – ZMetD, 66/06 – </w:t>
      </w:r>
      <w:proofErr w:type="spellStart"/>
      <w:r w:rsidR="00FC5DD7" w:rsidRPr="0072677C">
        <w:rPr>
          <w:rFonts w:cs="Arial"/>
          <w:bCs/>
          <w:szCs w:val="20"/>
        </w:rPr>
        <w:t>odl</w:t>
      </w:r>
      <w:proofErr w:type="spellEnd"/>
      <w:r w:rsidR="00FC5DD7" w:rsidRPr="0072677C">
        <w:rPr>
          <w:rFonts w:cs="Arial"/>
          <w:bCs/>
          <w:szCs w:val="20"/>
        </w:rPr>
        <w:t xml:space="preserve">. US, 33/07 – ZPNačrt, 57/08 – ZFO-1A, 70/08, 108/09, 108/09 – ZPNačrt-A, 48/12, 57/12, 92/13, 56/15, 102/15, 30/16, 61/17 – GZ, 21/18 – </w:t>
      </w:r>
      <w:proofErr w:type="spellStart"/>
      <w:r w:rsidR="00FC5DD7" w:rsidRPr="0072677C">
        <w:rPr>
          <w:rFonts w:cs="Arial"/>
          <w:bCs/>
          <w:szCs w:val="20"/>
        </w:rPr>
        <w:t>ZNOrg</w:t>
      </w:r>
      <w:proofErr w:type="spellEnd"/>
      <w:r w:rsidR="00FC5DD7" w:rsidRPr="0072677C">
        <w:rPr>
          <w:rFonts w:cs="Arial"/>
          <w:bCs/>
          <w:szCs w:val="20"/>
        </w:rPr>
        <w:t>, 84/18 – ZIURKOE in 158/20</w:t>
      </w:r>
      <w:r w:rsidRPr="0072677C">
        <w:rPr>
          <w:rFonts w:cs="Arial"/>
          <w:bCs/>
          <w:szCs w:val="20"/>
        </w:rPr>
        <w:t xml:space="preserve">; </w:t>
      </w:r>
      <w:r w:rsidRPr="0072677C">
        <w:rPr>
          <w:rFonts w:cs="Arial"/>
          <w:szCs w:val="20"/>
        </w:rPr>
        <w:t>v nadaljevanju: ZVO-1).</w:t>
      </w:r>
    </w:p>
    <w:p w14:paraId="58F4F785" w14:textId="77777777" w:rsidR="00224858" w:rsidRPr="0072677C" w:rsidRDefault="00224858" w:rsidP="00224858">
      <w:pPr>
        <w:spacing w:after="200" w:line="276" w:lineRule="auto"/>
        <w:rPr>
          <w:rFonts w:cs="Arial"/>
          <w:szCs w:val="20"/>
        </w:rPr>
      </w:pPr>
      <w:r w:rsidRPr="0072677C">
        <w:rPr>
          <w:rFonts w:cs="Arial"/>
          <w:szCs w:val="20"/>
        </w:rPr>
        <w:t>2. Splošna obrazložitev v zvezi s predlogom predpisa</w:t>
      </w:r>
    </w:p>
    <w:p w14:paraId="48C87ECF" w14:textId="028A9922" w:rsidR="00224858" w:rsidRPr="0072677C" w:rsidRDefault="00224858" w:rsidP="00224858">
      <w:pPr>
        <w:spacing w:after="200" w:line="276" w:lineRule="auto"/>
        <w:rPr>
          <w:rFonts w:cs="Arial"/>
          <w:szCs w:val="20"/>
        </w:rPr>
      </w:pPr>
      <w:r w:rsidRPr="0072677C">
        <w:rPr>
          <w:rFonts w:cs="Arial"/>
          <w:szCs w:val="20"/>
        </w:rPr>
        <w:t>Veljavna Uredba o ocenjevanju in urejanju hrupa v okolju (Uradni list RS, št. 121/04</w:t>
      </w:r>
      <w:r w:rsidR="00FC5DD7" w:rsidRPr="0072677C">
        <w:rPr>
          <w:rFonts w:cs="Arial"/>
          <w:szCs w:val="20"/>
        </w:rPr>
        <w:t xml:space="preserve"> in 59/19</w:t>
      </w:r>
      <w:r w:rsidRPr="0072677C">
        <w:rPr>
          <w:rFonts w:cs="Arial"/>
          <w:szCs w:val="20"/>
        </w:rPr>
        <w:t xml:space="preserve">; v nadaljevanju: uredba) z namenom, da se izogne, prepreči ali zmanjša škodljive učinke, vključno z motnjami, ki jih povzroča izpostavljenost hrupu v okolju, določa ukrepe za zmanjšanje obremenjenosti okolja s hrupom, zlasti v zvezi z metodami ocenjevanja hrupa v okolju, določanjem izpostavljenosti hrupu s kartiranjem obremenjenosti poseljenih območij s hrupom, zagotavljanjem dostopa informacij o hrupu v okolju in njegovih učinkih javnosti ter pripravo operativnega programa varstva pred hrupom z namenom </w:t>
      </w:r>
      <w:r w:rsidRPr="0072677C">
        <w:rPr>
          <w:rFonts w:cs="Arial"/>
        </w:rPr>
        <w:t>preprečevanja in zmanjševanja hrupa v okolju, ki temelji na rezultatih kartiranja obremenjenosti območij s hrupom.</w:t>
      </w:r>
    </w:p>
    <w:p w14:paraId="2AFC11A0" w14:textId="74130F3F" w:rsidR="00224858" w:rsidRPr="0072677C" w:rsidRDefault="00224858" w:rsidP="00224858">
      <w:pPr>
        <w:spacing w:after="200" w:line="276" w:lineRule="auto"/>
        <w:rPr>
          <w:rFonts w:cs="Arial"/>
          <w:szCs w:val="20"/>
        </w:rPr>
      </w:pPr>
      <w:r w:rsidRPr="0072677C">
        <w:rPr>
          <w:rFonts w:cs="Arial"/>
          <w:szCs w:val="20"/>
        </w:rPr>
        <w:t>S spremembo uredbe bomo v pravni red Republike Slovenije prenesli Direktivo Komisije (EU) 20</w:t>
      </w:r>
      <w:r w:rsidR="00FC5DD7" w:rsidRPr="0072677C">
        <w:rPr>
          <w:rFonts w:cs="Arial"/>
          <w:szCs w:val="20"/>
        </w:rPr>
        <w:t>20</w:t>
      </w:r>
      <w:r w:rsidRPr="0072677C">
        <w:rPr>
          <w:rFonts w:cs="Arial"/>
          <w:szCs w:val="20"/>
        </w:rPr>
        <w:t>/</w:t>
      </w:r>
      <w:r w:rsidR="00FC5DD7" w:rsidRPr="0072677C">
        <w:rPr>
          <w:rFonts w:cs="Arial"/>
          <w:szCs w:val="20"/>
        </w:rPr>
        <w:t>367</w:t>
      </w:r>
      <w:r w:rsidRPr="0072677C">
        <w:rPr>
          <w:rFonts w:cs="Arial"/>
          <w:szCs w:val="20"/>
        </w:rPr>
        <w:t xml:space="preserve"> z dne </w:t>
      </w:r>
      <w:r w:rsidR="00FC5DD7" w:rsidRPr="0072677C">
        <w:rPr>
          <w:rFonts w:cs="Arial"/>
          <w:szCs w:val="20"/>
        </w:rPr>
        <w:t>4</w:t>
      </w:r>
      <w:r w:rsidRPr="0072677C">
        <w:rPr>
          <w:rFonts w:cs="Arial"/>
          <w:szCs w:val="20"/>
        </w:rPr>
        <w:t>. ma</w:t>
      </w:r>
      <w:r w:rsidR="00FC5DD7" w:rsidRPr="0072677C">
        <w:rPr>
          <w:rFonts w:cs="Arial"/>
          <w:szCs w:val="20"/>
        </w:rPr>
        <w:t>rca</w:t>
      </w:r>
      <w:r w:rsidRPr="0072677C">
        <w:rPr>
          <w:rFonts w:cs="Arial"/>
          <w:szCs w:val="20"/>
        </w:rPr>
        <w:t xml:space="preserve"> 20</w:t>
      </w:r>
      <w:r w:rsidR="00FC5DD7" w:rsidRPr="0072677C">
        <w:rPr>
          <w:rFonts w:cs="Arial"/>
          <w:szCs w:val="20"/>
        </w:rPr>
        <w:t>20</w:t>
      </w:r>
      <w:r w:rsidRPr="0072677C">
        <w:rPr>
          <w:rFonts w:cs="Arial"/>
          <w:szCs w:val="20"/>
        </w:rPr>
        <w:t xml:space="preserve"> </w:t>
      </w:r>
      <w:r w:rsidR="00FC5DD7" w:rsidRPr="0072677C">
        <w:rPr>
          <w:rFonts w:cs="Arial"/>
          <w:szCs w:val="20"/>
        </w:rPr>
        <w:t>o spremembi Priloge III k Direktivi 2002/49/ES Evropskega parlamenta in Sveta v zvezi z določitvijo metod ocenjevanja škodljivih učinkov okoljskega hrupa</w:t>
      </w:r>
      <w:r w:rsidRPr="0072677C">
        <w:rPr>
          <w:rFonts w:cs="Arial"/>
          <w:szCs w:val="20"/>
        </w:rPr>
        <w:t xml:space="preserve">. Ta direktiva določa metode ocenjevanja </w:t>
      </w:r>
      <w:r w:rsidR="00022F33" w:rsidRPr="0072677C">
        <w:rPr>
          <w:rFonts w:cs="Arial"/>
          <w:szCs w:val="20"/>
        </w:rPr>
        <w:t>škodljivih učinkov hrupa v okolju</w:t>
      </w:r>
      <w:r w:rsidRPr="0072677C">
        <w:rPr>
          <w:rFonts w:cs="Arial"/>
          <w:szCs w:val="20"/>
        </w:rPr>
        <w:t xml:space="preserve">, s katerimi nadomešča Metode ocenjevanja </w:t>
      </w:r>
      <w:r w:rsidR="00022F33" w:rsidRPr="0072677C">
        <w:rPr>
          <w:rFonts w:cs="Arial"/>
          <w:szCs w:val="20"/>
        </w:rPr>
        <w:t>škodljivih posledic hrupa v okolju</w:t>
      </w:r>
      <w:r w:rsidRPr="0072677C">
        <w:rPr>
          <w:rFonts w:cs="Arial"/>
          <w:szCs w:val="20"/>
        </w:rPr>
        <w:t xml:space="preserve"> iz Priloge II</w:t>
      </w:r>
      <w:r w:rsidR="00022F33" w:rsidRPr="0072677C">
        <w:rPr>
          <w:rFonts w:cs="Arial"/>
          <w:szCs w:val="20"/>
        </w:rPr>
        <w:t>I</w:t>
      </w:r>
      <w:r w:rsidRPr="0072677C">
        <w:rPr>
          <w:rFonts w:cs="Arial"/>
          <w:szCs w:val="20"/>
        </w:rPr>
        <w:t xml:space="preserve"> Direktive 2002/49/ES Evropskega parlamenta in Sveta z dne 25. junija 2002 o ocenjevanju in upravljanju okoljskega hrupa.</w:t>
      </w:r>
    </w:p>
    <w:p w14:paraId="28EC40D7" w14:textId="3B63DC03" w:rsidR="00752F69" w:rsidRPr="0072677C" w:rsidRDefault="00752F69" w:rsidP="00224858">
      <w:pPr>
        <w:spacing w:after="200" w:line="276" w:lineRule="auto"/>
        <w:rPr>
          <w:rFonts w:cs="Arial"/>
          <w:szCs w:val="20"/>
        </w:rPr>
      </w:pPr>
      <w:r w:rsidRPr="0072677C">
        <w:rPr>
          <w:rFonts w:cs="Arial"/>
          <w:szCs w:val="20"/>
        </w:rPr>
        <w:t>Priloga III k Direktivi 2002/49/ES določa metode ocenjevanja škodljivih učinkov hrupa v okolju, ki jih je treba uvesti s prilagoditvami navedene priloge tehničnemu in znanstvenemu napredku.</w:t>
      </w:r>
    </w:p>
    <w:p w14:paraId="41CC588B" w14:textId="5740341B" w:rsidR="00752F69" w:rsidRPr="0072677C" w:rsidRDefault="00752F69" w:rsidP="00224858">
      <w:pPr>
        <w:spacing w:after="200" w:line="276" w:lineRule="auto"/>
        <w:rPr>
          <w:rFonts w:cs="Arial"/>
          <w:szCs w:val="20"/>
        </w:rPr>
      </w:pPr>
      <w:r w:rsidRPr="0072677C">
        <w:rPr>
          <w:rFonts w:cs="Arial"/>
          <w:szCs w:val="20"/>
        </w:rPr>
        <w:t xml:space="preserve">Ob sprejetju Direktive Komisije (EU) 2020/367 so razpoložljive visokokakovostne in statistično značilne informacije izhajale iz smernic Svetovne zdravstvene organizacije (SZO) o okoljskem hrupu za evropsko regijo, ki predstavljajo razmerja med odmerkom in učinkom škodljivih učinkov izpostavljenosti </w:t>
      </w:r>
      <w:proofErr w:type="spellStart"/>
      <w:r w:rsidRPr="0072677C">
        <w:rPr>
          <w:rFonts w:cs="Arial"/>
          <w:szCs w:val="20"/>
        </w:rPr>
        <w:t>okoljskemu</w:t>
      </w:r>
      <w:proofErr w:type="spellEnd"/>
      <w:r w:rsidRPr="0072677C">
        <w:rPr>
          <w:rFonts w:cs="Arial"/>
          <w:szCs w:val="20"/>
        </w:rPr>
        <w:t xml:space="preserve"> hrupu. Študije SZO so zlasti v zvezi s statistično značilnostjo temeljile na reprezentativnih populacijah</w:t>
      </w:r>
      <w:r w:rsidR="00645AB5" w:rsidRPr="0072677C">
        <w:rPr>
          <w:rFonts w:cs="Arial"/>
          <w:szCs w:val="20"/>
        </w:rPr>
        <w:t xml:space="preserve">. Njihovi </w:t>
      </w:r>
      <w:r w:rsidRPr="0072677C">
        <w:rPr>
          <w:rFonts w:cs="Arial"/>
          <w:szCs w:val="20"/>
        </w:rPr>
        <w:t xml:space="preserve">rezultati se štejejo za relevantne, </w:t>
      </w:r>
      <w:r w:rsidR="00645AB5" w:rsidRPr="0072677C">
        <w:rPr>
          <w:rFonts w:cs="Arial"/>
          <w:szCs w:val="20"/>
        </w:rPr>
        <w:t xml:space="preserve">kadar </w:t>
      </w:r>
      <w:r w:rsidRPr="0072677C">
        <w:rPr>
          <w:rFonts w:cs="Arial"/>
          <w:szCs w:val="20"/>
        </w:rPr>
        <w:t>se uporabljajo za reprezentativne populacije.</w:t>
      </w:r>
    </w:p>
    <w:p w14:paraId="5D8CBE48" w14:textId="1E81CC16" w:rsidR="002937DA" w:rsidRPr="0072677C" w:rsidRDefault="00752F69" w:rsidP="002937DA">
      <w:pPr>
        <w:spacing w:after="200" w:line="276" w:lineRule="auto"/>
        <w:rPr>
          <w:rFonts w:cs="Arial"/>
          <w:szCs w:val="20"/>
        </w:rPr>
      </w:pPr>
      <w:r w:rsidRPr="0072677C">
        <w:rPr>
          <w:rFonts w:cs="Arial"/>
          <w:szCs w:val="20"/>
        </w:rPr>
        <w:t xml:space="preserve">Čeprav so bile ugotovljene povezave med okoljskim hrupom in </w:t>
      </w:r>
      <w:r w:rsidR="002937DA" w:rsidRPr="0072677C">
        <w:rPr>
          <w:rFonts w:cs="Arial"/>
          <w:szCs w:val="20"/>
        </w:rPr>
        <w:t xml:space="preserve">boleznimi, kot so: kap, hipertenzija, sladkorna bolezen in druge metabolične bolezni, kognitivne motnje pri otrocih, duševno zdravje in dobro počutje, okvara sluha, </w:t>
      </w:r>
      <w:proofErr w:type="spellStart"/>
      <w:r w:rsidR="002937DA" w:rsidRPr="0072677C">
        <w:rPr>
          <w:rFonts w:cs="Arial"/>
          <w:szCs w:val="20"/>
        </w:rPr>
        <w:t>tinitus</w:t>
      </w:r>
      <w:proofErr w:type="spellEnd"/>
      <w:r w:rsidR="002937DA" w:rsidRPr="0072677C">
        <w:rPr>
          <w:rFonts w:cs="Arial"/>
          <w:szCs w:val="20"/>
        </w:rPr>
        <w:t xml:space="preserve"> in zapleti v nosečnosti, trenutno ni dovolj dokazov za določitev skupne metode za oceno škodljivih učinkov. Prav tako, kljub temu, da je povezava med hrupom železniškega in letalskega prometa ter ishemičnimi boleznimi srca dokazana, je za ta dva vira količinska opredelitev povečanega tveganja za ishemične bolezni srca preuranjeno.</w:t>
      </w:r>
    </w:p>
    <w:p w14:paraId="233CDF9F" w14:textId="3E6A853D" w:rsidR="00224858" w:rsidRPr="0072677C" w:rsidRDefault="00EE7512" w:rsidP="00224858">
      <w:pPr>
        <w:spacing w:after="200" w:line="276" w:lineRule="auto"/>
        <w:rPr>
          <w:rFonts w:cs="Arial"/>
          <w:szCs w:val="20"/>
        </w:rPr>
      </w:pPr>
      <w:r w:rsidRPr="0072677C">
        <w:rPr>
          <w:rFonts w:cs="Arial"/>
          <w:szCs w:val="20"/>
        </w:rPr>
        <w:t xml:space="preserve">Metode ocenjevanja škodljivih učinkov, se bodo prvič uporabili pri izdelavi kart hrupa četrte faze in na njih temelječ Operativni program varstva pred hrupom. </w:t>
      </w:r>
      <w:r w:rsidR="00224858" w:rsidRPr="0072677C">
        <w:rPr>
          <w:rFonts w:cs="Arial"/>
          <w:szCs w:val="20"/>
        </w:rPr>
        <w:t xml:space="preserve">Strateške karte hrupa </w:t>
      </w:r>
      <w:r w:rsidRPr="0072677C">
        <w:rPr>
          <w:rFonts w:cs="Arial"/>
          <w:szCs w:val="20"/>
        </w:rPr>
        <w:t xml:space="preserve">četrte faze </w:t>
      </w:r>
      <w:r w:rsidR="00224858" w:rsidRPr="0072677C">
        <w:rPr>
          <w:rFonts w:cs="Arial"/>
          <w:szCs w:val="20"/>
        </w:rPr>
        <w:t xml:space="preserve">bo treba izdelati do avgusta 2022 s prometnimi podatki za leto 2021. </w:t>
      </w:r>
      <w:r w:rsidRPr="0072677C">
        <w:rPr>
          <w:rFonts w:cs="Arial"/>
          <w:szCs w:val="20"/>
        </w:rPr>
        <w:t>Operativni program varstva pred hrupom pa bo treba pripraviti do julija 2024</w:t>
      </w:r>
      <w:r w:rsidR="00224858" w:rsidRPr="0072677C">
        <w:rPr>
          <w:rFonts w:cs="Arial"/>
          <w:szCs w:val="20"/>
        </w:rPr>
        <w:t>.</w:t>
      </w:r>
    </w:p>
    <w:p w14:paraId="715BAEF3" w14:textId="723D27E1" w:rsidR="00224858" w:rsidRPr="0072677C" w:rsidRDefault="00224858" w:rsidP="00224858">
      <w:pPr>
        <w:spacing w:after="200" w:line="276" w:lineRule="auto"/>
        <w:rPr>
          <w:rFonts w:cs="Arial"/>
          <w:szCs w:val="20"/>
          <w:shd w:val="clear" w:color="auto" w:fill="FFFFFF"/>
        </w:rPr>
      </w:pPr>
      <w:r w:rsidRPr="0072677C">
        <w:rPr>
          <w:rFonts w:cs="Arial"/>
          <w:szCs w:val="20"/>
        </w:rPr>
        <w:t xml:space="preserve">S 1. členom predlagane uredbe se v 1. člen uredbe spremeni sklic na pravni akt Evropske unije, ki se prenaša s to uredbo, to je </w:t>
      </w:r>
      <w:r w:rsidR="00324C93" w:rsidRPr="0072677C">
        <w:rPr>
          <w:rFonts w:cs="Arial"/>
          <w:szCs w:val="20"/>
        </w:rPr>
        <w:t xml:space="preserve">Direktivo 2002/49/ES Evropskega parlamenta in Sveta z dne 25. junija 2002 </w:t>
      </w:r>
      <w:r w:rsidR="00324C93" w:rsidRPr="0072677C">
        <w:rPr>
          <w:rFonts w:cs="Arial"/>
          <w:szCs w:val="20"/>
        </w:rPr>
        <w:lastRenderedPageBreak/>
        <w:t xml:space="preserve">o ocenjevanju in upravljanju okoljskega hrupa (UL L št. 189 z dne 18. 7. 2002, str. 12), zadnjič spremenjeno z Delegirano direktivo Komisije (EU) 2021/1226 z dne 21. decembra 2020 </w:t>
      </w:r>
      <w:r w:rsidR="00324C93" w:rsidRPr="0072677C">
        <w:rPr>
          <w:rFonts w:cs="Arial"/>
          <w:szCs w:val="20"/>
          <w:shd w:val="clear" w:color="auto" w:fill="FFFFFF"/>
        </w:rPr>
        <w:t>o spremembi Priloge II k Direktivi 2002/49/ES Evropskega parlamenta in Sveta glede skupnih metod ocenjevanja hrupa zaradi prilagoditve znanstvenemu in tehničnemu napredku (UL L 269 z dne 28. 7. 2021 str. 65-142).</w:t>
      </w:r>
    </w:p>
    <w:p w14:paraId="5A199532" w14:textId="11121460" w:rsidR="00726D52" w:rsidRPr="0072677C" w:rsidRDefault="00726D52" w:rsidP="00726D52">
      <w:pPr>
        <w:spacing w:after="200" w:line="276" w:lineRule="auto"/>
        <w:rPr>
          <w:rFonts w:cs="Arial"/>
          <w:szCs w:val="20"/>
        </w:rPr>
      </w:pPr>
      <w:r w:rsidRPr="0072677C">
        <w:rPr>
          <w:rFonts w:cs="Arial"/>
          <w:szCs w:val="20"/>
        </w:rPr>
        <w:t xml:space="preserve">V 2. členu predlagane uredbe se nadomesti Priloga 2 uredbe na način da se le ta spremeni s Prilogo Delegirane direktive Komisije (EU) 2021/1226 z dne 21. decembra 2020 </w:t>
      </w:r>
      <w:r w:rsidRPr="0072677C">
        <w:rPr>
          <w:rFonts w:cs="Arial"/>
          <w:szCs w:val="20"/>
          <w:shd w:val="clear" w:color="auto" w:fill="FFFFFF"/>
        </w:rPr>
        <w:t>o spremembi Priloge II k Direktivi 2002/49/ES Evropskega parlamenta in Sveta glede skupnih metod ocenjevanja hrupa zaradi prilagoditve znanstvenemu in tehničnemu napredku</w:t>
      </w:r>
      <w:r w:rsidRPr="0072677C">
        <w:rPr>
          <w:rFonts w:cs="Arial"/>
          <w:szCs w:val="20"/>
        </w:rPr>
        <w:t>.</w:t>
      </w:r>
    </w:p>
    <w:p w14:paraId="65539876" w14:textId="434D89AC" w:rsidR="00224858" w:rsidRPr="0072677C" w:rsidRDefault="00224858" w:rsidP="00224858">
      <w:pPr>
        <w:spacing w:after="200" w:line="276" w:lineRule="auto"/>
        <w:rPr>
          <w:rFonts w:cs="Arial"/>
          <w:szCs w:val="20"/>
        </w:rPr>
      </w:pPr>
      <w:r w:rsidRPr="0072677C">
        <w:rPr>
          <w:rFonts w:cs="Arial"/>
          <w:szCs w:val="20"/>
        </w:rPr>
        <w:t xml:space="preserve">V </w:t>
      </w:r>
      <w:r w:rsidR="00726D52" w:rsidRPr="0072677C">
        <w:rPr>
          <w:rFonts w:cs="Arial"/>
          <w:szCs w:val="20"/>
        </w:rPr>
        <w:t>3</w:t>
      </w:r>
      <w:r w:rsidRPr="0072677C">
        <w:rPr>
          <w:rFonts w:cs="Arial"/>
          <w:szCs w:val="20"/>
        </w:rPr>
        <w:t>. členu predlagane uredbe se nadomesti Prilog</w:t>
      </w:r>
      <w:r w:rsidR="00324C93" w:rsidRPr="0072677C">
        <w:rPr>
          <w:rFonts w:cs="Arial"/>
          <w:szCs w:val="20"/>
        </w:rPr>
        <w:t>a</w:t>
      </w:r>
      <w:r w:rsidRPr="0072677C">
        <w:rPr>
          <w:rFonts w:cs="Arial"/>
          <w:szCs w:val="20"/>
        </w:rPr>
        <w:t xml:space="preserve"> </w:t>
      </w:r>
      <w:r w:rsidR="00324C93" w:rsidRPr="0072677C">
        <w:rPr>
          <w:rFonts w:cs="Arial"/>
          <w:szCs w:val="20"/>
        </w:rPr>
        <w:t>3</w:t>
      </w:r>
      <w:r w:rsidRPr="0072677C">
        <w:rPr>
          <w:rFonts w:cs="Arial"/>
          <w:szCs w:val="20"/>
        </w:rPr>
        <w:t xml:space="preserve"> uredbe </w:t>
      </w:r>
      <w:r w:rsidR="00324C93" w:rsidRPr="0072677C">
        <w:rPr>
          <w:rFonts w:cs="Arial"/>
          <w:szCs w:val="20"/>
        </w:rPr>
        <w:t xml:space="preserve">na način da se le ta spremeni s Prilogo </w:t>
      </w:r>
      <w:r w:rsidRPr="0072677C">
        <w:rPr>
          <w:rFonts w:cs="Arial"/>
          <w:szCs w:val="20"/>
        </w:rPr>
        <w:t>Direktiv</w:t>
      </w:r>
      <w:r w:rsidR="00324C93" w:rsidRPr="0072677C">
        <w:rPr>
          <w:rFonts w:cs="Arial"/>
          <w:szCs w:val="20"/>
        </w:rPr>
        <w:t>e</w:t>
      </w:r>
      <w:r w:rsidRPr="0072677C">
        <w:rPr>
          <w:rFonts w:cs="Arial"/>
          <w:szCs w:val="20"/>
        </w:rPr>
        <w:t xml:space="preserve"> Komisije (EU) 20</w:t>
      </w:r>
      <w:r w:rsidR="00324C93" w:rsidRPr="0072677C">
        <w:rPr>
          <w:rFonts w:cs="Arial"/>
          <w:szCs w:val="20"/>
        </w:rPr>
        <w:t>20</w:t>
      </w:r>
      <w:r w:rsidRPr="0072677C">
        <w:rPr>
          <w:rFonts w:cs="Arial"/>
          <w:szCs w:val="20"/>
        </w:rPr>
        <w:t>/</w:t>
      </w:r>
      <w:r w:rsidR="00324C93" w:rsidRPr="0072677C">
        <w:rPr>
          <w:rFonts w:cs="Arial"/>
          <w:szCs w:val="20"/>
        </w:rPr>
        <w:t>367</w:t>
      </w:r>
      <w:r w:rsidRPr="0072677C">
        <w:rPr>
          <w:rFonts w:cs="Arial"/>
          <w:szCs w:val="20"/>
        </w:rPr>
        <w:t xml:space="preserve"> z dne </w:t>
      </w:r>
      <w:r w:rsidR="00324C93" w:rsidRPr="0072677C">
        <w:rPr>
          <w:rFonts w:cs="Arial"/>
          <w:szCs w:val="20"/>
        </w:rPr>
        <w:t>4</w:t>
      </w:r>
      <w:r w:rsidRPr="0072677C">
        <w:rPr>
          <w:rFonts w:cs="Arial"/>
          <w:szCs w:val="20"/>
        </w:rPr>
        <w:t xml:space="preserve">. </w:t>
      </w:r>
      <w:r w:rsidR="00324C93" w:rsidRPr="0072677C">
        <w:rPr>
          <w:rFonts w:cs="Arial"/>
          <w:szCs w:val="20"/>
        </w:rPr>
        <w:t>marca</w:t>
      </w:r>
      <w:r w:rsidRPr="0072677C">
        <w:rPr>
          <w:rFonts w:cs="Arial"/>
          <w:szCs w:val="20"/>
        </w:rPr>
        <w:t xml:space="preserve"> 20</w:t>
      </w:r>
      <w:r w:rsidR="00324C93" w:rsidRPr="0072677C">
        <w:rPr>
          <w:rFonts w:cs="Arial"/>
          <w:szCs w:val="20"/>
        </w:rPr>
        <w:t>20</w:t>
      </w:r>
      <w:r w:rsidRPr="0072677C">
        <w:rPr>
          <w:rFonts w:cs="Arial"/>
          <w:szCs w:val="20"/>
        </w:rPr>
        <w:t xml:space="preserve"> </w:t>
      </w:r>
      <w:r w:rsidR="00324C93" w:rsidRPr="0072677C">
        <w:rPr>
          <w:rFonts w:cs="Arial"/>
          <w:szCs w:val="20"/>
        </w:rPr>
        <w:t>spremembi Priloge III k Direktivi 2002/49/ES Evropskega parlamenta in Sveta v zvezi z določitvijo metod ocenjevanja škodljivih učinkov okoljskega hrupa</w:t>
      </w:r>
      <w:r w:rsidRPr="0072677C">
        <w:rPr>
          <w:rFonts w:cs="Arial"/>
          <w:szCs w:val="20"/>
        </w:rPr>
        <w:t>.</w:t>
      </w:r>
    </w:p>
    <w:p w14:paraId="530CCE31" w14:textId="7DACF90B" w:rsidR="00224858" w:rsidRPr="0072677C" w:rsidRDefault="00224858" w:rsidP="00224858">
      <w:pPr>
        <w:spacing w:after="200" w:line="276" w:lineRule="auto"/>
        <w:rPr>
          <w:rFonts w:cs="Arial"/>
          <w:b/>
          <w:szCs w:val="20"/>
          <w:lang w:eastAsia="ar-SA"/>
        </w:rPr>
      </w:pPr>
      <w:r w:rsidRPr="0072677C">
        <w:rPr>
          <w:rFonts w:cs="Arial"/>
          <w:szCs w:val="20"/>
        </w:rPr>
        <w:t xml:space="preserve">V </w:t>
      </w:r>
      <w:r w:rsidR="00726D52" w:rsidRPr="0072677C">
        <w:rPr>
          <w:rFonts w:cs="Arial"/>
          <w:szCs w:val="20"/>
        </w:rPr>
        <w:t>4</w:t>
      </w:r>
      <w:r w:rsidRPr="0072677C">
        <w:rPr>
          <w:rFonts w:cs="Arial"/>
          <w:szCs w:val="20"/>
        </w:rPr>
        <w:t xml:space="preserve">. členu predlagane uredbe je določen </w:t>
      </w:r>
      <w:proofErr w:type="spellStart"/>
      <w:r w:rsidRPr="0072677C">
        <w:rPr>
          <w:rFonts w:cs="Arial"/>
          <w:i/>
          <w:szCs w:val="20"/>
        </w:rPr>
        <w:t>vacatio</w:t>
      </w:r>
      <w:proofErr w:type="spellEnd"/>
      <w:r w:rsidRPr="0072677C">
        <w:rPr>
          <w:rFonts w:cs="Arial"/>
          <w:i/>
          <w:szCs w:val="20"/>
        </w:rPr>
        <w:t xml:space="preserve"> </w:t>
      </w:r>
      <w:proofErr w:type="spellStart"/>
      <w:r w:rsidRPr="0072677C">
        <w:rPr>
          <w:rFonts w:cs="Arial"/>
          <w:i/>
          <w:szCs w:val="20"/>
        </w:rPr>
        <w:t>legis</w:t>
      </w:r>
      <w:proofErr w:type="spellEnd"/>
      <w:r w:rsidRPr="0072677C">
        <w:rPr>
          <w:rFonts w:cs="Arial"/>
          <w:szCs w:val="20"/>
        </w:rPr>
        <w:t>, v katerem je zaradi nujnosti uveljavitve predpisa določeno, da uredba začne veljati naslednji dan po objavi v Uradnem listu Republike Slovenije.</w:t>
      </w:r>
    </w:p>
    <w:p w14:paraId="2292CAC6" w14:textId="77777777" w:rsidR="00215159" w:rsidRPr="0072677C" w:rsidRDefault="00E24152" w:rsidP="00215159">
      <w:pPr>
        <w:pStyle w:val="Odstavek"/>
        <w:keepNext/>
        <w:spacing w:before="0"/>
        <w:ind w:firstLine="0"/>
        <w:rPr>
          <w:rFonts w:cs="Arial"/>
          <w:szCs w:val="20"/>
          <w:lang w:val="sl-SI"/>
        </w:rPr>
      </w:pPr>
      <w:r w:rsidRPr="0072677C">
        <w:rPr>
          <w:rFonts w:cs="Arial"/>
          <w:szCs w:val="20"/>
        </w:rPr>
        <w:br w:type="page"/>
      </w:r>
    </w:p>
    <w:p w14:paraId="5418481D" w14:textId="616DAA36" w:rsidR="00B920EE" w:rsidRPr="0072677C" w:rsidRDefault="006728C8" w:rsidP="006728C8">
      <w:pPr>
        <w:rPr>
          <w:b/>
          <w:bCs/>
        </w:rPr>
      </w:pPr>
      <w:r w:rsidRPr="0072677C">
        <w:rPr>
          <w:b/>
          <w:bCs/>
        </w:rPr>
        <w:lastRenderedPageBreak/>
        <w:t>Osnutek predpisa</w:t>
      </w:r>
    </w:p>
    <w:p w14:paraId="29440EF4" w14:textId="77777777" w:rsidR="00B920EE" w:rsidRPr="0072677C" w:rsidRDefault="00B920EE" w:rsidP="000F7C3E">
      <w:pPr>
        <w:rPr>
          <w:b/>
          <w:bCs/>
        </w:rPr>
      </w:pPr>
    </w:p>
    <w:p w14:paraId="48F10BE7" w14:textId="27044493" w:rsidR="00224858" w:rsidRPr="0072677C" w:rsidRDefault="00224858" w:rsidP="00224858">
      <w:pPr>
        <w:spacing w:beforeLines="60" w:before="144" w:afterLines="120" w:after="288" w:line="240" w:lineRule="atLeast"/>
        <w:contextualSpacing/>
        <w:rPr>
          <w:rFonts w:eastAsia="Arial"/>
        </w:rPr>
      </w:pPr>
      <w:r w:rsidRPr="0072677C">
        <w:rPr>
          <w:rFonts w:eastAsia="Arial"/>
        </w:rPr>
        <w:t xml:space="preserve">Na podlagi prvega in drugega odstavka 23. člena Zakona o varstvu okolja </w:t>
      </w:r>
      <w:r w:rsidRPr="0072677C">
        <w:rPr>
          <w:rFonts w:cs="Arial"/>
          <w:bCs/>
          <w:szCs w:val="20"/>
        </w:rPr>
        <w:t>(</w:t>
      </w:r>
      <w:r w:rsidR="00F6513C" w:rsidRPr="0072677C">
        <w:rPr>
          <w:rFonts w:cs="Arial"/>
          <w:bCs/>
          <w:szCs w:val="20"/>
        </w:rPr>
        <w:t xml:space="preserve">Uradni list RS, št. 39/06 – uradno prečiščeno besedilo, 49/06 – ZMetD, 66/06 – </w:t>
      </w:r>
      <w:proofErr w:type="spellStart"/>
      <w:r w:rsidR="00F6513C" w:rsidRPr="0072677C">
        <w:rPr>
          <w:rFonts w:cs="Arial"/>
          <w:bCs/>
          <w:szCs w:val="20"/>
        </w:rPr>
        <w:t>odl</w:t>
      </w:r>
      <w:proofErr w:type="spellEnd"/>
      <w:r w:rsidR="00F6513C" w:rsidRPr="0072677C">
        <w:rPr>
          <w:rFonts w:cs="Arial"/>
          <w:bCs/>
          <w:szCs w:val="20"/>
        </w:rPr>
        <w:t xml:space="preserve">. US, 33/07 – ZPNačrt, 57/08 – ZFO-1A, 70/08, 108/09, 108/09 – ZPNačrt-A, 48/12, 57/12, 92/13, 56/15, 102/15, 30/16, 61/17 – GZ, 21/18 – </w:t>
      </w:r>
      <w:proofErr w:type="spellStart"/>
      <w:r w:rsidR="00F6513C" w:rsidRPr="0072677C">
        <w:rPr>
          <w:rFonts w:cs="Arial"/>
          <w:bCs/>
          <w:szCs w:val="20"/>
        </w:rPr>
        <w:t>ZNOrg</w:t>
      </w:r>
      <w:proofErr w:type="spellEnd"/>
      <w:r w:rsidR="00F6513C" w:rsidRPr="0072677C">
        <w:rPr>
          <w:rFonts w:cs="Arial"/>
          <w:bCs/>
          <w:szCs w:val="20"/>
        </w:rPr>
        <w:t>, 84/18 – ZIURKOE in 158/20</w:t>
      </w:r>
      <w:r w:rsidRPr="0072677C">
        <w:rPr>
          <w:rFonts w:cs="Arial"/>
          <w:bCs/>
          <w:szCs w:val="20"/>
        </w:rPr>
        <w:t>)</w:t>
      </w:r>
      <w:r w:rsidRPr="0072677C">
        <w:rPr>
          <w:rFonts w:eastAsia="Arial"/>
        </w:rPr>
        <w:t xml:space="preserve"> izdaja Vlada Republike Slovenije</w:t>
      </w:r>
    </w:p>
    <w:p w14:paraId="62627AA7" w14:textId="77777777" w:rsidR="00224858" w:rsidRPr="0072677C" w:rsidRDefault="00224858" w:rsidP="00224858">
      <w:pPr>
        <w:spacing w:beforeLines="60" w:before="144" w:afterLines="120" w:after="288" w:line="240" w:lineRule="atLeast"/>
        <w:contextualSpacing/>
        <w:rPr>
          <w:rFonts w:eastAsia="Arial"/>
        </w:rPr>
      </w:pPr>
    </w:p>
    <w:p w14:paraId="77083B6C" w14:textId="77777777" w:rsidR="00224858" w:rsidRPr="0072677C" w:rsidRDefault="00224858" w:rsidP="00224858">
      <w:pPr>
        <w:spacing w:beforeLines="60" w:before="144" w:afterLines="120" w:after="288" w:line="240" w:lineRule="atLeast"/>
        <w:contextualSpacing/>
        <w:rPr>
          <w:rFonts w:eastAsia="Arial"/>
        </w:rPr>
      </w:pPr>
    </w:p>
    <w:p w14:paraId="11DC8783" w14:textId="77777777" w:rsidR="00224858" w:rsidRPr="0072677C" w:rsidRDefault="00224858" w:rsidP="00224858">
      <w:pPr>
        <w:spacing w:beforeLines="60" w:before="144" w:afterLines="120" w:after="288" w:line="240" w:lineRule="atLeast"/>
        <w:contextualSpacing/>
        <w:rPr>
          <w:rFonts w:cs="Arial"/>
          <w:b/>
          <w:szCs w:val="20"/>
        </w:rPr>
      </w:pPr>
    </w:p>
    <w:p w14:paraId="54476802" w14:textId="77777777" w:rsidR="00224858" w:rsidRPr="0072677C" w:rsidRDefault="00224858" w:rsidP="00224858">
      <w:pPr>
        <w:spacing w:after="200" w:line="276" w:lineRule="auto"/>
        <w:jc w:val="center"/>
        <w:rPr>
          <w:rFonts w:cs="Arial"/>
          <w:b/>
          <w:spacing w:val="40"/>
          <w:szCs w:val="20"/>
        </w:rPr>
      </w:pPr>
      <w:r w:rsidRPr="0072677C">
        <w:rPr>
          <w:rFonts w:cs="Arial"/>
          <w:b/>
          <w:spacing w:val="40"/>
          <w:szCs w:val="20"/>
        </w:rPr>
        <w:t>U R E D B O</w:t>
      </w:r>
    </w:p>
    <w:p w14:paraId="526DF023" w14:textId="77777777" w:rsidR="00224858" w:rsidRPr="0072677C" w:rsidRDefault="00224858" w:rsidP="00224858">
      <w:pPr>
        <w:spacing w:after="200" w:line="276" w:lineRule="auto"/>
        <w:ind w:left="1134" w:right="1134"/>
        <w:jc w:val="center"/>
        <w:rPr>
          <w:rFonts w:cs="Arial"/>
          <w:b/>
          <w:szCs w:val="20"/>
        </w:rPr>
      </w:pPr>
      <w:r w:rsidRPr="0072677C">
        <w:rPr>
          <w:rFonts w:cs="Arial"/>
          <w:b/>
          <w:szCs w:val="20"/>
        </w:rPr>
        <w:t>o spremembah Uredbe o ocenjevanju in urejanju hrupa v okolju</w:t>
      </w:r>
    </w:p>
    <w:p w14:paraId="5EA25FA1" w14:textId="77777777" w:rsidR="00224858" w:rsidRPr="0072677C" w:rsidRDefault="00224858" w:rsidP="00224858">
      <w:pPr>
        <w:spacing w:line="276" w:lineRule="auto"/>
        <w:rPr>
          <w:rFonts w:cs="Arial"/>
          <w:szCs w:val="20"/>
        </w:rPr>
      </w:pPr>
    </w:p>
    <w:p w14:paraId="163B996E" w14:textId="77777777" w:rsidR="00224858" w:rsidRPr="0072677C" w:rsidRDefault="00224858" w:rsidP="00224858">
      <w:pPr>
        <w:spacing w:after="200" w:line="276" w:lineRule="auto"/>
        <w:jc w:val="center"/>
        <w:rPr>
          <w:rFonts w:cs="Arial"/>
          <w:szCs w:val="20"/>
        </w:rPr>
      </w:pPr>
      <w:r w:rsidRPr="0072677C">
        <w:rPr>
          <w:rFonts w:cs="Arial"/>
          <w:szCs w:val="20"/>
        </w:rPr>
        <w:t>1. člen</w:t>
      </w:r>
    </w:p>
    <w:p w14:paraId="0779C0B2" w14:textId="77777777" w:rsidR="00224858" w:rsidRPr="0072677C" w:rsidRDefault="00224858" w:rsidP="00224858">
      <w:pPr>
        <w:spacing w:after="200" w:line="276" w:lineRule="auto"/>
        <w:rPr>
          <w:rFonts w:cs="Arial"/>
          <w:szCs w:val="20"/>
        </w:rPr>
      </w:pPr>
      <w:r w:rsidRPr="0072677C">
        <w:rPr>
          <w:rFonts w:cs="Arial"/>
          <w:szCs w:val="20"/>
        </w:rPr>
        <w:t>V Uredbi o ocenjevanju in urejanju hrupa v okolju (Uradni list RS, št. 121/04) se 1. člen spremeni, tako da se glasi:</w:t>
      </w:r>
    </w:p>
    <w:p w14:paraId="64E214D3" w14:textId="44E2DC7D" w:rsidR="00224858" w:rsidRPr="0072677C" w:rsidRDefault="00224858" w:rsidP="00224858">
      <w:pPr>
        <w:spacing w:after="200" w:line="276" w:lineRule="auto"/>
        <w:rPr>
          <w:rFonts w:cs="Arial"/>
          <w:szCs w:val="20"/>
        </w:rPr>
      </w:pPr>
      <w:r w:rsidRPr="0072677C">
        <w:rPr>
          <w:rFonts w:cs="Arial"/>
          <w:szCs w:val="20"/>
        </w:rPr>
        <w:t xml:space="preserve">»Ta uredba v skladu z </w:t>
      </w:r>
      <w:bookmarkStart w:id="0" w:name="_Hlk91479797"/>
      <w:r w:rsidRPr="0072677C">
        <w:rPr>
          <w:rFonts w:cs="Arial"/>
          <w:szCs w:val="20"/>
        </w:rPr>
        <w:t xml:space="preserve">Direktivo 2002/49/ES Evropskega parlamenta in Sveta z dne 25. junija 2002 o ocenjevanju in upravljanju okoljskega hrupa </w:t>
      </w:r>
      <w:bookmarkEnd w:id="0"/>
      <w:r w:rsidRPr="0072677C">
        <w:rPr>
          <w:rFonts w:cs="Arial"/>
          <w:szCs w:val="20"/>
        </w:rPr>
        <w:t xml:space="preserve">(UL L št. 189 z dne 18. 7. 2002, str. 12), zadnjič spremenjeno z </w:t>
      </w:r>
      <w:r w:rsidR="00726A3D" w:rsidRPr="0072677C">
        <w:rPr>
          <w:rFonts w:cs="Arial"/>
          <w:szCs w:val="20"/>
        </w:rPr>
        <w:t xml:space="preserve">Delegirano direktivo Komisije (EU) 2021/1226 z dne 21. decembra 2020 </w:t>
      </w:r>
      <w:r w:rsidR="00726A3D" w:rsidRPr="0072677C">
        <w:rPr>
          <w:rFonts w:cs="Arial"/>
          <w:szCs w:val="20"/>
          <w:shd w:val="clear" w:color="auto" w:fill="FFFFFF"/>
        </w:rPr>
        <w:t>o</w:t>
      </w:r>
      <w:r w:rsidR="003B3B9F" w:rsidRPr="0072677C">
        <w:rPr>
          <w:rFonts w:cs="Arial"/>
          <w:szCs w:val="20"/>
          <w:shd w:val="clear" w:color="auto" w:fill="FFFFFF"/>
        </w:rPr>
        <w:t xml:space="preserve"> </w:t>
      </w:r>
      <w:r w:rsidR="00726A3D" w:rsidRPr="0072677C">
        <w:rPr>
          <w:rFonts w:cs="Arial"/>
          <w:szCs w:val="20"/>
          <w:shd w:val="clear" w:color="auto" w:fill="FFFFFF"/>
        </w:rPr>
        <w:t>spremembi Priloge II k</w:t>
      </w:r>
      <w:r w:rsidR="003B3B9F" w:rsidRPr="0072677C">
        <w:rPr>
          <w:rFonts w:cs="Arial"/>
          <w:szCs w:val="20"/>
          <w:shd w:val="clear" w:color="auto" w:fill="FFFFFF"/>
        </w:rPr>
        <w:t xml:space="preserve"> </w:t>
      </w:r>
      <w:r w:rsidR="00726A3D" w:rsidRPr="0072677C">
        <w:rPr>
          <w:rFonts w:cs="Arial"/>
          <w:szCs w:val="20"/>
          <w:shd w:val="clear" w:color="auto" w:fill="FFFFFF"/>
        </w:rPr>
        <w:t>Direktivi 2002/49/ES Evropskega parlamenta in Sveta glede skupnih metod ocenjevanja hrupa zaradi prilagoditve znanstvenemu in tehničnemu napredku (UL L 269 z dne 28. 7. 2021 str. 65)</w:t>
      </w:r>
      <w:r w:rsidRPr="0072677C">
        <w:rPr>
          <w:rFonts w:cs="Arial"/>
          <w:szCs w:val="20"/>
        </w:rPr>
        <w:t xml:space="preserve"> in z namenom, da se izogne, prepreči ali zmanjša škodljive učinke, vključno z motnjami, ki jih povzroča izpostavljenost hrupu v okolju, določa ukrepe za zmanjšanje obremenjenosti okolja s hrupom, zlasti v zvezi z:</w:t>
      </w:r>
    </w:p>
    <w:p w14:paraId="5045CA47" w14:textId="77777777" w:rsidR="00224858" w:rsidRPr="0072677C" w:rsidRDefault="00224858" w:rsidP="00224858">
      <w:pPr>
        <w:pStyle w:val="Odstavekseznama"/>
        <w:numPr>
          <w:ilvl w:val="0"/>
          <w:numId w:val="31"/>
        </w:numPr>
        <w:overflowPunct/>
        <w:autoSpaceDE/>
        <w:autoSpaceDN/>
        <w:adjustRightInd/>
        <w:spacing w:after="200" w:line="276" w:lineRule="auto"/>
        <w:ind w:left="714" w:hanging="357"/>
        <w:contextualSpacing/>
        <w:textAlignment w:val="auto"/>
        <w:rPr>
          <w:rFonts w:cs="Arial"/>
        </w:rPr>
      </w:pPr>
      <w:r w:rsidRPr="0072677C">
        <w:rPr>
          <w:rFonts w:cs="Arial"/>
        </w:rPr>
        <w:t>metodami ocenjevanja hrupa v okolju,</w:t>
      </w:r>
    </w:p>
    <w:p w14:paraId="206DE7A7" w14:textId="77777777" w:rsidR="00224858" w:rsidRPr="0072677C" w:rsidRDefault="00224858" w:rsidP="00224858">
      <w:pPr>
        <w:pStyle w:val="Odstavekseznama"/>
        <w:numPr>
          <w:ilvl w:val="0"/>
          <w:numId w:val="31"/>
        </w:numPr>
        <w:overflowPunct/>
        <w:autoSpaceDE/>
        <w:autoSpaceDN/>
        <w:adjustRightInd/>
        <w:spacing w:after="200" w:line="276" w:lineRule="auto"/>
        <w:ind w:left="714" w:hanging="357"/>
        <w:contextualSpacing/>
        <w:textAlignment w:val="auto"/>
        <w:rPr>
          <w:rFonts w:cs="Arial"/>
        </w:rPr>
      </w:pPr>
      <w:r w:rsidRPr="0072677C">
        <w:rPr>
          <w:rFonts w:cs="Arial"/>
        </w:rPr>
        <w:t>določanjem izpostavljenosti hrupu s kartiranjem obremenjenosti poseljenih območij s hrupom,</w:t>
      </w:r>
    </w:p>
    <w:p w14:paraId="335CADB0" w14:textId="77777777" w:rsidR="00224858" w:rsidRPr="0072677C" w:rsidRDefault="00224858" w:rsidP="00224858">
      <w:pPr>
        <w:pStyle w:val="Odstavekseznama"/>
        <w:numPr>
          <w:ilvl w:val="0"/>
          <w:numId w:val="31"/>
        </w:numPr>
        <w:overflowPunct/>
        <w:autoSpaceDE/>
        <w:autoSpaceDN/>
        <w:adjustRightInd/>
        <w:spacing w:after="200" w:line="276" w:lineRule="auto"/>
        <w:ind w:left="714" w:hanging="357"/>
        <w:contextualSpacing/>
        <w:textAlignment w:val="auto"/>
        <w:rPr>
          <w:rFonts w:cs="Arial"/>
        </w:rPr>
      </w:pPr>
      <w:r w:rsidRPr="0072677C">
        <w:rPr>
          <w:rFonts w:cs="Arial"/>
        </w:rPr>
        <w:t>zagotavljanjem dostopa informacij o hrupu v okolju in njegovih učinkih javnosti,</w:t>
      </w:r>
    </w:p>
    <w:p w14:paraId="057FFF60" w14:textId="77777777" w:rsidR="00224858" w:rsidRPr="0072677C" w:rsidRDefault="00224858" w:rsidP="00224858">
      <w:pPr>
        <w:pStyle w:val="Odstavekseznama"/>
        <w:numPr>
          <w:ilvl w:val="0"/>
          <w:numId w:val="31"/>
        </w:numPr>
        <w:overflowPunct/>
        <w:autoSpaceDE/>
        <w:autoSpaceDN/>
        <w:adjustRightInd/>
        <w:spacing w:after="200" w:line="276" w:lineRule="auto"/>
        <w:ind w:left="714" w:hanging="357"/>
        <w:contextualSpacing/>
        <w:textAlignment w:val="auto"/>
        <w:rPr>
          <w:rFonts w:cs="Arial"/>
        </w:rPr>
      </w:pPr>
      <w:r w:rsidRPr="0072677C">
        <w:rPr>
          <w:rFonts w:cs="Arial"/>
        </w:rPr>
        <w:t>pripravo operativnega programa varstva pred hrupom z namenom preprečevanja in zmanjševanja hrupa v okolju, ki temelji na rezultatih kartiranja obremenjenosti območij s hrupom.«</w:t>
      </w:r>
    </w:p>
    <w:p w14:paraId="7B4FCA70" w14:textId="77777777" w:rsidR="00DD4CA7" w:rsidRPr="0072677C" w:rsidRDefault="00DD4CA7" w:rsidP="00DD4CA7">
      <w:pPr>
        <w:spacing w:after="200" w:line="276" w:lineRule="auto"/>
        <w:jc w:val="center"/>
        <w:rPr>
          <w:rFonts w:cs="Arial"/>
          <w:szCs w:val="20"/>
        </w:rPr>
      </w:pPr>
      <w:r w:rsidRPr="0072677C">
        <w:rPr>
          <w:rFonts w:cs="Arial"/>
          <w:szCs w:val="20"/>
        </w:rPr>
        <w:t>2. člen</w:t>
      </w:r>
    </w:p>
    <w:p w14:paraId="3F162053" w14:textId="77777777" w:rsidR="00DD4CA7" w:rsidRPr="0072677C" w:rsidRDefault="00DD4CA7" w:rsidP="00DD4CA7">
      <w:pPr>
        <w:spacing w:after="200" w:line="276" w:lineRule="auto"/>
        <w:rPr>
          <w:rFonts w:cs="Arial"/>
          <w:szCs w:val="20"/>
        </w:rPr>
      </w:pPr>
      <w:r w:rsidRPr="0072677C">
        <w:rPr>
          <w:rFonts w:cs="Arial"/>
          <w:szCs w:val="20"/>
        </w:rPr>
        <w:t>Priloga 2 se nadomesti z novo Prilogo 2, ki je kot priloga sestavni del te uredbe.</w:t>
      </w:r>
    </w:p>
    <w:p w14:paraId="1A74AF76" w14:textId="1B31104B" w:rsidR="00224858" w:rsidRPr="0072677C" w:rsidRDefault="00DD4CA7" w:rsidP="00224858">
      <w:pPr>
        <w:spacing w:after="200" w:line="276" w:lineRule="auto"/>
        <w:jc w:val="center"/>
        <w:rPr>
          <w:rFonts w:cs="Arial"/>
          <w:szCs w:val="20"/>
        </w:rPr>
      </w:pPr>
      <w:r w:rsidRPr="0072677C">
        <w:rPr>
          <w:rFonts w:cs="Arial"/>
          <w:szCs w:val="20"/>
        </w:rPr>
        <w:t>3</w:t>
      </w:r>
      <w:r w:rsidR="00224858" w:rsidRPr="0072677C">
        <w:rPr>
          <w:rFonts w:cs="Arial"/>
          <w:szCs w:val="20"/>
        </w:rPr>
        <w:t>. člen</w:t>
      </w:r>
    </w:p>
    <w:p w14:paraId="097C1471" w14:textId="02DD4056" w:rsidR="00224858" w:rsidRPr="0072677C" w:rsidRDefault="00224858" w:rsidP="00224858">
      <w:pPr>
        <w:spacing w:after="200" w:line="276" w:lineRule="auto"/>
        <w:rPr>
          <w:rFonts w:cs="Arial"/>
          <w:szCs w:val="20"/>
        </w:rPr>
      </w:pPr>
      <w:r w:rsidRPr="0072677C">
        <w:rPr>
          <w:rFonts w:cs="Arial"/>
          <w:szCs w:val="20"/>
        </w:rPr>
        <w:t xml:space="preserve">Priloga </w:t>
      </w:r>
      <w:r w:rsidR="003B3B9F" w:rsidRPr="0072677C">
        <w:rPr>
          <w:rFonts w:cs="Arial"/>
          <w:szCs w:val="20"/>
        </w:rPr>
        <w:t>3</w:t>
      </w:r>
      <w:r w:rsidRPr="0072677C">
        <w:rPr>
          <w:rFonts w:cs="Arial"/>
          <w:szCs w:val="20"/>
        </w:rPr>
        <w:t xml:space="preserve"> </w:t>
      </w:r>
      <w:r w:rsidR="00112FEB" w:rsidRPr="0072677C">
        <w:rPr>
          <w:rFonts w:cs="Arial"/>
          <w:szCs w:val="20"/>
        </w:rPr>
        <w:t>se nadomesti z novo Prilogo 3, ki je kot priloga sestavni del te Uredbe.</w:t>
      </w:r>
    </w:p>
    <w:p w14:paraId="67D246EA" w14:textId="49D24385" w:rsidR="00112FEB" w:rsidRPr="0072677C" w:rsidRDefault="00112FEB" w:rsidP="00112FEB">
      <w:pPr>
        <w:spacing w:after="200" w:line="276" w:lineRule="auto"/>
        <w:jc w:val="center"/>
        <w:rPr>
          <w:rFonts w:cs="Arial"/>
          <w:szCs w:val="20"/>
        </w:rPr>
      </w:pPr>
      <w:r w:rsidRPr="0072677C">
        <w:rPr>
          <w:rFonts w:cs="Arial"/>
          <w:szCs w:val="20"/>
        </w:rPr>
        <w:t>4. člen</w:t>
      </w:r>
    </w:p>
    <w:p w14:paraId="08F75D0C" w14:textId="77777777" w:rsidR="00112FEB" w:rsidRPr="0072677C" w:rsidRDefault="00112FEB" w:rsidP="00112FEB">
      <w:pPr>
        <w:spacing w:after="200" w:line="276" w:lineRule="auto"/>
        <w:rPr>
          <w:rFonts w:cs="Arial"/>
          <w:szCs w:val="20"/>
        </w:rPr>
      </w:pPr>
      <w:r w:rsidRPr="0072677C">
        <w:rPr>
          <w:rFonts w:cs="Arial"/>
          <w:szCs w:val="20"/>
        </w:rPr>
        <w:t>Ta uredba začne veljati naslednji dan po objavi v Uradnem listu Republike Slovenije.</w:t>
      </w:r>
    </w:p>
    <w:p w14:paraId="18D61437" w14:textId="77777777" w:rsidR="00112FEB" w:rsidRPr="0072677C" w:rsidRDefault="00112FEB" w:rsidP="00112FEB">
      <w:pPr>
        <w:spacing w:after="200" w:line="276" w:lineRule="auto"/>
        <w:contextualSpacing/>
        <w:rPr>
          <w:rFonts w:cs="Arial"/>
          <w:szCs w:val="20"/>
        </w:rPr>
      </w:pPr>
    </w:p>
    <w:p w14:paraId="5FE07CFC" w14:textId="77777777" w:rsidR="00112FEB" w:rsidRPr="0072677C" w:rsidRDefault="00112FEB" w:rsidP="00112FEB">
      <w:pPr>
        <w:spacing w:after="200" w:line="276" w:lineRule="auto"/>
        <w:contextualSpacing/>
        <w:rPr>
          <w:rFonts w:cs="Arial"/>
          <w:szCs w:val="20"/>
        </w:rPr>
      </w:pPr>
    </w:p>
    <w:p w14:paraId="7AB26CCC" w14:textId="501C11B7" w:rsidR="00112FEB" w:rsidRPr="0072677C" w:rsidRDefault="00112FEB" w:rsidP="00112FEB">
      <w:pPr>
        <w:spacing w:after="200" w:line="276" w:lineRule="auto"/>
        <w:contextualSpacing/>
        <w:rPr>
          <w:rFonts w:cs="Arial"/>
          <w:szCs w:val="20"/>
        </w:rPr>
      </w:pPr>
      <w:r w:rsidRPr="0072677C">
        <w:rPr>
          <w:rFonts w:cs="Arial"/>
          <w:szCs w:val="20"/>
        </w:rPr>
        <w:t>Št.:</w:t>
      </w:r>
    </w:p>
    <w:p w14:paraId="2A04CBFE" w14:textId="77777777" w:rsidR="00112FEB" w:rsidRPr="0072677C" w:rsidRDefault="00112FEB" w:rsidP="00112FEB">
      <w:pPr>
        <w:spacing w:after="200" w:line="276" w:lineRule="auto"/>
        <w:contextualSpacing/>
        <w:rPr>
          <w:rFonts w:cs="Arial"/>
          <w:szCs w:val="20"/>
        </w:rPr>
      </w:pPr>
      <w:r w:rsidRPr="0072677C">
        <w:rPr>
          <w:rFonts w:cs="Arial"/>
          <w:szCs w:val="20"/>
        </w:rPr>
        <w:t xml:space="preserve">Ljubljana, dne </w:t>
      </w:r>
    </w:p>
    <w:p w14:paraId="151288BF" w14:textId="3DC281B6" w:rsidR="00112FEB" w:rsidRPr="0072677C" w:rsidRDefault="00112FEB" w:rsidP="00112FEB">
      <w:pPr>
        <w:spacing w:after="200" w:line="276" w:lineRule="auto"/>
        <w:contextualSpacing/>
        <w:rPr>
          <w:rFonts w:cs="Arial"/>
          <w:szCs w:val="20"/>
        </w:rPr>
      </w:pPr>
      <w:r w:rsidRPr="0072677C">
        <w:rPr>
          <w:rFonts w:cs="Arial"/>
          <w:szCs w:val="20"/>
        </w:rPr>
        <w:t>EVA: 20</w:t>
      </w:r>
      <w:r w:rsidR="00800AB6" w:rsidRPr="0072677C">
        <w:rPr>
          <w:rFonts w:cs="Arial"/>
          <w:szCs w:val="20"/>
        </w:rPr>
        <w:t>21</w:t>
      </w:r>
      <w:r w:rsidRPr="0072677C">
        <w:rPr>
          <w:rFonts w:cs="Arial"/>
          <w:szCs w:val="20"/>
        </w:rPr>
        <w:t>-2550-00</w:t>
      </w:r>
      <w:r w:rsidR="00800AB6" w:rsidRPr="0072677C">
        <w:rPr>
          <w:rFonts w:cs="Arial"/>
          <w:szCs w:val="20"/>
        </w:rPr>
        <w:t>6</w:t>
      </w:r>
      <w:r w:rsidRPr="0072677C">
        <w:rPr>
          <w:rFonts w:cs="Arial"/>
          <w:szCs w:val="20"/>
        </w:rPr>
        <w:t>8</w:t>
      </w:r>
    </w:p>
    <w:p w14:paraId="0314C714" w14:textId="77777777" w:rsidR="00112FEB" w:rsidRPr="0072677C" w:rsidRDefault="00112FEB" w:rsidP="00112FEB">
      <w:pPr>
        <w:tabs>
          <w:tab w:val="left" w:pos="4536"/>
        </w:tabs>
        <w:spacing w:after="200" w:line="276" w:lineRule="auto"/>
        <w:ind w:left="4536"/>
        <w:contextualSpacing/>
        <w:jc w:val="center"/>
        <w:rPr>
          <w:rFonts w:cs="Arial"/>
          <w:szCs w:val="20"/>
        </w:rPr>
      </w:pPr>
      <w:r w:rsidRPr="0072677C">
        <w:rPr>
          <w:rFonts w:cs="Arial"/>
          <w:szCs w:val="20"/>
        </w:rPr>
        <w:t>Vlada Republike Slovenije</w:t>
      </w:r>
    </w:p>
    <w:p w14:paraId="4F260CE0" w14:textId="6C8889F8" w:rsidR="00112FEB" w:rsidRPr="0072677C" w:rsidRDefault="00112FEB" w:rsidP="00112FEB">
      <w:pPr>
        <w:tabs>
          <w:tab w:val="left" w:pos="4536"/>
        </w:tabs>
        <w:spacing w:after="200" w:line="276" w:lineRule="auto"/>
        <w:ind w:left="4536"/>
        <w:contextualSpacing/>
        <w:jc w:val="center"/>
        <w:rPr>
          <w:rFonts w:cs="Arial"/>
          <w:szCs w:val="20"/>
        </w:rPr>
      </w:pPr>
      <w:r w:rsidRPr="0072677C">
        <w:rPr>
          <w:rFonts w:cs="Arial"/>
          <w:szCs w:val="20"/>
        </w:rPr>
        <w:t>Janez Janša</w:t>
      </w:r>
    </w:p>
    <w:p w14:paraId="01C8D994" w14:textId="77777777" w:rsidR="00112FEB" w:rsidRPr="0072677C" w:rsidRDefault="00112FEB" w:rsidP="00112FEB">
      <w:pPr>
        <w:tabs>
          <w:tab w:val="left" w:pos="4536"/>
        </w:tabs>
        <w:spacing w:after="200" w:line="276" w:lineRule="auto"/>
        <w:ind w:left="4536"/>
        <w:contextualSpacing/>
        <w:jc w:val="center"/>
        <w:rPr>
          <w:rFonts w:eastAsiaTheme="minorHAnsi" w:cs="Arial"/>
          <w:szCs w:val="20"/>
        </w:rPr>
      </w:pPr>
      <w:r w:rsidRPr="0072677C">
        <w:rPr>
          <w:rFonts w:cs="Arial"/>
          <w:szCs w:val="20"/>
        </w:rPr>
        <w:t>predsednik</w:t>
      </w:r>
    </w:p>
    <w:p w14:paraId="08BC0E92" w14:textId="3187BB86" w:rsidR="008E0BFB" w:rsidRPr="0072677C" w:rsidRDefault="008E0BFB" w:rsidP="00224858">
      <w:pPr>
        <w:spacing w:after="200" w:line="276" w:lineRule="auto"/>
        <w:rPr>
          <w:rFonts w:cs="Arial"/>
          <w:szCs w:val="20"/>
        </w:rPr>
      </w:pPr>
    </w:p>
    <w:p w14:paraId="26FB02D0" w14:textId="7D615309" w:rsidR="00112FEB" w:rsidRPr="0072677C" w:rsidRDefault="00552A40" w:rsidP="00224858">
      <w:pPr>
        <w:spacing w:after="200" w:line="276" w:lineRule="auto"/>
        <w:rPr>
          <w:rFonts w:cs="Arial"/>
          <w:szCs w:val="20"/>
        </w:rPr>
      </w:pPr>
      <w:r w:rsidRPr="0072677C">
        <w:rPr>
          <w:rFonts w:cs="Arial"/>
          <w:szCs w:val="20"/>
        </w:rPr>
        <w:lastRenderedPageBreak/>
        <w:t>Priloga</w:t>
      </w:r>
    </w:p>
    <w:p w14:paraId="6E1A55A1" w14:textId="77777777" w:rsidR="00552A40" w:rsidRPr="0072677C" w:rsidRDefault="00552A40" w:rsidP="00552A40">
      <w:pPr>
        <w:spacing w:after="200" w:line="276" w:lineRule="auto"/>
        <w:jc w:val="center"/>
        <w:rPr>
          <w:rFonts w:cs="Arial"/>
          <w:szCs w:val="20"/>
        </w:rPr>
      </w:pPr>
      <w:r w:rsidRPr="0072677C">
        <w:rPr>
          <w:rFonts w:cs="Arial"/>
          <w:szCs w:val="20"/>
        </w:rPr>
        <w:t>»Priloga 2</w:t>
      </w:r>
    </w:p>
    <w:p w14:paraId="0353FC3A" w14:textId="77777777" w:rsidR="00552A40" w:rsidRPr="0072677C" w:rsidRDefault="00552A40" w:rsidP="00552A40">
      <w:pPr>
        <w:spacing w:after="200" w:line="276" w:lineRule="auto"/>
        <w:jc w:val="center"/>
        <w:rPr>
          <w:rFonts w:cs="Arial"/>
          <w:szCs w:val="20"/>
        </w:rPr>
      </w:pPr>
      <w:r w:rsidRPr="0072677C">
        <w:rPr>
          <w:rFonts w:cs="Arial"/>
          <w:szCs w:val="20"/>
        </w:rPr>
        <w:t>SKUPNE METODE OCENJEVANJA HRUPA</w:t>
      </w:r>
    </w:p>
    <w:p w14:paraId="47FFDE90" w14:textId="749D2E4D" w:rsidR="00552A40" w:rsidRPr="0072677C" w:rsidRDefault="00552A40" w:rsidP="00552A40">
      <w:pPr>
        <w:spacing w:after="200" w:line="276" w:lineRule="auto"/>
        <w:rPr>
          <w:rFonts w:cs="Arial"/>
          <w:szCs w:val="20"/>
        </w:rPr>
      </w:pPr>
      <w:r w:rsidRPr="0072677C">
        <w:rPr>
          <w:rFonts w:cs="Arial"/>
          <w:szCs w:val="20"/>
        </w:rPr>
        <w:t>Metode za ocenjevanje so določene v Prilogi Direktive Komisije (EU) 2015/996 z dne 19. maja 2015 o določitvi skupnih metod ocenjevanja hrupa v skladu z Direktivo 2002/49/ES Evropskega parlamenta in Sveta (UL L št. 168 z dne 1. 7. 2015, str. 1)</w:t>
      </w:r>
      <w:r w:rsidR="008D5E9B" w:rsidRPr="0072677C">
        <w:rPr>
          <w:rFonts w:cs="Arial"/>
          <w:szCs w:val="20"/>
        </w:rPr>
        <w:t xml:space="preserve"> spremenjene s Prilogo Delegirane direktive Komisije (EU) 2021/1226 z dne 21. decembra 2020 </w:t>
      </w:r>
      <w:r w:rsidR="008D5E9B" w:rsidRPr="0072677C">
        <w:rPr>
          <w:rFonts w:cs="Arial"/>
          <w:szCs w:val="20"/>
          <w:shd w:val="clear" w:color="auto" w:fill="FFFFFF"/>
        </w:rPr>
        <w:t>o spremembi Priloge II k Direktivi 2002/49/ES Evropskega parlamenta in Sveta glede skupnih metod ocenjevanja hrupa zaradi prilagoditve znanstvenemu in tehničnemu napredku (UL L 269 z dne 28. 7. 2021 str. 65)</w:t>
      </w:r>
      <w:r w:rsidRPr="0072677C">
        <w:rPr>
          <w:rFonts w:cs="Arial"/>
          <w:szCs w:val="20"/>
        </w:rPr>
        <w:t>«.</w:t>
      </w:r>
    </w:p>
    <w:p w14:paraId="071EAC82" w14:textId="77777777" w:rsidR="00552A40" w:rsidRPr="0072677C" w:rsidRDefault="00552A40" w:rsidP="00224858">
      <w:pPr>
        <w:spacing w:after="200" w:line="276" w:lineRule="auto"/>
        <w:rPr>
          <w:rFonts w:cs="Arial"/>
          <w:szCs w:val="20"/>
        </w:rPr>
      </w:pPr>
    </w:p>
    <w:p w14:paraId="7828ECF8" w14:textId="05B841AC" w:rsidR="00224858" w:rsidRPr="0072677C" w:rsidRDefault="00224858" w:rsidP="00224858">
      <w:pPr>
        <w:spacing w:after="200" w:line="276" w:lineRule="auto"/>
        <w:rPr>
          <w:rFonts w:cs="Arial"/>
          <w:szCs w:val="20"/>
        </w:rPr>
      </w:pPr>
      <w:r w:rsidRPr="0072677C">
        <w:rPr>
          <w:rFonts w:cs="Arial"/>
          <w:szCs w:val="20"/>
        </w:rPr>
        <w:t xml:space="preserve">»Priloga </w:t>
      </w:r>
      <w:r w:rsidR="003B3B9F" w:rsidRPr="0072677C">
        <w:rPr>
          <w:rFonts w:cs="Arial"/>
          <w:szCs w:val="20"/>
        </w:rPr>
        <w:t>3</w:t>
      </w:r>
    </w:p>
    <w:p w14:paraId="618CB722" w14:textId="4FA25ACF" w:rsidR="00597A4F" w:rsidRPr="0072677C" w:rsidRDefault="00597A4F" w:rsidP="00597A4F">
      <w:pPr>
        <w:shd w:val="clear" w:color="auto" w:fill="FFFFFF"/>
        <w:spacing w:before="240" w:after="120" w:line="312" w:lineRule="atLeast"/>
        <w:jc w:val="left"/>
        <w:rPr>
          <w:rFonts w:cs="Arial"/>
          <w:szCs w:val="20"/>
        </w:rPr>
      </w:pPr>
      <w:r w:rsidRPr="0072677C">
        <w:rPr>
          <w:rFonts w:cs="Arial"/>
          <w:szCs w:val="20"/>
        </w:rPr>
        <w:t>METODE OCENJEVANJA ŠKODLJIVIH UČINKOV</w:t>
      </w:r>
    </w:p>
    <w:p w14:paraId="4B37C7D1" w14:textId="25F581F7" w:rsidR="00D1587C" w:rsidRDefault="00D1587C" w:rsidP="00D1587C">
      <w:pPr>
        <w:shd w:val="clear" w:color="auto" w:fill="FFFFFF"/>
        <w:spacing w:before="240" w:after="120" w:line="240" w:lineRule="atLeast"/>
        <w:rPr>
          <w:rFonts w:cs="Arial"/>
          <w:szCs w:val="20"/>
        </w:rPr>
      </w:pPr>
      <w:r w:rsidRPr="000F5909">
        <w:rPr>
          <w:rFonts w:cs="Arial"/>
          <w:szCs w:val="20"/>
        </w:rPr>
        <w:t>1. Niz škodljivih učinkov</w:t>
      </w:r>
    </w:p>
    <w:p w14:paraId="5687B2ED" w14:textId="77777777" w:rsidR="000F5909" w:rsidRPr="000F5909" w:rsidRDefault="000F5909" w:rsidP="000F5909">
      <w:pPr>
        <w:shd w:val="clear" w:color="auto" w:fill="FFFFFF"/>
        <w:spacing w:line="240" w:lineRule="auto"/>
        <w:rPr>
          <w:rFonts w:cs="Arial"/>
          <w:szCs w:val="20"/>
        </w:rPr>
      </w:pPr>
    </w:p>
    <w:p w14:paraId="35F977BD" w14:textId="77777777" w:rsidR="00D1587C" w:rsidRPr="0072677C" w:rsidRDefault="00D1587C" w:rsidP="00D1587C">
      <w:pPr>
        <w:shd w:val="clear" w:color="auto" w:fill="FFFFFF"/>
        <w:spacing w:before="120" w:line="240" w:lineRule="atLeast"/>
        <w:rPr>
          <w:rFonts w:cs="Arial"/>
          <w:szCs w:val="20"/>
        </w:rPr>
      </w:pPr>
      <w:r w:rsidRPr="0072677C">
        <w:rPr>
          <w:rFonts w:cs="Arial"/>
          <w:szCs w:val="20"/>
        </w:rPr>
        <w:t>Pri oceni škodljivih učinkov se upošteva naslednje:</w:t>
      </w:r>
    </w:p>
    <w:p w14:paraId="3E736D32"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ishemične bolezni srca (IHD), ki ustrezajo oznakam BA40 do BA6Z mednarodne klasifikacije ICD-11, ki jo je določila Svetovna zdravstvena organizacija,</w:t>
      </w:r>
    </w:p>
    <w:p w14:paraId="6D30E157"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velika motnja (HA),</w:t>
      </w:r>
    </w:p>
    <w:p w14:paraId="0741C011"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velika motnja spanca (HSD).</w:t>
      </w:r>
    </w:p>
    <w:p w14:paraId="00721097" w14:textId="77777777" w:rsidR="00D1587C" w:rsidRPr="000F5909" w:rsidRDefault="00D1587C" w:rsidP="00D1587C">
      <w:pPr>
        <w:shd w:val="clear" w:color="auto" w:fill="FFFFFF"/>
        <w:spacing w:before="240" w:after="120" w:line="240" w:lineRule="atLeast"/>
        <w:rPr>
          <w:rFonts w:cs="Arial"/>
          <w:szCs w:val="20"/>
        </w:rPr>
      </w:pPr>
      <w:r w:rsidRPr="000F5909">
        <w:rPr>
          <w:rFonts w:cs="Arial"/>
          <w:szCs w:val="20"/>
        </w:rPr>
        <w:t>2. Izračun škodljivih učinkov</w:t>
      </w:r>
    </w:p>
    <w:p w14:paraId="32F31E1D" w14:textId="77777777" w:rsidR="00D1587C" w:rsidRPr="0072677C" w:rsidRDefault="00D1587C" w:rsidP="00D1587C">
      <w:pPr>
        <w:shd w:val="clear" w:color="auto" w:fill="FFFFFF"/>
        <w:spacing w:before="120" w:line="240" w:lineRule="atLeast"/>
        <w:rPr>
          <w:rFonts w:cs="Arial"/>
          <w:szCs w:val="20"/>
        </w:rPr>
      </w:pPr>
      <w:r w:rsidRPr="0072677C">
        <w:rPr>
          <w:rFonts w:cs="Arial"/>
          <w:szCs w:val="20"/>
        </w:rPr>
        <w:t>Škodljivi učinki se izračunajo na enega od naslednjih načinov:</w:t>
      </w:r>
    </w:p>
    <w:p w14:paraId="33D70D49" w14:textId="6DBB7DE6" w:rsidR="00D1587C" w:rsidRPr="0072677C" w:rsidRDefault="00D1587C" w:rsidP="00D1587C">
      <w:pPr>
        <w:spacing w:before="120" w:line="240" w:lineRule="atLeast"/>
        <w:rPr>
          <w:rFonts w:cs="Arial"/>
          <w:szCs w:val="20"/>
        </w:rPr>
      </w:pPr>
      <w:r w:rsidRPr="0072677C">
        <w:rPr>
          <w:rFonts w:cs="Arial"/>
          <w:szCs w:val="20"/>
        </w:rPr>
        <w:t>- relativno tveganje (</w:t>
      </w:r>
      <w:r w:rsidRPr="0072677C">
        <w:rPr>
          <w:rFonts w:cs="Arial"/>
          <w:i/>
          <w:iCs/>
          <w:szCs w:val="20"/>
        </w:rPr>
        <w:t>RR</w:t>
      </w:r>
      <w:r w:rsidRPr="0072677C">
        <w:rPr>
          <w:rFonts w:cs="Arial"/>
          <w:szCs w:val="20"/>
        </w:rPr>
        <w:t>) škodljivega učinka, opredeljeno kot</w:t>
      </w:r>
    </w:p>
    <w:p w14:paraId="4CD9C9C1" w14:textId="77777777" w:rsidR="00D1587C" w:rsidRPr="0072677C" w:rsidRDefault="00D1587C" w:rsidP="000F5909">
      <w:pPr>
        <w:shd w:val="clear" w:color="auto" w:fill="FFFFFF"/>
        <w:spacing w:line="240" w:lineRule="auto"/>
        <w:rPr>
          <w:rFonts w:cs="Arial"/>
          <w:szCs w:val="20"/>
        </w:rPr>
      </w:pPr>
    </w:p>
    <w:p w14:paraId="32A5D5B9" w14:textId="77777777" w:rsidR="00D1587C" w:rsidRPr="0072677C" w:rsidRDefault="00D1587C" w:rsidP="00D1587C">
      <w:pPr>
        <w:shd w:val="clear" w:color="auto" w:fill="FFFFFF"/>
        <w:spacing w:before="120" w:line="312" w:lineRule="atLeast"/>
        <w:rPr>
          <w:rFonts w:ascii="Times New Roman" w:hAnsi="Times New Roman"/>
        </w:rPr>
      </w:pPr>
      <m:oMathPara>
        <m:oMath>
          <m:r>
            <w:rPr>
              <w:rFonts w:ascii="Cambria Math" w:hAnsi="Cambria Math"/>
            </w:rPr>
            <m:t>RR=</m:t>
          </m:r>
          <m:d>
            <m:dPr>
              <m:ctrlPr>
                <w:rPr>
                  <w:rFonts w:ascii="Cambria Math" w:hAnsi="Cambria Math"/>
                  <w:i/>
                </w:rPr>
              </m:ctrlPr>
            </m:dPr>
            <m:e>
              <m:f>
                <m:fPr>
                  <m:ctrlPr>
                    <w:rPr>
                      <w:rFonts w:ascii="Cambria Math" w:hAnsi="Cambria Math"/>
                      <w:i/>
                    </w:rPr>
                  </m:ctrlPr>
                </m:fPr>
                <m:num>
                  <m:eqArr>
                    <m:eqArrPr>
                      <m:ctrlPr>
                        <w:rPr>
                          <w:rFonts w:ascii="Cambria Math" w:hAnsi="Cambria Math"/>
                          <w:i/>
                        </w:rPr>
                      </m:ctrlPr>
                    </m:eqArrPr>
                    <m:e>
                      <m:r>
                        <w:rPr>
                          <w:rFonts w:ascii="Cambria Math" w:hAnsi="Cambria Math"/>
                        </w:rPr>
                        <m:t xml:space="preserve">Verjetnost pojava škodljivega učinka v populaciji, </m:t>
                      </m:r>
                    </m:e>
                    <m:e>
                      <m:r>
                        <w:rPr>
                          <w:rFonts w:ascii="Cambria Math" w:hAnsi="Cambria Math"/>
                        </w:rPr>
                        <m:t>ki je izpostavljena določeni ravni hrupa v okolju</m:t>
                      </m:r>
                    </m:e>
                  </m:eqArr>
                </m:num>
                <m:den>
                  <m:eqArr>
                    <m:eqArrPr>
                      <m:ctrlPr>
                        <w:rPr>
                          <w:rFonts w:ascii="Cambria Math" w:hAnsi="Cambria Math"/>
                          <w:i/>
                        </w:rPr>
                      </m:ctrlPr>
                    </m:eqArrPr>
                    <m:e>
                      <m:r>
                        <w:rPr>
                          <w:rFonts w:ascii="Cambria Math" w:hAnsi="Cambria Math"/>
                        </w:rPr>
                        <m:t xml:space="preserve">Verjetnost pojava škodljivega učinka v populaciji, </m:t>
                      </m:r>
                    </m:e>
                    <m:e>
                      <m:r>
                        <w:rPr>
                          <w:rFonts w:ascii="Cambria Math" w:hAnsi="Cambria Math"/>
                        </w:rPr>
                        <m:t xml:space="preserve">ki </m:t>
                      </m:r>
                      <m:r>
                        <m:rPr>
                          <m:sty m:val="bi"/>
                        </m:rPr>
                        <w:rPr>
                          <w:rFonts w:ascii="Cambria Math" w:hAnsi="Cambria Math"/>
                        </w:rPr>
                        <m:t>ni</m:t>
                      </m:r>
                      <m:r>
                        <w:rPr>
                          <w:rFonts w:ascii="Cambria Math" w:hAnsi="Cambria Math"/>
                        </w:rPr>
                        <m:t xml:space="preserve"> izpostavljena hrupu v okolju</m:t>
                      </m:r>
                    </m:e>
                  </m:eqArr>
                </m:den>
              </m:f>
            </m:e>
          </m:d>
        </m:oMath>
      </m:oMathPara>
    </w:p>
    <w:p w14:paraId="5251C23B" w14:textId="77777777" w:rsidR="000F5909" w:rsidRDefault="000F5909" w:rsidP="000F5909">
      <w:pPr>
        <w:shd w:val="clear" w:color="auto" w:fill="FFFFFF"/>
        <w:spacing w:line="240" w:lineRule="auto"/>
        <w:rPr>
          <w:rFonts w:cs="Arial"/>
          <w:szCs w:val="20"/>
        </w:rPr>
      </w:pPr>
    </w:p>
    <w:p w14:paraId="1F04D986" w14:textId="440D6E6A" w:rsidR="00D1587C" w:rsidRPr="0072677C" w:rsidRDefault="00D1587C" w:rsidP="00D1587C">
      <w:pPr>
        <w:spacing w:before="120" w:line="240" w:lineRule="atLeast"/>
        <w:rPr>
          <w:rFonts w:cs="Arial"/>
          <w:szCs w:val="20"/>
        </w:rPr>
      </w:pPr>
      <w:r w:rsidRPr="0072677C">
        <w:rPr>
          <w:rFonts w:cs="Arial"/>
          <w:szCs w:val="20"/>
        </w:rPr>
        <w:t xml:space="preserve">- absolutno tveganje </w:t>
      </w:r>
      <w:r w:rsidRPr="0002198D">
        <w:rPr>
          <w:rFonts w:cs="Arial"/>
          <w:szCs w:val="20"/>
        </w:rPr>
        <w:t>(AR)</w:t>
      </w:r>
      <w:r w:rsidRPr="0072677C">
        <w:rPr>
          <w:rFonts w:cs="Arial"/>
          <w:szCs w:val="20"/>
        </w:rPr>
        <w:t xml:space="preserve"> škodljivega učinka, opredeljeno kot</w:t>
      </w:r>
    </w:p>
    <w:p w14:paraId="1819AFD1" w14:textId="77777777" w:rsidR="00D1587C" w:rsidRPr="0072677C" w:rsidRDefault="00D1587C" w:rsidP="000F5909">
      <w:pPr>
        <w:shd w:val="clear" w:color="auto" w:fill="FFFFFF"/>
        <w:spacing w:line="240" w:lineRule="auto"/>
        <w:rPr>
          <w:rFonts w:cs="Arial"/>
          <w:szCs w:val="20"/>
        </w:rPr>
      </w:pPr>
    </w:p>
    <w:p w14:paraId="764C780D" w14:textId="77777777" w:rsidR="00D1587C" w:rsidRPr="0072677C" w:rsidRDefault="00D1587C" w:rsidP="00D1587C">
      <w:pPr>
        <w:shd w:val="clear" w:color="auto" w:fill="FFFFFF"/>
        <w:spacing w:before="120" w:line="312" w:lineRule="atLeast"/>
        <w:rPr>
          <w:rFonts w:ascii="Times New Roman" w:hAnsi="Times New Roman"/>
          <w:sz w:val="27"/>
          <w:szCs w:val="27"/>
        </w:rPr>
      </w:pPr>
      <m:oMathPara>
        <m:oMath>
          <m:r>
            <w:rPr>
              <w:rFonts w:ascii="Cambria Math" w:hAnsi="Cambria Math"/>
            </w:rPr>
            <m:t>AR=</m:t>
          </m:r>
          <m:d>
            <m:dPr>
              <m:ctrlPr>
                <w:rPr>
                  <w:rFonts w:ascii="Cambria Math" w:hAnsi="Cambria Math"/>
                  <w:i/>
                </w:rPr>
              </m:ctrlPr>
            </m:dPr>
            <m:e>
              <m:eqArr>
                <m:eqArrPr>
                  <m:ctrlPr>
                    <w:rPr>
                      <w:rFonts w:ascii="Cambria Math" w:hAnsi="Cambria Math"/>
                      <w:i/>
                    </w:rPr>
                  </m:ctrlPr>
                </m:eqArrPr>
                <m:e>
                  <m:r>
                    <w:rPr>
                      <w:rFonts w:ascii="Cambria Math" w:hAnsi="Cambria Math"/>
                    </w:rPr>
                    <m:t xml:space="preserve">Pojav škodljivega učinka v populaciji, </m:t>
                  </m:r>
                </m:e>
                <m:e>
                  <m:r>
                    <w:rPr>
                      <w:rFonts w:ascii="Cambria Math" w:hAnsi="Cambria Math"/>
                    </w:rPr>
                    <m:t xml:space="preserve">ki je izpostavljena </m:t>
                  </m:r>
                  <m:ctrlPr>
                    <w:rPr>
                      <w:rFonts w:ascii="Cambria Math" w:eastAsia="Cambria Math" w:hAnsi="Cambria Math" w:cs="Cambria Math"/>
                      <w:i/>
                    </w:rPr>
                  </m:ctrlPr>
                </m:e>
                <m:e>
                  <m:r>
                    <w:rPr>
                      <w:rFonts w:ascii="Cambria Math" w:hAnsi="Cambria Math"/>
                    </w:rPr>
                    <m:t>določeni ravni hrupa v okolju</m:t>
                  </m:r>
                </m:e>
              </m:eqArr>
            </m:e>
          </m:d>
        </m:oMath>
      </m:oMathPara>
    </w:p>
    <w:p w14:paraId="2622665C" w14:textId="77777777" w:rsidR="000F5909" w:rsidRDefault="000F5909" w:rsidP="000F5909">
      <w:pPr>
        <w:shd w:val="clear" w:color="auto" w:fill="FFFFFF"/>
        <w:spacing w:line="240" w:lineRule="auto"/>
        <w:rPr>
          <w:rFonts w:cs="Arial"/>
          <w:szCs w:val="20"/>
        </w:rPr>
      </w:pPr>
    </w:p>
    <w:p w14:paraId="6EA68FDE" w14:textId="64CABE44" w:rsidR="00D1587C" w:rsidRPr="000F5909" w:rsidRDefault="00D1587C" w:rsidP="00D1587C">
      <w:pPr>
        <w:shd w:val="clear" w:color="auto" w:fill="FFFFFF"/>
        <w:spacing w:before="240" w:after="120" w:line="240" w:lineRule="atLeast"/>
        <w:rPr>
          <w:rFonts w:cs="Arial"/>
          <w:szCs w:val="20"/>
        </w:rPr>
      </w:pPr>
      <w:r w:rsidRPr="000F5909">
        <w:rPr>
          <w:rFonts w:cs="Arial"/>
          <w:szCs w:val="20"/>
        </w:rPr>
        <w:t>2.1</w:t>
      </w:r>
      <w:r w:rsidR="0002198D">
        <w:rPr>
          <w:rFonts w:cs="Arial"/>
          <w:szCs w:val="20"/>
        </w:rPr>
        <w:t> </w:t>
      </w:r>
      <w:r w:rsidRPr="000F5909">
        <w:rPr>
          <w:rFonts w:cs="Arial"/>
          <w:szCs w:val="20"/>
        </w:rPr>
        <w:t>Ishemične bolezni srca</w:t>
      </w:r>
      <w:r w:rsidR="0002198D">
        <w:rPr>
          <w:rFonts w:cs="Arial"/>
          <w:szCs w:val="20"/>
        </w:rPr>
        <w:t xml:space="preserve"> </w:t>
      </w:r>
      <w:r w:rsidRPr="000F5909">
        <w:rPr>
          <w:rFonts w:cs="Arial"/>
          <w:szCs w:val="20"/>
        </w:rPr>
        <w:t>(IHD)</w:t>
      </w:r>
    </w:p>
    <w:p w14:paraId="06EA2F50" w14:textId="77777777" w:rsidR="00D1587C" w:rsidRPr="0072677C" w:rsidRDefault="00D1587C" w:rsidP="00D1587C">
      <w:pPr>
        <w:shd w:val="clear" w:color="auto" w:fill="FFFFFF"/>
        <w:spacing w:before="120" w:line="240" w:lineRule="atLeast"/>
        <w:rPr>
          <w:rFonts w:cs="Arial"/>
          <w:szCs w:val="20"/>
        </w:rPr>
      </w:pPr>
      <w:r w:rsidRPr="0072677C">
        <w:rPr>
          <w:rFonts w:cs="Arial"/>
          <w:szCs w:val="20"/>
        </w:rPr>
        <w:t xml:space="preserve">Za izračun </w:t>
      </w:r>
      <w:r w:rsidRPr="0002198D">
        <w:rPr>
          <w:rFonts w:cs="Arial"/>
          <w:szCs w:val="20"/>
        </w:rPr>
        <w:t>RR</w:t>
      </w:r>
      <w:r w:rsidRPr="0072677C">
        <w:rPr>
          <w:rFonts w:cs="Arial"/>
          <w:szCs w:val="20"/>
        </w:rPr>
        <w:t xml:space="preserve"> se v zvezi s škodljivim učinkom IHD in stopnjo pojavnosti (i) uporabijo naslednja razmerja med odmerkom in učinkom:</w:t>
      </w:r>
    </w:p>
    <w:p w14:paraId="6125C6AF" w14:textId="77777777" w:rsidR="00D1587C" w:rsidRPr="0072677C" w:rsidRDefault="00D1587C" w:rsidP="000F5909">
      <w:pPr>
        <w:shd w:val="clear" w:color="auto" w:fill="FFFFFF"/>
        <w:spacing w:line="240" w:lineRule="auto"/>
        <w:rPr>
          <w:rFonts w:cs="Arial"/>
          <w:szCs w:val="20"/>
        </w:rPr>
      </w:pPr>
    </w:p>
    <w:p w14:paraId="69F105D0" w14:textId="77777777" w:rsidR="00D1587C" w:rsidRPr="0072677C" w:rsidRDefault="00FC5D3B" w:rsidP="00D1587C">
      <w:pPr>
        <w:spacing w:before="120" w:line="240" w:lineRule="atLeast"/>
        <w:rPr>
          <w:rFonts w:cs="Arial"/>
          <w:b/>
          <w:bCs/>
          <w:szCs w:val="20"/>
        </w:rPr>
      </w:pPr>
      <m:oMathPara>
        <m:oMath>
          <m:sSub>
            <m:sSubPr>
              <m:ctrlPr>
                <w:rPr>
                  <w:rFonts w:ascii="Cambria Math" w:hAnsi="Cambria Math"/>
                  <w:i/>
                </w:rPr>
              </m:ctrlPr>
            </m:sSubPr>
            <m:e>
              <m:r>
                <w:rPr>
                  <w:rFonts w:ascii="Cambria Math" w:hAnsi="Cambria Math"/>
                </w:rPr>
                <m:t>RR</m:t>
              </m:r>
            </m:e>
            <m:sub>
              <m:r>
                <w:rPr>
                  <w:rFonts w:ascii="Cambria Math" w:hAnsi="Cambria Math"/>
                </w:rPr>
                <m:t>IHD,i, ceste</m:t>
              </m:r>
            </m:sub>
          </m:sSub>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sSup>
                      <m:sSupPr>
                        <m:ctrlPr>
                          <w:rPr>
                            <w:rFonts w:ascii="Cambria Math" w:hAnsi="Cambria Math"/>
                            <w:i/>
                          </w:rPr>
                        </m:ctrlPr>
                      </m:sSupPr>
                      <m:e>
                        <m:r>
                          <w:rPr>
                            <w:rFonts w:ascii="Cambria Math" w:hAnsi="Cambria Math"/>
                          </w:rPr>
                          <m:t>e</m:t>
                        </m:r>
                      </m:e>
                      <m:sup>
                        <m:d>
                          <m:dPr>
                            <m:begChr m:val="["/>
                            <m:endChr m:val="]"/>
                            <m:ctrlPr>
                              <w:rPr>
                                <w:rFonts w:ascii="Cambria Math" w:hAnsi="Cambria Math"/>
                                <w:i/>
                              </w:rPr>
                            </m:ctrlPr>
                          </m:dPr>
                          <m:e>
                            <m:d>
                              <m:dPr>
                                <m:ctrlPr>
                                  <w:rPr>
                                    <w:rFonts w:ascii="Cambria Math" w:hAnsi="Cambria Math"/>
                                    <w:i/>
                                  </w:rPr>
                                </m:ctrlPr>
                              </m:dPr>
                              <m:e>
                                <m:f>
                                  <m:fPr>
                                    <m:type m:val="skw"/>
                                    <m:ctrlPr>
                                      <w:rPr>
                                        <w:rFonts w:ascii="Cambria Math" w:hAnsi="Cambria Math"/>
                                        <w:i/>
                                      </w:rPr>
                                    </m:ctrlPr>
                                  </m:fPr>
                                  <m:num>
                                    <m:r>
                                      <w:rPr>
                                        <w:rFonts w:ascii="Cambria Math" w:hAnsi="Cambria Math"/>
                                      </w:rPr>
                                      <m:t>ln</m:t>
                                    </m:r>
                                    <m:d>
                                      <m:dPr>
                                        <m:ctrlPr>
                                          <w:rPr>
                                            <w:rFonts w:ascii="Cambria Math" w:hAnsi="Cambria Math"/>
                                            <w:i/>
                                          </w:rPr>
                                        </m:ctrlPr>
                                      </m:dPr>
                                      <m:e>
                                        <m:r>
                                          <w:rPr>
                                            <w:rFonts w:ascii="Cambria Math" w:hAnsi="Cambria Math"/>
                                          </w:rPr>
                                          <m:t>1,08</m:t>
                                        </m:r>
                                      </m:e>
                                    </m:d>
                                  </m:num>
                                  <m:den>
                                    <m:r>
                                      <w:rPr>
                                        <w:rFonts w:ascii="Cambria Math" w:hAnsi="Cambria Math"/>
                                      </w:rPr>
                                      <m:t>10</m:t>
                                    </m:r>
                                  </m:den>
                                </m:f>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DVN</m:t>
                                    </m:r>
                                  </m:sub>
                                </m:sSub>
                                <m:r>
                                  <w:rPr>
                                    <w:rFonts w:ascii="Cambria Math" w:hAnsi="Cambria Math"/>
                                  </w:rPr>
                                  <m:t>-53</m:t>
                                </m:r>
                              </m:e>
                            </m:d>
                          </m:e>
                        </m:d>
                      </m:sup>
                    </m:sSup>
                  </m:e>
                  <m:e>
                    <m:r>
                      <m:rPr>
                        <m:sty m:val="p"/>
                      </m:rPr>
                      <w:rPr>
                        <w:rFonts w:ascii="Cambria Math" w:hAnsi="Cambria Math"/>
                      </w:rPr>
                      <m:t xml:space="preserve">za </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DVN</m:t>
                        </m:r>
                      </m:sub>
                    </m:sSub>
                    <m:r>
                      <m:rPr>
                        <m:sty m:val="p"/>
                      </m:rPr>
                      <w:rPr>
                        <w:rFonts w:ascii="Cambria Math" w:hAnsi="Cambria Math"/>
                      </w:rPr>
                      <m:t xml:space="preserve"> večji kot 53 dB</m:t>
                    </m:r>
                  </m:e>
                </m:mr>
                <m:mr>
                  <m:e>
                    <m:r>
                      <w:rPr>
                        <w:rFonts w:ascii="Cambria Math" w:hAnsi="Cambria Math"/>
                      </w:rPr>
                      <m:t>1</m:t>
                    </m:r>
                  </m:e>
                  <m:e>
                    <m:r>
                      <m:rPr>
                        <m:sty m:val="p"/>
                      </m:rPr>
                      <w:rPr>
                        <w:rFonts w:ascii="Cambria Math" w:hAnsi="Cambria Math"/>
                      </w:rPr>
                      <m:t xml:space="preserve">za </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DVN</m:t>
                        </m:r>
                      </m:sub>
                    </m:sSub>
                    <m:r>
                      <m:rPr>
                        <m:sty m:val="p"/>
                      </m:rPr>
                      <w:rPr>
                        <w:rFonts w:ascii="Cambria Math" w:hAnsi="Cambria Math"/>
                      </w:rPr>
                      <m:t xml:space="preserve"> manjši ali enak 53 dB</m:t>
                    </m:r>
                  </m:e>
                </m:mr>
              </m:m>
            </m:e>
          </m:d>
        </m:oMath>
      </m:oMathPara>
    </w:p>
    <w:p w14:paraId="0BF9BC69" w14:textId="77777777" w:rsidR="000F5909" w:rsidRDefault="000F5909" w:rsidP="000F5909">
      <w:pPr>
        <w:shd w:val="clear" w:color="auto" w:fill="FFFFFF"/>
        <w:spacing w:line="240" w:lineRule="auto"/>
        <w:rPr>
          <w:rFonts w:cs="Arial"/>
          <w:szCs w:val="20"/>
        </w:rPr>
      </w:pPr>
    </w:p>
    <w:p w14:paraId="5E78D95C" w14:textId="4D1078DE" w:rsidR="00D1587C" w:rsidRPr="0072677C" w:rsidRDefault="00D1587C" w:rsidP="00D1587C">
      <w:pPr>
        <w:shd w:val="clear" w:color="auto" w:fill="FFFFFF"/>
        <w:spacing w:before="120" w:line="240" w:lineRule="atLeast"/>
        <w:rPr>
          <w:rFonts w:cs="Arial"/>
          <w:szCs w:val="20"/>
        </w:rPr>
      </w:pPr>
      <w:r w:rsidRPr="0072677C">
        <w:rPr>
          <w:rFonts w:cs="Arial"/>
          <w:szCs w:val="20"/>
        </w:rPr>
        <w:t>za hrup cestnega prometa.</w:t>
      </w:r>
    </w:p>
    <w:p w14:paraId="0B67A8A4" w14:textId="77777777" w:rsidR="000F5909" w:rsidRDefault="000F5909" w:rsidP="000F5909">
      <w:pPr>
        <w:shd w:val="clear" w:color="auto" w:fill="FFFFFF"/>
        <w:spacing w:line="240" w:lineRule="auto"/>
        <w:rPr>
          <w:rFonts w:cs="Arial"/>
          <w:szCs w:val="20"/>
        </w:rPr>
      </w:pPr>
    </w:p>
    <w:p w14:paraId="5D378A04" w14:textId="77C63EE4" w:rsidR="00D1587C" w:rsidRPr="000F5909" w:rsidRDefault="00D1587C" w:rsidP="00D1587C">
      <w:pPr>
        <w:shd w:val="clear" w:color="auto" w:fill="FFFFFF"/>
        <w:spacing w:before="240" w:after="120" w:line="240" w:lineRule="atLeast"/>
        <w:rPr>
          <w:rFonts w:cs="Arial"/>
          <w:szCs w:val="20"/>
        </w:rPr>
      </w:pPr>
      <w:r w:rsidRPr="000F5909">
        <w:rPr>
          <w:rFonts w:cs="Arial"/>
          <w:szCs w:val="20"/>
        </w:rPr>
        <w:t>2.2 Velika motnja (HA)</w:t>
      </w:r>
    </w:p>
    <w:p w14:paraId="36B6B55D" w14:textId="431F11E3" w:rsidR="00D1587C" w:rsidRDefault="00D1587C" w:rsidP="00D1587C">
      <w:pPr>
        <w:shd w:val="clear" w:color="auto" w:fill="FFFFFF"/>
        <w:spacing w:before="120" w:line="240" w:lineRule="atLeast"/>
        <w:rPr>
          <w:rFonts w:cs="Arial"/>
          <w:szCs w:val="20"/>
        </w:rPr>
      </w:pPr>
      <w:r w:rsidRPr="0072677C">
        <w:rPr>
          <w:rFonts w:cs="Arial"/>
          <w:szCs w:val="20"/>
        </w:rPr>
        <w:t xml:space="preserve">Za izračun </w:t>
      </w:r>
      <w:r w:rsidRPr="0002198D">
        <w:rPr>
          <w:rFonts w:cs="Arial"/>
          <w:szCs w:val="20"/>
        </w:rPr>
        <w:t>AR</w:t>
      </w:r>
      <w:r w:rsidRPr="0072677C">
        <w:rPr>
          <w:rFonts w:cs="Arial"/>
          <w:szCs w:val="20"/>
        </w:rPr>
        <w:t xml:space="preserve"> se v zvezi s škodljivim učinkom HA uporabijo naslednja razmerja med odmerkom in učinkom:</w:t>
      </w:r>
    </w:p>
    <w:p w14:paraId="19FE0550" w14:textId="77777777" w:rsidR="000F5909" w:rsidRPr="0072677C" w:rsidRDefault="000F5909" w:rsidP="000F5909">
      <w:pPr>
        <w:shd w:val="clear" w:color="auto" w:fill="FFFFFF"/>
        <w:spacing w:line="240" w:lineRule="auto"/>
        <w:rPr>
          <w:rFonts w:cs="Arial"/>
          <w:szCs w:val="20"/>
        </w:rPr>
      </w:pPr>
    </w:p>
    <w:p w14:paraId="4F162CF7" w14:textId="77777777" w:rsidR="00D1587C" w:rsidRPr="0072677C" w:rsidRDefault="00FC5D3B" w:rsidP="00D1587C">
      <w:pPr>
        <w:shd w:val="clear" w:color="auto" w:fill="FFFFFF"/>
        <w:spacing w:before="120" w:line="312" w:lineRule="atLeast"/>
        <w:rPr>
          <w:rFonts w:ascii="Times New Roman" w:hAnsi="Times New Roman"/>
        </w:rPr>
      </w:pPr>
      <m:oMathPara>
        <m:oMath>
          <m:sSub>
            <m:sSubPr>
              <m:ctrlPr>
                <w:rPr>
                  <w:rFonts w:ascii="Cambria Math" w:hAnsi="Cambria Math"/>
                  <w:i/>
                </w:rPr>
              </m:ctrlPr>
            </m:sSubPr>
            <m:e>
              <m:r>
                <w:rPr>
                  <w:rFonts w:ascii="Cambria Math" w:hAnsi="Cambria Math"/>
                </w:rPr>
                <m:t>AR</m:t>
              </m:r>
            </m:e>
            <m:sub>
              <m:r>
                <w:rPr>
                  <w:rFonts w:ascii="Cambria Math" w:hAnsi="Cambria Math"/>
                </w:rPr>
                <m:t>HA, cest</m:t>
              </m:r>
            </m:sub>
          </m:sSub>
          <m:r>
            <w:rPr>
              <w:rFonts w:ascii="Cambria Math" w:hAnsi="Cambria Math"/>
            </w:rPr>
            <m:t>=</m:t>
          </m:r>
          <m:f>
            <m:fPr>
              <m:type m:val="skw"/>
              <m:ctrlPr>
                <w:rPr>
                  <w:rFonts w:ascii="Cambria Math" w:hAnsi="Cambria Math"/>
                  <w:i/>
                </w:rPr>
              </m:ctrlPr>
            </m:fPr>
            <m:num>
              <m:r>
                <w:rPr>
                  <w:rFonts w:ascii="Cambria Math" w:hAnsi="Cambria Math"/>
                </w:rPr>
                <m:t>(78,9270-3,1162∙</m:t>
              </m:r>
              <m:sSub>
                <m:sSubPr>
                  <m:ctrlPr>
                    <w:rPr>
                      <w:rFonts w:ascii="Cambria Math" w:hAnsi="Cambria Math"/>
                      <w:i/>
                    </w:rPr>
                  </m:ctrlPr>
                </m:sSubPr>
                <m:e>
                  <m:r>
                    <w:rPr>
                      <w:rFonts w:ascii="Cambria Math" w:hAnsi="Cambria Math"/>
                    </w:rPr>
                    <m:t>L</m:t>
                  </m:r>
                </m:e>
                <m:sub>
                  <m:r>
                    <w:rPr>
                      <w:rFonts w:ascii="Cambria Math" w:hAnsi="Cambria Math"/>
                    </w:rPr>
                    <m:t>DVN</m:t>
                  </m:r>
                </m:sub>
              </m:sSub>
              <m:r>
                <w:rPr>
                  <w:rFonts w:ascii="Cambria Math" w:hAnsi="Cambria Math"/>
                </w:rPr>
                <m:t>+0,0342∙</m:t>
              </m:r>
              <m:sSup>
                <m:sSupPr>
                  <m:ctrlPr>
                    <w:rPr>
                      <w:rFonts w:ascii="Cambria Math" w:hAnsi="Cambria Math"/>
                      <w:i/>
                    </w:rPr>
                  </m:ctrlPr>
                </m:sSupPr>
                <m:e>
                  <m:sSub>
                    <m:sSubPr>
                      <m:ctrlPr>
                        <w:rPr>
                          <w:rFonts w:ascii="Cambria Math" w:hAnsi="Cambria Math"/>
                          <w:i/>
                        </w:rPr>
                      </m:ctrlPr>
                    </m:sSubPr>
                    <m:e>
                      <m:r>
                        <w:rPr>
                          <w:rFonts w:ascii="Cambria Math" w:hAnsi="Cambria Math"/>
                        </w:rPr>
                        <m:t>L</m:t>
                      </m:r>
                    </m:e>
                    <m:sub>
                      <m:r>
                        <w:rPr>
                          <w:rFonts w:ascii="Cambria Math" w:hAnsi="Cambria Math"/>
                        </w:rPr>
                        <m:t>DVN</m:t>
                      </m:r>
                    </m:sub>
                  </m:sSub>
                </m:e>
                <m:sup>
                  <m:r>
                    <w:rPr>
                      <w:rFonts w:ascii="Cambria Math" w:hAnsi="Cambria Math"/>
                    </w:rPr>
                    <m:t>2</m:t>
                  </m:r>
                </m:sup>
              </m:sSup>
              <m:r>
                <w:rPr>
                  <w:rFonts w:ascii="Cambria Math" w:hAnsi="Cambria Math"/>
                </w:rPr>
                <m:t>)</m:t>
              </m:r>
            </m:num>
            <m:den>
              <m:r>
                <w:rPr>
                  <w:rFonts w:ascii="Cambria Math" w:hAnsi="Cambria Math"/>
                </w:rPr>
                <m:t>100</m:t>
              </m:r>
            </m:den>
          </m:f>
        </m:oMath>
      </m:oMathPara>
    </w:p>
    <w:p w14:paraId="707B8B87" w14:textId="77777777" w:rsidR="001347A1" w:rsidRPr="0072677C" w:rsidRDefault="001347A1" w:rsidP="000F5909">
      <w:pPr>
        <w:shd w:val="clear" w:color="auto" w:fill="FFFFFF"/>
        <w:spacing w:line="240" w:lineRule="auto"/>
        <w:rPr>
          <w:rFonts w:cs="Arial"/>
          <w:szCs w:val="20"/>
        </w:rPr>
      </w:pPr>
    </w:p>
    <w:p w14:paraId="20C7D4DA" w14:textId="36905409" w:rsidR="00D1587C" w:rsidRDefault="00D1587C" w:rsidP="001347A1">
      <w:pPr>
        <w:shd w:val="clear" w:color="auto" w:fill="FFFFFF"/>
        <w:spacing w:before="120" w:after="120" w:line="240" w:lineRule="atLeast"/>
        <w:rPr>
          <w:rFonts w:cs="Arial"/>
          <w:szCs w:val="20"/>
        </w:rPr>
      </w:pPr>
      <w:r w:rsidRPr="0072677C">
        <w:rPr>
          <w:rFonts w:cs="Arial"/>
          <w:szCs w:val="20"/>
        </w:rPr>
        <w:t>za hrup cestnega prometa;</w:t>
      </w:r>
    </w:p>
    <w:p w14:paraId="59F4B9BB" w14:textId="77777777" w:rsidR="000F5909" w:rsidRPr="0072677C" w:rsidRDefault="000F5909" w:rsidP="000F5909">
      <w:pPr>
        <w:shd w:val="clear" w:color="auto" w:fill="FFFFFF"/>
        <w:spacing w:line="240" w:lineRule="auto"/>
        <w:rPr>
          <w:rFonts w:cs="Arial"/>
          <w:szCs w:val="20"/>
        </w:rPr>
      </w:pPr>
    </w:p>
    <w:p w14:paraId="28F91B66" w14:textId="7620FD18" w:rsidR="00D1587C" w:rsidRPr="0072677C" w:rsidRDefault="00FC5D3B" w:rsidP="00D1587C">
      <w:pPr>
        <w:shd w:val="clear" w:color="auto" w:fill="FFFFFF"/>
        <w:spacing w:line="240" w:lineRule="auto"/>
        <w:rPr>
          <w:rFonts w:ascii="Times New Roman" w:hAnsi="Times New Roman"/>
        </w:rPr>
      </w:pPr>
      <m:oMathPara>
        <m:oMath>
          <m:sSub>
            <m:sSubPr>
              <m:ctrlPr>
                <w:rPr>
                  <w:rFonts w:ascii="Cambria Math" w:hAnsi="Cambria Math"/>
                  <w:i/>
                </w:rPr>
              </m:ctrlPr>
            </m:sSubPr>
            <m:e>
              <m:r>
                <w:rPr>
                  <w:rFonts w:ascii="Cambria Math" w:hAnsi="Cambria Math"/>
                </w:rPr>
                <m:t>AR</m:t>
              </m:r>
            </m:e>
            <m:sub>
              <m:r>
                <w:rPr>
                  <w:rFonts w:ascii="Cambria Math" w:hAnsi="Cambria Math"/>
                </w:rPr>
                <m:t>HA,prog</m:t>
              </m:r>
            </m:sub>
          </m:sSub>
          <m:r>
            <w:rPr>
              <w:rFonts w:ascii="Cambria Math" w:hAnsi="Cambria Math"/>
            </w:rPr>
            <m:t>=</m:t>
          </m:r>
          <m:f>
            <m:fPr>
              <m:type m:val="skw"/>
              <m:ctrlPr>
                <w:rPr>
                  <w:rFonts w:ascii="Cambria Math" w:hAnsi="Cambria Math"/>
                  <w:i/>
                </w:rPr>
              </m:ctrlPr>
            </m:fPr>
            <m:num>
              <m:r>
                <w:rPr>
                  <w:rFonts w:ascii="Cambria Math" w:hAnsi="Cambria Math"/>
                </w:rPr>
                <m:t>(38,1596-2,05538∙</m:t>
              </m:r>
              <m:sSub>
                <m:sSubPr>
                  <m:ctrlPr>
                    <w:rPr>
                      <w:rFonts w:ascii="Cambria Math" w:hAnsi="Cambria Math"/>
                      <w:i/>
                    </w:rPr>
                  </m:ctrlPr>
                </m:sSubPr>
                <m:e>
                  <m:r>
                    <w:rPr>
                      <w:rFonts w:ascii="Cambria Math" w:hAnsi="Cambria Math"/>
                    </w:rPr>
                    <m:t>L</m:t>
                  </m:r>
                </m:e>
                <m:sub>
                  <m:r>
                    <w:rPr>
                      <w:rFonts w:ascii="Cambria Math" w:hAnsi="Cambria Math"/>
                    </w:rPr>
                    <m:t>DVN</m:t>
                  </m:r>
                </m:sub>
              </m:sSub>
              <m:r>
                <w:rPr>
                  <w:rFonts w:ascii="Cambria Math" w:hAnsi="Cambria Math"/>
                </w:rPr>
                <m:t>+0,0285∙</m:t>
              </m:r>
              <m:sSup>
                <m:sSupPr>
                  <m:ctrlPr>
                    <w:rPr>
                      <w:rFonts w:ascii="Cambria Math" w:hAnsi="Cambria Math"/>
                      <w:i/>
                    </w:rPr>
                  </m:ctrlPr>
                </m:sSupPr>
                <m:e>
                  <m:sSub>
                    <m:sSubPr>
                      <m:ctrlPr>
                        <w:rPr>
                          <w:rFonts w:ascii="Cambria Math" w:hAnsi="Cambria Math"/>
                          <w:i/>
                        </w:rPr>
                      </m:ctrlPr>
                    </m:sSubPr>
                    <m:e>
                      <m:r>
                        <w:rPr>
                          <w:rFonts w:ascii="Cambria Math" w:hAnsi="Cambria Math"/>
                        </w:rPr>
                        <m:t>L</m:t>
                      </m:r>
                    </m:e>
                    <m:sub>
                      <m:r>
                        <w:rPr>
                          <w:rFonts w:ascii="Cambria Math" w:hAnsi="Cambria Math"/>
                        </w:rPr>
                        <m:t>DVN</m:t>
                      </m:r>
                    </m:sub>
                  </m:sSub>
                </m:e>
                <m:sup>
                  <m:r>
                    <w:rPr>
                      <w:rFonts w:ascii="Cambria Math" w:hAnsi="Cambria Math"/>
                    </w:rPr>
                    <m:t>2</m:t>
                  </m:r>
                </m:sup>
              </m:sSup>
              <m:r>
                <w:rPr>
                  <w:rFonts w:ascii="Cambria Math" w:hAnsi="Cambria Math"/>
                </w:rPr>
                <m:t>)</m:t>
              </m:r>
            </m:num>
            <m:den>
              <m:r>
                <w:rPr>
                  <w:rFonts w:ascii="Cambria Math" w:hAnsi="Cambria Math"/>
                </w:rPr>
                <m:t>100</m:t>
              </m:r>
            </m:den>
          </m:f>
        </m:oMath>
      </m:oMathPara>
    </w:p>
    <w:p w14:paraId="0AD82065" w14:textId="77777777" w:rsidR="001347A1" w:rsidRPr="0072677C" w:rsidRDefault="001347A1" w:rsidP="000F5909">
      <w:pPr>
        <w:shd w:val="clear" w:color="auto" w:fill="FFFFFF"/>
        <w:spacing w:line="240" w:lineRule="auto"/>
        <w:rPr>
          <w:rFonts w:cs="Arial"/>
          <w:szCs w:val="20"/>
        </w:rPr>
      </w:pPr>
    </w:p>
    <w:p w14:paraId="779CCEAD" w14:textId="1C861A52" w:rsidR="00D1587C" w:rsidRDefault="00D1587C" w:rsidP="001347A1">
      <w:pPr>
        <w:shd w:val="clear" w:color="auto" w:fill="FFFFFF"/>
        <w:spacing w:before="120" w:after="120" w:line="240" w:lineRule="atLeast"/>
        <w:rPr>
          <w:rFonts w:cs="Arial"/>
          <w:szCs w:val="20"/>
        </w:rPr>
      </w:pPr>
      <w:r w:rsidRPr="0072677C">
        <w:rPr>
          <w:rFonts w:cs="Arial"/>
          <w:szCs w:val="20"/>
        </w:rPr>
        <w:t>za hrup železniškega prometa;</w:t>
      </w:r>
    </w:p>
    <w:p w14:paraId="5FAC7808" w14:textId="77777777" w:rsidR="000F5909" w:rsidRPr="0072677C" w:rsidRDefault="000F5909" w:rsidP="000F5909">
      <w:pPr>
        <w:shd w:val="clear" w:color="auto" w:fill="FFFFFF"/>
        <w:spacing w:line="240" w:lineRule="auto"/>
        <w:rPr>
          <w:rFonts w:cs="Arial"/>
          <w:szCs w:val="20"/>
        </w:rPr>
      </w:pPr>
    </w:p>
    <w:p w14:paraId="1C392211" w14:textId="4118B347" w:rsidR="00D1587C" w:rsidRPr="0072677C" w:rsidRDefault="00FC5D3B" w:rsidP="00D1587C">
      <w:pPr>
        <w:shd w:val="clear" w:color="auto" w:fill="FFFFFF"/>
        <w:spacing w:line="240" w:lineRule="auto"/>
        <w:rPr>
          <w:rFonts w:ascii="Times New Roman" w:hAnsi="Times New Roman"/>
        </w:rPr>
      </w:pPr>
      <m:oMathPara>
        <m:oMath>
          <m:sSub>
            <m:sSubPr>
              <m:ctrlPr>
                <w:rPr>
                  <w:rFonts w:ascii="Cambria Math" w:hAnsi="Cambria Math"/>
                  <w:i/>
                </w:rPr>
              </m:ctrlPr>
            </m:sSubPr>
            <m:e>
              <m:r>
                <w:rPr>
                  <w:rFonts w:ascii="Cambria Math" w:hAnsi="Cambria Math"/>
                </w:rPr>
                <m:t>AR</m:t>
              </m:r>
            </m:e>
            <m:sub>
              <m:r>
                <w:rPr>
                  <w:rFonts w:ascii="Cambria Math" w:hAnsi="Cambria Math"/>
                </w:rPr>
                <m:t>HA,letal</m:t>
              </m:r>
            </m:sub>
          </m:sSub>
          <m:r>
            <w:rPr>
              <w:rFonts w:ascii="Cambria Math" w:hAnsi="Cambria Math"/>
            </w:rPr>
            <m:t>=</m:t>
          </m:r>
          <m:f>
            <m:fPr>
              <m:type m:val="skw"/>
              <m:ctrlPr>
                <w:rPr>
                  <w:rFonts w:ascii="Cambria Math" w:hAnsi="Cambria Math"/>
                  <w:i/>
                </w:rPr>
              </m:ctrlPr>
            </m:fPr>
            <m:num>
              <m:r>
                <w:rPr>
                  <w:rFonts w:ascii="Cambria Math" w:hAnsi="Cambria Math"/>
                </w:rPr>
                <m:t>(-50,9693+1,0168∙</m:t>
              </m:r>
              <m:sSub>
                <m:sSubPr>
                  <m:ctrlPr>
                    <w:rPr>
                      <w:rFonts w:ascii="Cambria Math" w:hAnsi="Cambria Math"/>
                      <w:i/>
                    </w:rPr>
                  </m:ctrlPr>
                </m:sSubPr>
                <m:e>
                  <m:r>
                    <w:rPr>
                      <w:rFonts w:ascii="Cambria Math" w:hAnsi="Cambria Math"/>
                    </w:rPr>
                    <m:t>L</m:t>
                  </m:r>
                </m:e>
                <m:sub>
                  <m:r>
                    <w:rPr>
                      <w:rFonts w:ascii="Cambria Math" w:hAnsi="Cambria Math"/>
                    </w:rPr>
                    <m:t>DVN</m:t>
                  </m:r>
                </m:sub>
              </m:sSub>
              <m:r>
                <w:rPr>
                  <w:rFonts w:ascii="Cambria Math" w:hAnsi="Cambria Math"/>
                </w:rPr>
                <m:t>+0,0072∙</m:t>
              </m:r>
              <m:sSup>
                <m:sSupPr>
                  <m:ctrlPr>
                    <w:rPr>
                      <w:rFonts w:ascii="Cambria Math" w:hAnsi="Cambria Math"/>
                      <w:i/>
                    </w:rPr>
                  </m:ctrlPr>
                </m:sSupPr>
                <m:e>
                  <m:sSub>
                    <m:sSubPr>
                      <m:ctrlPr>
                        <w:rPr>
                          <w:rFonts w:ascii="Cambria Math" w:hAnsi="Cambria Math"/>
                          <w:i/>
                        </w:rPr>
                      </m:ctrlPr>
                    </m:sSubPr>
                    <m:e>
                      <m:r>
                        <w:rPr>
                          <w:rFonts w:ascii="Cambria Math" w:hAnsi="Cambria Math"/>
                        </w:rPr>
                        <m:t>L</m:t>
                      </m:r>
                    </m:e>
                    <m:sub>
                      <m:r>
                        <w:rPr>
                          <w:rFonts w:ascii="Cambria Math" w:hAnsi="Cambria Math"/>
                        </w:rPr>
                        <m:t>DVN</m:t>
                      </m:r>
                    </m:sub>
                  </m:sSub>
                </m:e>
                <m:sup>
                  <m:r>
                    <w:rPr>
                      <w:rFonts w:ascii="Cambria Math" w:hAnsi="Cambria Math"/>
                    </w:rPr>
                    <m:t>2</m:t>
                  </m:r>
                </m:sup>
              </m:sSup>
              <m:r>
                <w:rPr>
                  <w:rFonts w:ascii="Cambria Math" w:hAnsi="Cambria Math"/>
                </w:rPr>
                <m:t>)</m:t>
              </m:r>
            </m:num>
            <m:den>
              <m:r>
                <w:rPr>
                  <w:rFonts w:ascii="Cambria Math" w:hAnsi="Cambria Math"/>
                </w:rPr>
                <m:t>100</m:t>
              </m:r>
            </m:den>
          </m:f>
        </m:oMath>
      </m:oMathPara>
    </w:p>
    <w:p w14:paraId="675A7325" w14:textId="77777777" w:rsidR="00CC357F" w:rsidRPr="0072677C" w:rsidRDefault="00CC357F" w:rsidP="000F5909">
      <w:pPr>
        <w:shd w:val="clear" w:color="auto" w:fill="FFFFFF"/>
        <w:spacing w:line="240" w:lineRule="auto"/>
        <w:rPr>
          <w:rFonts w:cs="Arial"/>
          <w:szCs w:val="20"/>
        </w:rPr>
      </w:pPr>
    </w:p>
    <w:p w14:paraId="56DC9DC6" w14:textId="796ECB5C" w:rsidR="00D1587C" w:rsidRDefault="00D1587C" w:rsidP="001347A1">
      <w:pPr>
        <w:shd w:val="clear" w:color="auto" w:fill="FFFFFF"/>
        <w:spacing w:before="120" w:after="120" w:line="240" w:lineRule="atLeast"/>
        <w:rPr>
          <w:rFonts w:cs="Arial"/>
          <w:szCs w:val="20"/>
        </w:rPr>
      </w:pPr>
      <w:r w:rsidRPr="0072677C">
        <w:rPr>
          <w:rFonts w:cs="Arial"/>
          <w:szCs w:val="20"/>
        </w:rPr>
        <w:t>za hrup letalskega prometa.</w:t>
      </w:r>
    </w:p>
    <w:p w14:paraId="2A7C7E5C" w14:textId="77777777" w:rsidR="000F5909" w:rsidRPr="0072677C" w:rsidRDefault="000F5909" w:rsidP="000F5909">
      <w:pPr>
        <w:shd w:val="clear" w:color="auto" w:fill="FFFFFF"/>
        <w:spacing w:line="240" w:lineRule="auto"/>
        <w:rPr>
          <w:rFonts w:cs="Arial"/>
          <w:szCs w:val="20"/>
        </w:rPr>
      </w:pPr>
    </w:p>
    <w:p w14:paraId="689D863A" w14:textId="489C6F59" w:rsidR="00D1587C" w:rsidRPr="000F5909" w:rsidRDefault="00D1587C" w:rsidP="00D1587C">
      <w:pPr>
        <w:shd w:val="clear" w:color="auto" w:fill="FFFFFF"/>
        <w:spacing w:before="240" w:after="120" w:line="240" w:lineRule="atLeast"/>
        <w:rPr>
          <w:rFonts w:cs="Arial"/>
          <w:szCs w:val="20"/>
        </w:rPr>
      </w:pPr>
      <w:r w:rsidRPr="000F5909">
        <w:rPr>
          <w:rFonts w:cs="Arial"/>
          <w:szCs w:val="20"/>
        </w:rPr>
        <w:t>2.3</w:t>
      </w:r>
      <w:r w:rsidR="0002198D">
        <w:rPr>
          <w:rFonts w:cs="Arial"/>
          <w:szCs w:val="20"/>
        </w:rPr>
        <w:t> </w:t>
      </w:r>
      <w:r w:rsidRPr="000F5909">
        <w:rPr>
          <w:rFonts w:cs="Arial"/>
          <w:szCs w:val="20"/>
        </w:rPr>
        <w:t>Velika motnja spanca</w:t>
      </w:r>
      <w:r w:rsidR="0002198D">
        <w:rPr>
          <w:rFonts w:cs="Arial"/>
          <w:szCs w:val="20"/>
        </w:rPr>
        <w:t xml:space="preserve"> </w:t>
      </w:r>
      <w:r w:rsidRPr="000F5909">
        <w:rPr>
          <w:rFonts w:cs="Arial"/>
          <w:szCs w:val="20"/>
        </w:rPr>
        <w:t>(HSD)</w:t>
      </w:r>
    </w:p>
    <w:p w14:paraId="7E333BFA" w14:textId="5A926FB8" w:rsidR="00D1587C" w:rsidRDefault="00D1587C" w:rsidP="00D1587C">
      <w:pPr>
        <w:shd w:val="clear" w:color="auto" w:fill="FFFFFF"/>
        <w:spacing w:before="120" w:line="240" w:lineRule="atLeast"/>
        <w:rPr>
          <w:rFonts w:cs="Arial"/>
          <w:szCs w:val="20"/>
        </w:rPr>
      </w:pPr>
      <w:r w:rsidRPr="0072677C">
        <w:rPr>
          <w:rFonts w:cs="Arial"/>
          <w:szCs w:val="20"/>
        </w:rPr>
        <w:t xml:space="preserve">Za izračun </w:t>
      </w:r>
      <w:r w:rsidRPr="0002198D">
        <w:rPr>
          <w:rFonts w:cs="Arial"/>
          <w:szCs w:val="20"/>
        </w:rPr>
        <w:t>AR</w:t>
      </w:r>
      <w:r w:rsidRPr="0072677C">
        <w:rPr>
          <w:rFonts w:cs="Arial"/>
          <w:szCs w:val="20"/>
        </w:rPr>
        <w:t xml:space="preserve"> se v zvezi s škodljivim učinkom HSD uporabijo naslednja razmerja med odmerkom in učinkom:</w:t>
      </w:r>
    </w:p>
    <w:p w14:paraId="3ED4DF74" w14:textId="77777777" w:rsidR="000F5909" w:rsidRPr="0072677C" w:rsidRDefault="000F5909" w:rsidP="000F5909">
      <w:pPr>
        <w:shd w:val="clear" w:color="auto" w:fill="FFFFFF"/>
        <w:spacing w:line="240" w:lineRule="auto"/>
        <w:rPr>
          <w:rFonts w:cs="Arial"/>
          <w:szCs w:val="20"/>
        </w:rPr>
      </w:pPr>
    </w:p>
    <w:p w14:paraId="692E3668" w14:textId="77777777" w:rsidR="00D1587C" w:rsidRPr="0072677C" w:rsidRDefault="00FC5D3B" w:rsidP="00D1587C">
      <w:pPr>
        <w:shd w:val="clear" w:color="auto" w:fill="FFFFFF"/>
        <w:spacing w:before="120" w:line="312" w:lineRule="atLeast"/>
        <w:rPr>
          <w:rFonts w:cs="Arial"/>
          <w:szCs w:val="20"/>
        </w:rPr>
      </w:pPr>
      <m:oMathPara>
        <m:oMath>
          <m:sSub>
            <m:sSubPr>
              <m:ctrlPr>
                <w:rPr>
                  <w:rFonts w:ascii="Cambria Math" w:hAnsi="Cambria Math"/>
                  <w:i/>
                </w:rPr>
              </m:ctrlPr>
            </m:sSubPr>
            <m:e>
              <m:r>
                <w:rPr>
                  <w:rFonts w:ascii="Cambria Math" w:hAnsi="Cambria Math"/>
                </w:rPr>
                <m:t>AR</m:t>
              </m:r>
            </m:e>
            <m:sub>
              <m:r>
                <w:rPr>
                  <w:rFonts w:ascii="Cambria Math" w:hAnsi="Cambria Math"/>
                </w:rPr>
                <m:t>HSD, cest</m:t>
              </m:r>
            </m:sub>
          </m:sSub>
          <m:r>
            <w:rPr>
              <w:rFonts w:ascii="Cambria Math" w:hAnsi="Cambria Math"/>
            </w:rPr>
            <m:t>=</m:t>
          </m:r>
          <m:f>
            <m:fPr>
              <m:type m:val="skw"/>
              <m:ctrlPr>
                <w:rPr>
                  <w:rFonts w:ascii="Cambria Math" w:hAnsi="Cambria Math"/>
                  <w:i/>
                </w:rPr>
              </m:ctrlPr>
            </m:fPr>
            <m:num>
              <m:r>
                <w:rPr>
                  <w:rFonts w:ascii="Cambria Math" w:hAnsi="Cambria Math"/>
                </w:rPr>
                <m:t>(19,4312-0,9336∙</m:t>
              </m:r>
              <m:sSub>
                <m:sSubPr>
                  <m:ctrlPr>
                    <w:rPr>
                      <w:rFonts w:ascii="Cambria Math" w:hAnsi="Cambria Math"/>
                      <w:i/>
                    </w:rPr>
                  </m:ctrlPr>
                </m:sSubPr>
                <m:e>
                  <m:r>
                    <w:rPr>
                      <w:rFonts w:ascii="Cambria Math" w:hAnsi="Cambria Math"/>
                    </w:rPr>
                    <m:t>L</m:t>
                  </m:r>
                </m:e>
                <m:sub>
                  <m:r>
                    <w:rPr>
                      <w:rFonts w:ascii="Cambria Math" w:hAnsi="Cambria Math"/>
                    </w:rPr>
                    <m:t>NOČ</m:t>
                  </m:r>
                </m:sub>
              </m:sSub>
              <m:r>
                <w:rPr>
                  <w:rFonts w:ascii="Cambria Math" w:hAnsi="Cambria Math"/>
                </w:rPr>
                <m:t>+0,0126∙</m:t>
              </m:r>
              <m:sSup>
                <m:sSupPr>
                  <m:ctrlPr>
                    <w:rPr>
                      <w:rFonts w:ascii="Cambria Math" w:hAnsi="Cambria Math"/>
                      <w:i/>
                    </w:rPr>
                  </m:ctrlPr>
                </m:sSupPr>
                <m:e>
                  <m:sSub>
                    <m:sSubPr>
                      <m:ctrlPr>
                        <w:rPr>
                          <w:rFonts w:ascii="Cambria Math" w:hAnsi="Cambria Math"/>
                          <w:i/>
                        </w:rPr>
                      </m:ctrlPr>
                    </m:sSubPr>
                    <m:e>
                      <m:r>
                        <w:rPr>
                          <w:rFonts w:ascii="Cambria Math" w:hAnsi="Cambria Math"/>
                        </w:rPr>
                        <m:t>L</m:t>
                      </m:r>
                    </m:e>
                    <m:sub>
                      <m:r>
                        <w:rPr>
                          <w:rFonts w:ascii="Cambria Math" w:hAnsi="Cambria Math"/>
                        </w:rPr>
                        <m:t>NOČ</m:t>
                      </m:r>
                    </m:sub>
                  </m:sSub>
                </m:e>
                <m:sup>
                  <m:r>
                    <w:rPr>
                      <w:rFonts w:ascii="Cambria Math" w:hAnsi="Cambria Math"/>
                    </w:rPr>
                    <m:t>2</m:t>
                  </m:r>
                </m:sup>
              </m:sSup>
              <m:r>
                <w:rPr>
                  <w:rFonts w:ascii="Cambria Math" w:hAnsi="Cambria Math"/>
                </w:rPr>
                <m:t>)</m:t>
              </m:r>
            </m:num>
            <m:den>
              <m:r>
                <w:rPr>
                  <w:rFonts w:ascii="Cambria Math" w:hAnsi="Cambria Math"/>
                </w:rPr>
                <m:t>100</m:t>
              </m:r>
            </m:den>
          </m:f>
        </m:oMath>
      </m:oMathPara>
    </w:p>
    <w:p w14:paraId="560AFF96" w14:textId="11EC5349" w:rsidR="003B0D60" w:rsidRPr="0072677C" w:rsidRDefault="003B0D60" w:rsidP="000F5909">
      <w:pPr>
        <w:shd w:val="clear" w:color="auto" w:fill="FFFFFF"/>
        <w:spacing w:line="240" w:lineRule="auto"/>
        <w:rPr>
          <w:rFonts w:cs="Arial"/>
          <w:szCs w:val="20"/>
        </w:rPr>
      </w:pPr>
    </w:p>
    <w:p w14:paraId="2CEA1856" w14:textId="078D42E1" w:rsidR="00D1587C" w:rsidRDefault="00D1587C" w:rsidP="00CC357F">
      <w:pPr>
        <w:shd w:val="clear" w:color="auto" w:fill="FFFFFF"/>
        <w:spacing w:before="120" w:after="120" w:line="240" w:lineRule="atLeast"/>
        <w:rPr>
          <w:rFonts w:cs="Arial"/>
          <w:szCs w:val="20"/>
        </w:rPr>
      </w:pPr>
      <w:r w:rsidRPr="0072677C">
        <w:rPr>
          <w:rFonts w:cs="Arial"/>
          <w:szCs w:val="20"/>
        </w:rPr>
        <w:t>za hrup cestnega prometa;</w:t>
      </w:r>
    </w:p>
    <w:p w14:paraId="514B6E21" w14:textId="77777777" w:rsidR="000F5909" w:rsidRPr="0072677C" w:rsidRDefault="000F5909" w:rsidP="000F5909">
      <w:pPr>
        <w:shd w:val="clear" w:color="auto" w:fill="FFFFFF"/>
        <w:spacing w:line="240" w:lineRule="auto"/>
        <w:rPr>
          <w:rFonts w:cs="Arial"/>
          <w:szCs w:val="20"/>
        </w:rPr>
      </w:pPr>
    </w:p>
    <w:p w14:paraId="439DC814" w14:textId="77777777" w:rsidR="00D1587C" w:rsidRPr="0072677C" w:rsidRDefault="00FC5D3B" w:rsidP="00D1587C">
      <w:pPr>
        <w:shd w:val="clear" w:color="auto" w:fill="FFFFFF"/>
        <w:spacing w:before="120" w:line="312" w:lineRule="atLeast"/>
        <w:rPr>
          <w:rFonts w:cs="Arial"/>
          <w:szCs w:val="20"/>
        </w:rPr>
      </w:pPr>
      <m:oMathPara>
        <m:oMath>
          <m:sSub>
            <m:sSubPr>
              <m:ctrlPr>
                <w:rPr>
                  <w:rFonts w:ascii="Cambria Math" w:hAnsi="Cambria Math"/>
                  <w:i/>
                </w:rPr>
              </m:ctrlPr>
            </m:sSubPr>
            <m:e>
              <m:r>
                <w:rPr>
                  <w:rFonts w:ascii="Cambria Math" w:hAnsi="Cambria Math"/>
                </w:rPr>
                <m:t>AR</m:t>
              </m:r>
            </m:e>
            <m:sub>
              <m:r>
                <w:rPr>
                  <w:rFonts w:ascii="Cambria Math" w:hAnsi="Cambria Math"/>
                </w:rPr>
                <m:t>HSD,prog</m:t>
              </m:r>
            </m:sub>
          </m:sSub>
          <m:r>
            <w:rPr>
              <w:rFonts w:ascii="Cambria Math" w:hAnsi="Cambria Math"/>
            </w:rPr>
            <m:t>=</m:t>
          </m:r>
          <m:f>
            <m:fPr>
              <m:type m:val="skw"/>
              <m:ctrlPr>
                <w:rPr>
                  <w:rFonts w:ascii="Cambria Math" w:hAnsi="Cambria Math"/>
                  <w:i/>
                </w:rPr>
              </m:ctrlPr>
            </m:fPr>
            <m:num>
              <m:r>
                <w:rPr>
                  <w:rFonts w:ascii="Cambria Math" w:hAnsi="Cambria Math"/>
                </w:rPr>
                <m:t>(67,5406-3,1852∙</m:t>
              </m:r>
              <m:sSub>
                <m:sSubPr>
                  <m:ctrlPr>
                    <w:rPr>
                      <w:rFonts w:ascii="Cambria Math" w:hAnsi="Cambria Math"/>
                      <w:i/>
                    </w:rPr>
                  </m:ctrlPr>
                </m:sSubPr>
                <m:e>
                  <m:r>
                    <w:rPr>
                      <w:rFonts w:ascii="Cambria Math" w:hAnsi="Cambria Math"/>
                    </w:rPr>
                    <m:t>L</m:t>
                  </m:r>
                </m:e>
                <m:sub>
                  <m:r>
                    <w:rPr>
                      <w:rFonts w:ascii="Cambria Math" w:hAnsi="Cambria Math"/>
                    </w:rPr>
                    <m:t>NOČ</m:t>
                  </m:r>
                </m:sub>
              </m:sSub>
              <m:r>
                <w:rPr>
                  <w:rFonts w:ascii="Cambria Math" w:hAnsi="Cambria Math"/>
                </w:rPr>
                <m:t>+0,0391∙</m:t>
              </m:r>
              <m:sSup>
                <m:sSupPr>
                  <m:ctrlPr>
                    <w:rPr>
                      <w:rFonts w:ascii="Cambria Math" w:hAnsi="Cambria Math"/>
                      <w:i/>
                    </w:rPr>
                  </m:ctrlPr>
                </m:sSupPr>
                <m:e>
                  <m:sSub>
                    <m:sSubPr>
                      <m:ctrlPr>
                        <w:rPr>
                          <w:rFonts w:ascii="Cambria Math" w:hAnsi="Cambria Math"/>
                          <w:i/>
                        </w:rPr>
                      </m:ctrlPr>
                    </m:sSubPr>
                    <m:e>
                      <m:r>
                        <w:rPr>
                          <w:rFonts w:ascii="Cambria Math" w:hAnsi="Cambria Math"/>
                        </w:rPr>
                        <m:t>L</m:t>
                      </m:r>
                    </m:e>
                    <m:sub>
                      <m:r>
                        <w:rPr>
                          <w:rFonts w:ascii="Cambria Math" w:hAnsi="Cambria Math"/>
                        </w:rPr>
                        <m:t>NOČ</m:t>
                      </m:r>
                    </m:sub>
                  </m:sSub>
                </m:e>
                <m:sup>
                  <m:r>
                    <w:rPr>
                      <w:rFonts w:ascii="Cambria Math" w:hAnsi="Cambria Math"/>
                    </w:rPr>
                    <m:t>2</m:t>
                  </m:r>
                </m:sup>
              </m:sSup>
              <m:r>
                <w:rPr>
                  <w:rFonts w:ascii="Cambria Math" w:hAnsi="Cambria Math"/>
                </w:rPr>
                <m:t>)</m:t>
              </m:r>
            </m:num>
            <m:den>
              <m:r>
                <w:rPr>
                  <w:rFonts w:ascii="Cambria Math" w:hAnsi="Cambria Math"/>
                </w:rPr>
                <m:t>100</m:t>
              </m:r>
            </m:den>
          </m:f>
        </m:oMath>
      </m:oMathPara>
    </w:p>
    <w:p w14:paraId="266E4579" w14:textId="77777777" w:rsidR="003B0D60" w:rsidRPr="0072677C" w:rsidRDefault="003B0D60" w:rsidP="000F5909">
      <w:pPr>
        <w:shd w:val="clear" w:color="auto" w:fill="FFFFFF"/>
        <w:spacing w:line="240" w:lineRule="auto"/>
        <w:rPr>
          <w:rFonts w:cs="Arial"/>
          <w:szCs w:val="20"/>
        </w:rPr>
      </w:pPr>
    </w:p>
    <w:p w14:paraId="171184B4" w14:textId="55CCD143" w:rsidR="00D1587C" w:rsidRDefault="00D1587C" w:rsidP="00CC357F">
      <w:pPr>
        <w:shd w:val="clear" w:color="auto" w:fill="FFFFFF"/>
        <w:spacing w:before="120" w:after="120" w:line="240" w:lineRule="atLeast"/>
        <w:rPr>
          <w:rFonts w:cs="Arial"/>
          <w:szCs w:val="20"/>
        </w:rPr>
      </w:pPr>
      <w:r w:rsidRPr="0072677C">
        <w:rPr>
          <w:rFonts w:cs="Arial"/>
          <w:szCs w:val="20"/>
        </w:rPr>
        <w:t>za hrup železniškega prometa;</w:t>
      </w:r>
    </w:p>
    <w:p w14:paraId="2D84D90C" w14:textId="77777777" w:rsidR="000F5909" w:rsidRPr="0072677C" w:rsidRDefault="000F5909" w:rsidP="000F5909">
      <w:pPr>
        <w:shd w:val="clear" w:color="auto" w:fill="FFFFFF"/>
        <w:spacing w:line="240" w:lineRule="auto"/>
        <w:rPr>
          <w:rFonts w:cs="Arial"/>
          <w:szCs w:val="20"/>
        </w:rPr>
      </w:pPr>
    </w:p>
    <w:p w14:paraId="663CB4D3" w14:textId="77777777" w:rsidR="00D1587C" w:rsidRPr="0072677C" w:rsidRDefault="00FC5D3B" w:rsidP="00D1587C">
      <w:pPr>
        <w:shd w:val="clear" w:color="auto" w:fill="FFFFFF"/>
        <w:spacing w:line="240" w:lineRule="auto"/>
        <w:rPr>
          <w:rFonts w:ascii="Times New Roman" w:hAnsi="Times New Roman"/>
        </w:rPr>
      </w:pPr>
      <m:oMathPara>
        <m:oMath>
          <m:sSub>
            <m:sSubPr>
              <m:ctrlPr>
                <w:rPr>
                  <w:rFonts w:ascii="Cambria Math" w:hAnsi="Cambria Math"/>
                  <w:i/>
                </w:rPr>
              </m:ctrlPr>
            </m:sSubPr>
            <m:e>
              <m:r>
                <w:rPr>
                  <w:rFonts w:ascii="Cambria Math" w:hAnsi="Cambria Math"/>
                </w:rPr>
                <m:t>AR</m:t>
              </m:r>
            </m:e>
            <m:sub>
              <m:r>
                <w:rPr>
                  <w:rFonts w:ascii="Cambria Math" w:hAnsi="Cambria Math"/>
                </w:rPr>
                <m:t>HSD,letal</m:t>
              </m:r>
            </m:sub>
          </m:sSub>
          <m:r>
            <w:rPr>
              <w:rFonts w:ascii="Cambria Math" w:hAnsi="Cambria Math"/>
            </w:rPr>
            <m:t>=</m:t>
          </m:r>
          <m:f>
            <m:fPr>
              <m:type m:val="skw"/>
              <m:ctrlPr>
                <w:rPr>
                  <w:rFonts w:ascii="Cambria Math" w:hAnsi="Cambria Math"/>
                  <w:i/>
                </w:rPr>
              </m:ctrlPr>
            </m:fPr>
            <m:num>
              <m:r>
                <w:rPr>
                  <w:rFonts w:ascii="Cambria Math" w:hAnsi="Cambria Math"/>
                </w:rPr>
                <m:t>(16,7885-0,9293∙</m:t>
              </m:r>
              <m:sSub>
                <m:sSubPr>
                  <m:ctrlPr>
                    <w:rPr>
                      <w:rFonts w:ascii="Cambria Math" w:hAnsi="Cambria Math"/>
                      <w:i/>
                    </w:rPr>
                  </m:ctrlPr>
                </m:sSubPr>
                <m:e>
                  <m:r>
                    <w:rPr>
                      <w:rFonts w:ascii="Cambria Math" w:hAnsi="Cambria Math"/>
                    </w:rPr>
                    <m:t>L</m:t>
                  </m:r>
                </m:e>
                <m:sub>
                  <m:r>
                    <w:rPr>
                      <w:rFonts w:ascii="Cambria Math" w:hAnsi="Cambria Math"/>
                    </w:rPr>
                    <m:t>NOČ</m:t>
                  </m:r>
                </m:sub>
              </m:sSub>
              <m:r>
                <w:rPr>
                  <w:rFonts w:ascii="Cambria Math" w:hAnsi="Cambria Math"/>
                </w:rPr>
                <m:t>+0,0198∙</m:t>
              </m:r>
              <m:sSup>
                <m:sSupPr>
                  <m:ctrlPr>
                    <w:rPr>
                      <w:rFonts w:ascii="Cambria Math" w:hAnsi="Cambria Math"/>
                      <w:i/>
                    </w:rPr>
                  </m:ctrlPr>
                </m:sSupPr>
                <m:e>
                  <m:sSub>
                    <m:sSubPr>
                      <m:ctrlPr>
                        <w:rPr>
                          <w:rFonts w:ascii="Cambria Math" w:hAnsi="Cambria Math"/>
                          <w:i/>
                        </w:rPr>
                      </m:ctrlPr>
                    </m:sSubPr>
                    <m:e>
                      <m:r>
                        <w:rPr>
                          <w:rFonts w:ascii="Cambria Math" w:hAnsi="Cambria Math"/>
                        </w:rPr>
                        <m:t>L</m:t>
                      </m:r>
                    </m:e>
                    <m:sub>
                      <m:r>
                        <w:rPr>
                          <w:rFonts w:ascii="Cambria Math" w:hAnsi="Cambria Math"/>
                        </w:rPr>
                        <m:t>NOČ</m:t>
                      </m:r>
                    </m:sub>
                  </m:sSub>
                </m:e>
                <m:sup>
                  <m:r>
                    <w:rPr>
                      <w:rFonts w:ascii="Cambria Math" w:hAnsi="Cambria Math"/>
                    </w:rPr>
                    <m:t>2</m:t>
                  </m:r>
                </m:sup>
              </m:sSup>
              <m:r>
                <w:rPr>
                  <w:rFonts w:ascii="Cambria Math" w:hAnsi="Cambria Math"/>
                </w:rPr>
                <m:t>)</m:t>
              </m:r>
            </m:num>
            <m:den>
              <m:r>
                <w:rPr>
                  <w:rFonts w:ascii="Cambria Math" w:hAnsi="Cambria Math"/>
                </w:rPr>
                <m:t>100</m:t>
              </m:r>
            </m:den>
          </m:f>
        </m:oMath>
      </m:oMathPara>
    </w:p>
    <w:p w14:paraId="0C5C6A10" w14:textId="77777777" w:rsidR="00CC357F" w:rsidRPr="0072677C" w:rsidRDefault="00CC357F" w:rsidP="000F5909">
      <w:pPr>
        <w:shd w:val="clear" w:color="auto" w:fill="FFFFFF"/>
        <w:spacing w:line="240" w:lineRule="auto"/>
        <w:rPr>
          <w:rFonts w:cs="Arial"/>
          <w:szCs w:val="20"/>
        </w:rPr>
      </w:pPr>
    </w:p>
    <w:p w14:paraId="41F1E2DC" w14:textId="380E0180" w:rsidR="00D1587C" w:rsidRPr="0072677C" w:rsidRDefault="00D1587C" w:rsidP="00CC357F">
      <w:pPr>
        <w:shd w:val="clear" w:color="auto" w:fill="FFFFFF"/>
        <w:spacing w:before="120" w:after="120" w:line="240" w:lineRule="atLeast"/>
        <w:rPr>
          <w:rFonts w:cs="Arial"/>
          <w:szCs w:val="20"/>
        </w:rPr>
      </w:pPr>
      <w:r w:rsidRPr="0072677C">
        <w:rPr>
          <w:rFonts w:cs="Arial"/>
          <w:szCs w:val="20"/>
        </w:rPr>
        <w:t>za hrup letalskega prometa.</w:t>
      </w:r>
    </w:p>
    <w:p w14:paraId="53BF2E83" w14:textId="77777777" w:rsidR="000F5909" w:rsidRPr="000F5909" w:rsidRDefault="000F5909" w:rsidP="000F5909">
      <w:pPr>
        <w:shd w:val="clear" w:color="auto" w:fill="FFFFFF"/>
        <w:spacing w:line="240" w:lineRule="auto"/>
        <w:rPr>
          <w:rFonts w:cs="Arial"/>
          <w:szCs w:val="20"/>
        </w:rPr>
      </w:pPr>
    </w:p>
    <w:p w14:paraId="7798F473" w14:textId="5C8775CD" w:rsidR="00D1587C" w:rsidRPr="000F5909" w:rsidRDefault="00D1587C" w:rsidP="000F5909">
      <w:pPr>
        <w:shd w:val="clear" w:color="auto" w:fill="FFFFFF"/>
        <w:spacing w:before="240" w:after="120" w:line="240" w:lineRule="atLeast"/>
        <w:rPr>
          <w:rFonts w:cs="Arial"/>
          <w:szCs w:val="20"/>
        </w:rPr>
      </w:pPr>
      <w:r w:rsidRPr="000F5909">
        <w:rPr>
          <w:rFonts w:cs="Arial"/>
          <w:szCs w:val="20"/>
        </w:rPr>
        <w:t>3. Ocena škodljivih učinkov</w:t>
      </w:r>
    </w:p>
    <w:p w14:paraId="41E6DA83" w14:textId="77777777" w:rsidR="00D1587C" w:rsidRPr="0072677C" w:rsidRDefault="00D1587C" w:rsidP="00D1587C">
      <w:pPr>
        <w:shd w:val="clear" w:color="auto" w:fill="FFFFFF"/>
        <w:spacing w:before="120" w:line="240" w:lineRule="atLeast"/>
        <w:rPr>
          <w:rFonts w:cs="Arial"/>
          <w:szCs w:val="20"/>
        </w:rPr>
      </w:pPr>
      <w:r w:rsidRPr="0072677C">
        <w:rPr>
          <w:rFonts w:cs="Arial"/>
          <w:szCs w:val="20"/>
        </w:rPr>
        <w:t>3.1 Izpostavljenost prebivalstva se ocenjuje neodvisno za vsak vir hrupa in škodljiv učinek. Kadar so isti ljudje hkrati izpostavljeni različnim virom hrupa, se škodljivi učinki načeloma ne smejo seštevati. Vendar se navedeni učinki lahko primerjajo, da se oceni relativni pomen vsakega hrupa.</w:t>
      </w:r>
    </w:p>
    <w:p w14:paraId="7EA4ECFE" w14:textId="70D4CB51" w:rsidR="000F5909" w:rsidRDefault="000F5909" w:rsidP="000F5909">
      <w:pPr>
        <w:shd w:val="clear" w:color="auto" w:fill="FFFFFF"/>
        <w:spacing w:line="240" w:lineRule="auto"/>
        <w:rPr>
          <w:rFonts w:cs="Arial"/>
          <w:szCs w:val="20"/>
        </w:rPr>
      </w:pPr>
    </w:p>
    <w:p w14:paraId="50599B72" w14:textId="686826C9" w:rsidR="00D1587C" w:rsidRPr="000F5909" w:rsidRDefault="00D1587C" w:rsidP="000F5909">
      <w:pPr>
        <w:shd w:val="clear" w:color="auto" w:fill="FFFFFF"/>
        <w:spacing w:before="240" w:after="120" w:line="240" w:lineRule="atLeast"/>
        <w:rPr>
          <w:rFonts w:cs="Arial"/>
          <w:szCs w:val="20"/>
        </w:rPr>
      </w:pPr>
      <w:r w:rsidRPr="000F5909">
        <w:rPr>
          <w:rFonts w:cs="Arial"/>
          <w:szCs w:val="20"/>
        </w:rPr>
        <w:t>3.2 Ocena ishemične bolezni srca (IHD)</w:t>
      </w:r>
    </w:p>
    <w:p w14:paraId="200BA3E6" w14:textId="77777777" w:rsidR="000F5909" w:rsidRDefault="000F5909" w:rsidP="000F5909">
      <w:pPr>
        <w:shd w:val="clear" w:color="auto" w:fill="FFFFFF"/>
        <w:spacing w:line="240" w:lineRule="auto"/>
        <w:rPr>
          <w:rFonts w:cs="Arial"/>
          <w:szCs w:val="20"/>
        </w:rPr>
      </w:pPr>
    </w:p>
    <w:p w14:paraId="18AD45AC" w14:textId="42E681BA" w:rsidR="00D1587C" w:rsidRPr="0072677C" w:rsidRDefault="00D1587C" w:rsidP="000F5909">
      <w:pPr>
        <w:shd w:val="clear" w:color="auto" w:fill="FFFFFF"/>
        <w:spacing w:before="120" w:after="120" w:line="240" w:lineRule="atLeast"/>
        <w:rPr>
          <w:rFonts w:cs="Arial"/>
          <w:szCs w:val="20"/>
        </w:rPr>
      </w:pPr>
      <w:r w:rsidRPr="0072677C">
        <w:rPr>
          <w:rFonts w:cs="Arial"/>
          <w:szCs w:val="20"/>
        </w:rPr>
        <w:lastRenderedPageBreak/>
        <w:t>3.2.1 </w:t>
      </w:r>
      <w:r w:rsidRPr="000F5909">
        <w:rPr>
          <w:rFonts w:cs="Arial"/>
          <w:szCs w:val="20"/>
        </w:rPr>
        <w:t>Za IHD v primeru hrupa železniškega in letalskega prometa</w:t>
      </w:r>
      <w:r w:rsidRPr="0072677C">
        <w:rPr>
          <w:rFonts w:cs="Arial"/>
          <w:b/>
          <w:bCs/>
          <w:szCs w:val="20"/>
        </w:rPr>
        <w:t xml:space="preserve"> </w:t>
      </w:r>
      <w:r w:rsidRPr="0072677C">
        <w:rPr>
          <w:rFonts w:cs="Arial"/>
          <w:szCs w:val="20"/>
        </w:rPr>
        <w:t>se ocenjuje, da populaciji, ki je izpostavljena povišanim ravnem L</w:t>
      </w:r>
      <w:r w:rsidRPr="0072677C">
        <w:rPr>
          <w:rFonts w:cs="Arial"/>
          <w:szCs w:val="20"/>
          <w:vertAlign w:val="subscript"/>
        </w:rPr>
        <w:t>DVN</w:t>
      </w:r>
      <w:r w:rsidRPr="0072677C">
        <w:rPr>
          <w:rFonts w:cs="Arial"/>
          <w:szCs w:val="20"/>
        </w:rPr>
        <w:t>, grozi povečano tveganje za IHD, točnega števila </w:t>
      </w:r>
      <w:r w:rsidRPr="0002198D">
        <w:rPr>
          <w:rFonts w:cs="Arial"/>
          <w:szCs w:val="20"/>
        </w:rPr>
        <w:t>N</w:t>
      </w:r>
      <w:r w:rsidRPr="0072677C">
        <w:rPr>
          <w:rFonts w:cs="Arial"/>
          <w:szCs w:val="20"/>
        </w:rPr>
        <w:t> primerov IHD pa ni mogoče izračunati.</w:t>
      </w:r>
    </w:p>
    <w:p w14:paraId="5BD29EA2" w14:textId="77777777" w:rsidR="000F5909" w:rsidRDefault="000F5909" w:rsidP="000F5909">
      <w:pPr>
        <w:shd w:val="clear" w:color="auto" w:fill="FFFFFF"/>
        <w:spacing w:line="240" w:lineRule="auto"/>
        <w:rPr>
          <w:rFonts w:cs="Arial"/>
          <w:szCs w:val="20"/>
        </w:rPr>
      </w:pPr>
    </w:p>
    <w:p w14:paraId="4A56A87B" w14:textId="6177386A" w:rsidR="00D1587C" w:rsidRDefault="00D1587C" w:rsidP="000F5909">
      <w:pPr>
        <w:shd w:val="clear" w:color="auto" w:fill="FFFFFF"/>
        <w:spacing w:before="120" w:after="120" w:line="240" w:lineRule="atLeast"/>
        <w:rPr>
          <w:rFonts w:cs="Arial"/>
          <w:szCs w:val="20"/>
        </w:rPr>
      </w:pPr>
      <w:r w:rsidRPr="0072677C">
        <w:rPr>
          <w:rFonts w:cs="Arial"/>
          <w:szCs w:val="20"/>
        </w:rPr>
        <w:t>3.2.2 </w:t>
      </w:r>
      <w:r w:rsidRPr="000F5909">
        <w:rPr>
          <w:rFonts w:cs="Arial"/>
          <w:szCs w:val="20"/>
        </w:rPr>
        <w:t>Za IHD v primeru hrupa cestnega prometa</w:t>
      </w:r>
      <w:r w:rsidRPr="0072677C">
        <w:rPr>
          <w:rFonts w:cs="Arial"/>
          <w:b/>
          <w:bCs/>
          <w:szCs w:val="20"/>
        </w:rPr>
        <w:t xml:space="preserve"> </w:t>
      </w:r>
      <w:r w:rsidRPr="0072677C">
        <w:rPr>
          <w:rFonts w:cs="Arial"/>
          <w:szCs w:val="20"/>
        </w:rPr>
        <w:t>se delež primerov določenih škodljivih učinkov, za katere izračuni pokažejo, da jih povzroča okoljski hrup, v populaciji, izpostavljeni RR, za vir hrupa </w:t>
      </w:r>
      <w:r w:rsidRPr="0002198D">
        <w:rPr>
          <w:rFonts w:cs="Arial"/>
          <w:szCs w:val="20"/>
        </w:rPr>
        <w:t>x</w:t>
      </w:r>
      <w:r w:rsidRPr="0072677C">
        <w:rPr>
          <w:rFonts w:cs="Arial"/>
          <w:szCs w:val="20"/>
        </w:rPr>
        <w:t> (cesta), škodljivi učinek </w:t>
      </w:r>
      <w:r w:rsidRPr="0002198D">
        <w:rPr>
          <w:rFonts w:cs="Arial"/>
          <w:szCs w:val="20"/>
        </w:rPr>
        <w:t>y</w:t>
      </w:r>
      <w:r w:rsidRPr="0072677C">
        <w:rPr>
          <w:rFonts w:cs="Arial"/>
          <w:szCs w:val="20"/>
        </w:rPr>
        <w:t> (IHD) in pojavnost </w:t>
      </w:r>
      <w:r w:rsidRPr="0002198D">
        <w:rPr>
          <w:rFonts w:cs="Arial"/>
          <w:szCs w:val="20"/>
        </w:rPr>
        <w:t>i </w:t>
      </w:r>
      <w:r w:rsidRPr="0072677C">
        <w:rPr>
          <w:rFonts w:cs="Arial"/>
          <w:szCs w:val="20"/>
        </w:rPr>
        <w:t>izpelje tako:</w:t>
      </w:r>
    </w:p>
    <w:p w14:paraId="35BC34DE" w14:textId="77777777" w:rsidR="000F5909" w:rsidRPr="0072677C" w:rsidRDefault="000F5909" w:rsidP="000F5909">
      <w:pPr>
        <w:shd w:val="clear" w:color="auto" w:fill="FFFFFF"/>
        <w:spacing w:line="240" w:lineRule="auto"/>
        <w:rPr>
          <w:rFonts w:cs="Arial"/>
          <w:szCs w:val="20"/>
        </w:rPr>
      </w:pPr>
    </w:p>
    <w:p w14:paraId="798A5E15" w14:textId="77777777" w:rsidR="00D1587C" w:rsidRPr="0072677C" w:rsidRDefault="00FC5D3B" w:rsidP="00D1587C">
      <w:pPr>
        <w:shd w:val="clear" w:color="auto" w:fill="FFFFFF"/>
        <w:spacing w:before="120" w:after="120" w:line="312" w:lineRule="atLeast"/>
        <w:jc w:val="center"/>
        <w:rPr>
          <w:rFonts w:ascii="Times New Roman" w:hAnsi="Times New Roman"/>
          <w:sz w:val="27"/>
          <w:szCs w:val="27"/>
        </w:rPr>
      </w:pPr>
      <m:oMathPara>
        <m:oMath>
          <m:sSub>
            <m:sSubPr>
              <m:ctrlPr>
                <w:rPr>
                  <w:rFonts w:ascii="Cambria Math" w:hAnsi="Cambria Math"/>
                  <w:i/>
                </w:rPr>
              </m:ctrlPr>
            </m:sSubPr>
            <m:e>
              <m:r>
                <w:rPr>
                  <w:rFonts w:ascii="Cambria Math" w:hAnsi="Cambria Math"/>
                </w:rPr>
                <m:t>PAF</m:t>
              </m:r>
            </m:e>
            <m:sub>
              <m:r>
                <w:rPr>
                  <w:rFonts w:ascii="Cambria Math" w:hAnsi="Cambria Math"/>
                </w:rPr>
                <m:t>x,y</m:t>
              </m:r>
            </m:sub>
          </m:sSub>
          <m:r>
            <w:rPr>
              <w:rFonts w:ascii="Cambria Math" w:hAnsi="Cambria Math"/>
            </w:rPr>
            <m:t>=</m:t>
          </m:r>
          <m:d>
            <m:dPr>
              <m:ctrlPr>
                <w:rPr>
                  <w:rFonts w:ascii="Cambria Math" w:hAnsi="Cambria Math"/>
                  <w:i/>
                </w:rPr>
              </m:ctrlPr>
            </m:dPr>
            <m:e>
              <m:f>
                <m:fPr>
                  <m:ctrlPr>
                    <w:rPr>
                      <w:rFonts w:ascii="Cambria Math" w:hAnsi="Cambria Math"/>
                      <w:i/>
                    </w:rPr>
                  </m:ctrlPr>
                </m:fPr>
                <m:num>
                  <m:nary>
                    <m:naryPr>
                      <m:chr m:val="∑"/>
                      <m:limLoc m:val="undOvr"/>
                      <m:supHide m:val="1"/>
                      <m:ctrlPr>
                        <w:rPr>
                          <w:rFonts w:ascii="Cambria Math" w:hAnsi="Cambria Math"/>
                          <w:i/>
                        </w:rPr>
                      </m:ctrlPr>
                    </m:naryPr>
                    <m:sub>
                      <m:r>
                        <w:rPr>
                          <w:rFonts w:ascii="Cambria Math" w:hAnsi="Cambria Math"/>
                        </w:rPr>
                        <m:t>j</m:t>
                      </m:r>
                    </m:sub>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j</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RR</m:t>
                                  </m:r>
                                </m:e>
                                <m:sub>
                                  <m:r>
                                    <w:rPr>
                                      <w:rFonts w:ascii="Cambria Math" w:hAnsi="Cambria Math"/>
                                    </w:rPr>
                                    <m:t>j,x,y</m:t>
                                  </m:r>
                                </m:sub>
                              </m:sSub>
                              <m:r>
                                <w:rPr>
                                  <w:rFonts w:ascii="Cambria Math" w:hAnsi="Cambria Math"/>
                                </w:rPr>
                                <m:t>-1</m:t>
                              </m:r>
                            </m:e>
                          </m:d>
                        </m:e>
                      </m:d>
                    </m:e>
                  </m:nary>
                </m:num>
                <m:den>
                  <m:nary>
                    <m:naryPr>
                      <m:chr m:val="∑"/>
                      <m:limLoc m:val="undOvr"/>
                      <m:supHide m:val="1"/>
                      <m:ctrlPr>
                        <w:rPr>
                          <w:rFonts w:ascii="Cambria Math" w:hAnsi="Cambria Math"/>
                          <w:i/>
                        </w:rPr>
                      </m:ctrlPr>
                    </m:naryPr>
                    <m:sub>
                      <m:r>
                        <w:rPr>
                          <w:rFonts w:ascii="Cambria Math" w:hAnsi="Cambria Math"/>
                        </w:rPr>
                        <m:t>j</m:t>
                      </m:r>
                    </m:sub>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j</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RR</m:t>
                                  </m:r>
                                </m:e>
                                <m:sub>
                                  <m:r>
                                    <w:rPr>
                                      <w:rFonts w:ascii="Cambria Math" w:hAnsi="Cambria Math"/>
                                    </w:rPr>
                                    <m:t>j,x,y</m:t>
                                  </m:r>
                                </m:sub>
                              </m:sSub>
                              <m:r>
                                <w:rPr>
                                  <w:rFonts w:ascii="Cambria Math" w:hAnsi="Cambria Math"/>
                                </w:rPr>
                                <m:t>-1</m:t>
                              </m:r>
                            </m:e>
                          </m:d>
                        </m:e>
                      </m:d>
                      <m:r>
                        <w:rPr>
                          <w:rFonts w:ascii="Cambria Math" w:hAnsi="Cambria Math"/>
                        </w:rPr>
                        <m:t>+1</m:t>
                      </m:r>
                    </m:e>
                  </m:nary>
                </m:den>
              </m:f>
            </m:e>
          </m:d>
        </m:oMath>
      </m:oMathPara>
    </w:p>
    <w:p w14:paraId="404CC04D" w14:textId="77777777" w:rsidR="000F5909" w:rsidRDefault="000F5909" w:rsidP="000F5909">
      <w:pPr>
        <w:shd w:val="clear" w:color="auto" w:fill="FFFFFF"/>
        <w:spacing w:line="240" w:lineRule="auto"/>
        <w:rPr>
          <w:rFonts w:cs="Arial"/>
          <w:szCs w:val="20"/>
        </w:rPr>
      </w:pPr>
    </w:p>
    <w:p w14:paraId="4C483EF1" w14:textId="1044F3E1" w:rsidR="00D1587C" w:rsidRPr="0072677C" w:rsidRDefault="00D1587C" w:rsidP="00D1587C">
      <w:pPr>
        <w:shd w:val="clear" w:color="auto" w:fill="FFFFFF"/>
        <w:spacing w:before="120" w:line="240" w:lineRule="atLeast"/>
        <w:rPr>
          <w:rFonts w:cs="Arial"/>
          <w:szCs w:val="20"/>
        </w:rPr>
      </w:pPr>
      <w:r w:rsidRPr="0072677C">
        <w:rPr>
          <w:rFonts w:cs="Arial"/>
          <w:szCs w:val="20"/>
        </w:rPr>
        <w:t>pri čemer:</w:t>
      </w:r>
    </w:p>
    <w:p w14:paraId="0AA39260"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w:t>
      </w:r>
      <w:r w:rsidRPr="0002198D">
        <w:rPr>
          <w:rFonts w:cs="Arial"/>
          <w:szCs w:val="20"/>
        </w:rPr>
        <w:t>PAF</w:t>
      </w:r>
      <w:r w:rsidRPr="0002198D">
        <w:rPr>
          <w:rFonts w:cs="Arial"/>
          <w:szCs w:val="20"/>
          <w:vertAlign w:val="subscript"/>
        </w:rPr>
        <w:t>x,y</w:t>
      </w:r>
      <w:r w:rsidRPr="0072677C">
        <w:rPr>
          <w:rFonts w:cs="Arial"/>
          <w:i/>
          <w:iCs/>
          <w:szCs w:val="20"/>
        </w:rPr>
        <w:t> </w:t>
      </w:r>
      <w:r w:rsidRPr="0072677C">
        <w:rPr>
          <w:rFonts w:cs="Arial"/>
          <w:szCs w:val="20"/>
        </w:rPr>
        <w:t>del, ki ga je mogoče pripisati populaciji,</w:t>
      </w:r>
    </w:p>
    <w:p w14:paraId="403312CA" w14:textId="62A2770D" w:rsidR="00D1587C" w:rsidRPr="0072677C" w:rsidRDefault="00D1587C" w:rsidP="00D1587C">
      <w:pPr>
        <w:shd w:val="clear" w:color="auto" w:fill="FFFFFF"/>
        <w:spacing w:before="60" w:after="60" w:line="240" w:lineRule="atLeast"/>
        <w:rPr>
          <w:rFonts w:cs="Arial"/>
          <w:szCs w:val="20"/>
        </w:rPr>
      </w:pPr>
      <w:r w:rsidRPr="0072677C">
        <w:rPr>
          <w:rFonts w:cs="Arial"/>
          <w:szCs w:val="20"/>
        </w:rPr>
        <w:t>- sklop pasov hrupa </w:t>
      </w:r>
      <w:r w:rsidRPr="0072677C">
        <w:rPr>
          <w:rFonts w:cs="Arial"/>
          <w:i/>
          <w:iCs/>
          <w:szCs w:val="20"/>
        </w:rPr>
        <w:t>j</w:t>
      </w:r>
      <w:r w:rsidRPr="0072677C">
        <w:rPr>
          <w:rFonts w:cs="Arial"/>
          <w:szCs w:val="20"/>
        </w:rPr>
        <w:t> sestavljen iz posameznih pasov, ki zajemajo največ 5 dB (npr.: 50 </w:t>
      </w:r>
      <w:r w:rsidR="0072677C" w:rsidRPr="0072677C">
        <w:rPr>
          <w:rFonts w:cs="Arial"/>
          <w:szCs w:val="20"/>
        </w:rPr>
        <w:t>–</w:t>
      </w:r>
      <w:r w:rsidRPr="0072677C">
        <w:rPr>
          <w:rFonts w:cs="Arial"/>
          <w:szCs w:val="20"/>
        </w:rPr>
        <w:t> 51</w:t>
      </w:r>
      <w:r w:rsidR="0072677C" w:rsidRPr="0072677C">
        <w:rPr>
          <w:rFonts w:cs="Arial"/>
          <w:szCs w:val="20"/>
        </w:rPr>
        <w:t> </w:t>
      </w:r>
      <w:r w:rsidRPr="0072677C">
        <w:rPr>
          <w:rFonts w:cs="Arial"/>
          <w:szCs w:val="20"/>
        </w:rPr>
        <w:t>dB, 51 - 52 dB, 52 - 53 dB itd. ali 50 - 54 dB, 55 - 59 dB, 60 - 64 dB itd.),</w:t>
      </w:r>
    </w:p>
    <w:p w14:paraId="0264A5C7" w14:textId="2893D219" w:rsidR="00D1587C" w:rsidRPr="0072677C" w:rsidRDefault="00D1587C" w:rsidP="00D1587C">
      <w:pPr>
        <w:shd w:val="clear" w:color="auto" w:fill="FFFFFF"/>
        <w:spacing w:before="60" w:after="60" w:line="240" w:lineRule="atLeast"/>
        <w:rPr>
          <w:rFonts w:cs="Arial"/>
          <w:vanish/>
          <w:szCs w:val="20"/>
        </w:rPr>
      </w:pPr>
      <w:r w:rsidRPr="0072677C">
        <w:rPr>
          <w:rFonts w:cs="Arial"/>
          <w:szCs w:val="20"/>
        </w:rPr>
        <w:t>- </w:t>
      </w:r>
      <w:r w:rsidRPr="0002198D">
        <w:rPr>
          <w:rFonts w:cs="Arial"/>
          <w:szCs w:val="20"/>
        </w:rPr>
        <w:t>p</w:t>
      </w:r>
      <w:r w:rsidRPr="0002198D">
        <w:rPr>
          <w:rFonts w:cs="Arial"/>
          <w:szCs w:val="20"/>
          <w:vertAlign w:val="subscript"/>
        </w:rPr>
        <w:t>j</w:t>
      </w:r>
      <w:r w:rsidRPr="0072677C">
        <w:rPr>
          <w:rFonts w:cs="Arial"/>
          <w:i/>
          <w:iCs/>
          <w:szCs w:val="20"/>
        </w:rPr>
        <w:t> </w:t>
      </w:r>
      <w:r w:rsidRPr="0072677C">
        <w:rPr>
          <w:rFonts w:cs="Arial"/>
          <w:szCs w:val="20"/>
        </w:rPr>
        <w:t>delež skupne populacije </w:t>
      </w:r>
      <w:r w:rsidRPr="0002198D">
        <w:rPr>
          <w:rFonts w:cs="Arial"/>
          <w:szCs w:val="20"/>
        </w:rPr>
        <w:t>P</w:t>
      </w:r>
      <w:r w:rsidRPr="0072677C">
        <w:rPr>
          <w:rFonts w:cs="Arial"/>
          <w:szCs w:val="20"/>
        </w:rPr>
        <w:t> na območju, za katerega se oceni, da je izpostavljeno</w:t>
      </w:r>
      <w:r w:rsidR="0072677C" w:rsidRPr="0072677C">
        <w:rPr>
          <w:rFonts w:cs="Arial"/>
          <w:szCs w:val="20"/>
        </w:rPr>
        <w:t xml:space="preserve"> </w:t>
      </w:r>
      <w:r w:rsidRPr="0002198D">
        <w:rPr>
          <w:rFonts w:cs="Arial"/>
          <w:szCs w:val="20"/>
        </w:rPr>
        <w:t>j</w:t>
      </w:r>
      <w:r w:rsidR="0072677C" w:rsidRPr="0072677C">
        <w:rPr>
          <w:rFonts w:cs="Arial"/>
          <w:i/>
          <w:iCs/>
          <w:szCs w:val="20"/>
        </w:rPr>
        <w:t> </w:t>
      </w:r>
      <w:r w:rsidRPr="0072677C">
        <w:rPr>
          <w:rFonts w:cs="Arial"/>
          <w:szCs w:val="20"/>
        </w:rPr>
        <w:t>-</w:t>
      </w:r>
      <w:r w:rsidR="0072677C" w:rsidRPr="0072677C">
        <w:rPr>
          <w:rFonts w:cs="Arial"/>
          <w:szCs w:val="20"/>
        </w:rPr>
        <w:t> </w:t>
      </w:r>
      <w:r w:rsidRPr="0072677C">
        <w:rPr>
          <w:rFonts w:cs="Arial"/>
          <w:szCs w:val="20"/>
        </w:rPr>
        <w:t xml:space="preserve">temu pasu izpostavljenosti, povezanem z določenim </w:t>
      </w:r>
      <w:r w:rsidRPr="0002198D">
        <w:rPr>
          <w:rFonts w:cs="Arial"/>
          <w:szCs w:val="20"/>
        </w:rPr>
        <w:t>RR</w:t>
      </w:r>
      <w:r w:rsidRPr="0072677C">
        <w:rPr>
          <w:rFonts w:cs="Arial"/>
          <w:szCs w:val="20"/>
        </w:rPr>
        <w:t xml:space="preserve"> specifičnega škodljivega učinka </w:t>
      </w:r>
      <w:r w:rsidRPr="0002198D">
        <w:rPr>
          <w:rFonts w:cs="Arial"/>
          <w:szCs w:val="20"/>
        </w:rPr>
        <w:t>RR</w:t>
      </w:r>
      <w:r w:rsidRPr="0002198D">
        <w:rPr>
          <w:rFonts w:cs="Arial"/>
          <w:szCs w:val="20"/>
          <w:vertAlign w:val="subscript"/>
        </w:rPr>
        <w:t>j,x,y</w:t>
      </w:r>
      <w:r w:rsidRPr="0002198D">
        <w:rPr>
          <w:rFonts w:cs="Arial"/>
          <w:szCs w:val="20"/>
        </w:rPr>
        <w:t>. RR</w:t>
      </w:r>
      <w:r w:rsidRPr="0002198D">
        <w:rPr>
          <w:rFonts w:cs="Arial"/>
          <w:szCs w:val="20"/>
          <w:vertAlign w:val="subscript"/>
        </w:rPr>
        <w:t>j,x,y</w:t>
      </w:r>
      <w:r w:rsidRPr="0072677C">
        <w:rPr>
          <w:rFonts w:cs="Arial"/>
          <w:szCs w:val="20"/>
        </w:rPr>
        <w:t> se izračuna po formulah iz točke 2 te priloge, in sicer pri srednji vrednosti vsakega pasu hrupa (npr.: glede na razpoložljivost podatkov pri 50,5 dB za pas hrupa 50 - 51 dB ali 52 dB za pas hrupa 50 - 54 dB).</w:t>
      </w:r>
    </w:p>
    <w:p w14:paraId="0F24147A" w14:textId="77777777" w:rsidR="0072677C" w:rsidRPr="0072677C" w:rsidRDefault="0072677C" w:rsidP="000F5909">
      <w:pPr>
        <w:shd w:val="clear" w:color="auto" w:fill="FFFFFF"/>
        <w:spacing w:line="240" w:lineRule="auto"/>
        <w:rPr>
          <w:rFonts w:cs="Arial"/>
          <w:szCs w:val="20"/>
        </w:rPr>
      </w:pPr>
    </w:p>
    <w:p w14:paraId="6A388753" w14:textId="1A7D051B" w:rsidR="00D1587C" w:rsidRDefault="00D1587C" w:rsidP="000F5909">
      <w:pPr>
        <w:shd w:val="clear" w:color="auto" w:fill="FFFFFF"/>
        <w:spacing w:before="120" w:after="120" w:line="240" w:lineRule="atLeast"/>
        <w:rPr>
          <w:rFonts w:cs="Arial"/>
          <w:szCs w:val="20"/>
        </w:rPr>
      </w:pPr>
      <w:r w:rsidRPr="004143EB">
        <w:rPr>
          <w:rFonts w:cs="Arial"/>
          <w:szCs w:val="20"/>
        </w:rPr>
        <w:t>3.2.3 Za IHD v primeru hrupa cestnega prometa je skupno število </w:t>
      </w:r>
      <w:r w:rsidRPr="0002198D">
        <w:rPr>
          <w:rFonts w:cs="Arial"/>
          <w:szCs w:val="20"/>
        </w:rPr>
        <w:t>N</w:t>
      </w:r>
      <w:r w:rsidRPr="004143EB">
        <w:rPr>
          <w:rFonts w:cs="Arial"/>
          <w:szCs w:val="20"/>
        </w:rPr>
        <w:t> primerov IHD</w:t>
      </w:r>
      <w:r w:rsidR="0072677C" w:rsidRPr="004143EB">
        <w:rPr>
          <w:rFonts w:cs="Arial"/>
          <w:szCs w:val="20"/>
        </w:rPr>
        <w:t xml:space="preserve"> </w:t>
      </w:r>
      <w:r w:rsidRPr="004143EB">
        <w:rPr>
          <w:rFonts w:cs="Arial"/>
          <w:szCs w:val="20"/>
        </w:rPr>
        <w:t>(ljudi, ki jih je prizadel škodljivi učinek </w:t>
      </w:r>
      <w:r w:rsidRPr="0002198D">
        <w:rPr>
          <w:rFonts w:cs="Arial"/>
          <w:szCs w:val="20"/>
        </w:rPr>
        <w:t>y</w:t>
      </w:r>
      <w:r w:rsidR="004143EB" w:rsidRPr="004143EB">
        <w:rPr>
          <w:rFonts w:cs="Arial"/>
          <w:i/>
          <w:iCs/>
          <w:szCs w:val="20"/>
        </w:rPr>
        <w:t> </w:t>
      </w:r>
      <w:r w:rsidRPr="004143EB">
        <w:rPr>
          <w:rFonts w:cs="Arial"/>
          <w:szCs w:val="20"/>
        </w:rPr>
        <w:t>; število pripisljivih primerov) zaradi vira </w:t>
      </w:r>
      <w:r w:rsidRPr="0002198D">
        <w:rPr>
          <w:rFonts w:cs="Arial"/>
          <w:szCs w:val="20"/>
        </w:rPr>
        <w:t>x</w:t>
      </w:r>
      <w:r w:rsidRPr="004143EB">
        <w:rPr>
          <w:rFonts w:cs="Arial"/>
          <w:szCs w:val="20"/>
        </w:rPr>
        <w:t> torej:</w:t>
      </w:r>
    </w:p>
    <w:p w14:paraId="49398F63" w14:textId="77777777" w:rsidR="004143EB" w:rsidRPr="004143EB" w:rsidRDefault="004143EB" w:rsidP="000F5909">
      <w:pPr>
        <w:shd w:val="clear" w:color="auto" w:fill="FFFFFF"/>
        <w:spacing w:line="240" w:lineRule="auto"/>
        <w:rPr>
          <w:rFonts w:cs="Arial"/>
          <w:szCs w:val="20"/>
        </w:rPr>
      </w:pPr>
    </w:p>
    <w:p w14:paraId="15AC78AA" w14:textId="77777777" w:rsidR="00D1587C" w:rsidRPr="0072677C" w:rsidRDefault="00FC5D3B" w:rsidP="00D1587C">
      <w:pPr>
        <w:shd w:val="clear" w:color="auto" w:fill="FFFFFF"/>
        <w:spacing w:before="120" w:line="312" w:lineRule="atLeast"/>
        <w:jc w:val="center"/>
        <w:rPr>
          <w:rFonts w:cs="Arial"/>
          <w:sz w:val="27"/>
          <w:szCs w:val="27"/>
        </w:rPr>
      </w:pPr>
      <m:oMathPara>
        <m:oMath>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N</m:t>
                  </m:r>
                </m:e>
                <m:sub>
                  <m:r>
                    <w:rPr>
                      <w:rFonts w:ascii="Cambria Math" w:hAnsi="Cambria Math" w:cs="Arial"/>
                    </w:rPr>
                    <m:t>x,y</m:t>
                  </m:r>
                </m:sub>
              </m:sSub>
              <m:r>
                <w:rPr>
                  <w:rFonts w:ascii="Cambria Math" w:hAnsi="Cambria Math" w:cs="Arial"/>
                </w:rPr>
                <m:t>=PAF</m:t>
              </m:r>
            </m:e>
            <m:sub>
              <m:r>
                <w:rPr>
                  <w:rFonts w:ascii="Cambria Math" w:hAnsi="Cambria Math" w:cs="Arial"/>
                </w:rPr>
                <m:t>x,y,i</m:t>
              </m:r>
            </m:sub>
          </m:sSub>
          <m:r>
            <w:rPr>
              <w:rFonts w:ascii="Cambria Math" w:hAnsi="Cambria Math"/>
            </w:rPr>
            <m:t>∙</m:t>
          </m:r>
          <m:sSub>
            <m:sSubPr>
              <m:ctrlPr>
                <w:rPr>
                  <w:rFonts w:ascii="Cambria Math" w:hAnsi="Cambria Math" w:cs="Arial"/>
                  <w:i/>
                </w:rPr>
              </m:ctrlPr>
            </m:sSubPr>
            <m:e>
              <m:r>
                <w:rPr>
                  <w:rFonts w:ascii="Cambria Math" w:hAnsi="Cambria Math" w:cs="Arial"/>
                </w:rPr>
                <m:t>I</m:t>
              </m:r>
            </m:e>
            <m:sub>
              <m:r>
                <w:rPr>
                  <w:rFonts w:ascii="Cambria Math" w:hAnsi="Cambria Math" w:cs="Arial"/>
                </w:rPr>
                <m:t>y</m:t>
              </m:r>
            </m:sub>
          </m:sSub>
          <m:r>
            <w:rPr>
              <w:rFonts w:ascii="Cambria Math" w:hAnsi="Cambria Math"/>
            </w:rPr>
            <m:t>∙</m:t>
          </m:r>
          <m:r>
            <w:rPr>
              <w:rFonts w:ascii="Cambria Math" w:hAnsi="Cambria Math" w:cs="Arial"/>
            </w:rPr>
            <m:t>P</m:t>
          </m:r>
        </m:oMath>
      </m:oMathPara>
    </w:p>
    <w:p w14:paraId="3BB6C481" w14:textId="77777777" w:rsidR="004143EB" w:rsidRDefault="004143EB" w:rsidP="000F5909">
      <w:pPr>
        <w:shd w:val="clear" w:color="auto" w:fill="FFFFFF"/>
        <w:spacing w:line="240" w:lineRule="auto"/>
        <w:rPr>
          <w:rFonts w:cs="Arial"/>
          <w:szCs w:val="20"/>
        </w:rPr>
      </w:pPr>
    </w:p>
    <w:p w14:paraId="149DBF64" w14:textId="403E93BE" w:rsidR="00D1587C" w:rsidRPr="0072677C" w:rsidRDefault="00D1587C" w:rsidP="004143EB">
      <w:pPr>
        <w:shd w:val="clear" w:color="auto" w:fill="FFFFFF"/>
        <w:spacing w:before="120" w:line="240" w:lineRule="atLeast"/>
        <w:rPr>
          <w:rFonts w:cs="Arial"/>
          <w:szCs w:val="20"/>
        </w:rPr>
      </w:pPr>
      <w:r w:rsidRPr="0072677C">
        <w:rPr>
          <w:rFonts w:cs="Arial"/>
          <w:szCs w:val="20"/>
        </w:rPr>
        <w:t>za cestni promet.</w:t>
      </w:r>
    </w:p>
    <w:p w14:paraId="02C42A8F" w14:textId="77777777" w:rsidR="00D1587C" w:rsidRPr="0072677C" w:rsidRDefault="00D1587C" w:rsidP="004143EB">
      <w:pPr>
        <w:spacing w:before="120" w:line="240" w:lineRule="atLeast"/>
        <w:rPr>
          <w:rFonts w:cs="Arial"/>
          <w:szCs w:val="20"/>
        </w:rPr>
      </w:pPr>
      <w:r w:rsidRPr="0072677C">
        <w:rPr>
          <w:rFonts w:cs="Arial"/>
          <w:szCs w:val="20"/>
        </w:rPr>
        <w:t>pri čemer:</w:t>
      </w:r>
    </w:p>
    <w:p w14:paraId="3AA17183"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xml:space="preserve">- se </w:t>
      </w:r>
      <w:r w:rsidRPr="0002198D">
        <w:rPr>
          <w:rFonts w:cs="Arial"/>
          <w:szCs w:val="20"/>
        </w:rPr>
        <w:t>PAF</w:t>
      </w:r>
      <w:r w:rsidRPr="0002198D">
        <w:rPr>
          <w:rFonts w:cs="Arial"/>
          <w:szCs w:val="20"/>
          <w:vertAlign w:val="subscript"/>
        </w:rPr>
        <w:t>x,y,i</w:t>
      </w:r>
      <w:r w:rsidRPr="0072677C">
        <w:rPr>
          <w:rFonts w:cs="Arial"/>
          <w:szCs w:val="20"/>
        </w:rPr>
        <w:t xml:space="preserve"> izračuna za pojavnost </w:t>
      </w:r>
      <w:r w:rsidRPr="0072677C">
        <w:rPr>
          <w:rFonts w:cs="Arial"/>
          <w:i/>
          <w:iCs/>
          <w:szCs w:val="20"/>
        </w:rPr>
        <w:t>i</w:t>
      </w:r>
      <w:r w:rsidRPr="0072677C">
        <w:rPr>
          <w:rFonts w:cs="Arial"/>
          <w:szCs w:val="20"/>
        </w:rPr>
        <w:t>,</w:t>
      </w:r>
    </w:p>
    <w:p w14:paraId="5E8C85F5"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je </w:t>
      </w:r>
      <w:r w:rsidRPr="0002198D">
        <w:rPr>
          <w:rFonts w:cs="Arial"/>
          <w:szCs w:val="20"/>
        </w:rPr>
        <w:t>I</w:t>
      </w:r>
      <w:r w:rsidRPr="0002198D">
        <w:rPr>
          <w:rFonts w:cs="Arial"/>
          <w:szCs w:val="20"/>
          <w:vertAlign w:val="subscript"/>
        </w:rPr>
        <w:t>y</w:t>
      </w:r>
      <w:r w:rsidRPr="0072677C">
        <w:rPr>
          <w:rFonts w:cs="Arial"/>
          <w:szCs w:val="20"/>
        </w:rPr>
        <w:t> stopnja pojavnosti IHD na ocenjevanem območju, ki jo je mogoče pridobiti iz statističnih podatkov o zdravju za regijo ali državo, v kateri je območje,</w:t>
      </w:r>
    </w:p>
    <w:p w14:paraId="4FFBF0E7" w14:textId="77777777" w:rsidR="00D1587C" w:rsidRPr="0072677C" w:rsidRDefault="00D1587C" w:rsidP="00D1587C">
      <w:pPr>
        <w:shd w:val="clear" w:color="auto" w:fill="FFFFFF"/>
        <w:spacing w:before="60" w:after="60" w:line="240" w:lineRule="atLeast"/>
        <w:rPr>
          <w:rFonts w:ascii="Times New Roman" w:hAnsi="Times New Roman"/>
          <w:vanish/>
          <w:sz w:val="27"/>
          <w:szCs w:val="27"/>
        </w:rPr>
      </w:pPr>
      <w:r w:rsidRPr="0072677C">
        <w:rPr>
          <w:rFonts w:cs="Arial"/>
          <w:szCs w:val="20"/>
        </w:rPr>
        <w:t xml:space="preserve">- je </w:t>
      </w:r>
      <w:r w:rsidRPr="0002198D">
        <w:rPr>
          <w:rFonts w:cs="Arial"/>
          <w:szCs w:val="20"/>
        </w:rPr>
        <w:t>P</w:t>
      </w:r>
      <w:r w:rsidRPr="0072677C">
        <w:rPr>
          <w:rFonts w:cs="Arial"/>
          <w:szCs w:val="20"/>
        </w:rPr>
        <w:t xml:space="preserve"> celotna populacija ocenjevanega območja (vsota populacije v različnih pasovih hrupa).</w:t>
      </w:r>
    </w:p>
    <w:p w14:paraId="15B1AD20" w14:textId="77777777" w:rsidR="004143EB" w:rsidRDefault="004143EB" w:rsidP="000F5909">
      <w:pPr>
        <w:shd w:val="clear" w:color="auto" w:fill="FFFFFF"/>
        <w:spacing w:line="240" w:lineRule="auto"/>
        <w:rPr>
          <w:rFonts w:cs="Arial"/>
          <w:szCs w:val="20"/>
        </w:rPr>
      </w:pPr>
    </w:p>
    <w:p w14:paraId="0F55B326" w14:textId="6D9D5297" w:rsidR="00D1587C" w:rsidRDefault="00D1587C" w:rsidP="000F5909">
      <w:pPr>
        <w:shd w:val="clear" w:color="auto" w:fill="FFFFFF"/>
        <w:spacing w:before="120" w:after="120" w:line="240" w:lineRule="atLeast"/>
        <w:rPr>
          <w:rFonts w:cs="Arial"/>
          <w:szCs w:val="20"/>
        </w:rPr>
      </w:pPr>
      <w:r w:rsidRPr="004143EB">
        <w:rPr>
          <w:rFonts w:cs="Arial"/>
          <w:szCs w:val="20"/>
        </w:rPr>
        <w:t>3.3 Za HA in HSD v primeru hrupa cestnega, železniškega in letalskega prometa je skupno število </w:t>
      </w:r>
      <w:r w:rsidRPr="004143EB">
        <w:rPr>
          <w:rFonts w:cs="Arial"/>
          <w:i/>
          <w:iCs/>
          <w:szCs w:val="20"/>
        </w:rPr>
        <w:t>N</w:t>
      </w:r>
      <w:r w:rsidRPr="004143EB">
        <w:rPr>
          <w:rFonts w:cs="Arial"/>
          <w:szCs w:val="20"/>
        </w:rPr>
        <w:t> ljudi, ki jih prizadene škodljivi učinek </w:t>
      </w:r>
      <w:r w:rsidRPr="0002198D">
        <w:rPr>
          <w:rFonts w:cs="Arial"/>
          <w:szCs w:val="20"/>
        </w:rPr>
        <w:t>y</w:t>
      </w:r>
      <w:r w:rsidRPr="004143EB">
        <w:rPr>
          <w:rFonts w:cs="Arial"/>
          <w:szCs w:val="20"/>
        </w:rPr>
        <w:t> (število pripisljivih primerov) zaradi vira </w:t>
      </w:r>
      <w:r w:rsidRPr="0002198D">
        <w:rPr>
          <w:rFonts w:cs="Arial"/>
          <w:szCs w:val="20"/>
        </w:rPr>
        <w:t>x</w:t>
      </w:r>
      <w:r w:rsidRPr="004143EB">
        <w:rPr>
          <w:rFonts w:cs="Arial"/>
          <w:szCs w:val="20"/>
        </w:rPr>
        <w:t> za vsako kombinacijo vira </w:t>
      </w:r>
      <w:r w:rsidRPr="0002198D">
        <w:rPr>
          <w:rFonts w:cs="Arial"/>
          <w:szCs w:val="20"/>
        </w:rPr>
        <w:t>x</w:t>
      </w:r>
      <w:r w:rsidRPr="004143EB">
        <w:rPr>
          <w:rFonts w:cs="Arial"/>
          <w:szCs w:val="20"/>
        </w:rPr>
        <w:t> (cestni, železniški ali letalski promet) in škodljivega učinka </w:t>
      </w:r>
      <w:r w:rsidRPr="0002198D">
        <w:rPr>
          <w:rFonts w:cs="Arial"/>
          <w:szCs w:val="20"/>
        </w:rPr>
        <w:t>y</w:t>
      </w:r>
      <w:r w:rsidRPr="004143EB">
        <w:rPr>
          <w:rFonts w:cs="Arial"/>
          <w:szCs w:val="20"/>
        </w:rPr>
        <w:t> (HA, HSD) torej:</w:t>
      </w:r>
    </w:p>
    <w:p w14:paraId="477660DE" w14:textId="77777777" w:rsidR="004143EB" w:rsidRPr="004143EB" w:rsidRDefault="004143EB" w:rsidP="000F5909">
      <w:pPr>
        <w:shd w:val="clear" w:color="auto" w:fill="FFFFFF"/>
        <w:spacing w:line="240" w:lineRule="auto"/>
        <w:rPr>
          <w:rFonts w:cs="Arial"/>
          <w:szCs w:val="20"/>
        </w:rPr>
      </w:pPr>
    </w:p>
    <w:p w14:paraId="65C67B7D" w14:textId="77777777" w:rsidR="00D1587C" w:rsidRPr="0072677C" w:rsidRDefault="00FC5D3B" w:rsidP="00D1587C">
      <w:pPr>
        <w:shd w:val="clear" w:color="auto" w:fill="FFFFFF"/>
        <w:spacing w:before="120" w:after="120" w:line="312" w:lineRule="atLeast"/>
        <w:jc w:val="center"/>
        <w:rPr>
          <w:rFonts w:ascii="Times New Roman" w:hAnsi="Times New Roman"/>
          <w:noProof/>
          <w:sz w:val="27"/>
          <w:szCs w:val="27"/>
        </w:rPr>
      </w:pPr>
      <m:oMathPara>
        <m:oMath>
          <m:sSub>
            <m:sSubPr>
              <m:ctrlPr>
                <w:rPr>
                  <w:rFonts w:ascii="Cambria Math" w:hAnsi="Cambria Math"/>
                  <w:i/>
                </w:rPr>
              </m:ctrlPr>
            </m:sSubPr>
            <m:e>
              <m:r>
                <w:rPr>
                  <w:rFonts w:ascii="Cambria Math" w:hAnsi="Cambria Math"/>
                </w:rPr>
                <m:t>N</m:t>
              </m:r>
            </m:e>
            <m:sub>
              <m:r>
                <w:rPr>
                  <w:rFonts w:ascii="Cambria Math" w:hAnsi="Cambria Math"/>
                </w:rPr>
                <m:t>x,y</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AR</m:t>
                      </m:r>
                    </m:e>
                    <m:sub>
                      <m:r>
                        <w:rPr>
                          <w:rFonts w:ascii="Cambria Math" w:hAnsi="Cambria Math"/>
                        </w:rPr>
                        <m:t>j,x,y</m:t>
                      </m:r>
                    </m:sub>
                  </m:sSub>
                </m:e>
              </m:d>
            </m:e>
          </m:nary>
        </m:oMath>
      </m:oMathPara>
    </w:p>
    <w:p w14:paraId="74A44D64" w14:textId="77777777" w:rsidR="004143EB" w:rsidRDefault="004143EB" w:rsidP="000F5909">
      <w:pPr>
        <w:shd w:val="clear" w:color="auto" w:fill="FFFFFF"/>
        <w:spacing w:line="240" w:lineRule="auto"/>
        <w:rPr>
          <w:rFonts w:cs="Arial"/>
          <w:szCs w:val="20"/>
        </w:rPr>
      </w:pPr>
    </w:p>
    <w:p w14:paraId="0A7C5D94" w14:textId="236F01C9" w:rsidR="00D1587C" w:rsidRPr="0072677C" w:rsidRDefault="00D1587C" w:rsidP="00D1587C">
      <w:pPr>
        <w:shd w:val="clear" w:color="auto" w:fill="FFFFFF"/>
        <w:spacing w:before="120" w:line="240" w:lineRule="atLeast"/>
        <w:rPr>
          <w:rFonts w:cs="Arial"/>
          <w:szCs w:val="20"/>
        </w:rPr>
      </w:pPr>
      <w:r w:rsidRPr="0072677C">
        <w:rPr>
          <w:rFonts w:cs="Arial"/>
          <w:szCs w:val="20"/>
        </w:rPr>
        <w:t>pri čemer:</w:t>
      </w:r>
    </w:p>
    <w:p w14:paraId="601EB135"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xml:space="preserve">- </w:t>
      </w:r>
      <w:r w:rsidRPr="0002198D">
        <w:rPr>
          <w:rFonts w:cs="Arial"/>
          <w:szCs w:val="20"/>
        </w:rPr>
        <w:t>AR</w:t>
      </w:r>
      <w:r w:rsidRPr="0002198D">
        <w:rPr>
          <w:rFonts w:cs="Arial"/>
          <w:szCs w:val="20"/>
          <w:vertAlign w:val="subscript"/>
        </w:rPr>
        <w:t>x,y</w:t>
      </w:r>
      <w:r w:rsidRPr="0072677C">
        <w:rPr>
          <w:rFonts w:cs="Arial"/>
          <w:i/>
          <w:iCs/>
          <w:szCs w:val="20"/>
        </w:rPr>
        <w:t xml:space="preserve"> je </w:t>
      </w:r>
      <w:r w:rsidRPr="0002198D">
        <w:rPr>
          <w:rFonts w:cs="Arial"/>
          <w:szCs w:val="20"/>
        </w:rPr>
        <w:t>AR</w:t>
      </w:r>
      <w:r w:rsidRPr="0072677C">
        <w:rPr>
          <w:rFonts w:cs="Arial"/>
          <w:szCs w:val="20"/>
        </w:rPr>
        <w:t xml:space="preserve"> zadevnega škodljivega učinka (HA, HSD) in se izračuna po formulah iz točke 2 te priloge, in sicer pri srednji vrednosti vsakega pasu hrupa (npr.: glede na razpoložljivost podatkov pri 50,5 dB za pas hrupa 50 - 51 dB ali 52 dB za pas hrupa 50 - 54 dB),</w:t>
      </w:r>
    </w:p>
    <w:p w14:paraId="1481322C"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xml:space="preserve">- </w:t>
      </w:r>
      <w:r w:rsidRPr="0002198D">
        <w:rPr>
          <w:rFonts w:cs="Arial"/>
          <w:szCs w:val="20"/>
        </w:rPr>
        <w:t>n</w:t>
      </w:r>
      <w:r w:rsidRPr="0002198D">
        <w:rPr>
          <w:rFonts w:cs="Arial"/>
          <w:szCs w:val="20"/>
          <w:vertAlign w:val="subscript"/>
        </w:rPr>
        <w:t>j</w:t>
      </w:r>
      <w:r w:rsidRPr="0002198D">
        <w:rPr>
          <w:rFonts w:cs="Arial"/>
          <w:szCs w:val="20"/>
        </w:rPr>
        <w:t> </w:t>
      </w:r>
      <w:r w:rsidRPr="0072677C">
        <w:rPr>
          <w:rFonts w:cs="Arial"/>
          <w:szCs w:val="20"/>
        </w:rPr>
        <w:t>število ljudi, izpostavljenih </w:t>
      </w:r>
      <w:r w:rsidRPr="0002198D">
        <w:rPr>
          <w:rFonts w:cs="Arial"/>
          <w:szCs w:val="20"/>
        </w:rPr>
        <w:t>j</w:t>
      </w:r>
      <w:r w:rsidRPr="0072677C">
        <w:rPr>
          <w:rFonts w:cs="Arial"/>
          <w:szCs w:val="20"/>
        </w:rPr>
        <w:t>-temu pasu izpostavljenosti.</w:t>
      </w:r>
    </w:p>
    <w:p w14:paraId="11ED3CA8" w14:textId="77777777" w:rsidR="000F5909" w:rsidRDefault="000F5909" w:rsidP="000F5909">
      <w:pPr>
        <w:shd w:val="clear" w:color="auto" w:fill="FFFFFF"/>
        <w:spacing w:line="240" w:lineRule="auto"/>
        <w:rPr>
          <w:rFonts w:cs="Arial"/>
          <w:szCs w:val="20"/>
        </w:rPr>
      </w:pPr>
    </w:p>
    <w:p w14:paraId="3B6E7563" w14:textId="7AB87855" w:rsidR="00D1587C" w:rsidRPr="004143EB" w:rsidRDefault="00D1587C" w:rsidP="000F5909">
      <w:pPr>
        <w:shd w:val="clear" w:color="auto" w:fill="FFFFFF"/>
        <w:spacing w:before="120" w:after="120" w:line="240" w:lineRule="atLeast"/>
        <w:rPr>
          <w:rFonts w:cs="Arial"/>
          <w:szCs w:val="20"/>
        </w:rPr>
      </w:pPr>
      <w:r w:rsidRPr="004143EB">
        <w:rPr>
          <w:rFonts w:cs="Arial"/>
          <w:szCs w:val="20"/>
        </w:rPr>
        <w:t>4. Prihodnje revizije</w:t>
      </w:r>
    </w:p>
    <w:p w14:paraId="179A21AC" w14:textId="77777777" w:rsidR="00D1587C" w:rsidRPr="0072677C" w:rsidRDefault="00D1587C" w:rsidP="00D1587C">
      <w:pPr>
        <w:shd w:val="clear" w:color="auto" w:fill="FFFFFF"/>
        <w:spacing w:before="120" w:line="240" w:lineRule="atLeast"/>
        <w:rPr>
          <w:rFonts w:cs="Arial"/>
          <w:szCs w:val="20"/>
        </w:rPr>
      </w:pPr>
      <w:r w:rsidRPr="0072677C">
        <w:rPr>
          <w:rFonts w:cs="Arial"/>
          <w:szCs w:val="20"/>
        </w:rPr>
        <w:lastRenderedPageBreak/>
        <w:t>Razmerja med odmerkom in učinkom, ki jih bodo uvedle prihodnje revizije te priloge, bodo še posebej zadevala:</w:t>
      </w:r>
    </w:p>
    <w:p w14:paraId="0F0A7AA3"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razmerje med motnjami in L</w:t>
      </w:r>
      <w:r w:rsidRPr="0072677C">
        <w:rPr>
          <w:rFonts w:cs="Arial"/>
          <w:szCs w:val="20"/>
          <w:vertAlign w:val="subscript"/>
        </w:rPr>
        <w:t>DVN</w:t>
      </w:r>
      <w:r w:rsidRPr="0072677C">
        <w:rPr>
          <w:rFonts w:cs="Arial"/>
          <w:szCs w:val="20"/>
        </w:rPr>
        <w:t> za industrijski hrup,</w:t>
      </w:r>
    </w:p>
    <w:p w14:paraId="200F66B4"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povezavo med motnjami spanja in L</w:t>
      </w:r>
      <w:r w:rsidRPr="0072677C">
        <w:rPr>
          <w:rFonts w:cs="Arial"/>
          <w:szCs w:val="20"/>
          <w:vertAlign w:val="subscript"/>
        </w:rPr>
        <w:t>NOČ</w:t>
      </w:r>
      <w:r w:rsidRPr="0072677C">
        <w:rPr>
          <w:rFonts w:cs="Arial"/>
          <w:szCs w:val="20"/>
        </w:rPr>
        <w:t> za industrijski hrup.</w:t>
      </w:r>
    </w:p>
    <w:p w14:paraId="7CD53683" w14:textId="77777777" w:rsidR="000F5909" w:rsidRDefault="000F5909" w:rsidP="000F5909">
      <w:pPr>
        <w:shd w:val="clear" w:color="auto" w:fill="FFFFFF"/>
        <w:spacing w:line="240" w:lineRule="auto"/>
        <w:rPr>
          <w:rFonts w:cs="Arial"/>
          <w:szCs w:val="20"/>
        </w:rPr>
      </w:pPr>
    </w:p>
    <w:p w14:paraId="09E3D6AB" w14:textId="57449356" w:rsidR="00D1587C" w:rsidRPr="0072677C" w:rsidRDefault="00D1587C" w:rsidP="00D1587C">
      <w:pPr>
        <w:shd w:val="clear" w:color="auto" w:fill="FFFFFF"/>
        <w:spacing w:before="120" w:line="240" w:lineRule="atLeast"/>
        <w:rPr>
          <w:rFonts w:cs="Arial"/>
          <w:szCs w:val="20"/>
        </w:rPr>
      </w:pPr>
      <w:r w:rsidRPr="0072677C">
        <w:rPr>
          <w:rFonts w:cs="Arial"/>
          <w:szCs w:val="20"/>
        </w:rPr>
        <w:t>Po potrebi se lahko uvedejo posebna razmerja med odmerkom in učinkom za:</w:t>
      </w:r>
    </w:p>
    <w:p w14:paraId="04AF1858"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bivališča s posebno protihrupno zaščito, kot je opredeljeno v Prilogi VI,</w:t>
      </w:r>
    </w:p>
    <w:p w14:paraId="4C45A09D"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bivališča s tiho fasado, kot je opredeljeno v Prilogi VI,</w:t>
      </w:r>
    </w:p>
    <w:p w14:paraId="262F8D2A"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različna podnebja/različne kulture,</w:t>
      </w:r>
    </w:p>
    <w:p w14:paraId="09474DD7"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ranljive skupine prebivalstva,</w:t>
      </w:r>
    </w:p>
    <w:p w14:paraId="0F81F2D2" w14:textId="77777777" w:rsidR="00D1587C" w:rsidRPr="0072677C" w:rsidRDefault="00D1587C" w:rsidP="00D1587C">
      <w:pPr>
        <w:shd w:val="clear" w:color="auto" w:fill="FFFFFF"/>
        <w:spacing w:before="60" w:after="60" w:line="240" w:lineRule="atLeast"/>
        <w:rPr>
          <w:rFonts w:cs="Arial"/>
          <w:szCs w:val="20"/>
        </w:rPr>
      </w:pPr>
      <w:r w:rsidRPr="0072677C">
        <w:rPr>
          <w:rFonts w:cs="Arial"/>
          <w:szCs w:val="20"/>
        </w:rPr>
        <w:t>- tonalen industrijski hrup,</w:t>
      </w:r>
    </w:p>
    <w:p w14:paraId="0D83CA78" w14:textId="6115B831" w:rsidR="00224858" w:rsidRPr="0072677C" w:rsidRDefault="00D1587C" w:rsidP="00D1587C">
      <w:pPr>
        <w:shd w:val="clear" w:color="auto" w:fill="FFFFFF"/>
        <w:spacing w:before="60" w:after="60" w:line="240" w:lineRule="atLeast"/>
        <w:rPr>
          <w:rFonts w:cs="Arial"/>
          <w:szCs w:val="20"/>
        </w:rPr>
      </w:pPr>
      <w:r w:rsidRPr="0072677C">
        <w:rPr>
          <w:rFonts w:cs="Arial"/>
          <w:szCs w:val="20"/>
        </w:rPr>
        <w:t>- impulzni industrijski hrup in druge posebne primere</w:t>
      </w:r>
      <w:r w:rsidR="00224858" w:rsidRPr="0072677C">
        <w:rPr>
          <w:rFonts w:cs="Arial"/>
          <w:szCs w:val="20"/>
        </w:rPr>
        <w:t>«.</w:t>
      </w:r>
    </w:p>
    <w:sectPr w:rsidR="00224858" w:rsidRPr="0072677C" w:rsidSect="00C23415">
      <w:headerReference w:type="default" r:id="rId11"/>
      <w:footerReference w:type="default" r:id="rId12"/>
      <w:type w:val="continuous"/>
      <w:pgSz w:w="11907" w:h="16840" w:code="9"/>
      <w:pgMar w:top="1417" w:right="1417" w:bottom="1417" w:left="1417" w:header="708" w:footer="708" w:gutter="0"/>
      <w:pgNumType w:start="1"/>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882583" w14:textId="77777777" w:rsidR="00FC5D3B" w:rsidRDefault="00FC5D3B" w:rsidP="00443548">
      <w:r>
        <w:separator/>
      </w:r>
    </w:p>
  </w:endnote>
  <w:endnote w:type="continuationSeparator" w:id="0">
    <w:p w14:paraId="68283546" w14:textId="77777777" w:rsidR="00FC5D3B" w:rsidRDefault="00FC5D3B"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Cambria Math">
    <w:panose1 w:val="02040503050406030204"/>
    <w:charset w:val="EE"/>
    <w:family w:val="roman"/>
    <w:pitch w:val="variable"/>
    <w:sig w:usb0="E00006FF" w:usb1="420024FF" w:usb2="02000000" w:usb3="00000000" w:csb0="0000019F" w:csb1="00000000"/>
  </w:font>
  <w:font w:name="NimbusSanDEECon">
    <w:altName w:val="Arial"/>
    <w:panose1 w:val="00000000000000000000"/>
    <w:charset w:val="00"/>
    <w:family w:val="decorative"/>
    <w:notTrueType/>
    <w:pitch w:val="variable"/>
    <w:sig w:usb0="00000007"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DC4B07" w14:textId="77777777" w:rsidR="00FD0FC2" w:rsidRPr="00FD0FC2" w:rsidRDefault="00FD0FC2">
    <w:pPr>
      <w:pStyle w:val="Noga"/>
      <w:jc w:val="right"/>
      <w:rPr>
        <w:rFonts w:ascii="Arial" w:hAnsi="Arial" w:cs="Arial"/>
      </w:rPr>
    </w:pPr>
    <w:r w:rsidRPr="00FD0FC2">
      <w:rPr>
        <w:rFonts w:ascii="Arial" w:hAnsi="Arial" w:cs="Arial"/>
      </w:rPr>
      <w:fldChar w:fldCharType="begin"/>
    </w:r>
    <w:r w:rsidRPr="00FD0FC2">
      <w:rPr>
        <w:rFonts w:ascii="Arial" w:hAnsi="Arial" w:cs="Arial"/>
      </w:rPr>
      <w:instrText>PAGE   \* MERGEFORMAT</w:instrText>
    </w:r>
    <w:r w:rsidRPr="00FD0FC2">
      <w:rPr>
        <w:rFonts w:ascii="Arial" w:hAnsi="Arial" w:cs="Arial"/>
      </w:rPr>
      <w:fldChar w:fldCharType="separate"/>
    </w:r>
    <w:r w:rsidR="000B39CE" w:rsidRPr="000B39CE">
      <w:rPr>
        <w:rFonts w:ascii="Arial" w:hAnsi="Arial" w:cs="Arial"/>
        <w:noProof/>
        <w:lang w:val="sl-SI"/>
      </w:rPr>
      <w:t>25</w:t>
    </w:r>
    <w:r w:rsidRPr="00FD0FC2">
      <w:rPr>
        <w:rFonts w:ascii="Arial" w:hAnsi="Arial" w:cs="Arial"/>
      </w:rPr>
      <w:fldChar w:fldCharType="end"/>
    </w:r>
  </w:p>
  <w:p w14:paraId="7C373DBB" w14:textId="77777777" w:rsidR="00CA364A" w:rsidRPr="00CA364A" w:rsidRDefault="00CA364A">
    <w:pPr>
      <w:pStyle w:val="Noga"/>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81A6B4" w14:textId="77777777" w:rsidR="00FC5D3B" w:rsidRDefault="00FC5D3B" w:rsidP="00443548">
      <w:r>
        <w:separator/>
      </w:r>
    </w:p>
  </w:footnote>
  <w:footnote w:type="continuationSeparator" w:id="0">
    <w:p w14:paraId="4BDF5E9B" w14:textId="77777777" w:rsidR="00FC5D3B" w:rsidRDefault="00FC5D3B"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6A2130" w14:textId="77777777" w:rsidR="001911EA" w:rsidRPr="00C54633" w:rsidRDefault="001911EA"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C29E6"/>
    <w:multiLevelType w:val="hybridMultilevel"/>
    <w:tmpl w:val="1F8A7B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77428C"/>
    <w:multiLevelType w:val="hybridMultilevel"/>
    <w:tmpl w:val="4176A3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904B04"/>
    <w:multiLevelType w:val="hybridMultilevel"/>
    <w:tmpl w:val="523E86A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E85F93"/>
    <w:multiLevelType w:val="hybridMultilevel"/>
    <w:tmpl w:val="9F945A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E16013"/>
    <w:multiLevelType w:val="hybridMultilevel"/>
    <w:tmpl w:val="13C85618"/>
    <w:lvl w:ilvl="0" w:tplc="E47E3D3E">
      <w:start w:val="4"/>
      <w:numFmt w:val="bullet"/>
      <w:lvlText w:val="-"/>
      <w:lvlJc w:val="left"/>
      <w:pPr>
        <w:ind w:left="1288" w:hanging="360"/>
      </w:pPr>
      <w:rPr>
        <w:rFonts w:ascii="Arial" w:eastAsia="Trebuchet MS" w:hAnsi="Arial" w:cs="Aria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5" w15:restartNumberingAfterBreak="0">
    <w:nsid w:val="2053433C"/>
    <w:multiLevelType w:val="hybridMultilevel"/>
    <w:tmpl w:val="9ECA3906"/>
    <w:lvl w:ilvl="0" w:tplc="926A722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CFD2281"/>
    <w:multiLevelType w:val="hybridMultilevel"/>
    <w:tmpl w:val="F00A35A6"/>
    <w:lvl w:ilvl="0" w:tplc="04240005">
      <w:start w:val="1"/>
      <w:numFmt w:val="bullet"/>
      <w:lvlText w:val=""/>
      <w:lvlJc w:val="left"/>
      <w:pPr>
        <w:ind w:left="1496" w:hanging="360"/>
      </w:pPr>
      <w:rPr>
        <w:rFonts w:ascii="Wingdings" w:hAnsi="Wingdings" w:hint="default"/>
      </w:rPr>
    </w:lvl>
    <w:lvl w:ilvl="1" w:tplc="08090003" w:tentative="1">
      <w:start w:val="1"/>
      <w:numFmt w:val="bullet"/>
      <w:lvlText w:val="o"/>
      <w:lvlJc w:val="left"/>
      <w:pPr>
        <w:ind w:left="2216" w:hanging="360"/>
      </w:pPr>
      <w:rPr>
        <w:rFonts w:ascii="Courier New" w:hAnsi="Courier New" w:cs="Courier New" w:hint="default"/>
      </w:rPr>
    </w:lvl>
    <w:lvl w:ilvl="2" w:tplc="08090005" w:tentative="1">
      <w:start w:val="1"/>
      <w:numFmt w:val="bullet"/>
      <w:lvlText w:val=""/>
      <w:lvlJc w:val="left"/>
      <w:pPr>
        <w:ind w:left="2936" w:hanging="360"/>
      </w:pPr>
      <w:rPr>
        <w:rFonts w:ascii="Wingdings" w:hAnsi="Wingdings" w:hint="default"/>
      </w:rPr>
    </w:lvl>
    <w:lvl w:ilvl="3" w:tplc="08090001" w:tentative="1">
      <w:start w:val="1"/>
      <w:numFmt w:val="bullet"/>
      <w:lvlText w:val=""/>
      <w:lvlJc w:val="left"/>
      <w:pPr>
        <w:ind w:left="3656" w:hanging="360"/>
      </w:pPr>
      <w:rPr>
        <w:rFonts w:ascii="Symbol" w:hAnsi="Symbol" w:hint="default"/>
      </w:rPr>
    </w:lvl>
    <w:lvl w:ilvl="4" w:tplc="08090003" w:tentative="1">
      <w:start w:val="1"/>
      <w:numFmt w:val="bullet"/>
      <w:lvlText w:val="o"/>
      <w:lvlJc w:val="left"/>
      <w:pPr>
        <w:ind w:left="4376" w:hanging="360"/>
      </w:pPr>
      <w:rPr>
        <w:rFonts w:ascii="Courier New" w:hAnsi="Courier New" w:cs="Courier New" w:hint="default"/>
      </w:rPr>
    </w:lvl>
    <w:lvl w:ilvl="5" w:tplc="08090005" w:tentative="1">
      <w:start w:val="1"/>
      <w:numFmt w:val="bullet"/>
      <w:lvlText w:val=""/>
      <w:lvlJc w:val="left"/>
      <w:pPr>
        <w:ind w:left="5096" w:hanging="360"/>
      </w:pPr>
      <w:rPr>
        <w:rFonts w:ascii="Wingdings" w:hAnsi="Wingdings" w:hint="default"/>
      </w:rPr>
    </w:lvl>
    <w:lvl w:ilvl="6" w:tplc="08090001" w:tentative="1">
      <w:start w:val="1"/>
      <w:numFmt w:val="bullet"/>
      <w:lvlText w:val=""/>
      <w:lvlJc w:val="left"/>
      <w:pPr>
        <w:ind w:left="5816" w:hanging="360"/>
      </w:pPr>
      <w:rPr>
        <w:rFonts w:ascii="Symbol" w:hAnsi="Symbol" w:hint="default"/>
      </w:rPr>
    </w:lvl>
    <w:lvl w:ilvl="7" w:tplc="08090003" w:tentative="1">
      <w:start w:val="1"/>
      <w:numFmt w:val="bullet"/>
      <w:lvlText w:val="o"/>
      <w:lvlJc w:val="left"/>
      <w:pPr>
        <w:ind w:left="6536" w:hanging="360"/>
      </w:pPr>
      <w:rPr>
        <w:rFonts w:ascii="Courier New" w:hAnsi="Courier New" w:cs="Courier New" w:hint="default"/>
      </w:rPr>
    </w:lvl>
    <w:lvl w:ilvl="8" w:tplc="08090005" w:tentative="1">
      <w:start w:val="1"/>
      <w:numFmt w:val="bullet"/>
      <w:lvlText w:val=""/>
      <w:lvlJc w:val="left"/>
      <w:pPr>
        <w:ind w:left="7256" w:hanging="360"/>
      </w:pPr>
      <w:rPr>
        <w:rFonts w:ascii="Wingdings" w:hAnsi="Wingdings" w:hint="default"/>
      </w:rPr>
    </w:lvl>
  </w:abstractNum>
  <w:abstractNum w:abstractNumId="9" w15:restartNumberingAfterBreak="0">
    <w:nsid w:val="2ECE4170"/>
    <w:multiLevelType w:val="hybridMultilevel"/>
    <w:tmpl w:val="296440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1036FED"/>
    <w:multiLevelType w:val="hybridMultilevel"/>
    <w:tmpl w:val="543E4D62"/>
    <w:lvl w:ilvl="0" w:tplc="DF3E0E46">
      <w:start w:val="1"/>
      <w:numFmt w:val="decimal"/>
      <w:lvlText w:val="%1."/>
      <w:lvlJc w:val="left"/>
      <w:pPr>
        <w:ind w:left="144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2AA5A8E"/>
    <w:multiLevelType w:val="hybridMultilevel"/>
    <w:tmpl w:val="2C4E0FEA"/>
    <w:lvl w:ilvl="0" w:tplc="D4C87F04">
      <w:start w:val="1"/>
      <w:numFmt w:val="decimal"/>
      <w:lvlText w:val="%1."/>
      <w:lvlJc w:val="left"/>
      <w:pPr>
        <w:ind w:left="720" w:hanging="360"/>
      </w:pPr>
      <w:rPr>
        <w:rFonts w:ascii="Arial" w:eastAsia="Times New Roman" w:hAnsi="Arial"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4E60C50"/>
    <w:multiLevelType w:val="hybridMultilevel"/>
    <w:tmpl w:val="F0F0E8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AA34F8F"/>
    <w:multiLevelType w:val="hybridMultilevel"/>
    <w:tmpl w:val="E4BA693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CF013C2"/>
    <w:multiLevelType w:val="hybridMultilevel"/>
    <w:tmpl w:val="C2B644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4A06267"/>
    <w:multiLevelType w:val="hybridMultilevel"/>
    <w:tmpl w:val="37C60B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C157C77"/>
    <w:multiLevelType w:val="hybridMultilevel"/>
    <w:tmpl w:val="49640D66"/>
    <w:lvl w:ilvl="0" w:tplc="0424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988787F"/>
    <w:multiLevelType w:val="hybridMultilevel"/>
    <w:tmpl w:val="E4A05D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617676"/>
    <w:multiLevelType w:val="hybridMultilevel"/>
    <w:tmpl w:val="D42062E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CA01D7F"/>
    <w:multiLevelType w:val="hybridMultilevel"/>
    <w:tmpl w:val="8640C748"/>
    <w:lvl w:ilvl="0" w:tplc="75966664">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DAF4232"/>
    <w:multiLevelType w:val="hybridMultilevel"/>
    <w:tmpl w:val="54941C2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FD7599"/>
    <w:multiLevelType w:val="hybridMultilevel"/>
    <w:tmpl w:val="CEDEB7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FFC232A"/>
    <w:multiLevelType w:val="hybridMultilevel"/>
    <w:tmpl w:val="981857A6"/>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5" w15:restartNumberingAfterBreak="0">
    <w:nsid w:val="6B31162B"/>
    <w:multiLevelType w:val="hybridMultilevel"/>
    <w:tmpl w:val="59D6FEB4"/>
    <w:lvl w:ilvl="0" w:tplc="0424000F">
      <w:start w:val="1"/>
      <w:numFmt w:val="decimal"/>
      <w:lvlText w:val="%1."/>
      <w:lvlJc w:val="left"/>
      <w:pPr>
        <w:ind w:left="4188"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7A9719C"/>
    <w:multiLevelType w:val="hybridMultilevel"/>
    <w:tmpl w:val="9C04CEB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AFE3F44"/>
    <w:multiLevelType w:val="hybridMultilevel"/>
    <w:tmpl w:val="F0F0E8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C0D61B6"/>
    <w:multiLevelType w:val="hybridMultilevel"/>
    <w:tmpl w:val="B6C680D6"/>
    <w:lvl w:ilvl="0" w:tplc="76AC1A70">
      <w:start w:val="49"/>
      <w:numFmt w:val="bullet"/>
      <w:lvlText w:val=""/>
      <w:lvlJc w:val="left"/>
      <w:pPr>
        <w:ind w:left="1004" w:hanging="360"/>
      </w:pPr>
      <w:rPr>
        <w:rFonts w:ascii="Symbol" w:eastAsia="Times New Roman" w:hAnsi="Symbol"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9" w15:restartNumberingAfterBreak="0">
    <w:nsid w:val="7D115623"/>
    <w:multiLevelType w:val="hybridMultilevel"/>
    <w:tmpl w:val="B0565592"/>
    <w:lvl w:ilvl="0" w:tplc="0424000F">
      <w:start w:val="1"/>
      <w:numFmt w:val="decimal"/>
      <w:lvlText w:val="%1."/>
      <w:lvlJc w:val="left"/>
      <w:pPr>
        <w:ind w:left="720" w:hanging="360"/>
      </w:pPr>
    </w:lvl>
    <w:lvl w:ilvl="1" w:tplc="28941138">
      <w:start w:val="1"/>
      <w:numFmt w:val="decimal"/>
      <w:lvlText w:val="%2."/>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3"/>
  </w:num>
  <w:num w:numId="2">
    <w:abstractNumId w:val="18"/>
  </w:num>
  <w:num w:numId="3">
    <w:abstractNumId w:val="6"/>
  </w:num>
  <w:num w:numId="4">
    <w:abstractNumId w:val="7"/>
  </w:num>
  <w:num w:numId="5">
    <w:abstractNumId w:val="30"/>
  </w:num>
  <w:num w:numId="6">
    <w:abstractNumId w:val="23"/>
  </w:num>
  <w:num w:numId="7">
    <w:abstractNumId w:val="28"/>
  </w:num>
  <w:num w:numId="8">
    <w:abstractNumId w:val="25"/>
  </w:num>
  <w:num w:numId="9">
    <w:abstractNumId w:val="19"/>
  </w:num>
  <w:num w:numId="10">
    <w:abstractNumId w:val="29"/>
  </w:num>
  <w:num w:numId="11">
    <w:abstractNumId w:val="22"/>
  </w:num>
  <w:num w:numId="12">
    <w:abstractNumId w:val="3"/>
  </w:num>
  <w:num w:numId="13">
    <w:abstractNumId w:val="11"/>
  </w:num>
  <w:num w:numId="14">
    <w:abstractNumId w:val="16"/>
  </w:num>
  <w:num w:numId="15">
    <w:abstractNumId w:val="10"/>
  </w:num>
  <w:num w:numId="16">
    <w:abstractNumId w:val="2"/>
  </w:num>
  <w:num w:numId="17">
    <w:abstractNumId w:val="26"/>
  </w:num>
  <w:num w:numId="18">
    <w:abstractNumId w:val="0"/>
  </w:num>
  <w:num w:numId="19">
    <w:abstractNumId w:val="4"/>
  </w:num>
  <w:num w:numId="20">
    <w:abstractNumId w:val="8"/>
  </w:num>
  <w:num w:numId="21">
    <w:abstractNumId w:val="1"/>
  </w:num>
  <w:num w:numId="22">
    <w:abstractNumId w:val="9"/>
  </w:num>
  <w:num w:numId="23">
    <w:abstractNumId w:val="17"/>
  </w:num>
  <w:num w:numId="24">
    <w:abstractNumId w:val="12"/>
  </w:num>
  <w:num w:numId="25">
    <w:abstractNumId w:val="24"/>
  </w:num>
  <w:num w:numId="26">
    <w:abstractNumId w:val="14"/>
  </w:num>
  <w:num w:numId="27">
    <w:abstractNumId w:val="15"/>
  </w:num>
  <w:num w:numId="28">
    <w:abstractNumId w:val="27"/>
  </w:num>
  <w:num w:numId="29">
    <w:abstractNumId w:val="20"/>
  </w:num>
  <w:num w:numId="30">
    <w:abstractNumId w:val="5"/>
  </w:num>
  <w:num w:numId="31">
    <w:abstractNumId w:val="2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FD6"/>
    <w:rsid w:val="000004CB"/>
    <w:rsid w:val="0000259F"/>
    <w:rsid w:val="00002CD1"/>
    <w:rsid w:val="0000490C"/>
    <w:rsid w:val="00005E41"/>
    <w:rsid w:val="000063A7"/>
    <w:rsid w:val="0000687C"/>
    <w:rsid w:val="00007F5C"/>
    <w:rsid w:val="00014217"/>
    <w:rsid w:val="0001534E"/>
    <w:rsid w:val="000160D2"/>
    <w:rsid w:val="000164EC"/>
    <w:rsid w:val="00016B01"/>
    <w:rsid w:val="000175F5"/>
    <w:rsid w:val="00017B2F"/>
    <w:rsid w:val="00020D09"/>
    <w:rsid w:val="0002134B"/>
    <w:rsid w:val="0002198D"/>
    <w:rsid w:val="00022F33"/>
    <w:rsid w:val="00024377"/>
    <w:rsid w:val="00025736"/>
    <w:rsid w:val="00025A4F"/>
    <w:rsid w:val="0002654C"/>
    <w:rsid w:val="000316DB"/>
    <w:rsid w:val="00031AB2"/>
    <w:rsid w:val="00034AA4"/>
    <w:rsid w:val="0003541F"/>
    <w:rsid w:val="0003559C"/>
    <w:rsid w:val="00042210"/>
    <w:rsid w:val="000424B1"/>
    <w:rsid w:val="0004451F"/>
    <w:rsid w:val="00046CD1"/>
    <w:rsid w:val="00051D51"/>
    <w:rsid w:val="00053E2C"/>
    <w:rsid w:val="00054632"/>
    <w:rsid w:val="00060996"/>
    <w:rsid w:val="0006108A"/>
    <w:rsid w:val="000619C8"/>
    <w:rsid w:val="00062925"/>
    <w:rsid w:val="00062A89"/>
    <w:rsid w:val="00062C93"/>
    <w:rsid w:val="00062D3F"/>
    <w:rsid w:val="00064005"/>
    <w:rsid w:val="0006453D"/>
    <w:rsid w:val="000648A0"/>
    <w:rsid w:val="00065761"/>
    <w:rsid w:val="000661C9"/>
    <w:rsid w:val="000679AA"/>
    <w:rsid w:val="00073A51"/>
    <w:rsid w:val="00073B04"/>
    <w:rsid w:val="00074B66"/>
    <w:rsid w:val="00077F84"/>
    <w:rsid w:val="00083AC5"/>
    <w:rsid w:val="00084753"/>
    <w:rsid w:val="000904AA"/>
    <w:rsid w:val="00092857"/>
    <w:rsid w:val="000938FF"/>
    <w:rsid w:val="00095564"/>
    <w:rsid w:val="0009593C"/>
    <w:rsid w:val="00096A91"/>
    <w:rsid w:val="000A024D"/>
    <w:rsid w:val="000A30D7"/>
    <w:rsid w:val="000A320D"/>
    <w:rsid w:val="000A3731"/>
    <w:rsid w:val="000A5F8C"/>
    <w:rsid w:val="000A64FB"/>
    <w:rsid w:val="000A7A9F"/>
    <w:rsid w:val="000B12E8"/>
    <w:rsid w:val="000B39CE"/>
    <w:rsid w:val="000B3D42"/>
    <w:rsid w:val="000B6C7E"/>
    <w:rsid w:val="000B7CFC"/>
    <w:rsid w:val="000C0A67"/>
    <w:rsid w:val="000C191E"/>
    <w:rsid w:val="000C1920"/>
    <w:rsid w:val="000C383C"/>
    <w:rsid w:val="000C3B3C"/>
    <w:rsid w:val="000C5C64"/>
    <w:rsid w:val="000D01A7"/>
    <w:rsid w:val="000D0FA9"/>
    <w:rsid w:val="000D21CC"/>
    <w:rsid w:val="000D3B8D"/>
    <w:rsid w:val="000D4AEC"/>
    <w:rsid w:val="000D538C"/>
    <w:rsid w:val="000E18A8"/>
    <w:rsid w:val="000E2CDE"/>
    <w:rsid w:val="000F1C2E"/>
    <w:rsid w:val="000F3E26"/>
    <w:rsid w:val="000F5712"/>
    <w:rsid w:val="000F5909"/>
    <w:rsid w:val="000F6081"/>
    <w:rsid w:val="000F7C3E"/>
    <w:rsid w:val="001002B2"/>
    <w:rsid w:val="00103C64"/>
    <w:rsid w:val="00104ACD"/>
    <w:rsid w:val="00110A13"/>
    <w:rsid w:val="00112FEB"/>
    <w:rsid w:val="0011370A"/>
    <w:rsid w:val="001137B6"/>
    <w:rsid w:val="00115AE5"/>
    <w:rsid w:val="00115E18"/>
    <w:rsid w:val="001176D5"/>
    <w:rsid w:val="00120F95"/>
    <w:rsid w:val="00122276"/>
    <w:rsid w:val="0012384D"/>
    <w:rsid w:val="00126B18"/>
    <w:rsid w:val="00127B45"/>
    <w:rsid w:val="0013352A"/>
    <w:rsid w:val="00133F63"/>
    <w:rsid w:val="00134138"/>
    <w:rsid w:val="00134209"/>
    <w:rsid w:val="001347A1"/>
    <w:rsid w:val="00134C4A"/>
    <w:rsid w:val="001379F1"/>
    <w:rsid w:val="00137F7B"/>
    <w:rsid w:val="00140175"/>
    <w:rsid w:val="00140562"/>
    <w:rsid w:val="00144E08"/>
    <w:rsid w:val="00145384"/>
    <w:rsid w:val="001453C9"/>
    <w:rsid w:val="001463DB"/>
    <w:rsid w:val="00153910"/>
    <w:rsid w:val="001552A4"/>
    <w:rsid w:val="0016223E"/>
    <w:rsid w:val="00162B96"/>
    <w:rsid w:val="00171764"/>
    <w:rsid w:val="00175B77"/>
    <w:rsid w:val="00176D94"/>
    <w:rsid w:val="00185827"/>
    <w:rsid w:val="00185F49"/>
    <w:rsid w:val="001864CD"/>
    <w:rsid w:val="00186696"/>
    <w:rsid w:val="00187BC0"/>
    <w:rsid w:val="001911EA"/>
    <w:rsid w:val="001919CF"/>
    <w:rsid w:val="0019232A"/>
    <w:rsid w:val="001946C1"/>
    <w:rsid w:val="00194D6B"/>
    <w:rsid w:val="00195003"/>
    <w:rsid w:val="00196594"/>
    <w:rsid w:val="00197ECD"/>
    <w:rsid w:val="001A11F3"/>
    <w:rsid w:val="001A15A7"/>
    <w:rsid w:val="001A3623"/>
    <w:rsid w:val="001A4104"/>
    <w:rsid w:val="001A5F61"/>
    <w:rsid w:val="001A61F4"/>
    <w:rsid w:val="001A6D3D"/>
    <w:rsid w:val="001A7196"/>
    <w:rsid w:val="001B7734"/>
    <w:rsid w:val="001C42F3"/>
    <w:rsid w:val="001C5297"/>
    <w:rsid w:val="001C5775"/>
    <w:rsid w:val="001C579E"/>
    <w:rsid w:val="001C683A"/>
    <w:rsid w:val="001C786E"/>
    <w:rsid w:val="001D24A3"/>
    <w:rsid w:val="001D38CC"/>
    <w:rsid w:val="001D3D15"/>
    <w:rsid w:val="001E0103"/>
    <w:rsid w:val="001E032E"/>
    <w:rsid w:val="001E077C"/>
    <w:rsid w:val="001E20DB"/>
    <w:rsid w:val="001E5BF0"/>
    <w:rsid w:val="001E78DE"/>
    <w:rsid w:val="001F0BF0"/>
    <w:rsid w:val="001F1C72"/>
    <w:rsid w:val="001F20D5"/>
    <w:rsid w:val="001F4E1F"/>
    <w:rsid w:val="0020191C"/>
    <w:rsid w:val="00202EF2"/>
    <w:rsid w:val="00202F62"/>
    <w:rsid w:val="0020407E"/>
    <w:rsid w:val="0020662B"/>
    <w:rsid w:val="00207DB1"/>
    <w:rsid w:val="00207DEB"/>
    <w:rsid w:val="002117E5"/>
    <w:rsid w:val="002120E5"/>
    <w:rsid w:val="00212565"/>
    <w:rsid w:val="00214E32"/>
    <w:rsid w:val="00214EAA"/>
    <w:rsid w:val="00215159"/>
    <w:rsid w:val="00215806"/>
    <w:rsid w:val="00221B6B"/>
    <w:rsid w:val="00223D93"/>
    <w:rsid w:val="00224858"/>
    <w:rsid w:val="00227A87"/>
    <w:rsid w:val="00227D24"/>
    <w:rsid w:val="00230B63"/>
    <w:rsid w:val="00232E97"/>
    <w:rsid w:val="00233557"/>
    <w:rsid w:val="00234B18"/>
    <w:rsid w:val="00235DE0"/>
    <w:rsid w:val="00236F90"/>
    <w:rsid w:val="00243662"/>
    <w:rsid w:val="00243EAF"/>
    <w:rsid w:val="00245C14"/>
    <w:rsid w:val="00245FB2"/>
    <w:rsid w:val="00246710"/>
    <w:rsid w:val="00250BD4"/>
    <w:rsid w:val="00251F5E"/>
    <w:rsid w:val="00256E60"/>
    <w:rsid w:val="0025767C"/>
    <w:rsid w:val="00261604"/>
    <w:rsid w:val="00264876"/>
    <w:rsid w:val="00265A9D"/>
    <w:rsid w:val="00266123"/>
    <w:rsid w:val="00266AE0"/>
    <w:rsid w:val="00266DD9"/>
    <w:rsid w:val="00267F38"/>
    <w:rsid w:val="00271EF7"/>
    <w:rsid w:val="00275049"/>
    <w:rsid w:val="00277ADC"/>
    <w:rsid w:val="002800C6"/>
    <w:rsid w:val="00280413"/>
    <w:rsid w:val="002808F0"/>
    <w:rsid w:val="002846A1"/>
    <w:rsid w:val="0028523B"/>
    <w:rsid w:val="00285C6C"/>
    <w:rsid w:val="00287B32"/>
    <w:rsid w:val="00293387"/>
    <w:rsid w:val="002934E2"/>
    <w:rsid w:val="002937DA"/>
    <w:rsid w:val="002958B9"/>
    <w:rsid w:val="0029732D"/>
    <w:rsid w:val="002A0361"/>
    <w:rsid w:val="002A0DE5"/>
    <w:rsid w:val="002A4B22"/>
    <w:rsid w:val="002A580F"/>
    <w:rsid w:val="002A64BF"/>
    <w:rsid w:val="002A652F"/>
    <w:rsid w:val="002B0905"/>
    <w:rsid w:val="002B127C"/>
    <w:rsid w:val="002B1E82"/>
    <w:rsid w:val="002B6720"/>
    <w:rsid w:val="002C15EE"/>
    <w:rsid w:val="002C1B2C"/>
    <w:rsid w:val="002C1C9C"/>
    <w:rsid w:val="002C3281"/>
    <w:rsid w:val="002C4356"/>
    <w:rsid w:val="002C48A5"/>
    <w:rsid w:val="002C6C0A"/>
    <w:rsid w:val="002D0825"/>
    <w:rsid w:val="002D18C9"/>
    <w:rsid w:val="002D26CE"/>
    <w:rsid w:val="002D3878"/>
    <w:rsid w:val="002D7F1E"/>
    <w:rsid w:val="002D7F73"/>
    <w:rsid w:val="002E1B21"/>
    <w:rsid w:val="002E643C"/>
    <w:rsid w:val="002F26F3"/>
    <w:rsid w:val="002F2797"/>
    <w:rsid w:val="002F2EDB"/>
    <w:rsid w:val="002F58C6"/>
    <w:rsid w:val="002F65D8"/>
    <w:rsid w:val="002F6B51"/>
    <w:rsid w:val="00301A5D"/>
    <w:rsid w:val="00301D71"/>
    <w:rsid w:val="003031B8"/>
    <w:rsid w:val="00304960"/>
    <w:rsid w:val="00305566"/>
    <w:rsid w:val="00306E8E"/>
    <w:rsid w:val="00307C8B"/>
    <w:rsid w:val="00307D34"/>
    <w:rsid w:val="00311C87"/>
    <w:rsid w:val="003132D2"/>
    <w:rsid w:val="00314DA5"/>
    <w:rsid w:val="00315FF1"/>
    <w:rsid w:val="00316295"/>
    <w:rsid w:val="003227D4"/>
    <w:rsid w:val="00322ADC"/>
    <w:rsid w:val="00323172"/>
    <w:rsid w:val="003238F0"/>
    <w:rsid w:val="00324C93"/>
    <w:rsid w:val="00325716"/>
    <w:rsid w:val="00326161"/>
    <w:rsid w:val="00330B7C"/>
    <w:rsid w:val="0033211C"/>
    <w:rsid w:val="00332203"/>
    <w:rsid w:val="00332A21"/>
    <w:rsid w:val="00334A76"/>
    <w:rsid w:val="00334F04"/>
    <w:rsid w:val="00336D4C"/>
    <w:rsid w:val="0033719C"/>
    <w:rsid w:val="00337A3E"/>
    <w:rsid w:val="00340E88"/>
    <w:rsid w:val="003413F0"/>
    <w:rsid w:val="003428A2"/>
    <w:rsid w:val="00343175"/>
    <w:rsid w:val="00344FC6"/>
    <w:rsid w:val="00344FFB"/>
    <w:rsid w:val="00347980"/>
    <w:rsid w:val="00352542"/>
    <w:rsid w:val="003533D8"/>
    <w:rsid w:val="003556EF"/>
    <w:rsid w:val="00357591"/>
    <w:rsid w:val="00357876"/>
    <w:rsid w:val="00357EF6"/>
    <w:rsid w:val="003625A8"/>
    <w:rsid w:val="00363351"/>
    <w:rsid w:val="00364AB1"/>
    <w:rsid w:val="00365037"/>
    <w:rsid w:val="00365761"/>
    <w:rsid w:val="00366557"/>
    <w:rsid w:val="00366CA1"/>
    <w:rsid w:val="00372B25"/>
    <w:rsid w:val="00375D95"/>
    <w:rsid w:val="00375F36"/>
    <w:rsid w:val="00377BF9"/>
    <w:rsid w:val="003813D7"/>
    <w:rsid w:val="003814A5"/>
    <w:rsid w:val="00383158"/>
    <w:rsid w:val="00384867"/>
    <w:rsid w:val="00390128"/>
    <w:rsid w:val="003903C9"/>
    <w:rsid w:val="00390635"/>
    <w:rsid w:val="00390F4C"/>
    <w:rsid w:val="00394391"/>
    <w:rsid w:val="003A002B"/>
    <w:rsid w:val="003A39E9"/>
    <w:rsid w:val="003A3EC6"/>
    <w:rsid w:val="003A43AB"/>
    <w:rsid w:val="003B0D60"/>
    <w:rsid w:val="003B2435"/>
    <w:rsid w:val="003B3B9F"/>
    <w:rsid w:val="003B6087"/>
    <w:rsid w:val="003C0B04"/>
    <w:rsid w:val="003C3B7A"/>
    <w:rsid w:val="003C3C46"/>
    <w:rsid w:val="003C4588"/>
    <w:rsid w:val="003C4FAD"/>
    <w:rsid w:val="003C7E5C"/>
    <w:rsid w:val="003D40FF"/>
    <w:rsid w:val="003D4F3B"/>
    <w:rsid w:val="003D5964"/>
    <w:rsid w:val="003E1A68"/>
    <w:rsid w:val="003E2A05"/>
    <w:rsid w:val="003E3B4E"/>
    <w:rsid w:val="003E5C8C"/>
    <w:rsid w:val="003F13D4"/>
    <w:rsid w:val="003F343D"/>
    <w:rsid w:val="003F3D64"/>
    <w:rsid w:val="003F745E"/>
    <w:rsid w:val="003F7A79"/>
    <w:rsid w:val="004004F2"/>
    <w:rsid w:val="00400D5B"/>
    <w:rsid w:val="00401744"/>
    <w:rsid w:val="0040409B"/>
    <w:rsid w:val="00410994"/>
    <w:rsid w:val="00411162"/>
    <w:rsid w:val="00411F20"/>
    <w:rsid w:val="0041396B"/>
    <w:rsid w:val="00413F17"/>
    <w:rsid w:val="004140D3"/>
    <w:rsid w:val="004143EB"/>
    <w:rsid w:val="00417824"/>
    <w:rsid w:val="00420B11"/>
    <w:rsid w:val="0042119E"/>
    <w:rsid w:val="004237DD"/>
    <w:rsid w:val="00423B50"/>
    <w:rsid w:val="00424AE1"/>
    <w:rsid w:val="00426264"/>
    <w:rsid w:val="004301AC"/>
    <w:rsid w:val="004303FB"/>
    <w:rsid w:val="0043040F"/>
    <w:rsid w:val="00430F26"/>
    <w:rsid w:val="00433220"/>
    <w:rsid w:val="0043488B"/>
    <w:rsid w:val="004352A1"/>
    <w:rsid w:val="00437C2B"/>
    <w:rsid w:val="00442705"/>
    <w:rsid w:val="00443548"/>
    <w:rsid w:val="00444BF7"/>
    <w:rsid w:val="00444DE6"/>
    <w:rsid w:val="00444F01"/>
    <w:rsid w:val="00447415"/>
    <w:rsid w:val="0045626D"/>
    <w:rsid w:val="00456923"/>
    <w:rsid w:val="00460A3B"/>
    <w:rsid w:val="004614AC"/>
    <w:rsid w:val="004620F8"/>
    <w:rsid w:val="0046386B"/>
    <w:rsid w:val="004640EB"/>
    <w:rsid w:val="00466C7F"/>
    <w:rsid w:val="00470269"/>
    <w:rsid w:val="00470B20"/>
    <w:rsid w:val="00471A91"/>
    <w:rsid w:val="00472702"/>
    <w:rsid w:val="00475200"/>
    <w:rsid w:val="00480F1C"/>
    <w:rsid w:val="00481EC9"/>
    <w:rsid w:val="00482C30"/>
    <w:rsid w:val="004852AF"/>
    <w:rsid w:val="0049015E"/>
    <w:rsid w:val="004924A8"/>
    <w:rsid w:val="004A1842"/>
    <w:rsid w:val="004A1DED"/>
    <w:rsid w:val="004A2559"/>
    <w:rsid w:val="004A430F"/>
    <w:rsid w:val="004B18A8"/>
    <w:rsid w:val="004B350F"/>
    <w:rsid w:val="004B580D"/>
    <w:rsid w:val="004B62CF"/>
    <w:rsid w:val="004B6CA0"/>
    <w:rsid w:val="004B6FC0"/>
    <w:rsid w:val="004C04BA"/>
    <w:rsid w:val="004C05BD"/>
    <w:rsid w:val="004C1319"/>
    <w:rsid w:val="004C44DA"/>
    <w:rsid w:val="004C5F89"/>
    <w:rsid w:val="004D3599"/>
    <w:rsid w:val="004D4141"/>
    <w:rsid w:val="004D657D"/>
    <w:rsid w:val="004D6AD1"/>
    <w:rsid w:val="004D78F5"/>
    <w:rsid w:val="004E0837"/>
    <w:rsid w:val="004E15E0"/>
    <w:rsid w:val="004E3334"/>
    <w:rsid w:val="004E6D9E"/>
    <w:rsid w:val="004F06B5"/>
    <w:rsid w:val="004F0CEC"/>
    <w:rsid w:val="004F68ED"/>
    <w:rsid w:val="004F75A7"/>
    <w:rsid w:val="004F7C8C"/>
    <w:rsid w:val="00500A7F"/>
    <w:rsid w:val="00501320"/>
    <w:rsid w:val="0050551B"/>
    <w:rsid w:val="005058C8"/>
    <w:rsid w:val="00510025"/>
    <w:rsid w:val="00513832"/>
    <w:rsid w:val="0051403E"/>
    <w:rsid w:val="00514041"/>
    <w:rsid w:val="00516F80"/>
    <w:rsid w:val="00517297"/>
    <w:rsid w:val="0052477C"/>
    <w:rsid w:val="00526027"/>
    <w:rsid w:val="00526D60"/>
    <w:rsid w:val="00531D6B"/>
    <w:rsid w:val="005320FE"/>
    <w:rsid w:val="0053297C"/>
    <w:rsid w:val="00533010"/>
    <w:rsid w:val="00534734"/>
    <w:rsid w:val="005365E3"/>
    <w:rsid w:val="00537B7E"/>
    <w:rsid w:val="00541E6F"/>
    <w:rsid w:val="00541FFB"/>
    <w:rsid w:val="00542733"/>
    <w:rsid w:val="00543CB3"/>
    <w:rsid w:val="00547BC2"/>
    <w:rsid w:val="00550483"/>
    <w:rsid w:val="00552850"/>
    <w:rsid w:val="00552A40"/>
    <w:rsid w:val="00565DD5"/>
    <w:rsid w:val="005666C6"/>
    <w:rsid w:val="00566908"/>
    <w:rsid w:val="005723A9"/>
    <w:rsid w:val="005737E1"/>
    <w:rsid w:val="00576288"/>
    <w:rsid w:val="00576B57"/>
    <w:rsid w:val="005807D8"/>
    <w:rsid w:val="00582818"/>
    <w:rsid w:val="00582CAD"/>
    <w:rsid w:val="005862D8"/>
    <w:rsid w:val="00591F33"/>
    <w:rsid w:val="005932AD"/>
    <w:rsid w:val="005937AC"/>
    <w:rsid w:val="005951AB"/>
    <w:rsid w:val="00597A4F"/>
    <w:rsid w:val="005A2AFE"/>
    <w:rsid w:val="005A5963"/>
    <w:rsid w:val="005A5C94"/>
    <w:rsid w:val="005B15A2"/>
    <w:rsid w:val="005B2B0E"/>
    <w:rsid w:val="005B2F29"/>
    <w:rsid w:val="005B438F"/>
    <w:rsid w:val="005B71E6"/>
    <w:rsid w:val="005C1117"/>
    <w:rsid w:val="005C4142"/>
    <w:rsid w:val="005C4C42"/>
    <w:rsid w:val="005C63AB"/>
    <w:rsid w:val="005D0D55"/>
    <w:rsid w:val="005D23D1"/>
    <w:rsid w:val="005D2F2C"/>
    <w:rsid w:val="005D355C"/>
    <w:rsid w:val="005D5286"/>
    <w:rsid w:val="005E00D1"/>
    <w:rsid w:val="005E1441"/>
    <w:rsid w:val="005E2BA1"/>
    <w:rsid w:val="005E3FA9"/>
    <w:rsid w:val="005E4834"/>
    <w:rsid w:val="005E5BA6"/>
    <w:rsid w:val="005E6FC1"/>
    <w:rsid w:val="005F0CF2"/>
    <w:rsid w:val="005F1CE8"/>
    <w:rsid w:val="005F1E18"/>
    <w:rsid w:val="005F4BEC"/>
    <w:rsid w:val="00602654"/>
    <w:rsid w:val="00605309"/>
    <w:rsid w:val="00606AFE"/>
    <w:rsid w:val="00606BCE"/>
    <w:rsid w:val="00607941"/>
    <w:rsid w:val="00610223"/>
    <w:rsid w:val="006128F9"/>
    <w:rsid w:val="00612CB1"/>
    <w:rsid w:val="00614752"/>
    <w:rsid w:val="00614922"/>
    <w:rsid w:val="00616C3B"/>
    <w:rsid w:val="00617CEE"/>
    <w:rsid w:val="006218A3"/>
    <w:rsid w:val="006254A2"/>
    <w:rsid w:val="00625CE5"/>
    <w:rsid w:val="00626B6B"/>
    <w:rsid w:val="0062765D"/>
    <w:rsid w:val="00631ECE"/>
    <w:rsid w:val="00632B36"/>
    <w:rsid w:val="00641AFC"/>
    <w:rsid w:val="00641BA8"/>
    <w:rsid w:val="006447ED"/>
    <w:rsid w:val="0064584D"/>
    <w:rsid w:val="00645AB5"/>
    <w:rsid w:val="00650323"/>
    <w:rsid w:val="006505BC"/>
    <w:rsid w:val="006515D2"/>
    <w:rsid w:val="006535A2"/>
    <w:rsid w:val="006536A2"/>
    <w:rsid w:val="00653C19"/>
    <w:rsid w:val="00653E85"/>
    <w:rsid w:val="0065667B"/>
    <w:rsid w:val="00661BCA"/>
    <w:rsid w:val="00663B9F"/>
    <w:rsid w:val="00664B0F"/>
    <w:rsid w:val="006651B8"/>
    <w:rsid w:val="006668F8"/>
    <w:rsid w:val="00666F02"/>
    <w:rsid w:val="006679A9"/>
    <w:rsid w:val="006728C8"/>
    <w:rsid w:val="006773CE"/>
    <w:rsid w:val="006800CC"/>
    <w:rsid w:val="00680723"/>
    <w:rsid w:val="00680DDA"/>
    <w:rsid w:val="00681399"/>
    <w:rsid w:val="0068345A"/>
    <w:rsid w:val="00684507"/>
    <w:rsid w:val="006947E4"/>
    <w:rsid w:val="006963D4"/>
    <w:rsid w:val="00696488"/>
    <w:rsid w:val="006A2F05"/>
    <w:rsid w:val="006A2FC7"/>
    <w:rsid w:val="006A353A"/>
    <w:rsid w:val="006A4D92"/>
    <w:rsid w:val="006A74CB"/>
    <w:rsid w:val="006B0224"/>
    <w:rsid w:val="006B2FD5"/>
    <w:rsid w:val="006B4C35"/>
    <w:rsid w:val="006B57F9"/>
    <w:rsid w:val="006C0A1E"/>
    <w:rsid w:val="006C4360"/>
    <w:rsid w:val="006C6B58"/>
    <w:rsid w:val="006C751D"/>
    <w:rsid w:val="006D02B2"/>
    <w:rsid w:val="006D0622"/>
    <w:rsid w:val="006D502D"/>
    <w:rsid w:val="006D5599"/>
    <w:rsid w:val="006D65A2"/>
    <w:rsid w:val="006F164D"/>
    <w:rsid w:val="006F16BB"/>
    <w:rsid w:val="006F28B9"/>
    <w:rsid w:val="006F5414"/>
    <w:rsid w:val="006F5822"/>
    <w:rsid w:val="006F70DF"/>
    <w:rsid w:val="00700DA2"/>
    <w:rsid w:val="007044F6"/>
    <w:rsid w:val="0070554F"/>
    <w:rsid w:val="00712F31"/>
    <w:rsid w:val="007135E6"/>
    <w:rsid w:val="007137E1"/>
    <w:rsid w:val="00715DCE"/>
    <w:rsid w:val="00716053"/>
    <w:rsid w:val="00717378"/>
    <w:rsid w:val="007203BF"/>
    <w:rsid w:val="00724401"/>
    <w:rsid w:val="0072483E"/>
    <w:rsid w:val="00725FD6"/>
    <w:rsid w:val="0072677C"/>
    <w:rsid w:val="00726A3D"/>
    <w:rsid w:val="00726D52"/>
    <w:rsid w:val="0072743F"/>
    <w:rsid w:val="007275E1"/>
    <w:rsid w:val="00730A65"/>
    <w:rsid w:val="007314BB"/>
    <w:rsid w:val="0073549C"/>
    <w:rsid w:val="007362CE"/>
    <w:rsid w:val="00743D0B"/>
    <w:rsid w:val="00743F51"/>
    <w:rsid w:val="00747B95"/>
    <w:rsid w:val="00751781"/>
    <w:rsid w:val="00752CA2"/>
    <w:rsid w:val="00752F69"/>
    <w:rsid w:val="007532B9"/>
    <w:rsid w:val="00754DC8"/>
    <w:rsid w:val="007558AC"/>
    <w:rsid w:val="00755DEF"/>
    <w:rsid w:val="00760443"/>
    <w:rsid w:val="007605AD"/>
    <w:rsid w:val="00763381"/>
    <w:rsid w:val="0076757D"/>
    <w:rsid w:val="00771955"/>
    <w:rsid w:val="00775046"/>
    <w:rsid w:val="00776A7D"/>
    <w:rsid w:val="00776F5A"/>
    <w:rsid w:val="007826AD"/>
    <w:rsid w:val="0078288E"/>
    <w:rsid w:val="00782AC2"/>
    <w:rsid w:val="00783E72"/>
    <w:rsid w:val="00784A32"/>
    <w:rsid w:val="00785457"/>
    <w:rsid w:val="00786D08"/>
    <w:rsid w:val="00790883"/>
    <w:rsid w:val="0079634A"/>
    <w:rsid w:val="007976F1"/>
    <w:rsid w:val="00797F7C"/>
    <w:rsid w:val="007A0222"/>
    <w:rsid w:val="007A23D5"/>
    <w:rsid w:val="007A2DB8"/>
    <w:rsid w:val="007A656F"/>
    <w:rsid w:val="007A667E"/>
    <w:rsid w:val="007B1C11"/>
    <w:rsid w:val="007B4873"/>
    <w:rsid w:val="007B68AA"/>
    <w:rsid w:val="007C01E1"/>
    <w:rsid w:val="007C2DDF"/>
    <w:rsid w:val="007C362B"/>
    <w:rsid w:val="007C7D80"/>
    <w:rsid w:val="007D0DB9"/>
    <w:rsid w:val="007D0DD3"/>
    <w:rsid w:val="007D5649"/>
    <w:rsid w:val="007D6671"/>
    <w:rsid w:val="007E1289"/>
    <w:rsid w:val="007E2200"/>
    <w:rsid w:val="007E2CE9"/>
    <w:rsid w:val="007E45E3"/>
    <w:rsid w:val="007E7792"/>
    <w:rsid w:val="007E7CE2"/>
    <w:rsid w:val="007F239B"/>
    <w:rsid w:val="007F2C19"/>
    <w:rsid w:val="007F38EA"/>
    <w:rsid w:val="007F64EE"/>
    <w:rsid w:val="007F7B25"/>
    <w:rsid w:val="00800AB6"/>
    <w:rsid w:val="00802243"/>
    <w:rsid w:val="00802331"/>
    <w:rsid w:val="0080249C"/>
    <w:rsid w:val="0080751C"/>
    <w:rsid w:val="0081269E"/>
    <w:rsid w:val="0082000B"/>
    <w:rsid w:val="00824593"/>
    <w:rsid w:val="008251FC"/>
    <w:rsid w:val="00827C05"/>
    <w:rsid w:val="008306F8"/>
    <w:rsid w:val="00832888"/>
    <w:rsid w:val="00832A23"/>
    <w:rsid w:val="00833D61"/>
    <w:rsid w:val="00841A1C"/>
    <w:rsid w:val="0084423E"/>
    <w:rsid w:val="008448ED"/>
    <w:rsid w:val="00846AD6"/>
    <w:rsid w:val="00846C19"/>
    <w:rsid w:val="008478AF"/>
    <w:rsid w:val="008539E9"/>
    <w:rsid w:val="00857BAA"/>
    <w:rsid w:val="00860B0C"/>
    <w:rsid w:val="00860F4C"/>
    <w:rsid w:val="00861513"/>
    <w:rsid w:val="00862114"/>
    <w:rsid w:val="00862EE2"/>
    <w:rsid w:val="008647F9"/>
    <w:rsid w:val="00866B69"/>
    <w:rsid w:val="008751D4"/>
    <w:rsid w:val="0088054B"/>
    <w:rsid w:val="00881813"/>
    <w:rsid w:val="00885075"/>
    <w:rsid w:val="008865F3"/>
    <w:rsid w:val="0089037F"/>
    <w:rsid w:val="00893316"/>
    <w:rsid w:val="008A03AC"/>
    <w:rsid w:val="008A03E8"/>
    <w:rsid w:val="008A162A"/>
    <w:rsid w:val="008A2226"/>
    <w:rsid w:val="008A3282"/>
    <w:rsid w:val="008A3D14"/>
    <w:rsid w:val="008A3F03"/>
    <w:rsid w:val="008A50C0"/>
    <w:rsid w:val="008A691D"/>
    <w:rsid w:val="008A7482"/>
    <w:rsid w:val="008B0F3C"/>
    <w:rsid w:val="008B2048"/>
    <w:rsid w:val="008B564E"/>
    <w:rsid w:val="008B6CB5"/>
    <w:rsid w:val="008B70D5"/>
    <w:rsid w:val="008C035A"/>
    <w:rsid w:val="008C1421"/>
    <w:rsid w:val="008C2EF7"/>
    <w:rsid w:val="008C46B2"/>
    <w:rsid w:val="008D2708"/>
    <w:rsid w:val="008D3E25"/>
    <w:rsid w:val="008D4865"/>
    <w:rsid w:val="008D4A69"/>
    <w:rsid w:val="008D50AC"/>
    <w:rsid w:val="008D5E9B"/>
    <w:rsid w:val="008E0806"/>
    <w:rsid w:val="008E0BFB"/>
    <w:rsid w:val="008E352F"/>
    <w:rsid w:val="008E40E0"/>
    <w:rsid w:val="008E47CE"/>
    <w:rsid w:val="008E68B3"/>
    <w:rsid w:val="008E7C53"/>
    <w:rsid w:val="008F0F1B"/>
    <w:rsid w:val="008F408D"/>
    <w:rsid w:val="008F42E2"/>
    <w:rsid w:val="008F6622"/>
    <w:rsid w:val="008F766E"/>
    <w:rsid w:val="00900E24"/>
    <w:rsid w:val="00901789"/>
    <w:rsid w:val="009032E6"/>
    <w:rsid w:val="0090498F"/>
    <w:rsid w:val="00904D7B"/>
    <w:rsid w:val="00907F78"/>
    <w:rsid w:val="009118E3"/>
    <w:rsid w:val="00917BB3"/>
    <w:rsid w:val="00920E94"/>
    <w:rsid w:val="00921884"/>
    <w:rsid w:val="00923946"/>
    <w:rsid w:val="009272AB"/>
    <w:rsid w:val="009272E1"/>
    <w:rsid w:val="00930CD3"/>
    <w:rsid w:val="009310E0"/>
    <w:rsid w:val="009340CD"/>
    <w:rsid w:val="00934B8B"/>
    <w:rsid w:val="00934C60"/>
    <w:rsid w:val="00936A4D"/>
    <w:rsid w:val="00937C2C"/>
    <w:rsid w:val="00944C92"/>
    <w:rsid w:val="009465A9"/>
    <w:rsid w:val="00951B53"/>
    <w:rsid w:val="00951BA6"/>
    <w:rsid w:val="009531F7"/>
    <w:rsid w:val="00955570"/>
    <w:rsid w:val="009556FE"/>
    <w:rsid w:val="009603A2"/>
    <w:rsid w:val="00960A28"/>
    <w:rsid w:val="00960CC7"/>
    <w:rsid w:val="00961A1C"/>
    <w:rsid w:val="0096246A"/>
    <w:rsid w:val="00962CD1"/>
    <w:rsid w:val="00964294"/>
    <w:rsid w:val="009658BC"/>
    <w:rsid w:val="00965B44"/>
    <w:rsid w:val="00967D6A"/>
    <w:rsid w:val="0097165C"/>
    <w:rsid w:val="00972B80"/>
    <w:rsid w:val="00980491"/>
    <w:rsid w:val="00980D9E"/>
    <w:rsid w:val="00982808"/>
    <w:rsid w:val="009832B3"/>
    <w:rsid w:val="00990177"/>
    <w:rsid w:val="009902D1"/>
    <w:rsid w:val="00994346"/>
    <w:rsid w:val="00997747"/>
    <w:rsid w:val="009A2357"/>
    <w:rsid w:val="009A2E8B"/>
    <w:rsid w:val="009A3AC4"/>
    <w:rsid w:val="009B1535"/>
    <w:rsid w:val="009B18EC"/>
    <w:rsid w:val="009B2237"/>
    <w:rsid w:val="009B2316"/>
    <w:rsid w:val="009B2446"/>
    <w:rsid w:val="009B4668"/>
    <w:rsid w:val="009B4C88"/>
    <w:rsid w:val="009B52FA"/>
    <w:rsid w:val="009B66EE"/>
    <w:rsid w:val="009B6FE9"/>
    <w:rsid w:val="009B7219"/>
    <w:rsid w:val="009C01C7"/>
    <w:rsid w:val="009C1C01"/>
    <w:rsid w:val="009C1F1C"/>
    <w:rsid w:val="009C2E81"/>
    <w:rsid w:val="009C6AF3"/>
    <w:rsid w:val="009C77F8"/>
    <w:rsid w:val="009C7DEB"/>
    <w:rsid w:val="009D0CC1"/>
    <w:rsid w:val="009D13DB"/>
    <w:rsid w:val="009D3061"/>
    <w:rsid w:val="009D54B5"/>
    <w:rsid w:val="009E0E57"/>
    <w:rsid w:val="009E1D22"/>
    <w:rsid w:val="009E2F34"/>
    <w:rsid w:val="009E3807"/>
    <w:rsid w:val="009E3A9D"/>
    <w:rsid w:val="009E6CCA"/>
    <w:rsid w:val="009F1354"/>
    <w:rsid w:val="009F198D"/>
    <w:rsid w:val="009F1D9B"/>
    <w:rsid w:val="009F22BE"/>
    <w:rsid w:val="009F41AC"/>
    <w:rsid w:val="009F64FA"/>
    <w:rsid w:val="009F67BB"/>
    <w:rsid w:val="009F6949"/>
    <w:rsid w:val="009F77F1"/>
    <w:rsid w:val="00A01CA5"/>
    <w:rsid w:val="00A03238"/>
    <w:rsid w:val="00A03E7D"/>
    <w:rsid w:val="00A04978"/>
    <w:rsid w:val="00A05962"/>
    <w:rsid w:val="00A06E71"/>
    <w:rsid w:val="00A14B5C"/>
    <w:rsid w:val="00A174CF"/>
    <w:rsid w:val="00A179FD"/>
    <w:rsid w:val="00A20596"/>
    <w:rsid w:val="00A20B09"/>
    <w:rsid w:val="00A225EE"/>
    <w:rsid w:val="00A229FE"/>
    <w:rsid w:val="00A278BB"/>
    <w:rsid w:val="00A30940"/>
    <w:rsid w:val="00A310C4"/>
    <w:rsid w:val="00A31972"/>
    <w:rsid w:val="00A3695D"/>
    <w:rsid w:val="00A403DD"/>
    <w:rsid w:val="00A40E63"/>
    <w:rsid w:val="00A4247D"/>
    <w:rsid w:val="00A433DC"/>
    <w:rsid w:val="00A44A0E"/>
    <w:rsid w:val="00A45F0C"/>
    <w:rsid w:val="00A5051F"/>
    <w:rsid w:val="00A51514"/>
    <w:rsid w:val="00A52603"/>
    <w:rsid w:val="00A532BB"/>
    <w:rsid w:val="00A551DE"/>
    <w:rsid w:val="00A55301"/>
    <w:rsid w:val="00A56032"/>
    <w:rsid w:val="00A560E8"/>
    <w:rsid w:val="00A567DE"/>
    <w:rsid w:val="00A57955"/>
    <w:rsid w:val="00A604BF"/>
    <w:rsid w:val="00A60714"/>
    <w:rsid w:val="00A618C7"/>
    <w:rsid w:val="00A62228"/>
    <w:rsid w:val="00A63052"/>
    <w:rsid w:val="00A631DE"/>
    <w:rsid w:val="00A64F6B"/>
    <w:rsid w:val="00A6638E"/>
    <w:rsid w:val="00A665CD"/>
    <w:rsid w:val="00A66B33"/>
    <w:rsid w:val="00A75302"/>
    <w:rsid w:val="00A76A8B"/>
    <w:rsid w:val="00A812CC"/>
    <w:rsid w:val="00A8366C"/>
    <w:rsid w:val="00A83970"/>
    <w:rsid w:val="00A847B5"/>
    <w:rsid w:val="00A85E00"/>
    <w:rsid w:val="00A8637A"/>
    <w:rsid w:val="00A91239"/>
    <w:rsid w:val="00A95FEE"/>
    <w:rsid w:val="00AA178A"/>
    <w:rsid w:val="00AA2173"/>
    <w:rsid w:val="00AA219C"/>
    <w:rsid w:val="00AA302B"/>
    <w:rsid w:val="00AA3ECE"/>
    <w:rsid w:val="00AB15CD"/>
    <w:rsid w:val="00AB20EA"/>
    <w:rsid w:val="00AB3C17"/>
    <w:rsid w:val="00AB59AB"/>
    <w:rsid w:val="00AB61A8"/>
    <w:rsid w:val="00AC0D26"/>
    <w:rsid w:val="00AC325E"/>
    <w:rsid w:val="00AC4A33"/>
    <w:rsid w:val="00AC53B7"/>
    <w:rsid w:val="00AC56C5"/>
    <w:rsid w:val="00AC6273"/>
    <w:rsid w:val="00AC666A"/>
    <w:rsid w:val="00AD536E"/>
    <w:rsid w:val="00AD60FC"/>
    <w:rsid w:val="00AE04BE"/>
    <w:rsid w:val="00AE12CC"/>
    <w:rsid w:val="00AE2EE2"/>
    <w:rsid w:val="00AE6A99"/>
    <w:rsid w:val="00AE7017"/>
    <w:rsid w:val="00AE7827"/>
    <w:rsid w:val="00AF0120"/>
    <w:rsid w:val="00AF1E9E"/>
    <w:rsid w:val="00AF67C5"/>
    <w:rsid w:val="00B01A8D"/>
    <w:rsid w:val="00B04C06"/>
    <w:rsid w:val="00B069D1"/>
    <w:rsid w:val="00B10C8E"/>
    <w:rsid w:val="00B125D6"/>
    <w:rsid w:val="00B12DC9"/>
    <w:rsid w:val="00B140E9"/>
    <w:rsid w:val="00B15104"/>
    <w:rsid w:val="00B1742B"/>
    <w:rsid w:val="00B177A0"/>
    <w:rsid w:val="00B17BA2"/>
    <w:rsid w:val="00B27770"/>
    <w:rsid w:val="00B30CB8"/>
    <w:rsid w:val="00B30EA1"/>
    <w:rsid w:val="00B35147"/>
    <w:rsid w:val="00B3609A"/>
    <w:rsid w:val="00B36ECA"/>
    <w:rsid w:val="00B40178"/>
    <w:rsid w:val="00B402EB"/>
    <w:rsid w:val="00B45420"/>
    <w:rsid w:val="00B46716"/>
    <w:rsid w:val="00B47B1D"/>
    <w:rsid w:val="00B50DBD"/>
    <w:rsid w:val="00B51EC6"/>
    <w:rsid w:val="00B52560"/>
    <w:rsid w:val="00B528F9"/>
    <w:rsid w:val="00B543F3"/>
    <w:rsid w:val="00B549B6"/>
    <w:rsid w:val="00B57DFF"/>
    <w:rsid w:val="00B63627"/>
    <w:rsid w:val="00B648E5"/>
    <w:rsid w:val="00B64FEE"/>
    <w:rsid w:val="00B6534D"/>
    <w:rsid w:val="00B71082"/>
    <w:rsid w:val="00B7110D"/>
    <w:rsid w:val="00B719F3"/>
    <w:rsid w:val="00B7459D"/>
    <w:rsid w:val="00B74A2B"/>
    <w:rsid w:val="00B763AD"/>
    <w:rsid w:val="00B920EE"/>
    <w:rsid w:val="00B92F9A"/>
    <w:rsid w:val="00B93E7E"/>
    <w:rsid w:val="00B962E7"/>
    <w:rsid w:val="00B964C9"/>
    <w:rsid w:val="00B97D06"/>
    <w:rsid w:val="00BA1A9B"/>
    <w:rsid w:val="00BA41C2"/>
    <w:rsid w:val="00BA6BDC"/>
    <w:rsid w:val="00BA719F"/>
    <w:rsid w:val="00BA78B3"/>
    <w:rsid w:val="00BA7A5B"/>
    <w:rsid w:val="00BB180E"/>
    <w:rsid w:val="00BB1BC1"/>
    <w:rsid w:val="00BB31AB"/>
    <w:rsid w:val="00BB3FB7"/>
    <w:rsid w:val="00BB4A81"/>
    <w:rsid w:val="00BB4A82"/>
    <w:rsid w:val="00BB6B94"/>
    <w:rsid w:val="00BC02EA"/>
    <w:rsid w:val="00BC06EA"/>
    <w:rsid w:val="00BC12BC"/>
    <w:rsid w:val="00BC6765"/>
    <w:rsid w:val="00BD0E57"/>
    <w:rsid w:val="00BD3170"/>
    <w:rsid w:val="00BD3311"/>
    <w:rsid w:val="00BD3FF1"/>
    <w:rsid w:val="00BD5968"/>
    <w:rsid w:val="00BD5B6E"/>
    <w:rsid w:val="00BE3BC7"/>
    <w:rsid w:val="00BE6F1E"/>
    <w:rsid w:val="00BE7C78"/>
    <w:rsid w:val="00BF31D2"/>
    <w:rsid w:val="00BF4130"/>
    <w:rsid w:val="00BF441E"/>
    <w:rsid w:val="00BF4A3F"/>
    <w:rsid w:val="00BF6AC3"/>
    <w:rsid w:val="00BF7797"/>
    <w:rsid w:val="00BF7E62"/>
    <w:rsid w:val="00BF7E70"/>
    <w:rsid w:val="00C00061"/>
    <w:rsid w:val="00C00460"/>
    <w:rsid w:val="00C03551"/>
    <w:rsid w:val="00C0362A"/>
    <w:rsid w:val="00C05C39"/>
    <w:rsid w:val="00C15992"/>
    <w:rsid w:val="00C15CE0"/>
    <w:rsid w:val="00C162F4"/>
    <w:rsid w:val="00C172CC"/>
    <w:rsid w:val="00C17D40"/>
    <w:rsid w:val="00C2149E"/>
    <w:rsid w:val="00C21C36"/>
    <w:rsid w:val="00C23415"/>
    <w:rsid w:val="00C2642A"/>
    <w:rsid w:val="00C273D6"/>
    <w:rsid w:val="00C32981"/>
    <w:rsid w:val="00C34B17"/>
    <w:rsid w:val="00C4163B"/>
    <w:rsid w:val="00C42D98"/>
    <w:rsid w:val="00C4408B"/>
    <w:rsid w:val="00C4438F"/>
    <w:rsid w:val="00C44455"/>
    <w:rsid w:val="00C45C9F"/>
    <w:rsid w:val="00C46C25"/>
    <w:rsid w:val="00C47CB7"/>
    <w:rsid w:val="00C5057C"/>
    <w:rsid w:val="00C512E8"/>
    <w:rsid w:val="00C516E0"/>
    <w:rsid w:val="00C5319B"/>
    <w:rsid w:val="00C6033F"/>
    <w:rsid w:val="00C609C4"/>
    <w:rsid w:val="00C61D1F"/>
    <w:rsid w:val="00C67C08"/>
    <w:rsid w:val="00C67D86"/>
    <w:rsid w:val="00C71C33"/>
    <w:rsid w:val="00C71F40"/>
    <w:rsid w:val="00C72BA4"/>
    <w:rsid w:val="00C76AE6"/>
    <w:rsid w:val="00C7750E"/>
    <w:rsid w:val="00C77637"/>
    <w:rsid w:val="00C824BE"/>
    <w:rsid w:val="00C85247"/>
    <w:rsid w:val="00C863F6"/>
    <w:rsid w:val="00C864E6"/>
    <w:rsid w:val="00C900D0"/>
    <w:rsid w:val="00C91D27"/>
    <w:rsid w:val="00C92329"/>
    <w:rsid w:val="00C96621"/>
    <w:rsid w:val="00CA1AB3"/>
    <w:rsid w:val="00CA364A"/>
    <w:rsid w:val="00CA60E0"/>
    <w:rsid w:val="00CC357F"/>
    <w:rsid w:val="00CC4502"/>
    <w:rsid w:val="00CC5658"/>
    <w:rsid w:val="00CC6E11"/>
    <w:rsid w:val="00CC6E79"/>
    <w:rsid w:val="00CD1086"/>
    <w:rsid w:val="00CD20D3"/>
    <w:rsid w:val="00CD4F1E"/>
    <w:rsid w:val="00CE0379"/>
    <w:rsid w:val="00CE3B4C"/>
    <w:rsid w:val="00CE5311"/>
    <w:rsid w:val="00CE6449"/>
    <w:rsid w:val="00CE729A"/>
    <w:rsid w:val="00CE7945"/>
    <w:rsid w:val="00CF0B01"/>
    <w:rsid w:val="00CF1409"/>
    <w:rsid w:val="00CF2D8C"/>
    <w:rsid w:val="00CF3506"/>
    <w:rsid w:val="00CF3919"/>
    <w:rsid w:val="00CF584E"/>
    <w:rsid w:val="00CF5A86"/>
    <w:rsid w:val="00CF647F"/>
    <w:rsid w:val="00CF7C9B"/>
    <w:rsid w:val="00D01073"/>
    <w:rsid w:val="00D029AB"/>
    <w:rsid w:val="00D039B8"/>
    <w:rsid w:val="00D03E95"/>
    <w:rsid w:val="00D046EC"/>
    <w:rsid w:val="00D1037D"/>
    <w:rsid w:val="00D109EA"/>
    <w:rsid w:val="00D10F4A"/>
    <w:rsid w:val="00D11299"/>
    <w:rsid w:val="00D1587C"/>
    <w:rsid w:val="00D16332"/>
    <w:rsid w:val="00D16B39"/>
    <w:rsid w:val="00D22AB4"/>
    <w:rsid w:val="00D2364F"/>
    <w:rsid w:val="00D26367"/>
    <w:rsid w:val="00D3057D"/>
    <w:rsid w:val="00D30DD5"/>
    <w:rsid w:val="00D32D87"/>
    <w:rsid w:val="00D36286"/>
    <w:rsid w:val="00D368BC"/>
    <w:rsid w:val="00D40D27"/>
    <w:rsid w:val="00D42B9D"/>
    <w:rsid w:val="00D43EC9"/>
    <w:rsid w:val="00D43ECE"/>
    <w:rsid w:val="00D477AC"/>
    <w:rsid w:val="00D47A6C"/>
    <w:rsid w:val="00D50964"/>
    <w:rsid w:val="00D51DDC"/>
    <w:rsid w:val="00D523E1"/>
    <w:rsid w:val="00D5341B"/>
    <w:rsid w:val="00D541ED"/>
    <w:rsid w:val="00D5476B"/>
    <w:rsid w:val="00D56DC8"/>
    <w:rsid w:val="00D57F74"/>
    <w:rsid w:val="00D61B0C"/>
    <w:rsid w:val="00D652EC"/>
    <w:rsid w:val="00D70276"/>
    <w:rsid w:val="00D72FD8"/>
    <w:rsid w:val="00D75318"/>
    <w:rsid w:val="00D75507"/>
    <w:rsid w:val="00D763DA"/>
    <w:rsid w:val="00D77C39"/>
    <w:rsid w:val="00D801A5"/>
    <w:rsid w:val="00D82715"/>
    <w:rsid w:val="00D8361F"/>
    <w:rsid w:val="00D83698"/>
    <w:rsid w:val="00D8713C"/>
    <w:rsid w:val="00D87F0A"/>
    <w:rsid w:val="00D90588"/>
    <w:rsid w:val="00D922FB"/>
    <w:rsid w:val="00D93833"/>
    <w:rsid w:val="00D957D4"/>
    <w:rsid w:val="00D969B7"/>
    <w:rsid w:val="00D97ECC"/>
    <w:rsid w:val="00DA4D0D"/>
    <w:rsid w:val="00DA7067"/>
    <w:rsid w:val="00DA766E"/>
    <w:rsid w:val="00DB075B"/>
    <w:rsid w:val="00DB1373"/>
    <w:rsid w:val="00DB3846"/>
    <w:rsid w:val="00DB5DDB"/>
    <w:rsid w:val="00DB6F67"/>
    <w:rsid w:val="00DB7410"/>
    <w:rsid w:val="00DB7693"/>
    <w:rsid w:val="00DB76AF"/>
    <w:rsid w:val="00DC0ABD"/>
    <w:rsid w:val="00DC4216"/>
    <w:rsid w:val="00DC4AEF"/>
    <w:rsid w:val="00DC520D"/>
    <w:rsid w:val="00DC71FC"/>
    <w:rsid w:val="00DC727A"/>
    <w:rsid w:val="00DC7E72"/>
    <w:rsid w:val="00DD3FBA"/>
    <w:rsid w:val="00DD4CA7"/>
    <w:rsid w:val="00DD57B0"/>
    <w:rsid w:val="00DD6C47"/>
    <w:rsid w:val="00DD7999"/>
    <w:rsid w:val="00DD7C8F"/>
    <w:rsid w:val="00DE7514"/>
    <w:rsid w:val="00DF24E2"/>
    <w:rsid w:val="00DF4962"/>
    <w:rsid w:val="00DF4E21"/>
    <w:rsid w:val="00DF557A"/>
    <w:rsid w:val="00DF6E7B"/>
    <w:rsid w:val="00DF7C27"/>
    <w:rsid w:val="00E00102"/>
    <w:rsid w:val="00E00C17"/>
    <w:rsid w:val="00E03DEA"/>
    <w:rsid w:val="00E0458B"/>
    <w:rsid w:val="00E045AE"/>
    <w:rsid w:val="00E04F41"/>
    <w:rsid w:val="00E10753"/>
    <w:rsid w:val="00E114E2"/>
    <w:rsid w:val="00E142C4"/>
    <w:rsid w:val="00E14594"/>
    <w:rsid w:val="00E15319"/>
    <w:rsid w:val="00E16D20"/>
    <w:rsid w:val="00E1734B"/>
    <w:rsid w:val="00E21D28"/>
    <w:rsid w:val="00E222CA"/>
    <w:rsid w:val="00E2274E"/>
    <w:rsid w:val="00E23EC9"/>
    <w:rsid w:val="00E24152"/>
    <w:rsid w:val="00E30C7F"/>
    <w:rsid w:val="00E30CD8"/>
    <w:rsid w:val="00E3168C"/>
    <w:rsid w:val="00E3212F"/>
    <w:rsid w:val="00E32A01"/>
    <w:rsid w:val="00E33D4D"/>
    <w:rsid w:val="00E35C4E"/>
    <w:rsid w:val="00E36F3F"/>
    <w:rsid w:val="00E412A6"/>
    <w:rsid w:val="00E41BED"/>
    <w:rsid w:val="00E43085"/>
    <w:rsid w:val="00E435DC"/>
    <w:rsid w:val="00E46110"/>
    <w:rsid w:val="00E51D1C"/>
    <w:rsid w:val="00E5230B"/>
    <w:rsid w:val="00E527F7"/>
    <w:rsid w:val="00E5397E"/>
    <w:rsid w:val="00E5597E"/>
    <w:rsid w:val="00E610A5"/>
    <w:rsid w:val="00E61975"/>
    <w:rsid w:val="00E62E85"/>
    <w:rsid w:val="00E65820"/>
    <w:rsid w:val="00E666BD"/>
    <w:rsid w:val="00E674EF"/>
    <w:rsid w:val="00E6780E"/>
    <w:rsid w:val="00E71CB9"/>
    <w:rsid w:val="00E80DFD"/>
    <w:rsid w:val="00E83A63"/>
    <w:rsid w:val="00E87907"/>
    <w:rsid w:val="00E9449D"/>
    <w:rsid w:val="00E94BED"/>
    <w:rsid w:val="00E9684E"/>
    <w:rsid w:val="00EA4E17"/>
    <w:rsid w:val="00EA5D86"/>
    <w:rsid w:val="00EA6246"/>
    <w:rsid w:val="00EB0239"/>
    <w:rsid w:val="00EB2EAD"/>
    <w:rsid w:val="00EB3362"/>
    <w:rsid w:val="00EB588B"/>
    <w:rsid w:val="00EC371B"/>
    <w:rsid w:val="00EC6713"/>
    <w:rsid w:val="00ED076B"/>
    <w:rsid w:val="00ED3BC1"/>
    <w:rsid w:val="00ED43F6"/>
    <w:rsid w:val="00ED4454"/>
    <w:rsid w:val="00ED5809"/>
    <w:rsid w:val="00EE1471"/>
    <w:rsid w:val="00EE1554"/>
    <w:rsid w:val="00EE2422"/>
    <w:rsid w:val="00EE3E62"/>
    <w:rsid w:val="00EE4387"/>
    <w:rsid w:val="00EE4545"/>
    <w:rsid w:val="00EE7512"/>
    <w:rsid w:val="00EE7567"/>
    <w:rsid w:val="00EE7FF3"/>
    <w:rsid w:val="00EF1767"/>
    <w:rsid w:val="00EF21D2"/>
    <w:rsid w:val="00EF2D4E"/>
    <w:rsid w:val="00EF458A"/>
    <w:rsid w:val="00EF7CDE"/>
    <w:rsid w:val="00F036E9"/>
    <w:rsid w:val="00F05BF9"/>
    <w:rsid w:val="00F10846"/>
    <w:rsid w:val="00F11688"/>
    <w:rsid w:val="00F122B1"/>
    <w:rsid w:val="00F125BF"/>
    <w:rsid w:val="00F13E75"/>
    <w:rsid w:val="00F1500F"/>
    <w:rsid w:val="00F1526C"/>
    <w:rsid w:val="00F24835"/>
    <w:rsid w:val="00F32317"/>
    <w:rsid w:val="00F32CCB"/>
    <w:rsid w:val="00F32E88"/>
    <w:rsid w:val="00F3584C"/>
    <w:rsid w:val="00F362BF"/>
    <w:rsid w:val="00F37777"/>
    <w:rsid w:val="00F37BBC"/>
    <w:rsid w:val="00F437B1"/>
    <w:rsid w:val="00F44817"/>
    <w:rsid w:val="00F47AE9"/>
    <w:rsid w:val="00F50005"/>
    <w:rsid w:val="00F50F6E"/>
    <w:rsid w:val="00F52004"/>
    <w:rsid w:val="00F53205"/>
    <w:rsid w:val="00F55274"/>
    <w:rsid w:val="00F5584E"/>
    <w:rsid w:val="00F60B47"/>
    <w:rsid w:val="00F6513C"/>
    <w:rsid w:val="00F70E0A"/>
    <w:rsid w:val="00F72308"/>
    <w:rsid w:val="00F72D9B"/>
    <w:rsid w:val="00F75EF5"/>
    <w:rsid w:val="00F7697D"/>
    <w:rsid w:val="00F77572"/>
    <w:rsid w:val="00F80402"/>
    <w:rsid w:val="00F80F93"/>
    <w:rsid w:val="00F8105A"/>
    <w:rsid w:val="00F81D78"/>
    <w:rsid w:val="00F834CC"/>
    <w:rsid w:val="00F83B87"/>
    <w:rsid w:val="00F84457"/>
    <w:rsid w:val="00F84660"/>
    <w:rsid w:val="00F85F4C"/>
    <w:rsid w:val="00F8633D"/>
    <w:rsid w:val="00F86E3B"/>
    <w:rsid w:val="00F872BB"/>
    <w:rsid w:val="00F9254C"/>
    <w:rsid w:val="00F94A88"/>
    <w:rsid w:val="00F95B30"/>
    <w:rsid w:val="00F95FE4"/>
    <w:rsid w:val="00F9603B"/>
    <w:rsid w:val="00F961F0"/>
    <w:rsid w:val="00F962B7"/>
    <w:rsid w:val="00F97057"/>
    <w:rsid w:val="00FA101D"/>
    <w:rsid w:val="00FA628D"/>
    <w:rsid w:val="00FA68DA"/>
    <w:rsid w:val="00FA75F2"/>
    <w:rsid w:val="00FA7745"/>
    <w:rsid w:val="00FA7AA6"/>
    <w:rsid w:val="00FB075A"/>
    <w:rsid w:val="00FB10D0"/>
    <w:rsid w:val="00FB5C20"/>
    <w:rsid w:val="00FB7D1D"/>
    <w:rsid w:val="00FC0B4E"/>
    <w:rsid w:val="00FC1564"/>
    <w:rsid w:val="00FC2D65"/>
    <w:rsid w:val="00FC5D3B"/>
    <w:rsid w:val="00FC5DD7"/>
    <w:rsid w:val="00FC6B29"/>
    <w:rsid w:val="00FC7759"/>
    <w:rsid w:val="00FD08FC"/>
    <w:rsid w:val="00FD0FC2"/>
    <w:rsid w:val="00FD2086"/>
    <w:rsid w:val="00FD75AA"/>
    <w:rsid w:val="00FD7E63"/>
    <w:rsid w:val="00FE0A52"/>
    <w:rsid w:val="00FE1C60"/>
    <w:rsid w:val="00FE2EDE"/>
    <w:rsid w:val="00FE4131"/>
    <w:rsid w:val="00FF02DD"/>
    <w:rsid w:val="00FF2D6A"/>
    <w:rsid w:val="00FF340A"/>
    <w:rsid w:val="00FF35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EF66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937DA"/>
    <w:pPr>
      <w:overflowPunct w:val="0"/>
      <w:autoSpaceDE w:val="0"/>
      <w:autoSpaceDN w:val="0"/>
      <w:adjustRightInd w:val="0"/>
      <w:spacing w:line="260" w:lineRule="exact"/>
      <w:jc w:val="both"/>
      <w:textAlignment w:val="baseline"/>
    </w:pPr>
    <w:rPr>
      <w:rFonts w:ascii="Arial" w:eastAsia="Times New Roman" w:hAnsi="Arial"/>
      <w:szCs w:val="16"/>
    </w:rPr>
  </w:style>
  <w:style w:type="paragraph" w:styleId="Naslov1">
    <w:name w:val="heading 1"/>
    <w:basedOn w:val="Navaden"/>
    <w:next w:val="Navaden"/>
    <w:link w:val="Naslov1Znak"/>
    <w:uiPriority w:val="9"/>
    <w:qFormat/>
    <w:rsid w:val="0035787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rsid w:val="00443548"/>
    <w:pPr>
      <w:tabs>
        <w:tab w:val="center" w:pos="4536"/>
        <w:tab w:val="right" w:pos="9072"/>
      </w:tabs>
    </w:pPr>
    <w:rPr>
      <w:sz w:val="16"/>
      <w:lang w:val="x-none"/>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link w:val="BesedilooblakaZnak"/>
    <w:semiHidden/>
    <w:rsid w:val="00725FD6"/>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725FD6"/>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725FD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725FD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725FD6"/>
    <w:pPr>
      <w:suppressAutoHyphens/>
      <w:spacing w:before="240"/>
      <w:ind w:firstLine="0"/>
      <w:jc w:val="center"/>
      <w:outlineLvl w:val="3"/>
    </w:pPr>
  </w:style>
  <w:style w:type="paragraph" w:customStyle="1" w:styleId="anaslovpk">
    <w:name w:val="a_naslovpk"/>
    <w:basedOn w:val="atekst"/>
    <w:next w:val="atekst"/>
    <w:rsid w:val="00725FD6"/>
    <w:pPr>
      <w:suppressAutoHyphens/>
      <w:spacing w:before="180"/>
      <w:ind w:firstLine="0"/>
      <w:jc w:val="center"/>
      <w:outlineLvl w:val="3"/>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clen">
    <w:name w:val="a_clen"/>
    <w:basedOn w:val="atekst"/>
    <w:next w:val="atekst"/>
    <w:rsid w:val="00725FD6"/>
    <w:pPr>
      <w:suppressAutoHyphens/>
      <w:spacing w:before="120" w:after="60"/>
      <w:ind w:firstLine="0"/>
      <w:jc w:val="center"/>
      <w:outlineLvl w:val="4"/>
    </w:pPr>
  </w:style>
  <w:style w:type="paragraph" w:customStyle="1" w:styleId="aclenpodnaslov">
    <w:name w:val="a_clenpodnaslov"/>
    <w:basedOn w:val="aclen"/>
    <w:next w:val="atekst"/>
    <w:rsid w:val="00725FD6"/>
    <w:pPr>
      <w:spacing w:before="0"/>
      <w:outlineLvl w:val="9"/>
    </w:pPr>
  </w:style>
  <w:style w:type="paragraph" w:customStyle="1" w:styleId="apodpis">
    <w:name w:val="a_podpis"/>
    <w:basedOn w:val="atekst"/>
    <w:rsid w:val="00725FD6"/>
    <w:pPr>
      <w:suppressAutoHyphens/>
      <w:ind w:left="1134" w:firstLine="0"/>
      <w:jc w:val="center"/>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tekstdat">
    <w:name w:val="a_tekst_dat"/>
    <w:basedOn w:val="atekst"/>
    <w:rsid w:val="00725FD6"/>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AlineazatevilnotokoZnak">
    <w:name w:val="Alinea za številčno točko 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6D65A2"/>
    <w:p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sz w:val="22"/>
      <w:szCs w:val="22"/>
      <w:lang w:val="x-none" w:eastAsia="x-none"/>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character" w:styleId="Hiperpovezava">
    <w:name w:val="Hyperlink"/>
    <w:uiPriority w:val="99"/>
    <w:unhideWhenUsed/>
    <w:rsid w:val="002846A1"/>
    <w:rPr>
      <w:color w:val="0000FF"/>
      <w:u w:val="single"/>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cs="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FB7D1D"/>
    <w:pPr>
      <w:spacing w:before="400" w:after="600"/>
    </w:pPr>
    <w:rPr>
      <w:b/>
    </w:rPr>
  </w:style>
  <w:style w:type="paragraph" w:styleId="Telobesedila">
    <w:name w:val="Body Text"/>
    <w:aliases w:val="Znak Znak Znak"/>
    <w:basedOn w:val="Navaden"/>
    <w:link w:val="TelobesedilaZnak"/>
    <w:rsid w:val="003C3B7A"/>
    <w:pPr>
      <w:overflowPunct/>
      <w:autoSpaceDE/>
      <w:autoSpaceDN/>
      <w:adjustRightInd/>
      <w:textAlignment w:val="auto"/>
    </w:pPr>
    <w:rPr>
      <w:rFonts w:ascii="Times New Roman" w:hAnsi="Times New Roman"/>
      <w:b/>
      <w:bCs/>
      <w:sz w:val="24"/>
      <w:szCs w:val="20"/>
    </w:rPr>
  </w:style>
  <w:style w:type="character" w:customStyle="1" w:styleId="TelobesedilaZnak">
    <w:name w:val="Telo besedila Znak"/>
    <w:aliases w:val="Znak Znak Znak Znak"/>
    <w:link w:val="Telobesedila"/>
    <w:rsid w:val="003C3B7A"/>
    <w:rPr>
      <w:rFonts w:ascii="Times New Roman" w:eastAsia="Times New Roman" w:hAnsi="Times New Roman"/>
      <w:b/>
      <w:bCs/>
      <w:sz w:val="24"/>
    </w:rPr>
  </w:style>
  <w:style w:type="character" w:styleId="Pripombasklic">
    <w:name w:val="annotation reference"/>
    <w:semiHidden/>
    <w:unhideWhenUsed/>
    <w:rsid w:val="00827C05"/>
    <w:rPr>
      <w:sz w:val="16"/>
      <w:szCs w:val="16"/>
    </w:rPr>
  </w:style>
  <w:style w:type="paragraph" w:styleId="Pripombabesedilo">
    <w:name w:val="annotation text"/>
    <w:basedOn w:val="Navaden"/>
    <w:link w:val="PripombabesediloZnak"/>
    <w:unhideWhenUsed/>
    <w:rsid w:val="00827C05"/>
    <w:rPr>
      <w:szCs w:val="20"/>
    </w:rPr>
  </w:style>
  <w:style w:type="character" w:customStyle="1" w:styleId="PripombabesediloZnak">
    <w:name w:val="Pripomba – besedilo Znak"/>
    <w:link w:val="Pripombabesedilo"/>
    <w:rsid w:val="00827C0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827C05"/>
    <w:rPr>
      <w:b/>
      <w:bCs/>
    </w:rPr>
  </w:style>
  <w:style w:type="character" w:customStyle="1" w:styleId="ZadevapripombeZnak">
    <w:name w:val="Zadeva pripombe Znak"/>
    <w:link w:val="Zadevapripombe"/>
    <w:uiPriority w:val="99"/>
    <w:semiHidden/>
    <w:rsid w:val="00827C05"/>
    <w:rPr>
      <w:rFonts w:ascii="Arial" w:eastAsia="Times New Roman" w:hAnsi="Arial"/>
      <w:b/>
      <w:bCs/>
    </w:rPr>
  </w:style>
  <w:style w:type="paragraph" w:customStyle="1" w:styleId="Default">
    <w:name w:val="Default"/>
    <w:rsid w:val="005A2AFE"/>
    <w:pPr>
      <w:autoSpaceDE w:val="0"/>
      <w:autoSpaceDN w:val="0"/>
      <w:adjustRightInd w:val="0"/>
    </w:pPr>
    <w:rPr>
      <w:rFonts w:ascii="Arial" w:hAnsi="Arial" w:cs="Arial"/>
      <w:color w:val="000000"/>
      <w:sz w:val="24"/>
      <w:szCs w:val="24"/>
    </w:rPr>
  </w:style>
  <w:style w:type="paragraph" w:styleId="Revizija">
    <w:name w:val="Revision"/>
    <w:hidden/>
    <w:uiPriority w:val="99"/>
    <w:semiHidden/>
    <w:rsid w:val="009B2237"/>
    <w:rPr>
      <w:rFonts w:ascii="Arial" w:eastAsia="Times New Roman" w:hAnsi="Arial"/>
      <w:sz w:val="22"/>
      <w:szCs w:val="16"/>
    </w:rPr>
  </w:style>
  <w:style w:type="paragraph" w:customStyle="1" w:styleId="len0">
    <w:name w:val="len"/>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amaknjenadolobaprvinivo0">
    <w:name w:val="zamaknjenadolobaprvinivo"/>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rsid w:val="00BB6B94"/>
  </w:style>
  <w:style w:type="paragraph" w:customStyle="1" w:styleId="Style1">
    <w:name w:val="Style1"/>
    <w:basedOn w:val="Navaden"/>
    <w:uiPriority w:val="99"/>
    <w:rsid w:val="00F52004"/>
    <w:pPr>
      <w:widowControl w:val="0"/>
      <w:overflowPunct/>
      <w:jc w:val="left"/>
      <w:textAlignment w:val="auto"/>
    </w:pPr>
    <w:rPr>
      <w:rFonts w:cs="Arial"/>
      <w:sz w:val="24"/>
      <w:szCs w:val="24"/>
    </w:rPr>
  </w:style>
  <w:style w:type="paragraph" w:customStyle="1" w:styleId="Style2">
    <w:name w:val="Style2"/>
    <w:basedOn w:val="Navaden"/>
    <w:uiPriority w:val="99"/>
    <w:rsid w:val="00F52004"/>
    <w:pPr>
      <w:widowControl w:val="0"/>
      <w:overflowPunct/>
      <w:spacing w:line="264" w:lineRule="exact"/>
      <w:jc w:val="center"/>
      <w:textAlignment w:val="auto"/>
    </w:pPr>
    <w:rPr>
      <w:rFonts w:cs="Arial"/>
      <w:sz w:val="24"/>
      <w:szCs w:val="24"/>
    </w:rPr>
  </w:style>
  <w:style w:type="paragraph" w:customStyle="1" w:styleId="Style3">
    <w:name w:val="Style3"/>
    <w:basedOn w:val="Navaden"/>
    <w:uiPriority w:val="99"/>
    <w:rsid w:val="00F52004"/>
    <w:pPr>
      <w:widowControl w:val="0"/>
      <w:overflowPunct/>
      <w:spacing w:line="206" w:lineRule="exact"/>
      <w:jc w:val="center"/>
      <w:textAlignment w:val="auto"/>
    </w:pPr>
    <w:rPr>
      <w:rFonts w:cs="Arial"/>
      <w:sz w:val="24"/>
      <w:szCs w:val="24"/>
    </w:rPr>
  </w:style>
  <w:style w:type="character" w:customStyle="1" w:styleId="FontStyle11">
    <w:name w:val="Font Style11"/>
    <w:uiPriority w:val="99"/>
    <w:rsid w:val="00F52004"/>
    <w:rPr>
      <w:rFonts w:ascii="Arial" w:hAnsi="Arial" w:cs="Arial"/>
      <w:sz w:val="18"/>
      <w:szCs w:val="18"/>
    </w:rPr>
  </w:style>
  <w:style w:type="character" w:customStyle="1" w:styleId="FontStyle12">
    <w:name w:val="Font Style12"/>
    <w:uiPriority w:val="99"/>
    <w:rsid w:val="00F52004"/>
    <w:rPr>
      <w:rFonts w:ascii="Arial" w:hAnsi="Arial" w:cs="Arial"/>
      <w:sz w:val="16"/>
      <w:szCs w:val="16"/>
    </w:rPr>
  </w:style>
  <w:style w:type="paragraph" w:customStyle="1" w:styleId="poglavje0">
    <w:name w:val="poglavje"/>
    <w:basedOn w:val="Navaden"/>
    <w:rsid w:val="00B3514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221B6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link w:val="Naslov1"/>
    <w:uiPriority w:val="9"/>
    <w:rsid w:val="00357876"/>
    <w:rPr>
      <w:rFonts w:ascii="Cambria" w:eastAsia="Times New Roman" w:hAnsi="Cambria" w:cs="Times New Roman"/>
      <w:b/>
      <w:bCs/>
      <w:kern w:val="32"/>
      <w:sz w:val="32"/>
      <w:szCs w:val="32"/>
    </w:rPr>
  </w:style>
  <w:style w:type="paragraph" w:styleId="Odstavekseznama">
    <w:name w:val="List Paragraph"/>
    <w:basedOn w:val="Navaden"/>
    <w:link w:val="OdstavekseznamaZnak"/>
    <w:uiPriority w:val="34"/>
    <w:qFormat/>
    <w:rsid w:val="00E045AE"/>
    <w:pPr>
      <w:ind w:left="708"/>
    </w:pPr>
  </w:style>
  <w:style w:type="paragraph" w:styleId="Brezrazmikov">
    <w:name w:val="No Spacing"/>
    <w:uiPriority w:val="1"/>
    <w:qFormat/>
    <w:rsid w:val="00724401"/>
    <w:rPr>
      <w:rFonts w:ascii="Trebuchet MS" w:hAnsi="Trebuchet MS"/>
      <w:szCs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724401"/>
    <w:pPr>
      <w:overflowPunct/>
      <w:autoSpaceDE/>
      <w:autoSpaceDN/>
      <w:adjustRightInd/>
      <w:jc w:val="left"/>
      <w:textAlignment w:val="auto"/>
    </w:pPr>
    <w:rPr>
      <w:rFonts w:ascii="Garamond" w:hAnsi="Garamond"/>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724401"/>
    <w:rPr>
      <w:rFonts w:ascii="Garamond" w:eastAsia="Times New Roman" w:hAnsi="Garamond"/>
    </w:rPr>
  </w:style>
  <w:style w:type="character" w:customStyle="1" w:styleId="OdstavekseznamaZnak">
    <w:name w:val="Odstavek seznama Znak"/>
    <w:link w:val="Odstavekseznama"/>
    <w:uiPriority w:val="34"/>
    <w:rsid w:val="00802243"/>
    <w:rPr>
      <w:rFonts w:ascii="Arial" w:eastAsia="Times New Roman" w:hAnsi="Arial"/>
      <w:sz w:val="22"/>
      <w:szCs w:val="16"/>
    </w:rPr>
  </w:style>
  <w:style w:type="paragraph" w:styleId="Podnaslov">
    <w:name w:val="Subtitle"/>
    <w:basedOn w:val="Navaden"/>
    <w:next w:val="Navaden"/>
    <w:link w:val="PodnaslovZnak"/>
    <w:uiPriority w:val="11"/>
    <w:qFormat/>
    <w:rsid w:val="00AE7017"/>
    <w:pPr>
      <w:numPr>
        <w:ilvl w:val="1"/>
      </w:numPr>
      <w:overflowPunct/>
      <w:autoSpaceDE/>
      <w:autoSpaceDN/>
      <w:adjustRightInd/>
      <w:spacing w:after="200" w:line="276" w:lineRule="auto"/>
      <w:jc w:val="center"/>
      <w:textAlignment w:val="auto"/>
    </w:pPr>
    <w:rPr>
      <w:rFonts w:ascii="Trebuchet MS" w:hAnsi="Trebuchet MS"/>
      <w:b/>
      <w:iCs/>
      <w:spacing w:val="15"/>
      <w:szCs w:val="24"/>
      <w:lang w:eastAsia="en-US"/>
    </w:rPr>
  </w:style>
  <w:style w:type="character" w:customStyle="1" w:styleId="PodnaslovZnak">
    <w:name w:val="Podnaslov Znak"/>
    <w:link w:val="Podnaslov"/>
    <w:uiPriority w:val="11"/>
    <w:rsid w:val="00AE7017"/>
    <w:rPr>
      <w:rFonts w:ascii="Trebuchet MS" w:eastAsia="Times New Roman" w:hAnsi="Trebuchet MS"/>
      <w:b/>
      <w:iCs/>
      <w:spacing w:val="15"/>
      <w:szCs w:val="24"/>
      <w:lang w:eastAsia="en-US"/>
    </w:rPr>
  </w:style>
  <w:style w:type="table" w:styleId="Tabelamrea">
    <w:name w:val="Table Grid"/>
    <w:basedOn w:val="Navadnatabela"/>
    <w:uiPriority w:val="59"/>
    <w:rsid w:val="009272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111">
    <w:name w:val="Številčna točka 1.1.1"/>
    <w:basedOn w:val="Navaden"/>
    <w:qFormat/>
    <w:rsid w:val="00C863F6"/>
    <w:pPr>
      <w:widowControl w:val="0"/>
      <w:tabs>
        <w:tab w:val="num" w:pos="454"/>
      </w:tabs>
      <w:ind w:left="454" w:hanging="454"/>
    </w:pPr>
  </w:style>
  <w:style w:type="paragraph" w:customStyle="1" w:styleId="tevilnatoka11Nova">
    <w:name w:val="Številčna točka 1.1 Nova"/>
    <w:basedOn w:val="tevilnatoka"/>
    <w:qFormat/>
    <w:rsid w:val="00C863F6"/>
    <w:pPr>
      <w:numPr>
        <w:numId w:val="0"/>
      </w:numPr>
      <w:tabs>
        <w:tab w:val="clear" w:pos="540"/>
        <w:tab w:val="clear" w:pos="900"/>
        <w:tab w:val="num" w:pos="425"/>
      </w:tabs>
      <w:ind w:left="425" w:hanging="425"/>
    </w:pPr>
    <w:rPr>
      <w:lang w:val="sl-SI" w:eastAsia="sl-SI"/>
    </w:rPr>
  </w:style>
  <w:style w:type="character" w:styleId="SledenaHiperpovezava">
    <w:name w:val="FollowedHyperlink"/>
    <w:uiPriority w:val="99"/>
    <w:semiHidden/>
    <w:unhideWhenUsed/>
    <w:rsid w:val="00AC666A"/>
    <w:rPr>
      <w:color w:val="954F72"/>
      <w:u w:val="single"/>
    </w:rPr>
  </w:style>
  <w:style w:type="character" w:customStyle="1" w:styleId="BesedilooblakaZnak">
    <w:name w:val="Besedilo oblačka Znak"/>
    <w:basedOn w:val="Privzetapisavaodstavka"/>
    <w:link w:val="Besedilooblaka"/>
    <w:semiHidden/>
    <w:rsid w:val="006C4360"/>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331673">
      <w:bodyDiv w:val="1"/>
      <w:marLeft w:val="0"/>
      <w:marRight w:val="0"/>
      <w:marTop w:val="0"/>
      <w:marBottom w:val="0"/>
      <w:divBdr>
        <w:top w:val="none" w:sz="0" w:space="0" w:color="auto"/>
        <w:left w:val="none" w:sz="0" w:space="0" w:color="auto"/>
        <w:bottom w:val="none" w:sz="0" w:space="0" w:color="auto"/>
        <w:right w:val="none" w:sz="0" w:space="0" w:color="auto"/>
      </w:divBdr>
    </w:div>
    <w:div w:id="176777552">
      <w:bodyDiv w:val="1"/>
      <w:marLeft w:val="0"/>
      <w:marRight w:val="0"/>
      <w:marTop w:val="0"/>
      <w:marBottom w:val="0"/>
      <w:divBdr>
        <w:top w:val="none" w:sz="0" w:space="0" w:color="auto"/>
        <w:left w:val="none" w:sz="0" w:space="0" w:color="auto"/>
        <w:bottom w:val="none" w:sz="0" w:space="0" w:color="auto"/>
        <w:right w:val="none" w:sz="0" w:space="0" w:color="auto"/>
      </w:divBdr>
    </w:div>
    <w:div w:id="235675643">
      <w:bodyDiv w:val="1"/>
      <w:marLeft w:val="0"/>
      <w:marRight w:val="0"/>
      <w:marTop w:val="0"/>
      <w:marBottom w:val="0"/>
      <w:divBdr>
        <w:top w:val="none" w:sz="0" w:space="0" w:color="auto"/>
        <w:left w:val="none" w:sz="0" w:space="0" w:color="auto"/>
        <w:bottom w:val="none" w:sz="0" w:space="0" w:color="auto"/>
        <w:right w:val="none" w:sz="0" w:space="0" w:color="auto"/>
      </w:divBdr>
      <w:divsChild>
        <w:div w:id="28991423">
          <w:marLeft w:val="0"/>
          <w:marRight w:val="0"/>
          <w:marTop w:val="0"/>
          <w:marBottom w:val="0"/>
          <w:divBdr>
            <w:top w:val="none" w:sz="0" w:space="0" w:color="auto"/>
            <w:left w:val="none" w:sz="0" w:space="0" w:color="auto"/>
            <w:bottom w:val="none" w:sz="0" w:space="0" w:color="auto"/>
            <w:right w:val="none" w:sz="0" w:space="0" w:color="auto"/>
          </w:divBdr>
        </w:div>
        <w:div w:id="985888920">
          <w:marLeft w:val="0"/>
          <w:marRight w:val="0"/>
          <w:marTop w:val="0"/>
          <w:marBottom w:val="0"/>
          <w:divBdr>
            <w:top w:val="none" w:sz="0" w:space="0" w:color="auto"/>
            <w:left w:val="none" w:sz="0" w:space="0" w:color="auto"/>
            <w:bottom w:val="none" w:sz="0" w:space="0" w:color="auto"/>
            <w:right w:val="none" w:sz="0" w:space="0" w:color="auto"/>
          </w:divBdr>
        </w:div>
        <w:div w:id="997152723">
          <w:marLeft w:val="0"/>
          <w:marRight w:val="0"/>
          <w:marTop w:val="0"/>
          <w:marBottom w:val="0"/>
          <w:divBdr>
            <w:top w:val="none" w:sz="0" w:space="0" w:color="auto"/>
            <w:left w:val="none" w:sz="0" w:space="0" w:color="auto"/>
            <w:bottom w:val="none" w:sz="0" w:space="0" w:color="auto"/>
            <w:right w:val="none" w:sz="0" w:space="0" w:color="auto"/>
          </w:divBdr>
        </w:div>
        <w:div w:id="1422216182">
          <w:marLeft w:val="0"/>
          <w:marRight w:val="0"/>
          <w:marTop w:val="0"/>
          <w:marBottom w:val="0"/>
          <w:divBdr>
            <w:top w:val="none" w:sz="0" w:space="0" w:color="auto"/>
            <w:left w:val="none" w:sz="0" w:space="0" w:color="auto"/>
            <w:bottom w:val="none" w:sz="0" w:space="0" w:color="auto"/>
            <w:right w:val="none" w:sz="0" w:space="0" w:color="auto"/>
          </w:divBdr>
        </w:div>
        <w:div w:id="1619533323">
          <w:marLeft w:val="0"/>
          <w:marRight w:val="0"/>
          <w:marTop w:val="0"/>
          <w:marBottom w:val="0"/>
          <w:divBdr>
            <w:top w:val="none" w:sz="0" w:space="0" w:color="auto"/>
            <w:left w:val="none" w:sz="0" w:space="0" w:color="auto"/>
            <w:bottom w:val="none" w:sz="0" w:space="0" w:color="auto"/>
            <w:right w:val="none" w:sz="0" w:space="0" w:color="auto"/>
          </w:divBdr>
        </w:div>
        <w:div w:id="1710033326">
          <w:marLeft w:val="0"/>
          <w:marRight w:val="0"/>
          <w:marTop w:val="0"/>
          <w:marBottom w:val="0"/>
          <w:divBdr>
            <w:top w:val="none" w:sz="0" w:space="0" w:color="auto"/>
            <w:left w:val="none" w:sz="0" w:space="0" w:color="auto"/>
            <w:bottom w:val="none" w:sz="0" w:space="0" w:color="auto"/>
            <w:right w:val="none" w:sz="0" w:space="0" w:color="auto"/>
          </w:divBdr>
        </w:div>
      </w:divsChild>
    </w:div>
    <w:div w:id="292561096">
      <w:bodyDiv w:val="1"/>
      <w:marLeft w:val="0"/>
      <w:marRight w:val="0"/>
      <w:marTop w:val="0"/>
      <w:marBottom w:val="0"/>
      <w:divBdr>
        <w:top w:val="none" w:sz="0" w:space="0" w:color="auto"/>
        <w:left w:val="none" w:sz="0" w:space="0" w:color="auto"/>
        <w:bottom w:val="none" w:sz="0" w:space="0" w:color="auto"/>
        <w:right w:val="none" w:sz="0" w:space="0" w:color="auto"/>
      </w:divBdr>
    </w:div>
    <w:div w:id="710493860">
      <w:bodyDiv w:val="1"/>
      <w:marLeft w:val="0"/>
      <w:marRight w:val="0"/>
      <w:marTop w:val="0"/>
      <w:marBottom w:val="0"/>
      <w:divBdr>
        <w:top w:val="none" w:sz="0" w:space="0" w:color="auto"/>
        <w:left w:val="none" w:sz="0" w:space="0" w:color="auto"/>
        <w:bottom w:val="none" w:sz="0" w:space="0" w:color="auto"/>
        <w:right w:val="none" w:sz="0" w:space="0" w:color="auto"/>
      </w:divBdr>
    </w:div>
    <w:div w:id="844631449">
      <w:bodyDiv w:val="1"/>
      <w:marLeft w:val="0"/>
      <w:marRight w:val="0"/>
      <w:marTop w:val="0"/>
      <w:marBottom w:val="0"/>
      <w:divBdr>
        <w:top w:val="none" w:sz="0" w:space="0" w:color="auto"/>
        <w:left w:val="none" w:sz="0" w:space="0" w:color="auto"/>
        <w:bottom w:val="none" w:sz="0" w:space="0" w:color="auto"/>
        <w:right w:val="none" w:sz="0" w:space="0" w:color="auto"/>
      </w:divBdr>
    </w:div>
    <w:div w:id="869073709">
      <w:bodyDiv w:val="1"/>
      <w:marLeft w:val="0"/>
      <w:marRight w:val="0"/>
      <w:marTop w:val="0"/>
      <w:marBottom w:val="0"/>
      <w:divBdr>
        <w:top w:val="none" w:sz="0" w:space="0" w:color="auto"/>
        <w:left w:val="none" w:sz="0" w:space="0" w:color="auto"/>
        <w:bottom w:val="none" w:sz="0" w:space="0" w:color="auto"/>
        <w:right w:val="none" w:sz="0" w:space="0" w:color="auto"/>
      </w:divBdr>
    </w:div>
    <w:div w:id="951060111">
      <w:bodyDiv w:val="1"/>
      <w:marLeft w:val="0"/>
      <w:marRight w:val="0"/>
      <w:marTop w:val="0"/>
      <w:marBottom w:val="0"/>
      <w:divBdr>
        <w:top w:val="none" w:sz="0" w:space="0" w:color="auto"/>
        <w:left w:val="none" w:sz="0" w:space="0" w:color="auto"/>
        <w:bottom w:val="none" w:sz="0" w:space="0" w:color="auto"/>
        <w:right w:val="none" w:sz="0" w:space="0" w:color="auto"/>
      </w:divBdr>
      <w:divsChild>
        <w:div w:id="47075991">
          <w:marLeft w:val="0"/>
          <w:marRight w:val="0"/>
          <w:marTop w:val="0"/>
          <w:marBottom w:val="0"/>
          <w:divBdr>
            <w:top w:val="none" w:sz="0" w:space="0" w:color="auto"/>
            <w:left w:val="none" w:sz="0" w:space="0" w:color="auto"/>
            <w:bottom w:val="none" w:sz="0" w:space="0" w:color="auto"/>
            <w:right w:val="none" w:sz="0" w:space="0" w:color="auto"/>
          </w:divBdr>
        </w:div>
        <w:div w:id="183253249">
          <w:marLeft w:val="0"/>
          <w:marRight w:val="0"/>
          <w:marTop w:val="0"/>
          <w:marBottom w:val="0"/>
          <w:divBdr>
            <w:top w:val="none" w:sz="0" w:space="0" w:color="auto"/>
            <w:left w:val="none" w:sz="0" w:space="0" w:color="auto"/>
            <w:bottom w:val="none" w:sz="0" w:space="0" w:color="auto"/>
            <w:right w:val="none" w:sz="0" w:space="0" w:color="auto"/>
          </w:divBdr>
        </w:div>
        <w:div w:id="190533600">
          <w:marLeft w:val="0"/>
          <w:marRight w:val="0"/>
          <w:marTop w:val="0"/>
          <w:marBottom w:val="0"/>
          <w:divBdr>
            <w:top w:val="none" w:sz="0" w:space="0" w:color="auto"/>
            <w:left w:val="none" w:sz="0" w:space="0" w:color="auto"/>
            <w:bottom w:val="none" w:sz="0" w:space="0" w:color="auto"/>
            <w:right w:val="none" w:sz="0" w:space="0" w:color="auto"/>
          </w:divBdr>
        </w:div>
        <w:div w:id="357701610">
          <w:marLeft w:val="0"/>
          <w:marRight w:val="0"/>
          <w:marTop w:val="0"/>
          <w:marBottom w:val="0"/>
          <w:divBdr>
            <w:top w:val="none" w:sz="0" w:space="0" w:color="auto"/>
            <w:left w:val="none" w:sz="0" w:space="0" w:color="auto"/>
            <w:bottom w:val="none" w:sz="0" w:space="0" w:color="auto"/>
            <w:right w:val="none" w:sz="0" w:space="0" w:color="auto"/>
          </w:divBdr>
        </w:div>
        <w:div w:id="456725734">
          <w:marLeft w:val="0"/>
          <w:marRight w:val="0"/>
          <w:marTop w:val="0"/>
          <w:marBottom w:val="0"/>
          <w:divBdr>
            <w:top w:val="none" w:sz="0" w:space="0" w:color="auto"/>
            <w:left w:val="none" w:sz="0" w:space="0" w:color="auto"/>
            <w:bottom w:val="none" w:sz="0" w:space="0" w:color="auto"/>
            <w:right w:val="none" w:sz="0" w:space="0" w:color="auto"/>
          </w:divBdr>
        </w:div>
        <w:div w:id="1374769779">
          <w:marLeft w:val="0"/>
          <w:marRight w:val="0"/>
          <w:marTop w:val="0"/>
          <w:marBottom w:val="0"/>
          <w:divBdr>
            <w:top w:val="none" w:sz="0" w:space="0" w:color="auto"/>
            <w:left w:val="none" w:sz="0" w:space="0" w:color="auto"/>
            <w:bottom w:val="none" w:sz="0" w:space="0" w:color="auto"/>
            <w:right w:val="none" w:sz="0" w:space="0" w:color="auto"/>
          </w:divBdr>
        </w:div>
        <w:div w:id="1632318925">
          <w:marLeft w:val="0"/>
          <w:marRight w:val="0"/>
          <w:marTop w:val="0"/>
          <w:marBottom w:val="0"/>
          <w:divBdr>
            <w:top w:val="none" w:sz="0" w:space="0" w:color="auto"/>
            <w:left w:val="none" w:sz="0" w:space="0" w:color="auto"/>
            <w:bottom w:val="none" w:sz="0" w:space="0" w:color="auto"/>
            <w:right w:val="none" w:sz="0" w:space="0" w:color="auto"/>
          </w:divBdr>
        </w:div>
        <w:div w:id="1965578682">
          <w:marLeft w:val="0"/>
          <w:marRight w:val="0"/>
          <w:marTop w:val="0"/>
          <w:marBottom w:val="0"/>
          <w:divBdr>
            <w:top w:val="none" w:sz="0" w:space="0" w:color="auto"/>
            <w:left w:val="none" w:sz="0" w:space="0" w:color="auto"/>
            <w:bottom w:val="none" w:sz="0" w:space="0" w:color="auto"/>
            <w:right w:val="none" w:sz="0" w:space="0" w:color="auto"/>
          </w:divBdr>
        </w:div>
        <w:div w:id="2066875779">
          <w:marLeft w:val="0"/>
          <w:marRight w:val="0"/>
          <w:marTop w:val="0"/>
          <w:marBottom w:val="0"/>
          <w:divBdr>
            <w:top w:val="none" w:sz="0" w:space="0" w:color="auto"/>
            <w:left w:val="none" w:sz="0" w:space="0" w:color="auto"/>
            <w:bottom w:val="none" w:sz="0" w:space="0" w:color="auto"/>
            <w:right w:val="none" w:sz="0" w:space="0" w:color="auto"/>
          </w:divBdr>
        </w:div>
      </w:divsChild>
    </w:div>
    <w:div w:id="1006518908">
      <w:bodyDiv w:val="1"/>
      <w:marLeft w:val="0"/>
      <w:marRight w:val="0"/>
      <w:marTop w:val="0"/>
      <w:marBottom w:val="0"/>
      <w:divBdr>
        <w:top w:val="none" w:sz="0" w:space="0" w:color="auto"/>
        <w:left w:val="none" w:sz="0" w:space="0" w:color="auto"/>
        <w:bottom w:val="none" w:sz="0" w:space="0" w:color="auto"/>
        <w:right w:val="none" w:sz="0" w:space="0" w:color="auto"/>
      </w:divBdr>
      <w:divsChild>
        <w:div w:id="4718658">
          <w:marLeft w:val="0"/>
          <w:marRight w:val="0"/>
          <w:marTop w:val="0"/>
          <w:marBottom w:val="0"/>
          <w:divBdr>
            <w:top w:val="none" w:sz="0" w:space="0" w:color="auto"/>
            <w:left w:val="none" w:sz="0" w:space="0" w:color="auto"/>
            <w:bottom w:val="none" w:sz="0" w:space="0" w:color="auto"/>
            <w:right w:val="none" w:sz="0" w:space="0" w:color="auto"/>
          </w:divBdr>
        </w:div>
        <w:div w:id="1533609410">
          <w:marLeft w:val="0"/>
          <w:marRight w:val="0"/>
          <w:marTop w:val="0"/>
          <w:marBottom w:val="0"/>
          <w:divBdr>
            <w:top w:val="none" w:sz="0" w:space="0" w:color="auto"/>
            <w:left w:val="none" w:sz="0" w:space="0" w:color="auto"/>
            <w:bottom w:val="none" w:sz="0" w:space="0" w:color="auto"/>
            <w:right w:val="none" w:sz="0" w:space="0" w:color="auto"/>
          </w:divBdr>
        </w:div>
        <w:div w:id="1559171291">
          <w:marLeft w:val="0"/>
          <w:marRight w:val="0"/>
          <w:marTop w:val="0"/>
          <w:marBottom w:val="0"/>
          <w:divBdr>
            <w:top w:val="none" w:sz="0" w:space="0" w:color="auto"/>
            <w:left w:val="none" w:sz="0" w:space="0" w:color="auto"/>
            <w:bottom w:val="none" w:sz="0" w:space="0" w:color="auto"/>
            <w:right w:val="none" w:sz="0" w:space="0" w:color="auto"/>
          </w:divBdr>
        </w:div>
        <w:div w:id="1692993710">
          <w:marLeft w:val="0"/>
          <w:marRight w:val="0"/>
          <w:marTop w:val="0"/>
          <w:marBottom w:val="0"/>
          <w:divBdr>
            <w:top w:val="none" w:sz="0" w:space="0" w:color="auto"/>
            <w:left w:val="none" w:sz="0" w:space="0" w:color="auto"/>
            <w:bottom w:val="none" w:sz="0" w:space="0" w:color="auto"/>
            <w:right w:val="none" w:sz="0" w:space="0" w:color="auto"/>
          </w:divBdr>
        </w:div>
        <w:div w:id="1865829294">
          <w:marLeft w:val="0"/>
          <w:marRight w:val="0"/>
          <w:marTop w:val="0"/>
          <w:marBottom w:val="0"/>
          <w:divBdr>
            <w:top w:val="none" w:sz="0" w:space="0" w:color="auto"/>
            <w:left w:val="none" w:sz="0" w:space="0" w:color="auto"/>
            <w:bottom w:val="none" w:sz="0" w:space="0" w:color="auto"/>
            <w:right w:val="none" w:sz="0" w:space="0" w:color="auto"/>
          </w:divBdr>
        </w:div>
      </w:divsChild>
    </w:div>
    <w:div w:id="105928687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4927721">
      <w:bodyDiv w:val="1"/>
      <w:marLeft w:val="0"/>
      <w:marRight w:val="0"/>
      <w:marTop w:val="0"/>
      <w:marBottom w:val="0"/>
      <w:divBdr>
        <w:top w:val="none" w:sz="0" w:space="0" w:color="auto"/>
        <w:left w:val="none" w:sz="0" w:space="0" w:color="auto"/>
        <w:bottom w:val="none" w:sz="0" w:space="0" w:color="auto"/>
        <w:right w:val="none" w:sz="0" w:space="0" w:color="auto"/>
      </w:divBdr>
      <w:divsChild>
        <w:div w:id="16397638">
          <w:marLeft w:val="0"/>
          <w:marRight w:val="0"/>
          <w:marTop w:val="0"/>
          <w:marBottom w:val="0"/>
          <w:divBdr>
            <w:top w:val="none" w:sz="0" w:space="0" w:color="auto"/>
            <w:left w:val="none" w:sz="0" w:space="0" w:color="auto"/>
            <w:bottom w:val="none" w:sz="0" w:space="0" w:color="auto"/>
            <w:right w:val="none" w:sz="0" w:space="0" w:color="auto"/>
          </w:divBdr>
        </w:div>
        <w:div w:id="597299324">
          <w:marLeft w:val="0"/>
          <w:marRight w:val="0"/>
          <w:marTop w:val="0"/>
          <w:marBottom w:val="0"/>
          <w:divBdr>
            <w:top w:val="none" w:sz="0" w:space="0" w:color="auto"/>
            <w:left w:val="none" w:sz="0" w:space="0" w:color="auto"/>
            <w:bottom w:val="none" w:sz="0" w:space="0" w:color="auto"/>
            <w:right w:val="none" w:sz="0" w:space="0" w:color="auto"/>
          </w:divBdr>
        </w:div>
        <w:div w:id="657423801">
          <w:marLeft w:val="0"/>
          <w:marRight w:val="0"/>
          <w:marTop w:val="0"/>
          <w:marBottom w:val="0"/>
          <w:divBdr>
            <w:top w:val="none" w:sz="0" w:space="0" w:color="auto"/>
            <w:left w:val="none" w:sz="0" w:space="0" w:color="auto"/>
            <w:bottom w:val="none" w:sz="0" w:space="0" w:color="auto"/>
            <w:right w:val="none" w:sz="0" w:space="0" w:color="auto"/>
          </w:divBdr>
        </w:div>
        <w:div w:id="1503206630">
          <w:marLeft w:val="0"/>
          <w:marRight w:val="0"/>
          <w:marTop w:val="0"/>
          <w:marBottom w:val="0"/>
          <w:divBdr>
            <w:top w:val="none" w:sz="0" w:space="0" w:color="auto"/>
            <w:left w:val="none" w:sz="0" w:space="0" w:color="auto"/>
            <w:bottom w:val="none" w:sz="0" w:space="0" w:color="auto"/>
            <w:right w:val="none" w:sz="0" w:space="0" w:color="auto"/>
          </w:divBdr>
        </w:div>
        <w:div w:id="1593271116">
          <w:marLeft w:val="0"/>
          <w:marRight w:val="0"/>
          <w:marTop w:val="0"/>
          <w:marBottom w:val="0"/>
          <w:divBdr>
            <w:top w:val="none" w:sz="0" w:space="0" w:color="auto"/>
            <w:left w:val="none" w:sz="0" w:space="0" w:color="auto"/>
            <w:bottom w:val="none" w:sz="0" w:space="0" w:color="auto"/>
            <w:right w:val="none" w:sz="0" w:space="0" w:color="auto"/>
          </w:divBdr>
        </w:div>
        <w:div w:id="1912160094">
          <w:marLeft w:val="0"/>
          <w:marRight w:val="0"/>
          <w:marTop w:val="0"/>
          <w:marBottom w:val="0"/>
          <w:divBdr>
            <w:top w:val="none" w:sz="0" w:space="0" w:color="auto"/>
            <w:left w:val="none" w:sz="0" w:space="0" w:color="auto"/>
            <w:bottom w:val="none" w:sz="0" w:space="0" w:color="auto"/>
            <w:right w:val="none" w:sz="0" w:space="0" w:color="auto"/>
          </w:divBdr>
        </w:div>
        <w:div w:id="2126734171">
          <w:marLeft w:val="0"/>
          <w:marRight w:val="0"/>
          <w:marTop w:val="0"/>
          <w:marBottom w:val="0"/>
          <w:divBdr>
            <w:top w:val="none" w:sz="0" w:space="0" w:color="auto"/>
            <w:left w:val="none" w:sz="0" w:space="0" w:color="auto"/>
            <w:bottom w:val="none" w:sz="0" w:space="0" w:color="auto"/>
            <w:right w:val="none" w:sz="0" w:space="0" w:color="auto"/>
          </w:divBdr>
        </w:div>
      </w:divsChild>
    </w:div>
    <w:div w:id="1175801443">
      <w:bodyDiv w:val="1"/>
      <w:marLeft w:val="0"/>
      <w:marRight w:val="0"/>
      <w:marTop w:val="0"/>
      <w:marBottom w:val="0"/>
      <w:divBdr>
        <w:top w:val="none" w:sz="0" w:space="0" w:color="auto"/>
        <w:left w:val="none" w:sz="0" w:space="0" w:color="auto"/>
        <w:bottom w:val="none" w:sz="0" w:space="0" w:color="auto"/>
        <w:right w:val="none" w:sz="0" w:space="0" w:color="auto"/>
      </w:divBdr>
    </w:div>
    <w:div w:id="1194032402">
      <w:bodyDiv w:val="1"/>
      <w:marLeft w:val="0"/>
      <w:marRight w:val="0"/>
      <w:marTop w:val="0"/>
      <w:marBottom w:val="0"/>
      <w:divBdr>
        <w:top w:val="none" w:sz="0" w:space="0" w:color="auto"/>
        <w:left w:val="none" w:sz="0" w:space="0" w:color="auto"/>
        <w:bottom w:val="none" w:sz="0" w:space="0" w:color="auto"/>
        <w:right w:val="none" w:sz="0" w:space="0" w:color="auto"/>
      </w:divBdr>
      <w:divsChild>
        <w:div w:id="99180110">
          <w:marLeft w:val="0"/>
          <w:marRight w:val="0"/>
          <w:marTop w:val="0"/>
          <w:marBottom w:val="0"/>
          <w:divBdr>
            <w:top w:val="none" w:sz="0" w:space="0" w:color="auto"/>
            <w:left w:val="none" w:sz="0" w:space="0" w:color="auto"/>
            <w:bottom w:val="none" w:sz="0" w:space="0" w:color="auto"/>
            <w:right w:val="none" w:sz="0" w:space="0" w:color="auto"/>
          </w:divBdr>
        </w:div>
        <w:div w:id="336809580">
          <w:marLeft w:val="0"/>
          <w:marRight w:val="0"/>
          <w:marTop w:val="0"/>
          <w:marBottom w:val="0"/>
          <w:divBdr>
            <w:top w:val="none" w:sz="0" w:space="0" w:color="auto"/>
            <w:left w:val="none" w:sz="0" w:space="0" w:color="auto"/>
            <w:bottom w:val="none" w:sz="0" w:space="0" w:color="auto"/>
            <w:right w:val="none" w:sz="0" w:space="0" w:color="auto"/>
          </w:divBdr>
        </w:div>
        <w:div w:id="672996260">
          <w:marLeft w:val="0"/>
          <w:marRight w:val="0"/>
          <w:marTop w:val="0"/>
          <w:marBottom w:val="0"/>
          <w:divBdr>
            <w:top w:val="none" w:sz="0" w:space="0" w:color="auto"/>
            <w:left w:val="none" w:sz="0" w:space="0" w:color="auto"/>
            <w:bottom w:val="none" w:sz="0" w:space="0" w:color="auto"/>
            <w:right w:val="none" w:sz="0" w:space="0" w:color="auto"/>
          </w:divBdr>
        </w:div>
        <w:div w:id="1578242081">
          <w:marLeft w:val="0"/>
          <w:marRight w:val="0"/>
          <w:marTop w:val="0"/>
          <w:marBottom w:val="0"/>
          <w:divBdr>
            <w:top w:val="none" w:sz="0" w:space="0" w:color="auto"/>
            <w:left w:val="none" w:sz="0" w:space="0" w:color="auto"/>
            <w:bottom w:val="none" w:sz="0" w:space="0" w:color="auto"/>
            <w:right w:val="none" w:sz="0" w:space="0" w:color="auto"/>
          </w:divBdr>
        </w:div>
        <w:div w:id="1607497340">
          <w:marLeft w:val="0"/>
          <w:marRight w:val="0"/>
          <w:marTop w:val="0"/>
          <w:marBottom w:val="0"/>
          <w:divBdr>
            <w:top w:val="none" w:sz="0" w:space="0" w:color="auto"/>
            <w:left w:val="none" w:sz="0" w:space="0" w:color="auto"/>
            <w:bottom w:val="none" w:sz="0" w:space="0" w:color="auto"/>
            <w:right w:val="none" w:sz="0" w:space="0" w:color="auto"/>
          </w:divBdr>
        </w:div>
        <w:div w:id="1722246301">
          <w:marLeft w:val="0"/>
          <w:marRight w:val="0"/>
          <w:marTop w:val="0"/>
          <w:marBottom w:val="0"/>
          <w:divBdr>
            <w:top w:val="none" w:sz="0" w:space="0" w:color="auto"/>
            <w:left w:val="none" w:sz="0" w:space="0" w:color="auto"/>
            <w:bottom w:val="none" w:sz="0" w:space="0" w:color="auto"/>
            <w:right w:val="none" w:sz="0" w:space="0" w:color="auto"/>
          </w:divBdr>
        </w:div>
        <w:div w:id="1830515292">
          <w:marLeft w:val="0"/>
          <w:marRight w:val="0"/>
          <w:marTop w:val="0"/>
          <w:marBottom w:val="0"/>
          <w:divBdr>
            <w:top w:val="none" w:sz="0" w:space="0" w:color="auto"/>
            <w:left w:val="none" w:sz="0" w:space="0" w:color="auto"/>
            <w:bottom w:val="none" w:sz="0" w:space="0" w:color="auto"/>
            <w:right w:val="none" w:sz="0" w:space="0" w:color="auto"/>
          </w:divBdr>
        </w:div>
      </w:divsChild>
    </w:div>
    <w:div w:id="1267035991">
      <w:bodyDiv w:val="1"/>
      <w:marLeft w:val="0"/>
      <w:marRight w:val="0"/>
      <w:marTop w:val="0"/>
      <w:marBottom w:val="0"/>
      <w:divBdr>
        <w:top w:val="none" w:sz="0" w:space="0" w:color="auto"/>
        <w:left w:val="none" w:sz="0" w:space="0" w:color="auto"/>
        <w:bottom w:val="none" w:sz="0" w:space="0" w:color="auto"/>
        <w:right w:val="none" w:sz="0" w:space="0" w:color="auto"/>
      </w:divBdr>
      <w:divsChild>
        <w:div w:id="33967980">
          <w:marLeft w:val="0"/>
          <w:marRight w:val="0"/>
          <w:marTop w:val="0"/>
          <w:marBottom w:val="0"/>
          <w:divBdr>
            <w:top w:val="none" w:sz="0" w:space="0" w:color="auto"/>
            <w:left w:val="none" w:sz="0" w:space="0" w:color="auto"/>
            <w:bottom w:val="none" w:sz="0" w:space="0" w:color="auto"/>
            <w:right w:val="none" w:sz="0" w:space="0" w:color="auto"/>
          </w:divBdr>
        </w:div>
        <w:div w:id="138543580">
          <w:marLeft w:val="0"/>
          <w:marRight w:val="0"/>
          <w:marTop w:val="0"/>
          <w:marBottom w:val="0"/>
          <w:divBdr>
            <w:top w:val="none" w:sz="0" w:space="0" w:color="auto"/>
            <w:left w:val="none" w:sz="0" w:space="0" w:color="auto"/>
            <w:bottom w:val="none" w:sz="0" w:space="0" w:color="auto"/>
            <w:right w:val="none" w:sz="0" w:space="0" w:color="auto"/>
          </w:divBdr>
        </w:div>
        <w:div w:id="470710577">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8068364">
      <w:bodyDiv w:val="1"/>
      <w:marLeft w:val="0"/>
      <w:marRight w:val="0"/>
      <w:marTop w:val="0"/>
      <w:marBottom w:val="0"/>
      <w:divBdr>
        <w:top w:val="none" w:sz="0" w:space="0" w:color="auto"/>
        <w:left w:val="none" w:sz="0" w:space="0" w:color="auto"/>
        <w:bottom w:val="none" w:sz="0" w:space="0" w:color="auto"/>
        <w:right w:val="none" w:sz="0" w:space="0" w:color="auto"/>
      </w:divBdr>
    </w:div>
    <w:div w:id="1672947311">
      <w:bodyDiv w:val="1"/>
      <w:marLeft w:val="0"/>
      <w:marRight w:val="0"/>
      <w:marTop w:val="0"/>
      <w:marBottom w:val="0"/>
      <w:divBdr>
        <w:top w:val="none" w:sz="0" w:space="0" w:color="auto"/>
        <w:left w:val="none" w:sz="0" w:space="0" w:color="auto"/>
        <w:bottom w:val="none" w:sz="0" w:space="0" w:color="auto"/>
        <w:right w:val="none" w:sz="0" w:space="0" w:color="auto"/>
      </w:divBdr>
    </w:div>
    <w:div w:id="1685278609">
      <w:bodyDiv w:val="1"/>
      <w:marLeft w:val="0"/>
      <w:marRight w:val="0"/>
      <w:marTop w:val="0"/>
      <w:marBottom w:val="0"/>
      <w:divBdr>
        <w:top w:val="none" w:sz="0" w:space="0" w:color="auto"/>
        <w:left w:val="none" w:sz="0" w:space="0" w:color="auto"/>
        <w:bottom w:val="none" w:sz="0" w:space="0" w:color="auto"/>
        <w:right w:val="none" w:sz="0" w:space="0" w:color="auto"/>
      </w:divBdr>
      <w:divsChild>
        <w:div w:id="436295638">
          <w:marLeft w:val="0"/>
          <w:marRight w:val="0"/>
          <w:marTop w:val="0"/>
          <w:marBottom w:val="0"/>
          <w:divBdr>
            <w:top w:val="none" w:sz="0" w:space="0" w:color="auto"/>
            <w:left w:val="none" w:sz="0" w:space="0" w:color="auto"/>
            <w:bottom w:val="none" w:sz="0" w:space="0" w:color="auto"/>
            <w:right w:val="none" w:sz="0" w:space="0" w:color="auto"/>
          </w:divBdr>
        </w:div>
        <w:div w:id="867179605">
          <w:marLeft w:val="0"/>
          <w:marRight w:val="0"/>
          <w:marTop w:val="0"/>
          <w:marBottom w:val="0"/>
          <w:divBdr>
            <w:top w:val="none" w:sz="0" w:space="0" w:color="auto"/>
            <w:left w:val="none" w:sz="0" w:space="0" w:color="auto"/>
            <w:bottom w:val="none" w:sz="0" w:space="0" w:color="auto"/>
            <w:right w:val="none" w:sz="0" w:space="0" w:color="auto"/>
          </w:divBdr>
        </w:div>
        <w:div w:id="949896820">
          <w:marLeft w:val="0"/>
          <w:marRight w:val="0"/>
          <w:marTop w:val="0"/>
          <w:marBottom w:val="0"/>
          <w:divBdr>
            <w:top w:val="none" w:sz="0" w:space="0" w:color="auto"/>
            <w:left w:val="none" w:sz="0" w:space="0" w:color="auto"/>
            <w:bottom w:val="none" w:sz="0" w:space="0" w:color="auto"/>
            <w:right w:val="none" w:sz="0" w:space="0" w:color="auto"/>
          </w:divBdr>
        </w:div>
        <w:div w:id="1066149406">
          <w:marLeft w:val="0"/>
          <w:marRight w:val="0"/>
          <w:marTop w:val="0"/>
          <w:marBottom w:val="0"/>
          <w:divBdr>
            <w:top w:val="none" w:sz="0" w:space="0" w:color="auto"/>
            <w:left w:val="none" w:sz="0" w:space="0" w:color="auto"/>
            <w:bottom w:val="none" w:sz="0" w:space="0" w:color="auto"/>
            <w:right w:val="none" w:sz="0" w:space="0" w:color="auto"/>
          </w:divBdr>
        </w:div>
        <w:div w:id="1521970900">
          <w:marLeft w:val="0"/>
          <w:marRight w:val="0"/>
          <w:marTop w:val="0"/>
          <w:marBottom w:val="0"/>
          <w:divBdr>
            <w:top w:val="none" w:sz="0" w:space="0" w:color="auto"/>
            <w:left w:val="none" w:sz="0" w:space="0" w:color="auto"/>
            <w:bottom w:val="none" w:sz="0" w:space="0" w:color="auto"/>
            <w:right w:val="none" w:sz="0" w:space="0" w:color="auto"/>
          </w:divBdr>
        </w:div>
        <w:div w:id="1532180425">
          <w:marLeft w:val="0"/>
          <w:marRight w:val="0"/>
          <w:marTop w:val="0"/>
          <w:marBottom w:val="0"/>
          <w:divBdr>
            <w:top w:val="none" w:sz="0" w:space="0" w:color="auto"/>
            <w:left w:val="none" w:sz="0" w:space="0" w:color="auto"/>
            <w:bottom w:val="none" w:sz="0" w:space="0" w:color="auto"/>
            <w:right w:val="none" w:sz="0" w:space="0" w:color="auto"/>
          </w:divBdr>
        </w:div>
        <w:div w:id="1754205859">
          <w:marLeft w:val="0"/>
          <w:marRight w:val="0"/>
          <w:marTop w:val="0"/>
          <w:marBottom w:val="0"/>
          <w:divBdr>
            <w:top w:val="none" w:sz="0" w:space="0" w:color="auto"/>
            <w:left w:val="none" w:sz="0" w:space="0" w:color="auto"/>
            <w:bottom w:val="none" w:sz="0" w:space="0" w:color="auto"/>
            <w:right w:val="none" w:sz="0" w:space="0" w:color="auto"/>
          </w:divBdr>
        </w:div>
      </w:divsChild>
    </w:div>
    <w:div w:id="1774587554">
      <w:bodyDiv w:val="1"/>
      <w:marLeft w:val="0"/>
      <w:marRight w:val="0"/>
      <w:marTop w:val="0"/>
      <w:marBottom w:val="0"/>
      <w:divBdr>
        <w:top w:val="none" w:sz="0" w:space="0" w:color="auto"/>
        <w:left w:val="none" w:sz="0" w:space="0" w:color="auto"/>
        <w:bottom w:val="none" w:sz="0" w:space="0" w:color="auto"/>
        <w:right w:val="none" w:sz="0" w:space="0" w:color="auto"/>
      </w:divBdr>
    </w:div>
    <w:div w:id="1840777633">
      <w:bodyDiv w:val="1"/>
      <w:marLeft w:val="0"/>
      <w:marRight w:val="0"/>
      <w:marTop w:val="0"/>
      <w:marBottom w:val="0"/>
      <w:divBdr>
        <w:top w:val="none" w:sz="0" w:space="0" w:color="auto"/>
        <w:left w:val="none" w:sz="0" w:space="0" w:color="auto"/>
        <w:bottom w:val="none" w:sz="0" w:space="0" w:color="auto"/>
        <w:right w:val="none" w:sz="0" w:space="0" w:color="auto"/>
      </w:divBdr>
      <w:divsChild>
        <w:div w:id="488519541">
          <w:marLeft w:val="0"/>
          <w:marRight w:val="0"/>
          <w:marTop w:val="0"/>
          <w:marBottom w:val="0"/>
          <w:divBdr>
            <w:top w:val="none" w:sz="0" w:space="0" w:color="auto"/>
            <w:left w:val="none" w:sz="0" w:space="0" w:color="auto"/>
            <w:bottom w:val="none" w:sz="0" w:space="0" w:color="auto"/>
            <w:right w:val="none" w:sz="0" w:space="0" w:color="auto"/>
          </w:divBdr>
        </w:div>
        <w:div w:id="599147107">
          <w:marLeft w:val="0"/>
          <w:marRight w:val="0"/>
          <w:marTop w:val="0"/>
          <w:marBottom w:val="0"/>
          <w:divBdr>
            <w:top w:val="none" w:sz="0" w:space="0" w:color="auto"/>
            <w:left w:val="none" w:sz="0" w:space="0" w:color="auto"/>
            <w:bottom w:val="none" w:sz="0" w:space="0" w:color="auto"/>
            <w:right w:val="none" w:sz="0" w:space="0" w:color="auto"/>
          </w:divBdr>
        </w:div>
        <w:div w:id="642927310">
          <w:marLeft w:val="0"/>
          <w:marRight w:val="0"/>
          <w:marTop w:val="0"/>
          <w:marBottom w:val="0"/>
          <w:divBdr>
            <w:top w:val="none" w:sz="0" w:space="0" w:color="auto"/>
            <w:left w:val="none" w:sz="0" w:space="0" w:color="auto"/>
            <w:bottom w:val="none" w:sz="0" w:space="0" w:color="auto"/>
            <w:right w:val="none" w:sz="0" w:space="0" w:color="auto"/>
          </w:divBdr>
        </w:div>
        <w:div w:id="707337816">
          <w:marLeft w:val="0"/>
          <w:marRight w:val="0"/>
          <w:marTop w:val="0"/>
          <w:marBottom w:val="0"/>
          <w:divBdr>
            <w:top w:val="none" w:sz="0" w:space="0" w:color="auto"/>
            <w:left w:val="none" w:sz="0" w:space="0" w:color="auto"/>
            <w:bottom w:val="none" w:sz="0" w:space="0" w:color="auto"/>
            <w:right w:val="none" w:sz="0" w:space="0" w:color="auto"/>
          </w:divBdr>
        </w:div>
        <w:div w:id="1291546811">
          <w:marLeft w:val="0"/>
          <w:marRight w:val="0"/>
          <w:marTop w:val="0"/>
          <w:marBottom w:val="0"/>
          <w:divBdr>
            <w:top w:val="none" w:sz="0" w:space="0" w:color="auto"/>
            <w:left w:val="none" w:sz="0" w:space="0" w:color="auto"/>
            <w:bottom w:val="none" w:sz="0" w:space="0" w:color="auto"/>
            <w:right w:val="none" w:sz="0" w:space="0" w:color="auto"/>
          </w:divBdr>
        </w:div>
        <w:div w:id="1517503769">
          <w:marLeft w:val="0"/>
          <w:marRight w:val="0"/>
          <w:marTop w:val="0"/>
          <w:marBottom w:val="0"/>
          <w:divBdr>
            <w:top w:val="none" w:sz="0" w:space="0" w:color="auto"/>
            <w:left w:val="none" w:sz="0" w:space="0" w:color="auto"/>
            <w:bottom w:val="none" w:sz="0" w:space="0" w:color="auto"/>
            <w:right w:val="none" w:sz="0" w:space="0" w:color="auto"/>
          </w:divBdr>
        </w:div>
        <w:div w:id="1813403668">
          <w:marLeft w:val="0"/>
          <w:marRight w:val="0"/>
          <w:marTop w:val="0"/>
          <w:marBottom w:val="0"/>
          <w:divBdr>
            <w:top w:val="none" w:sz="0" w:space="0" w:color="auto"/>
            <w:left w:val="none" w:sz="0" w:space="0" w:color="auto"/>
            <w:bottom w:val="none" w:sz="0" w:space="0" w:color="auto"/>
            <w:right w:val="none" w:sz="0" w:space="0" w:color="auto"/>
          </w:divBdr>
        </w:div>
        <w:div w:id="1910844885">
          <w:marLeft w:val="0"/>
          <w:marRight w:val="0"/>
          <w:marTop w:val="0"/>
          <w:marBottom w:val="0"/>
          <w:divBdr>
            <w:top w:val="none" w:sz="0" w:space="0" w:color="auto"/>
            <w:left w:val="none" w:sz="0" w:space="0" w:color="auto"/>
            <w:bottom w:val="none" w:sz="0" w:space="0" w:color="auto"/>
            <w:right w:val="none" w:sz="0" w:space="0" w:color="auto"/>
          </w:divBdr>
        </w:div>
      </w:divsChild>
    </w:div>
    <w:div w:id="1881891395">
      <w:bodyDiv w:val="1"/>
      <w:marLeft w:val="0"/>
      <w:marRight w:val="0"/>
      <w:marTop w:val="0"/>
      <w:marBottom w:val="0"/>
      <w:divBdr>
        <w:top w:val="none" w:sz="0" w:space="0" w:color="auto"/>
        <w:left w:val="none" w:sz="0" w:space="0" w:color="auto"/>
        <w:bottom w:val="none" w:sz="0" w:space="0" w:color="auto"/>
        <w:right w:val="none" w:sz="0" w:space="0" w:color="auto"/>
      </w:divBdr>
    </w:div>
    <w:div w:id="1892107238">
      <w:bodyDiv w:val="1"/>
      <w:marLeft w:val="0"/>
      <w:marRight w:val="0"/>
      <w:marTop w:val="0"/>
      <w:marBottom w:val="0"/>
      <w:divBdr>
        <w:top w:val="none" w:sz="0" w:space="0" w:color="auto"/>
        <w:left w:val="none" w:sz="0" w:space="0" w:color="auto"/>
        <w:bottom w:val="none" w:sz="0" w:space="0" w:color="auto"/>
        <w:right w:val="none" w:sz="0" w:space="0" w:color="auto"/>
      </w:divBdr>
    </w:div>
    <w:div w:id="1986622385">
      <w:bodyDiv w:val="1"/>
      <w:marLeft w:val="0"/>
      <w:marRight w:val="0"/>
      <w:marTop w:val="0"/>
      <w:marBottom w:val="0"/>
      <w:divBdr>
        <w:top w:val="none" w:sz="0" w:space="0" w:color="auto"/>
        <w:left w:val="none" w:sz="0" w:space="0" w:color="auto"/>
        <w:bottom w:val="none" w:sz="0" w:space="0" w:color="auto"/>
        <w:right w:val="none" w:sz="0" w:space="0" w:color="auto"/>
      </w:divBdr>
      <w:divsChild>
        <w:div w:id="355666367">
          <w:marLeft w:val="0"/>
          <w:marRight w:val="0"/>
          <w:marTop w:val="0"/>
          <w:marBottom w:val="0"/>
          <w:divBdr>
            <w:top w:val="none" w:sz="0" w:space="0" w:color="auto"/>
            <w:left w:val="none" w:sz="0" w:space="0" w:color="auto"/>
            <w:bottom w:val="none" w:sz="0" w:space="0" w:color="auto"/>
            <w:right w:val="none" w:sz="0" w:space="0" w:color="auto"/>
          </w:divBdr>
        </w:div>
        <w:div w:id="397633794">
          <w:marLeft w:val="0"/>
          <w:marRight w:val="0"/>
          <w:marTop w:val="0"/>
          <w:marBottom w:val="0"/>
          <w:divBdr>
            <w:top w:val="none" w:sz="0" w:space="0" w:color="auto"/>
            <w:left w:val="none" w:sz="0" w:space="0" w:color="auto"/>
            <w:bottom w:val="none" w:sz="0" w:space="0" w:color="auto"/>
            <w:right w:val="none" w:sz="0" w:space="0" w:color="auto"/>
          </w:divBdr>
        </w:div>
        <w:div w:id="561990597">
          <w:marLeft w:val="0"/>
          <w:marRight w:val="0"/>
          <w:marTop w:val="0"/>
          <w:marBottom w:val="0"/>
          <w:divBdr>
            <w:top w:val="none" w:sz="0" w:space="0" w:color="auto"/>
            <w:left w:val="none" w:sz="0" w:space="0" w:color="auto"/>
            <w:bottom w:val="none" w:sz="0" w:space="0" w:color="auto"/>
            <w:right w:val="none" w:sz="0" w:space="0" w:color="auto"/>
          </w:divBdr>
        </w:div>
        <w:div w:id="1192036287">
          <w:marLeft w:val="0"/>
          <w:marRight w:val="0"/>
          <w:marTop w:val="0"/>
          <w:marBottom w:val="0"/>
          <w:divBdr>
            <w:top w:val="none" w:sz="0" w:space="0" w:color="auto"/>
            <w:left w:val="none" w:sz="0" w:space="0" w:color="auto"/>
            <w:bottom w:val="none" w:sz="0" w:space="0" w:color="auto"/>
            <w:right w:val="none" w:sz="0" w:space="0" w:color="auto"/>
          </w:divBdr>
        </w:div>
        <w:div w:id="1498573951">
          <w:marLeft w:val="0"/>
          <w:marRight w:val="0"/>
          <w:marTop w:val="0"/>
          <w:marBottom w:val="0"/>
          <w:divBdr>
            <w:top w:val="none" w:sz="0" w:space="0" w:color="auto"/>
            <w:left w:val="none" w:sz="0" w:space="0" w:color="auto"/>
            <w:bottom w:val="none" w:sz="0" w:space="0" w:color="auto"/>
            <w:right w:val="none" w:sz="0" w:space="0" w:color="auto"/>
          </w:divBdr>
        </w:div>
        <w:div w:id="1707097648">
          <w:marLeft w:val="0"/>
          <w:marRight w:val="0"/>
          <w:marTop w:val="0"/>
          <w:marBottom w:val="0"/>
          <w:divBdr>
            <w:top w:val="none" w:sz="0" w:space="0" w:color="auto"/>
            <w:left w:val="none" w:sz="0" w:space="0" w:color="auto"/>
            <w:bottom w:val="none" w:sz="0" w:space="0" w:color="auto"/>
            <w:right w:val="none" w:sz="0" w:space="0" w:color="auto"/>
          </w:divBdr>
        </w:div>
        <w:div w:id="2042893331">
          <w:marLeft w:val="0"/>
          <w:marRight w:val="0"/>
          <w:marTop w:val="0"/>
          <w:marBottom w:val="0"/>
          <w:divBdr>
            <w:top w:val="none" w:sz="0" w:space="0" w:color="auto"/>
            <w:left w:val="none" w:sz="0" w:space="0" w:color="auto"/>
            <w:bottom w:val="none" w:sz="0" w:space="0" w:color="auto"/>
            <w:right w:val="none" w:sz="0" w:space="0" w:color="auto"/>
          </w:divBdr>
        </w:div>
        <w:div w:id="2088337162">
          <w:marLeft w:val="0"/>
          <w:marRight w:val="0"/>
          <w:marTop w:val="0"/>
          <w:marBottom w:val="0"/>
          <w:divBdr>
            <w:top w:val="none" w:sz="0" w:space="0" w:color="auto"/>
            <w:left w:val="none" w:sz="0" w:space="0" w:color="auto"/>
            <w:bottom w:val="none" w:sz="0" w:space="0" w:color="auto"/>
            <w:right w:val="none" w:sz="0" w:space="0" w:color="auto"/>
          </w:divBdr>
        </w:div>
        <w:div w:id="2131850675">
          <w:marLeft w:val="0"/>
          <w:marRight w:val="0"/>
          <w:marTop w:val="0"/>
          <w:marBottom w:val="0"/>
          <w:divBdr>
            <w:top w:val="none" w:sz="0" w:space="0" w:color="auto"/>
            <w:left w:val="none" w:sz="0" w:space="0" w:color="auto"/>
            <w:bottom w:val="none" w:sz="0" w:space="0" w:color="auto"/>
            <w:right w:val="none" w:sz="0" w:space="0" w:color="auto"/>
          </w:divBdr>
        </w:div>
      </w:divsChild>
    </w:div>
    <w:div w:id="2063559800">
      <w:bodyDiv w:val="1"/>
      <w:marLeft w:val="0"/>
      <w:marRight w:val="0"/>
      <w:marTop w:val="0"/>
      <w:marBottom w:val="0"/>
      <w:divBdr>
        <w:top w:val="none" w:sz="0" w:space="0" w:color="auto"/>
        <w:left w:val="none" w:sz="0" w:space="0" w:color="auto"/>
        <w:bottom w:val="none" w:sz="0" w:space="0" w:color="auto"/>
        <w:right w:val="none" w:sz="0" w:space="0" w:color="auto"/>
      </w:divBdr>
    </w:div>
    <w:div w:id="2087800120">
      <w:bodyDiv w:val="1"/>
      <w:marLeft w:val="0"/>
      <w:marRight w:val="0"/>
      <w:marTop w:val="0"/>
      <w:marBottom w:val="0"/>
      <w:divBdr>
        <w:top w:val="none" w:sz="0" w:space="0" w:color="auto"/>
        <w:left w:val="none" w:sz="0" w:space="0" w:color="auto"/>
        <w:bottom w:val="none" w:sz="0" w:space="0" w:color="auto"/>
        <w:right w:val="none" w:sz="0" w:space="0" w:color="auto"/>
      </w:divBdr>
    </w:div>
    <w:div w:id="2118019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2733BA683F7A42459DD5D6872AD62FCD" ma:contentTypeVersion="2" ma:contentTypeDescription="Create a new document." ma:contentTypeScope="" ma:versionID="f12e8e16ede24f141dfcedb8bdeba2f1">
  <xsd:schema xmlns:xsd="http://www.w3.org/2001/XMLSchema" xmlns:xs="http://www.w3.org/2001/XMLSchema" xmlns:p="http://schemas.microsoft.com/office/2006/metadata/properties" xmlns:ns2="e53fb2e4-40a6-4b38-9c8d-9bfad2de7b6e" targetNamespace="http://schemas.microsoft.com/office/2006/metadata/properties" ma:root="true" ma:fieldsID="15720d43d701494968ad0ffcdc215e8a" ns2:_="">
    <xsd:import namespace="e53fb2e4-40a6-4b38-9c8d-9bfad2de7b6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fb2e4-40a6-4b38-9c8d-9bfad2de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AB2D72B-7798-4303-BFF2-DEFDC9E3704A}">
  <ds:schemaRefs>
    <ds:schemaRef ds:uri="http://schemas.microsoft.com/sharepoint/v3/contenttype/forms"/>
  </ds:schemaRefs>
</ds:datastoreItem>
</file>

<file path=customXml/itemProps2.xml><?xml version="1.0" encoding="utf-8"?>
<ds:datastoreItem xmlns:ds="http://schemas.openxmlformats.org/officeDocument/2006/customXml" ds:itemID="{8A05953B-9541-4688-85E7-58A286B67897}">
  <ds:schemaRefs>
    <ds:schemaRef ds:uri="http://schemas.openxmlformats.org/officeDocument/2006/bibliography"/>
  </ds:schemaRefs>
</ds:datastoreItem>
</file>

<file path=customXml/itemProps3.xml><?xml version="1.0" encoding="utf-8"?>
<ds:datastoreItem xmlns:ds="http://schemas.openxmlformats.org/officeDocument/2006/customXml" ds:itemID="{A3DC96F3-FE0A-4467-B54A-F15E98705C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fb2e4-40a6-4b38-9c8d-9bfad2de7b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ECAF61-BC0B-4EFE-97CC-C2DAB972614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1975</Words>
  <Characters>11258</Characters>
  <Application>Microsoft Office Word</Application>
  <DocSecurity>0</DocSecurity>
  <Lines>93</Lines>
  <Paragraphs>26</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13207</CharactersWithSpaces>
  <SharedDoc>false</SharedDoc>
  <HLinks>
    <vt:vector size="24" baseType="variant">
      <vt:variant>
        <vt:i4>327751</vt:i4>
      </vt:variant>
      <vt:variant>
        <vt:i4>9</vt:i4>
      </vt:variant>
      <vt:variant>
        <vt:i4>0</vt:i4>
      </vt:variant>
      <vt:variant>
        <vt:i4>5</vt:i4>
      </vt:variant>
      <vt:variant>
        <vt:lpwstr>https://ec.europa.eu/environment/life/project/Projects/index.cfm?fuseaction=home.showFile&amp;rep=file&amp;fil=ENERGY_WASTE_CERTH_2012_pres.pdf</vt:lpwstr>
      </vt:variant>
      <vt:variant>
        <vt:lpwstr/>
      </vt:variant>
      <vt:variant>
        <vt:i4>3145854</vt:i4>
      </vt:variant>
      <vt:variant>
        <vt:i4>6</vt:i4>
      </vt:variant>
      <vt:variant>
        <vt:i4>0</vt:i4>
      </vt:variant>
      <vt:variant>
        <vt:i4>5</vt:i4>
      </vt:variant>
      <vt:variant>
        <vt:lpwstr>https://oe.finance.si/8945323/Odpadki-imajo-vecjo-kurilno-vrednost-kot-velenjski-lignit</vt:lpwstr>
      </vt:variant>
      <vt:variant>
        <vt:lpwstr/>
      </vt:variant>
      <vt:variant>
        <vt:i4>6160406</vt:i4>
      </vt:variant>
      <vt:variant>
        <vt:i4>3</vt:i4>
      </vt:variant>
      <vt:variant>
        <vt:i4>0</vt:i4>
      </vt:variant>
      <vt:variant>
        <vt:i4>5</vt:i4>
      </vt:variant>
      <vt:variant>
        <vt:lpwstr>https://www.vokasnaga.si/sites/www.jhl.si/files/www_jhl/razpis/datoteke/19snaga_d.o.o._-_19_06_04_-_84-58e.pdf</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cp:lastPrinted>2010-02-05T15:15:00Z</cp:lastPrinted>
  <dcterms:created xsi:type="dcterms:W3CDTF">2021-11-17T20:39:00Z</dcterms:created>
  <dcterms:modified xsi:type="dcterms:W3CDTF">2022-01-06T11:41:00Z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0x0101002733BA683F7A42459DD5D6872AD62FCD</vt:lpwstr>
  </property>
</Properties>
</file>