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ECF" w:rsidRDefault="00344ECF" w:rsidP="00033C42">
      <w:pPr>
        <w:spacing w:line="260" w:lineRule="exact"/>
        <w:jc w:val="right"/>
        <w:textAlignment w:val="baseline"/>
        <w:rPr>
          <w:rFonts w:eastAsia="Times New Roman" w:cs="Arial"/>
          <w:b/>
          <w:sz w:val="22"/>
          <w:lang w:eastAsia="sl-SI"/>
        </w:rPr>
      </w:pPr>
      <w:bookmarkStart w:id="0" w:name="_GoBack"/>
      <w:bookmarkEnd w:id="0"/>
    </w:p>
    <w:p w:rsidR="00344ECF" w:rsidRPr="00A9231D" w:rsidRDefault="00344ECF" w:rsidP="00033C42">
      <w:pPr>
        <w:pStyle w:val="Glava"/>
        <w:tabs>
          <w:tab w:val="clear" w:pos="4536"/>
          <w:tab w:val="clear" w:pos="9072"/>
          <w:tab w:val="left" w:pos="5112"/>
          <w:tab w:val="left" w:pos="8641"/>
        </w:tabs>
        <w:spacing w:before="340" w:line="26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344ECF" w:rsidRPr="00A9231D" w:rsidRDefault="00344ECF" w:rsidP="00033C42">
      <w:pPr>
        <w:pStyle w:val="Glava"/>
        <w:tabs>
          <w:tab w:val="clear" w:pos="4536"/>
          <w:tab w:val="clear" w:pos="9072"/>
          <w:tab w:val="left" w:pos="5114"/>
          <w:tab w:val="left" w:pos="8641"/>
        </w:tabs>
        <w:spacing w:before="120" w:line="26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344ECF" w:rsidRPr="00A9231D" w:rsidRDefault="00344ECF" w:rsidP="00033C42">
      <w:pPr>
        <w:pStyle w:val="Glava"/>
        <w:tabs>
          <w:tab w:val="clear" w:pos="4536"/>
          <w:tab w:val="clear" w:pos="9072"/>
          <w:tab w:val="left" w:pos="5114"/>
          <w:tab w:val="left" w:pos="8641"/>
        </w:tabs>
        <w:spacing w:line="260" w:lineRule="exact"/>
        <w:rPr>
          <w:rFonts w:cs="Arial"/>
          <w:sz w:val="16"/>
        </w:rPr>
      </w:pPr>
      <w:r w:rsidRPr="00A9231D">
        <w:rPr>
          <w:rFonts w:cs="Arial"/>
          <w:sz w:val="16"/>
        </w:rPr>
        <w:tab/>
        <w:t>F: +386 1 478 1607</w:t>
      </w:r>
    </w:p>
    <w:p w:rsidR="00344ECF" w:rsidRPr="00A9231D" w:rsidRDefault="00344ECF" w:rsidP="00033C42">
      <w:pPr>
        <w:pStyle w:val="Glava"/>
        <w:tabs>
          <w:tab w:val="clear" w:pos="4536"/>
          <w:tab w:val="clear" w:pos="9072"/>
          <w:tab w:val="left" w:pos="5114"/>
          <w:tab w:val="left" w:pos="8641"/>
        </w:tabs>
        <w:spacing w:line="260" w:lineRule="exact"/>
        <w:rPr>
          <w:rFonts w:cs="Arial"/>
          <w:sz w:val="16"/>
        </w:rPr>
      </w:pPr>
      <w:r w:rsidRPr="00A9231D">
        <w:rPr>
          <w:rFonts w:cs="Arial"/>
          <w:sz w:val="16"/>
        </w:rPr>
        <w:tab/>
        <w:t>E: gp.gs@gov.si</w:t>
      </w:r>
    </w:p>
    <w:p w:rsidR="00344ECF" w:rsidRPr="00A9231D" w:rsidRDefault="00344ECF" w:rsidP="00033C42">
      <w:pPr>
        <w:pStyle w:val="Glava"/>
        <w:tabs>
          <w:tab w:val="clear" w:pos="4536"/>
          <w:tab w:val="clear" w:pos="9072"/>
          <w:tab w:val="left" w:pos="5114"/>
          <w:tab w:val="left" w:pos="8641"/>
        </w:tabs>
        <w:spacing w:line="260" w:lineRule="exact"/>
        <w:rPr>
          <w:rFonts w:cs="Arial"/>
          <w:sz w:val="16"/>
        </w:rPr>
      </w:pPr>
      <w:r w:rsidRPr="00A9231D">
        <w:rPr>
          <w:rFonts w:cs="Arial"/>
          <w:sz w:val="16"/>
        </w:rPr>
        <w:tab/>
        <w:t>http://www.vlada.si/</w:t>
      </w:r>
    </w:p>
    <w:p w:rsidR="00344ECF" w:rsidRDefault="00344ECF" w:rsidP="00033C42">
      <w:pPr>
        <w:spacing w:line="260" w:lineRule="exact"/>
        <w:jc w:val="right"/>
        <w:textAlignment w:val="baseline"/>
        <w:rPr>
          <w:rFonts w:eastAsia="Times New Roman" w:cs="Arial"/>
          <w:b/>
          <w:sz w:val="22"/>
          <w:lang w:eastAsia="sl-SI"/>
        </w:rPr>
      </w:pPr>
    </w:p>
    <w:p w:rsidR="00344ECF" w:rsidRDefault="00344ECF" w:rsidP="00033C42">
      <w:pPr>
        <w:spacing w:line="260" w:lineRule="exact"/>
        <w:jc w:val="right"/>
        <w:textAlignment w:val="baseline"/>
        <w:rPr>
          <w:rFonts w:eastAsia="Times New Roman" w:cs="Arial"/>
          <w:b/>
          <w:sz w:val="22"/>
          <w:lang w:eastAsia="sl-SI"/>
        </w:rPr>
      </w:pPr>
    </w:p>
    <w:p w:rsidR="00344ECF" w:rsidRDefault="00344ECF" w:rsidP="00033C42">
      <w:pPr>
        <w:spacing w:line="260" w:lineRule="exact"/>
        <w:jc w:val="right"/>
        <w:textAlignment w:val="baseline"/>
        <w:rPr>
          <w:rFonts w:eastAsia="Times New Roman" w:cs="Arial"/>
          <w:b/>
          <w:sz w:val="22"/>
          <w:lang w:eastAsia="sl-SI"/>
        </w:rPr>
      </w:pPr>
    </w:p>
    <w:p w:rsidR="00344ECF" w:rsidRDefault="00344ECF" w:rsidP="00033C42">
      <w:pPr>
        <w:spacing w:line="260" w:lineRule="exact"/>
        <w:jc w:val="right"/>
        <w:textAlignment w:val="baseline"/>
        <w:rPr>
          <w:rFonts w:eastAsia="Times New Roman" w:cs="Arial"/>
          <w:b/>
          <w:sz w:val="22"/>
          <w:lang w:eastAsia="sl-SI"/>
        </w:rPr>
      </w:pPr>
    </w:p>
    <w:p w:rsidR="00532F2C" w:rsidRPr="00033C42" w:rsidRDefault="00D27095" w:rsidP="00033C42">
      <w:pPr>
        <w:spacing w:line="260" w:lineRule="exact"/>
        <w:jc w:val="right"/>
        <w:textAlignment w:val="baseline"/>
        <w:rPr>
          <w:rFonts w:eastAsia="Times New Roman" w:cs="Arial"/>
          <w:b/>
          <w:sz w:val="20"/>
          <w:szCs w:val="20"/>
          <w:lang w:eastAsia="sl-SI"/>
        </w:rPr>
      </w:pPr>
      <w:r w:rsidRPr="00033C42">
        <w:rPr>
          <w:rFonts w:eastAsia="Times New Roman" w:cs="Arial"/>
          <w:b/>
          <w:sz w:val="20"/>
          <w:szCs w:val="20"/>
          <w:lang w:eastAsia="sl-SI"/>
        </w:rPr>
        <w:t>PREDLOG</w:t>
      </w:r>
    </w:p>
    <w:p w:rsidR="00344ECF" w:rsidRPr="00033C42" w:rsidRDefault="00344ECF" w:rsidP="00033C42">
      <w:pPr>
        <w:spacing w:line="260" w:lineRule="exact"/>
        <w:jc w:val="right"/>
        <w:textAlignment w:val="baseline"/>
        <w:rPr>
          <w:rFonts w:eastAsia="Times New Roman" w:cs="Arial"/>
          <w:b/>
          <w:sz w:val="20"/>
          <w:szCs w:val="20"/>
          <w:lang w:eastAsia="sl-SI"/>
        </w:rPr>
      </w:pPr>
      <w:r w:rsidRPr="00033C42">
        <w:rPr>
          <w:rFonts w:eastAsia="Times New Roman" w:cs="Arial"/>
          <w:b/>
          <w:sz w:val="20"/>
          <w:szCs w:val="20"/>
          <w:lang w:eastAsia="sl-SI"/>
        </w:rPr>
        <w:t>PRVA OBRAVNAVA</w:t>
      </w:r>
    </w:p>
    <w:p w:rsidR="00A14522" w:rsidRPr="00033C42" w:rsidRDefault="00344ECF" w:rsidP="00033C42">
      <w:pPr>
        <w:spacing w:line="260" w:lineRule="exact"/>
        <w:jc w:val="right"/>
        <w:textAlignment w:val="baseline"/>
        <w:rPr>
          <w:rFonts w:eastAsia="Times New Roman" w:cs="Arial"/>
          <w:b/>
          <w:sz w:val="20"/>
          <w:szCs w:val="20"/>
          <w:lang w:eastAsia="sl-SI"/>
        </w:rPr>
      </w:pPr>
      <w:r w:rsidRPr="00033C42">
        <w:rPr>
          <w:rFonts w:eastAsia="Times New Roman" w:cs="Arial"/>
          <w:b/>
          <w:sz w:val="20"/>
          <w:szCs w:val="20"/>
          <w:lang w:eastAsia="sl-SI"/>
        </w:rPr>
        <w:t>EVA 2021-2430-0097</w:t>
      </w:r>
    </w:p>
    <w:p w:rsidR="00A14522" w:rsidRPr="00033C42" w:rsidRDefault="00A14522" w:rsidP="00033C42">
      <w:pPr>
        <w:spacing w:line="260" w:lineRule="exact"/>
        <w:textAlignment w:val="baseline"/>
        <w:rPr>
          <w:rFonts w:eastAsia="Times New Roman" w:cs="Arial"/>
          <w:b/>
          <w:sz w:val="20"/>
          <w:szCs w:val="20"/>
          <w:lang w:eastAsia="sl-SI"/>
        </w:rPr>
      </w:pPr>
    </w:p>
    <w:p w:rsidR="00A14522" w:rsidRPr="00033C42" w:rsidRDefault="00A14522" w:rsidP="00033C42">
      <w:pPr>
        <w:spacing w:line="260" w:lineRule="exact"/>
        <w:textAlignment w:val="baseline"/>
        <w:rPr>
          <w:rFonts w:eastAsia="Times New Roman" w:cs="Arial"/>
          <w:b/>
          <w:sz w:val="20"/>
          <w:szCs w:val="20"/>
          <w:lang w:eastAsia="sl-SI"/>
        </w:rPr>
      </w:pPr>
    </w:p>
    <w:p w:rsidR="00532F2C" w:rsidRPr="00033C42" w:rsidRDefault="00D27095" w:rsidP="0097681F">
      <w:pPr>
        <w:spacing w:line="260" w:lineRule="exact"/>
        <w:jc w:val="center"/>
        <w:textAlignment w:val="baseline"/>
        <w:rPr>
          <w:rFonts w:eastAsia="Times New Roman" w:cs="Arial"/>
          <w:b/>
          <w:sz w:val="20"/>
          <w:szCs w:val="20"/>
          <w:lang w:eastAsia="sl-SI"/>
        </w:rPr>
      </w:pPr>
      <w:r w:rsidRPr="00033C42">
        <w:rPr>
          <w:rFonts w:eastAsia="Times New Roman" w:cs="Arial"/>
          <w:b/>
          <w:sz w:val="20"/>
          <w:szCs w:val="20"/>
          <w:lang w:eastAsia="sl-SI"/>
        </w:rPr>
        <w:t>ZAKON O OSKRBI S TOPLOTO IZ DISTRIBUCIJSKIH SISTEMOV</w:t>
      </w:r>
    </w:p>
    <w:p w:rsidR="00532F2C" w:rsidRPr="00033C42" w:rsidRDefault="00532F2C" w:rsidP="00033C42">
      <w:pPr>
        <w:spacing w:line="260" w:lineRule="exact"/>
        <w:textAlignment w:val="baseline"/>
        <w:rPr>
          <w:rFonts w:eastAsia="Times New Roman" w:cs="Arial"/>
          <w:b/>
          <w:sz w:val="20"/>
          <w:szCs w:val="20"/>
          <w:lang w:eastAsia="sl-SI"/>
        </w:rPr>
      </w:pPr>
    </w:p>
    <w:p w:rsidR="00532F2C" w:rsidRPr="00033C42" w:rsidRDefault="00532F2C" w:rsidP="00033C42">
      <w:pPr>
        <w:spacing w:line="260" w:lineRule="exact"/>
        <w:textAlignment w:val="baseline"/>
        <w:rPr>
          <w:rFonts w:eastAsia="Times New Roman" w:cs="Arial"/>
          <w:b/>
          <w:sz w:val="20"/>
          <w:szCs w:val="20"/>
          <w:lang w:eastAsia="sl-SI"/>
        </w:rPr>
      </w:pPr>
    </w:p>
    <w:p w:rsidR="00532F2C" w:rsidRPr="00033C42" w:rsidRDefault="00D27095" w:rsidP="00033C42">
      <w:pPr>
        <w:spacing w:line="260" w:lineRule="exact"/>
        <w:rPr>
          <w:rFonts w:cs="Arial"/>
          <w:b/>
          <w:sz w:val="20"/>
          <w:szCs w:val="20"/>
        </w:rPr>
      </w:pPr>
      <w:r w:rsidRPr="00033C42">
        <w:rPr>
          <w:rFonts w:cs="Arial"/>
          <w:b/>
          <w:sz w:val="20"/>
          <w:szCs w:val="20"/>
        </w:rPr>
        <w:t>I. UVOD</w:t>
      </w:r>
    </w:p>
    <w:p w:rsidR="00532F2C" w:rsidRPr="00033C42" w:rsidRDefault="00532F2C" w:rsidP="00033C42">
      <w:pPr>
        <w:spacing w:line="260" w:lineRule="exact"/>
        <w:rPr>
          <w:rFonts w:cs="Arial"/>
          <w:b/>
          <w:sz w:val="20"/>
          <w:szCs w:val="20"/>
        </w:rPr>
      </w:pPr>
    </w:p>
    <w:p w:rsidR="00532F2C" w:rsidRPr="00033C42" w:rsidRDefault="00D27095" w:rsidP="00033C42">
      <w:pPr>
        <w:pStyle w:val="Odstavekseznama"/>
        <w:numPr>
          <w:ilvl w:val="0"/>
          <w:numId w:val="7"/>
        </w:numPr>
        <w:spacing w:line="260" w:lineRule="exact"/>
        <w:rPr>
          <w:rFonts w:cs="Arial"/>
          <w:b/>
          <w:sz w:val="20"/>
        </w:rPr>
      </w:pPr>
      <w:r w:rsidRPr="00033C42">
        <w:rPr>
          <w:rFonts w:cs="Arial"/>
          <w:b/>
          <w:sz w:val="20"/>
        </w:rPr>
        <w:t>OCENA STANJA IN RAZLOGI ZA SPREJEM PREDLOGA ZAKONA</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1.1 Ocena stanja</w:t>
      </w:r>
    </w:p>
    <w:p w:rsidR="00532F2C" w:rsidRPr="00033C42" w:rsidRDefault="00532F2C" w:rsidP="00033C42">
      <w:pPr>
        <w:spacing w:line="260" w:lineRule="exact"/>
        <w:rPr>
          <w:rFonts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lang w:eastAsia="zh-CN"/>
        </w:rPr>
        <w:t>O</w:t>
      </w:r>
      <w:r w:rsidRPr="00033C42">
        <w:rPr>
          <w:rFonts w:ascii="Arial" w:hAnsi="Arial" w:cs="Arial"/>
          <w:sz w:val="20"/>
          <w:szCs w:val="20"/>
        </w:rPr>
        <w:t xml:space="preserve">bstoječa zakonska ureditev je s predlogom zakona dopolnjena glede posameznih </w:t>
      </w:r>
      <w:r w:rsidRPr="00033C42">
        <w:rPr>
          <w:rFonts w:ascii="Arial" w:hAnsi="Arial" w:cs="Arial"/>
          <w:sz w:val="20"/>
          <w:szCs w:val="20"/>
          <w:lang w:eastAsia="zh-CN"/>
        </w:rPr>
        <w:t>vsebin</w:t>
      </w:r>
      <w:r w:rsidRPr="00033C42">
        <w:rPr>
          <w:rFonts w:ascii="Arial" w:hAnsi="Arial" w:cs="Arial"/>
          <w:sz w:val="20"/>
          <w:szCs w:val="20"/>
        </w:rPr>
        <w:t>, za katere se je izkazalo, da so pomanjkljivo urejene ali potrebujejo nadgradnjo in prilagoditev glede na izkušnje in nove cilje na področju energetike. Zakon pokriva področje distribucije toplote in plinov iz distribucijskih sistemov, ki niso povezani s katerim od prenosnih sistemov (torej so lokalni izolirani distribucijski sistemi) in zato predstavljajo naravni monopol tudi v primeru prodaje samega energenta.</w:t>
      </w:r>
    </w:p>
    <w:p w:rsidR="0013044D" w:rsidRPr="00033C42" w:rsidRDefault="0013044D" w:rsidP="00033C42">
      <w:pPr>
        <w:pStyle w:val="Brezrazmikov"/>
        <w:widowControl w:val="0"/>
        <w:spacing w:line="260" w:lineRule="exact"/>
        <w:jc w:val="both"/>
        <w:rPr>
          <w:rFonts w:ascii="Arial" w:hAnsi="Arial" w:cs="Arial"/>
          <w:sz w:val="20"/>
          <w:szCs w:val="20"/>
        </w:rPr>
      </w:pPr>
    </w:p>
    <w:p w:rsidR="00532F2C" w:rsidRPr="00033C42" w:rsidRDefault="0013044D"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Pri tem je potrebno poudariti razliko do Zakona o oskrbi s plini</w:t>
      </w:r>
      <w:r w:rsidR="001D54CF" w:rsidRPr="00033C42">
        <w:rPr>
          <w:rFonts w:ascii="Arial" w:hAnsi="Arial" w:cs="Arial"/>
          <w:sz w:val="20"/>
          <w:szCs w:val="20"/>
        </w:rPr>
        <w:t xml:space="preserve"> (trenutno še vedno praktično samo z zemeljskim plinom oziroma metanom)</w:t>
      </w:r>
      <w:r w:rsidRPr="00033C42">
        <w:rPr>
          <w:rFonts w:ascii="Arial" w:hAnsi="Arial" w:cs="Arial"/>
          <w:sz w:val="20"/>
          <w:szCs w:val="20"/>
        </w:rPr>
        <w:t xml:space="preserve">, kjer so določena </w:t>
      </w:r>
      <w:r w:rsidR="001D54CF" w:rsidRPr="00033C42">
        <w:rPr>
          <w:rFonts w:ascii="Arial" w:hAnsi="Arial" w:cs="Arial"/>
          <w:sz w:val="20"/>
          <w:szCs w:val="20"/>
        </w:rPr>
        <w:t>pravila delovanja povezanih plinovodih sistemov: prenosnih in dist</w:t>
      </w:r>
      <w:r w:rsidR="00C279BC" w:rsidRPr="00033C42">
        <w:rPr>
          <w:rFonts w:ascii="Arial" w:hAnsi="Arial" w:cs="Arial"/>
          <w:sz w:val="20"/>
          <w:szCs w:val="20"/>
        </w:rPr>
        <w:t>ri</w:t>
      </w:r>
      <w:r w:rsidR="001D54CF" w:rsidRPr="00033C42">
        <w:rPr>
          <w:rFonts w:ascii="Arial" w:hAnsi="Arial" w:cs="Arial"/>
          <w:sz w:val="20"/>
          <w:szCs w:val="20"/>
        </w:rPr>
        <w:t>bucijskih, kar omogoča trgovanje s plinom kot blagom in s tem konkurenco med dobavitelji pri ponujanju plina odj</w:t>
      </w:r>
      <w:r w:rsidR="00C279BC" w:rsidRPr="00033C42">
        <w:rPr>
          <w:rFonts w:ascii="Arial" w:hAnsi="Arial" w:cs="Arial"/>
          <w:sz w:val="20"/>
          <w:szCs w:val="20"/>
        </w:rPr>
        <w:t>e</w:t>
      </w:r>
      <w:r w:rsidR="001D54CF" w:rsidRPr="00033C42">
        <w:rPr>
          <w:rFonts w:ascii="Arial" w:hAnsi="Arial" w:cs="Arial"/>
          <w:sz w:val="20"/>
          <w:szCs w:val="20"/>
        </w:rPr>
        <w:t>malcem na prenosnem in dist</w:t>
      </w:r>
      <w:r w:rsidR="00C279BC" w:rsidRPr="00033C42">
        <w:rPr>
          <w:rFonts w:ascii="Arial" w:hAnsi="Arial" w:cs="Arial"/>
          <w:sz w:val="20"/>
          <w:szCs w:val="20"/>
        </w:rPr>
        <w:t>ri</w:t>
      </w:r>
      <w:r w:rsidR="001D54CF" w:rsidRPr="00033C42">
        <w:rPr>
          <w:rFonts w:ascii="Arial" w:hAnsi="Arial" w:cs="Arial"/>
          <w:sz w:val="20"/>
          <w:szCs w:val="20"/>
        </w:rPr>
        <w:t xml:space="preserve">bucijskem omrežju. </w:t>
      </w:r>
    </w:p>
    <w:p w:rsidR="000C0B12" w:rsidRPr="00033C42" w:rsidRDefault="000C0B12" w:rsidP="00033C42">
      <w:pPr>
        <w:pStyle w:val="Brezrazmikov"/>
        <w:widowControl w:val="0"/>
        <w:spacing w:line="260" w:lineRule="exact"/>
        <w:jc w:val="both"/>
        <w:rPr>
          <w:rFonts w:ascii="Arial" w:hAnsi="Arial"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 xml:space="preserve">Glede na predvidene ukrepe za dosego podnebnih in energetskih ciljev iz NEPN, lahko pričakujemo večje število (manjših) sistemov daljinskega ogrevanja v prihodnje, predvsem pa prenove obstoječih sistemov v bolj učinkovite in moderne.  </w:t>
      </w:r>
    </w:p>
    <w:p w:rsidR="00532F2C" w:rsidRPr="00033C42" w:rsidRDefault="00532F2C" w:rsidP="00033C42">
      <w:pPr>
        <w:spacing w:line="260" w:lineRule="exact"/>
        <w:rPr>
          <w:rFonts w:cs="Arial"/>
          <w:b/>
          <w:sz w:val="20"/>
          <w:szCs w:val="20"/>
        </w:rPr>
      </w:pP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1.2 Razlogi za sprejem predloga zakona</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sz w:val="20"/>
          <w:szCs w:val="20"/>
        </w:rPr>
      </w:pPr>
      <w:r w:rsidRPr="00033C42">
        <w:rPr>
          <w:rFonts w:cs="Arial"/>
          <w:sz w:val="20"/>
          <w:szCs w:val="20"/>
        </w:rPr>
        <w:t>Področje oskrbe s toploto, ki se ga ureja s predlogom Zakona o oskrbi s toploto iz distribucijskih sistemov (v nadaljnjem besedilu: predlog zakona), je trenutno urejeno v EZ-1. Sedaj EZ-1 po večini še vedno ureja področje energetike in prenaša v slovenski pravni red tudi obsežno zakonodajo Evropske unije s področja energetskega prava. Iz njega je bilo s sprejemom Zakona o učinkoviti rabi energije (Uradni list RS, št. 158/20; v nadaljnjem besedilu: ZURE) izločeno  področje energetske učinkovitosti in s sprejemom Zakona o spodbujanju rabe obnovljivih virov energije (Uradni list RS, št. </w:t>
      </w:r>
      <w:hyperlink r:id="rId9" w:tgtFrame="Zakon o spodbujanju rabe obnovljivih virov energije (ZSROVE)">
        <w:r w:rsidRPr="00033C42">
          <w:rPr>
            <w:rFonts w:cs="Arial"/>
            <w:sz w:val="20"/>
            <w:szCs w:val="20"/>
          </w:rPr>
          <w:t>121/21</w:t>
        </w:r>
      </w:hyperlink>
      <w:r w:rsidRPr="00033C42">
        <w:rPr>
          <w:rFonts w:cs="Arial"/>
          <w:sz w:val="20"/>
          <w:szCs w:val="20"/>
        </w:rPr>
        <w:t>; v nadaljnjem besedilu</w:t>
      </w:r>
      <w:r w:rsidR="0070265F" w:rsidRPr="00033C42">
        <w:rPr>
          <w:rFonts w:cs="Arial"/>
          <w:sz w:val="20"/>
          <w:szCs w:val="20"/>
        </w:rPr>
        <w:t>:</w:t>
      </w:r>
      <w:r w:rsidRPr="00033C42">
        <w:rPr>
          <w:rFonts w:cs="Arial"/>
          <w:sz w:val="20"/>
          <w:szCs w:val="20"/>
        </w:rPr>
        <w:t xml:space="preserve"> ZSROVE) področje rabe obnovljivih virov energije. EZ-1 ureja še vedno področje energetske politike, trg z električno energijo in trg z zemeljskim plinom, Agencijo za energijo, energetsko infrastrukturo, inšpekcijski nadzor in še nekatera druga skupna vprašanja. Zlasti pogoste spremembe evropske zakonodaje na teh področjih, so glavni razlog tudi za spreminjanje in </w:t>
      </w:r>
      <w:r w:rsidRPr="00033C42">
        <w:rPr>
          <w:rFonts w:cs="Arial"/>
          <w:sz w:val="20"/>
          <w:szCs w:val="20"/>
        </w:rPr>
        <w:lastRenderedPageBreak/>
        <w:t>dopolnjevanje EZ-1. Obenem postaja evropska energetska zakonodaja vedno bolj podrobna in obsežna na vseh omenjenih področjih, kar povečuje tudi obseg vsebin, ki jih ureja EZ-1.</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Zaradi obsežnosti EZ-1 postaja materija, ki jo zakon ureja, čedalje bolj nepregledna, čedalje težje pa je zagotavljati tudi pravočasen prenos direktiv v slovenski pravni red. Iz tega razloga  se zakonska ureditev energetike, ki je sedaj zajeta v enem zakonu, po vsebini deli na več samostojnih zakonov, ki bodo sledili strukturi pravnega urejanja teh vsebin v aktih sekundarne zakonodaje EU. Temu premisleku sta sledila ZURE in ZSROVE, ki sta ti dve področji že uredila samostojno. Enako tudi predloga zakonov o oskrbi z električno energijo in oskrbi s plini, ki sta v postopku sprejema v Državnem zboru.</w:t>
      </w:r>
      <w:r w:rsidR="005947C0" w:rsidRPr="00033C42">
        <w:rPr>
          <w:rFonts w:cs="Arial"/>
          <w:sz w:val="20"/>
          <w:szCs w:val="20"/>
        </w:rPr>
        <w:t xml:space="preserve"> Predlog z</w:t>
      </w:r>
      <w:r w:rsidRPr="00033C42">
        <w:rPr>
          <w:rFonts w:cs="Arial"/>
          <w:sz w:val="20"/>
          <w:szCs w:val="20"/>
        </w:rPr>
        <w:t>akona celovito ureja področje oskrbe s toploto s plini iz nepovezanih, zaključenih distribucijskih sistemov  in s tem izloča iz EZ-1 četrti del EZ-1, ki ureja toploto in druge energetske pline iz zaključenih distribucijskih sistemov.</w:t>
      </w:r>
    </w:p>
    <w:p w:rsidR="00532F2C" w:rsidRPr="00033C42" w:rsidRDefault="00D27095" w:rsidP="00033C42">
      <w:pPr>
        <w:spacing w:line="260" w:lineRule="exact"/>
        <w:rPr>
          <w:rFonts w:cs="Arial"/>
          <w:sz w:val="20"/>
          <w:szCs w:val="20"/>
        </w:rPr>
      </w:pPr>
      <w:r w:rsidRPr="00033C42">
        <w:rPr>
          <w:rFonts w:cs="Arial"/>
          <w:sz w:val="20"/>
          <w:szCs w:val="20"/>
        </w:rPr>
        <w:t xml:space="preserve"> </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2. CILJI, NAČELA IN POGLAVITNE REŠITVE PREDLOGA ZAKONA</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2.1 Cilji</w:t>
      </w:r>
    </w:p>
    <w:p w:rsidR="00532F2C" w:rsidRPr="00033C42" w:rsidRDefault="00532F2C" w:rsidP="00033C42">
      <w:pPr>
        <w:spacing w:line="260" w:lineRule="exact"/>
        <w:rPr>
          <w:rFonts w:cs="Arial"/>
          <w:bCs/>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 xml:space="preserve">Temeljni cilj predloga zakona je samostojno urediti področje distribucije toplote in plinov iz distribucijskih sistemov, ki niso povezani s prenosnim sistemom. Predlog zakona temelji na dosedanji ureditvi oskrbe </w:t>
      </w:r>
      <w:r w:rsidRPr="00033C42">
        <w:rPr>
          <w:rFonts w:ascii="Arial" w:hAnsi="Arial" w:cs="Arial"/>
          <w:sz w:val="20"/>
          <w:szCs w:val="20"/>
          <w:lang w:eastAsia="zh-CN"/>
        </w:rPr>
        <w:t>s toploto in drugimi energetskimi plini</w:t>
      </w:r>
      <w:r w:rsidRPr="00033C42">
        <w:rPr>
          <w:rFonts w:ascii="Arial" w:hAnsi="Arial" w:cs="Arial"/>
          <w:sz w:val="20"/>
          <w:szCs w:val="20"/>
        </w:rPr>
        <w:t xml:space="preserve"> </w:t>
      </w:r>
      <w:r w:rsidRPr="00033C42">
        <w:rPr>
          <w:rFonts w:ascii="Arial" w:hAnsi="Arial" w:cs="Arial"/>
          <w:sz w:val="20"/>
          <w:szCs w:val="20"/>
          <w:lang w:eastAsia="zh-CN"/>
        </w:rPr>
        <w:t xml:space="preserve">iz </w:t>
      </w:r>
      <w:r w:rsidRPr="00033C42">
        <w:rPr>
          <w:rFonts w:ascii="Arial" w:hAnsi="Arial" w:cs="Arial"/>
          <w:sz w:val="20"/>
          <w:szCs w:val="20"/>
        </w:rPr>
        <w:t xml:space="preserve">EZ-1 in zato večinoma tudi </w:t>
      </w:r>
      <w:r w:rsidRPr="00033C42">
        <w:rPr>
          <w:rFonts w:ascii="Arial" w:hAnsi="Arial" w:cs="Arial"/>
          <w:sz w:val="20"/>
          <w:szCs w:val="20"/>
          <w:lang w:eastAsia="zh-CN"/>
        </w:rPr>
        <w:t>prenaša</w:t>
      </w:r>
      <w:r w:rsidRPr="00033C42">
        <w:rPr>
          <w:rFonts w:ascii="Arial" w:hAnsi="Arial" w:cs="Arial"/>
          <w:sz w:val="20"/>
          <w:szCs w:val="20"/>
        </w:rPr>
        <w:t xml:space="preserve"> vsebinsko enake določbe. </w:t>
      </w:r>
    </w:p>
    <w:p w:rsidR="00532F2C" w:rsidRPr="00033C42" w:rsidRDefault="00532F2C" w:rsidP="00033C42">
      <w:pPr>
        <w:pStyle w:val="Brezrazmikov"/>
        <w:widowControl w:val="0"/>
        <w:spacing w:line="260" w:lineRule="exact"/>
        <w:jc w:val="both"/>
        <w:rPr>
          <w:rFonts w:ascii="Arial" w:hAnsi="Arial"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eastAsia="Calibri" w:hAnsi="Arial" w:cs="Arial"/>
          <w:sz w:val="20"/>
          <w:szCs w:val="20"/>
          <w:lang w:eastAsia="zh-CN"/>
        </w:rPr>
        <w:t>C</w:t>
      </w:r>
      <w:r w:rsidRPr="00033C42">
        <w:rPr>
          <w:rFonts w:ascii="Arial" w:hAnsi="Arial" w:cs="Arial"/>
          <w:sz w:val="20"/>
          <w:szCs w:val="20"/>
          <w:lang w:eastAsia="zh-CN"/>
        </w:rPr>
        <w:t xml:space="preserve">ilj </w:t>
      </w:r>
      <w:r w:rsidRPr="00033C42">
        <w:rPr>
          <w:rFonts w:ascii="Arial" w:hAnsi="Arial" w:cs="Arial"/>
          <w:sz w:val="20"/>
          <w:szCs w:val="20"/>
        </w:rPr>
        <w:t xml:space="preserve">zakona je </w:t>
      </w:r>
      <w:r w:rsidRPr="00033C42">
        <w:rPr>
          <w:rFonts w:ascii="Arial" w:eastAsia="Calibri" w:hAnsi="Arial" w:cs="Arial"/>
          <w:sz w:val="20"/>
          <w:szCs w:val="20"/>
        </w:rPr>
        <w:t>določiti primerno</w:t>
      </w:r>
      <w:r w:rsidRPr="00033C42">
        <w:rPr>
          <w:rFonts w:ascii="Arial" w:hAnsi="Arial" w:cs="Arial"/>
          <w:sz w:val="20"/>
          <w:szCs w:val="20"/>
        </w:rPr>
        <w:t xml:space="preserve"> ravnotežje med varovanjem odjemalca v odnosu do monopolnega dobavitelja in dovolj svobode pri oblikovanju poslovnega modela distributerja  za ekonomsko vzdržno in tehnično moderno distribucijo iz sistemov, ki niso neposredno ali posredno povezani s prenosnimi sistemi.</w:t>
      </w:r>
    </w:p>
    <w:p w:rsidR="00532F2C" w:rsidRPr="00033C42" w:rsidRDefault="00532F2C" w:rsidP="00033C42">
      <w:pPr>
        <w:pStyle w:val="Brezrazmikov"/>
        <w:widowControl w:val="0"/>
        <w:spacing w:line="260" w:lineRule="exact"/>
        <w:jc w:val="both"/>
        <w:rPr>
          <w:rFonts w:ascii="Arial" w:hAnsi="Arial" w:cs="Arial"/>
          <w:sz w:val="20"/>
          <w:szCs w:val="20"/>
        </w:rPr>
      </w:pPr>
    </w:p>
    <w:p w:rsidR="00532F2C" w:rsidRPr="00033C42" w:rsidRDefault="00D27095" w:rsidP="00033C42">
      <w:pPr>
        <w:widowControl w:val="0"/>
        <w:spacing w:line="260" w:lineRule="exact"/>
        <w:rPr>
          <w:rFonts w:cs="Arial"/>
          <w:bCs/>
          <w:sz w:val="20"/>
          <w:szCs w:val="20"/>
        </w:rPr>
      </w:pPr>
      <w:r w:rsidRPr="00033C42">
        <w:rPr>
          <w:rFonts w:cs="Arial"/>
          <w:bCs/>
          <w:sz w:val="20"/>
          <w:szCs w:val="20"/>
        </w:rPr>
        <w:t>Drugi cilji predloga zakona, ki so povezani s tem temeljnim ciljem, so še: učinkovito zagotavljanje pravic končnih odjemalcev, varstvo pravic gospodinjskih odjemalcev, zagotoviti primerno organizacijo sistema distribucije toplote, zagotoviti učinkovito izvajanja nalog distributerjev in izvajanje gospodarskih javnih služb v javnem interesu, zagotavljanje primerne regulacije cen toplote za odjemalce in zagotavljanje zanesljive in učinkovite distribucije ter omogočanje povečevanja deleža obnovljivih virov v distribucijo toplote in plinov.</w:t>
      </w:r>
    </w:p>
    <w:p w:rsidR="00532F2C" w:rsidRPr="00033C42" w:rsidRDefault="00532F2C" w:rsidP="00033C42">
      <w:pPr>
        <w:spacing w:line="260" w:lineRule="exact"/>
        <w:rPr>
          <w:rFonts w:cs="Arial"/>
          <w:bCs/>
          <w:sz w:val="20"/>
          <w:szCs w:val="20"/>
        </w:rPr>
      </w:pPr>
    </w:p>
    <w:p w:rsidR="00532F2C" w:rsidRPr="00033C42" w:rsidRDefault="00D27095" w:rsidP="00033C42">
      <w:pPr>
        <w:keepNext/>
        <w:keepLines/>
        <w:spacing w:line="260" w:lineRule="exact"/>
        <w:rPr>
          <w:rFonts w:cs="Arial"/>
          <w:b/>
          <w:sz w:val="20"/>
          <w:szCs w:val="20"/>
        </w:rPr>
      </w:pPr>
      <w:r w:rsidRPr="00033C42">
        <w:rPr>
          <w:rFonts w:cs="Arial"/>
          <w:b/>
          <w:sz w:val="20"/>
          <w:szCs w:val="20"/>
        </w:rPr>
        <w:t>2.2 Načela zakona</w:t>
      </w:r>
    </w:p>
    <w:p w:rsidR="00532F2C" w:rsidRPr="00033C42" w:rsidRDefault="00532F2C" w:rsidP="00033C42">
      <w:pPr>
        <w:keepNext/>
        <w:keepLines/>
        <w:spacing w:line="260" w:lineRule="exact"/>
        <w:rPr>
          <w:rFonts w:cs="Arial"/>
          <w:sz w:val="20"/>
          <w:szCs w:val="20"/>
        </w:rPr>
      </w:pPr>
    </w:p>
    <w:p w:rsidR="00532F2C" w:rsidRPr="00033C42" w:rsidRDefault="00D27095" w:rsidP="00033C42">
      <w:pPr>
        <w:keepNext/>
        <w:keepLines/>
        <w:spacing w:line="260" w:lineRule="exact"/>
        <w:rPr>
          <w:rFonts w:cs="Arial"/>
          <w:sz w:val="20"/>
          <w:szCs w:val="20"/>
        </w:rPr>
      </w:pPr>
      <w:r w:rsidRPr="00033C42">
        <w:rPr>
          <w:rFonts w:cs="Arial"/>
          <w:sz w:val="20"/>
          <w:szCs w:val="20"/>
        </w:rPr>
        <w:t>Predlog zakona  upošteva in temelji na naslednjih načelih:</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sorazmernosti</w:t>
      </w:r>
      <w:r w:rsidR="002E4C06" w:rsidRPr="00033C42">
        <w:rPr>
          <w:rFonts w:cs="Arial"/>
          <w:sz w:val="20"/>
          <w:szCs w:val="20"/>
        </w:rPr>
        <w:t>;</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stroškovne učinkovitosti;</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 xml:space="preserve">načelo </w:t>
      </w:r>
      <w:r w:rsidRPr="00033C42">
        <w:rPr>
          <w:rFonts w:eastAsia="Calibri" w:cs="Arial"/>
          <w:sz w:val="20"/>
          <w:szCs w:val="20"/>
        </w:rPr>
        <w:t>spodbujanja vključevanja obnovljivih virov v distribucijo toplote in plinov</w:t>
      </w:r>
      <w:r w:rsidRPr="00033C42">
        <w:rPr>
          <w:rFonts w:cs="Arial"/>
          <w:sz w:val="20"/>
          <w:szCs w:val="20"/>
        </w:rPr>
        <w:t>;</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enakega obravnavanja;</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preglednosti;</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javnosti</w:t>
      </w:r>
      <w:r w:rsidR="002E4C06" w:rsidRPr="00033C42">
        <w:rPr>
          <w:rFonts w:cs="Arial"/>
          <w:sz w:val="20"/>
          <w:szCs w:val="20"/>
        </w:rPr>
        <w:t>;</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načelo varstva potrošnikov</w:t>
      </w:r>
      <w:r w:rsidR="002E4C06" w:rsidRPr="00033C42">
        <w:rPr>
          <w:rFonts w:cs="Arial"/>
          <w:sz w:val="20"/>
          <w:szCs w:val="20"/>
        </w:rPr>
        <w:t>.</w:t>
      </w:r>
    </w:p>
    <w:p w:rsidR="00532F2C" w:rsidRPr="00033C42" w:rsidRDefault="00532F2C" w:rsidP="00033C42">
      <w:pPr>
        <w:spacing w:line="260" w:lineRule="exact"/>
        <w:ind w:left="720"/>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2.3 Poglavitne rešitve</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a) Predstavitev predlaganih rešitev:</w:t>
      </w:r>
    </w:p>
    <w:p w:rsidR="00532F2C" w:rsidRPr="00033C42" w:rsidRDefault="00532F2C" w:rsidP="00033C42">
      <w:pPr>
        <w:spacing w:line="260" w:lineRule="exact"/>
        <w:rPr>
          <w:rFonts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 xml:space="preserve">Predlog zakona temelji na dosedanji ureditvi oskrbe </w:t>
      </w:r>
      <w:r w:rsidRPr="00033C42">
        <w:rPr>
          <w:rFonts w:ascii="Arial" w:hAnsi="Arial" w:cs="Arial"/>
          <w:sz w:val="20"/>
          <w:szCs w:val="20"/>
          <w:lang w:eastAsia="zh-CN"/>
        </w:rPr>
        <w:t>s toploto in drugimi energetskimi plini</w:t>
      </w:r>
      <w:r w:rsidRPr="00033C42">
        <w:rPr>
          <w:rFonts w:ascii="Arial" w:hAnsi="Arial" w:cs="Arial"/>
          <w:sz w:val="20"/>
          <w:szCs w:val="20"/>
        </w:rPr>
        <w:t xml:space="preserve"> </w:t>
      </w:r>
      <w:r w:rsidRPr="00033C42">
        <w:rPr>
          <w:rFonts w:ascii="Arial" w:hAnsi="Arial" w:cs="Arial"/>
          <w:sz w:val="20"/>
          <w:szCs w:val="20"/>
          <w:lang w:eastAsia="zh-CN"/>
        </w:rPr>
        <w:t xml:space="preserve">iz </w:t>
      </w:r>
      <w:r w:rsidRPr="00033C42">
        <w:rPr>
          <w:rFonts w:ascii="Arial" w:hAnsi="Arial" w:cs="Arial"/>
          <w:sz w:val="20"/>
          <w:szCs w:val="20"/>
        </w:rPr>
        <w:t xml:space="preserve">EZ-1 in zato večinoma tudi </w:t>
      </w:r>
      <w:r w:rsidRPr="00033C42">
        <w:rPr>
          <w:rFonts w:ascii="Arial" w:hAnsi="Arial" w:cs="Arial"/>
          <w:sz w:val="20"/>
          <w:szCs w:val="20"/>
          <w:lang w:eastAsia="zh-CN"/>
        </w:rPr>
        <w:t>prenaša</w:t>
      </w:r>
      <w:r w:rsidRPr="00033C42">
        <w:rPr>
          <w:rFonts w:ascii="Arial" w:hAnsi="Arial" w:cs="Arial"/>
          <w:sz w:val="20"/>
          <w:szCs w:val="20"/>
        </w:rPr>
        <w:t xml:space="preserve"> vsebinsko enake določbe. </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lastRenderedPageBreak/>
        <w:t>V I. poglavju o splošnih določba so poleg definicij izrazov v zakonu urejeni tudi temelji organizacije na področju oskrbe s toploto. Pri tem predlog zakona določa način opravljanja deja</w:t>
      </w:r>
      <w:r w:rsidR="009F2C01" w:rsidRPr="00033C42">
        <w:rPr>
          <w:rFonts w:cs="Arial"/>
          <w:sz w:val="20"/>
          <w:szCs w:val="20"/>
        </w:rPr>
        <w:t>v</w:t>
      </w:r>
      <w:r w:rsidRPr="00033C42">
        <w:rPr>
          <w:rFonts w:cs="Arial"/>
          <w:sz w:val="20"/>
          <w:szCs w:val="20"/>
        </w:rPr>
        <w:t>nosti distribucije, izključno pravico opravljanja gospodarske javne službe, postopek odločitve občine glede tržne distribucije in priglasitev dejavnosti agenciji.</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Poglavje o razmerjih distributerjev s končnimi odjemalci (II. poglavje) podrobneje ureja že sedaj določene pravice odjemalcev, kot je pogodba o dobavi in splošni pogodbeni pogoji, kontaktna točka za odjemalce in obveščanje odjemalcev.</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Poglavje o merjenju (III. poglavje) porabe določa, da mora distributer zagotoviti merjenje porabe toplote ali plina na odjemnem mestu v skladu s predpisi o učinkoviti rabi energije za vse prevzemne točke v distribucijski sistem, proizvajalec toplote za nadaljnjo prodajo pa mora meriti količino porabljenih primarnih goriv in količino proizvedene toplote po posameznih napravah za proizvodnjo toplote, ter količino predane toplote v omrežje.</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IV. poglavje določa obveznosti distributerjev v javnem interesu, zanesljivost oskrbe, nediskriminatorno obravnavanje odjemalcev in nujno oskrbo gospodinjskega odjemalca.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Poglavje Druge obveznosti distributerjev (V. Poglavje) podrobneje opredeljuje sistemska obratovalna navodila in </w:t>
      </w:r>
      <w:r w:rsidR="005947C0" w:rsidRPr="00033C42">
        <w:rPr>
          <w:rFonts w:cs="Arial"/>
          <w:sz w:val="20"/>
          <w:szCs w:val="20"/>
        </w:rPr>
        <w:t>zah</w:t>
      </w:r>
      <w:r w:rsidRPr="00033C42">
        <w:rPr>
          <w:rFonts w:cs="Arial"/>
          <w:sz w:val="20"/>
          <w:szCs w:val="20"/>
        </w:rPr>
        <w:t>tevo glede učinkovitega obratovanja distribucijskega sistema.</w:t>
      </w:r>
    </w:p>
    <w:p w:rsidR="00532F2C" w:rsidRPr="00033C42" w:rsidRDefault="00532F2C" w:rsidP="00033C42">
      <w:pPr>
        <w:spacing w:line="260" w:lineRule="exact"/>
        <w:rPr>
          <w:rFonts w:cs="Arial"/>
          <w:sz w:val="20"/>
          <w:szCs w:val="20"/>
        </w:rPr>
      </w:pPr>
    </w:p>
    <w:p w:rsidR="00532F2C" w:rsidRPr="00033C42" w:rsidRDefault="00D27095" w:rsidP="00033C42">
      <w:pPr>
        <w:pStyle w:val="Telobesedila"/>
        <w:spacing w:line="260" w:lineRule="exact"/>
        <w:rPr>
          <w:sz w:val="20"/>
          <w:szCs w:val="20"/>
        </w:rPr>
      </w:pPr>
      <w:r w:rsidRPr="00033C42">
        <w:rPr>
          <w:bCs/>
          <w:sz w:val="20"/>
          <w:szCs w:val="20"/>
        </w:rPr>
        <w:t xml:space="preserve">VI. poglavje vsebuje določbe glede regulacije cene toplote za daljinsko ogrevanje in obračuna energije na način, da podrobneje določa </w:t>
      </w:r>
      <w:r w:rsidRPr="00033C42">
        <w:rPr>
          <w:color w:val="000000"/>
          <w:sz w:val="20"/>
          <w:szCs w:val="20"/>
        </w:rPr>
        <w:t xml:space="preserve">regulacijo in metodologijo za oblikovanje cene toplote, </w:t>
      </w:r>
      <w:r w:rsidRPr="00033C42">
        <w:rPr>
          <w:sz w:val="20"/>
          <w:szCs w:val="20"/>
        </w:rPr>
        <w:t xml:space="preserve">oblikovanje izhodiščne cene toplote, upravičene stroške distributerja oziroma reguliranega proizvajalca toplote, postopek za pridobitev soglasja agencije na izhodiščno ceno, ki ga mora pridobiti distributer toplote oziroma regulirani proizvajalec toplote pred pričetkom opravljanja dejavnosti distribucije toplote, način določanja tarifnih postavk in dodatkov za toploto, pravila ločenih računovodskih evidenc in način obračunavanja dobavljene energije, </w:t>
      </w:r>
    </w:p>
    <w:p w:rsidR="00532F2C" w:rsidRPr="00033C42" w:rsidRDefault="00532F2C" w:rsidP="00033C42">
      <w:pPr>
        <w:spacing w:line="260" w:lineRule="exact"/>
        <w:rPr>
          <w:rFonts w:cs="Arial"/>
          <w:sz w:val="20"/>
          <w:szCs w:val="20"/>
          <w:highlight w:val="yellow"/>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 xml:space="preserve">Predlog zakona s spremenjenim kriterijem širi kriterij možnosti izbire odločitve občine za tržno distribucijo </w:t>
      </w:r>
      <w:r w:rsidRPr="00033C42">
        <w:rPr>
          <w:rFonts w:ascii="Arial" w:hAnsi="Arial" w:cs="Arial"/>
          <w:sz w:val="20"/>
          <w:szCs w:val="20"/>
          <w:lang w:eastAsia="zh-CN"/>
        </w:rPr>
        <w:t>kot obliko izvajanja distribucije toplote.</w:t>
      </w:r>
      <w:r w:rsidRPr="00033C42">
        <w:rPr>
          <w:rFonts w:ascii="Arial" w:hAnsi="Arial" w:cs="Arial"/>
          <w:sz w:val="20"/>
          <w:szCs w:val="20"/>
        </w:rPr>
        <w:t xml:space="preserve"> Predlog zakona omogoča izločitev distribucije pare iz regulacije cene, kot je to že v veljavi za daljinsko hlajenje, saj je odjemalcev na teh sistemih relativno malo in je pogajalska moč obeh strani </w:t>
      </w:r>
      <w:r w:rsidRPr="00033C42">
        <w:rPr>
          <w:rFonts w:ascii="Arial" w:hAnsi="Arial" w:cs="Arial"/>
          <w:sz w:val="20"/>
          <w:szCs w:val="20"/>
          <w:lang w:eastAsia="zh-CN"/>
        </w:rPr>
        <w:t>izenačena</w:t>
      </w:r>
      <w:r w:rsidRPr="00033C42">
        <w:rPr>
          <w:rFonts w:ascii="Arial" w:hAnsi="Arial" w:cs="Arial"/>
          <w:sz w:val="20"/>
          <w:szCs w:val="20"/>
        </w:rPr>
        <w:t xml:space="preserve">. Predlog zakona predvideva tudi dvig kriterija za </w:t>
      </w:r>
      <w:r w:rsidRPr="00033C42">
        <w:rPr>
          <w:rFonts w:ascii="Arial" w:hAnsi="Arial" w:cs="Arial"/>
          <w:sz w:val="20"/>
          <w:szCs w:val="20"/>
          <w:lang w:eastAsia="zh-CN"/>
        </w:rPr>
        <w:t xml:space="preserve">obvezno </w:t>
      </w:r>
      <w:r w:rsidRPr="00033C42">
        <w:rPr>
          <w:rFonts w:ascii="Arial" w:hAnsi="Arial" w:cs="Arial"/>
          <w:sz w:val="20"/>
          <w:szCs w:val="20"/>
        </w:rPr>
        <w:t xml:space="preserve">regulacijo cene toplote, pri čemer pa dopušča manjšim sistemom, da še naprej določajo ceno toplote v skladu z metodologijo in soglasjem agencije na izhodiščno ceno. </w:t>
      </w:r>
    </w:p>
    <w:p w:rsidR="00532F2C" w:rsidRPr="00033C42" w:rsidRDefault="00532F2C" w:rsidP="00033C42">
      <w:pPr>
        <w:pStyle w:val="Brezrazmikov"/>
        <w:widowControl w:val="0"/>
        <w:spacing w:line="260" w:lineRule="exact"/>
        <w:jc w:val="both"/>
        <w:rPr>
          <w:rFonts w:ascii="Arial" w:hAnsi="Arial"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lang w:eastAsia="zh-CN"/>
        </w:rPr>
        <w:t>M</w:t>
      </w:r>
      <w:r w:rsidRPr="00033C42">
        <w:rPr>
          <w:rFonts w:ascii="Arial" w:hAnsi="Arial" w:cs="Arial"/>
          <w:sz w:val="20"/>
          <w:szCs w:val="20"/>
        </w:rPr>
        <w:t xml:space="preserve">etoda regulacije na osnovi pričakovanih stroškov in izhodiščne cene zaradi enosmerne regulacije ne upošteva posebej donosa distributerja. Če bi želeli v regulacijo cene vključiti tudi regulirani donos distributerja, bi se metoda pričakovano bistveno razširila in bi zaradi potrebnega obsega regulacije v tem primeru za manjše sisteme in za agencijo postala nevzdržna. Predlog zakona zato dopušča možnost dodatka k ceni/ tarifni postavki, ki jo na osnovi soglasja koncedenta (občine) lahko določi distributer. </w:t>
      </w:r>
    </w:p>
    <w:p w:rsidR="00532F2C" w:rsidRPr="00033C42" w:rsidRDefault="00532F2C" w:rsidP="00033C42">
      <w:pPr>
        <w:pStyle w:val="Brezrazmikov"/>
        <w:widowControl w:val="0"/>
        <w:spacing w:line="260" w:lineRule="exact"/>
        <w:jc w:val="both"/>
        <w:rPr>
          <w:rFonts w:ascii="Arial" w:hAnsi="Arial" w:cs="Arial"/>
          <w:sz w:val="20"/>
          <w:szCs w:val="20"/>
        </w:rPr>
      </w:pPr>
    </w:p>
    <w:p w:rsidR="00532F2C" w:rsidRPr="00033C42" w:rsidRDefault="00D27095" w:rsidP="00033C42">
      <w:pPr>
        <w:pStyle w:val="Brezrazmikov"/>
        <w:widowControl w:val="0"/>
        <w:spacing w:line="260" w:lineRule="exact"/>
        <w:jc w:val="both"/>
        <w:rPr>
          <w:rFonts w:ascii="Arial" w:hAnsi="Arial" w:cs="Arial"/>
          <w:sz w:val="20"/>
          <w:szCs w:val="20"/>
        </w:rPr>
      </w:pPr>
      <w:r w:rsidRPr="00033C42">
        <w:rPr>
          <w:rFonts w:ascii="Arial" w:hAnsi="Arial" w:cs="Arial"/>
          <w:sz w:val="20"/>
          <w:szCs w:val="20"/>
        </w:rPr>
        <w:t xml:space="preserve">Na ta način  se še naprej ohrani enotna regulacija stroškov izvajanja gospodarske javne službe za vse distributerje toplote ter hkrati omogoči distributerjem, da </w:t>
      </w:r>
      <w:r w:rsidRPr="00033C42">
        <w:rPr>
          <w:rFonts w:ascii="Arial" w:eastAsia="Calibri" w:hAnsi="Arial" w:cs="Arial"/>
          <w:sz w:val="20"/>
          <w:szCs w:val="20"/>
        </w:rPr>
        <w:t>korigirajo</w:t>
      </w:r>
      <w:r w:rsidRPr="00033C42">
        <w:rPr>
          <w:rFonts w:ascii="Arial" w:hAnsi="Arial" w:cs="Arial"/>
          <w:sz w:val="20"/>
          <w:szCs w:val="20"/>
        </w:rPr>
        <w:t xml:space="preserve"> končno ceno toplote za odjemalca  lokalnim potrebam in značilnostim energetske oskrbe, tako z dodatkom za dvig cene, kot z znižanjem končne cene s subvencijo. Oboje mora biti jasno  prikazano tudi na računu.</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VII. poglavje vsebuje določbe glede priključitve na sistem, začasnega odklopa odjemalca, odklopa odjemalca po predhodnem obvestilu, določbe glede ponovne priključitve in povrnitve škode in pravila glede odklopa na zahtevo odjemalca. Odklop odjemalca iz sistema je mogoč pod določenimi pogoji tudi v primeru ko je sistem daljinskega ogrevanja neučinkovit. Ker je ta opcija odklopa podrobneje opredeljena v zakonu o spodbujanju rabe obnovljivih virov, predlagani zakon tega posebej ne določa. </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V VIII. poglavju so vseb</w:t>
      </w:r>
      <w:r w:rsidR="00CA2077" w:rsidRPr="00033C42">
        <w:rPr>
          <w:rFonts w:cs="Arial"/>
          <w:sz w:val="20"/>
          <w:szCs w:val="20"/>
        </w:rPr>
        <w:t>ovane</w:t>
      </w:r>
      <w:r w:rsidRPr="00033C42">
        <w:rPr>
          <w:rFonts w:cs="Arial"/>
          <w:sz w:val="20"/>
          <w:szCs w:val="20"/>
        </w:rPr>
        <w:t xml:space="preserve"> posebne določbe, ki se nanašajo na priključitev na lastniški distribucijski sistem, poročanje in analiza podatkov o:</w:t>
      </w:r>
    </w:p>
    <w:p w:rsidR="00532F2C" w:rsidRPr="00033C42" w:rsidRDefault="00D27095" w:rsidP="00033C42">
      <w:pPr>
        <w:pStyle w:val="Telobesedila"/>
        <w:spacing w:line="260" w:lineRule="exact"/>
        <w:rPr>
          <w:sz w:val="20"/>
          <w:szCs w:val="20"/>
        </w:rPr>
      </w:pPr>
      <w:r w:rsidRPr="00033C42">
        <w:rPr>
          <w:sz w:val="20"/>
          <w:szCs w:val="20"/>
        </w:rPr>
        <w:t>- distribucijskem omrežju in napravah,</w:t>
      </w:r>
    </w:p>
    <w:p w:rsidR="00532F2C" w:rsidRPr="00033C42" w:rsidRDefault="00D27095" w:rsidP="00033C42">
      <w:pPr>
        <w:pStyle w:val="Telobesedila"/>
        <w:spacing w:line="260" w:lineRule="exact"/>
        <w:rPr>
          <w:sz w:val="20"/>
          <w:szCs w:val="20"/>
        </w:rPr>
      </w:pPr>
      <w:r w:rsidRPr="00033C42">
        <w:rPr>
          <w:sz w:val="20"/>
          <w:szCs w:val="20"/>
        </w:rPr>
        <w:t>- soglasjih za priključitev in priključevanju odjemalcev,</w:t>
      </w:r>
    </w:p>
    <w:p w:rsidR="00532F2C" w:rsidRPr="00033C42" w:rsidRDefault="00D27095" w:rsidP="00033C42">
      <w:pPr>
        <w:pStyle w:val="Telobesedila"/>
        <w:spacing w:line="260" w:lineRule="exact"/>
        <w:rPr>
          <w:sz w:val="20"/>
          <w:szCs w:val="20"/>
        </w:rPr>
      </w:pPr>
      <w:r w:rsidRPr="00033C42">
        <w:rPr>
          <w:sz w:val="20"/>
          <w:szCs w:val="20"/>
        </w:rPr>
        <w:t>- porabi primarnih goriv, proizvedenih in distribuiranih količinah toplote ali  plina,</w:t>
      </w:r>
    </w:p>
    <w:p w:rsidR="00532F2C" w:rsidRPr="00033C42" w:rsidRDefault="00D27095" w:rsidP="00033C42">
      <w:pPr>
        <w:pStyle w:val="Telobesedila"/>
        <w:spacing w:line="260" w:lineRule="exact"/>
        <w:rPr>
          <w:sz w:val="20"/>
          <w:szCs w:val="20"/>
        </w:rPr>
      </w:pPr>
      <w:r w:rsidRPr="00033C42">
        <w:rPr>
          <w:sz w:val="20"/>
          <w:szCs w:val="20"/>
        </w:rPr>
        <w:t>- doseženi ravni kakovosti,</w:t>
      </w:r>
    </w:p>
    <w:p w:rsidR="00532F2C" w:rsidRPr="00033C42" w:rsidRDefault="00D27095" w:rsidP="00033C42">
      <w:pPr>
        <w:pStyle w:val="Telobesedila"/>
        <w:spacing w:line="260" w:lineRule="exact"/>
        <w:rPr>
          <w:sz w:val="20"/>
          <w:szCs w:val="20"/>
        </w:rPr>
      </w:pPr>
      <w:r w:rsidRPr="00033C42">
        <w:rPr>
          <w:sz w:val="20"/>
          <w:szCs w:val="20"/>
        </w:rPr>
        <w:t>- pritožbah odjemalcev,</w:t>
      </w:r>
    </w:p>
    <w:p w:rsidR="00532F2C" w:rsidRPr="00033C42" w:rsidRDefault="00D27095" w:rsidP="00033C42">
      <w:pPr>
        <w:pStyle w:val="Telobesedila"/>
        <w:spacing w:line="260" w:lineRule="exact"/>
        <w:rPr>
          <w:sz w:val="20"/>
          <w:szCs w:val="20"/>
        </w:rPr>
      </w:pPr>
      <w:r w:rsidRPr="00033C42">
        <w:rPr>
          <w:sz w:val="20"/>
          <w:szCs w:val="20"/>
        </w:rPr>
        <w:t>- tarifah, tarifnih postavkah in dodatkih  ločeno po kategorijah odjemalcev,</w:t>
      </w:r>
    </w:p>
    <w:p w:rsidR="00532F2C" w:rsidRPr="00033C42" w:rsidRDefault="00D27095" w:rsidP="00033C42">
      <w:pPr>
        <w:pStyle w:val="Telobesedila"/>
        <w:spacing w:line="260" w:lineRule="exact"/>
        <w:rPr>
          <w:sz w:val="20"/>
          <w:szCs w:val="20"/>
        </w:rPr>
      </w:pPr>
      <w:r w:rsidRPr="00033C42">
        <w:rPr>
          <w:sz w:val="20"/>
          <w:szCs w:val="20"/>
        </w:rPr>
        <w:t>- številu odjemalcev po posameznih kategorijah, vključno s podatki o deležu dobavljene energije po posamezni kategoriji.</w:t>
      </w:r>
    </w:p>
    <w:p w:rsidR="00532F2C" w:rsidRPr="00033C42" w:rsidRDefault="00532F2C" w:rsidP="00033C42">
      <w:pPr>
        <w:spacing w:line="260" w:lineRule="exact"/>
        <w:rPr>
          <w:rFonts w:cs="Arial"/>
          <w:sz w:val="20"/>
          <w:szCs w:val="20"/>
        </w:rPr>
      </w:pPr>
    </w:p>
    <w:p w:rsidR="00532F2C" w:rsidRPr="00033C42" w:rsidRDefault="00D27095" w:rsidP="00033C42">
      <w:pPr>
        <w:pStyle w:val="Telobesedila"/>
        <w:spacing w:line="260" w:lineRule="exact"/>
        <w:rPr>
          <w:sz w:val="20"/>
          <w:szCs w:val="20"/>
        </w:rPr>
      </w:pPr>
      <w:r w:rsidRPr="00033C42">
        <w:rPr>
          <w:sz w:val="20"/>
          <w:szCs w:val="20"/>
        </w:rPr>
        <w:t xml:space="preserve">Določbe inšpekcijskega nadzora v IX. poglavju določajo inšpekcijski </w:t>
      </w:r>
      <w:r w:rsidRPr="00033C42">
        <w:rPr>
          <w:rFonts w:eastAsia="Calibri"/>
          <w:sz w:val="20"/>
          <w:szCs w:val="20"/>
        </w:rPr>
        <w:t>nadzor nad določbami tega zakona ter na njegovi podlagi izdanih podzakonskih predpisov</w:t>
      </w:r>
      <w:r w:rsidRPr="00033C42">
        <w:rPr>
          <w:sz w:val="20"/>
          <w:szCs w:val="20"/>
        </w:rPr>
        <w:t xml:space="preserve"> </w:t>
      </w:r>
      <w:r w:rsidRPr="00033C42">
        <w:rPr>
          <w:rFonts w:eastAsia="Calibri"/>
          <w:sz w:val="20"/>
          <w:szCs w:val="20"/>
        </w:rPr>
        <w:t>in splošnih aktov za izvrševanje javnih pooblastil pri gradnji, vzdrževanju, obratovanju in uporabi energetskih objektov, naprav in omr</w:t>
      </w:r>
      <w:r w:rsidRPr="00033C42">
        <w:rPr>
          <w:sz w:val="20"/>
          <w:szCs w:val="20"/>
        </w:rPr>
        <w:t>ežij za distribucijo toplote in</w:t>
      </w:r>
      <w:r w:rsidRPr="00033C42">
        <w:rPr>
          <w:rFonts w:eastAsia="Calibri"/>
          <w:sz w:val="20"/>
          <w:szCs w:val="20"/>
        </w:rPr>
        <w:t xml:space="preserve"> plinov</w:t>
      </w:r>
      <w:r w:rsidRPr="00033C42">
        <w:rPr>
          <w:sz w:val="20"/>
          <w:szCs w:val="20"/>
        </w:rPr>
        <w:t xml:space="preserve"> ter izvajanje inšpekcijskega nadzora, za kar se uporabljajo določbe zakona, ki ureja inšpekcijski nadzor in določbe zakona, ki ureja energetsko inšpekcijo.</w:t>
      </w:r>
    </w:p>
    <w:p w:rsidR="00532F2C" w:rsidRPr="00033C42" w:rsidRDefault="00532F2C" w:rsidP="00033C42">
      <w:pPr>
        <w:pStyle w:val="Telobesedila"/>
        <w:spacing w:line="260" w:lineRule="exact"/>
        <w:rPr>
          <w:sz w:val="20"/>
          <w:szCs w:val="20"/>
        </w:rPr>
      </w:pPr>
    </w:p>
    <w:p w:rsidR="00532F2C" w:rsidRPr="00033C42" w:rsidRDefault="00D27095" w:rsidP="00033C42">
      <w:pPr>
        <w:pStyle w:val="Telobesedila"/>
        <w:spacing w:line="260" w:lineRule="exact"/>
        <w:rPr>
          <w:sz w:val="20"/>
          <w:szCs w:val="20"/>
        </w:rPr>
      </w:pPr>
      <w:r w:rsidRPr="00033C42">
        <w:rPr>
          <w:sz w:val="20"/>
          <w:szCs w:val="20"/>
        </w:rPr>
        <w:t>Poglavje o kazenskih določbah (X. poglavje) opredeljuje prekrške, lažje prekrške ter prekršek zaradi kršitev v zvezi z vodenjem ločenih računovodskih evidenc.</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b) Način reševanja: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Poglavitna vprašanja, ki se bodo urejala s predlaganim zakonom, so navedena v predhodni točki. </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ne predvideva dodatnih podzakonskih predpisov.</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Predpisi, za katere je predvideno podaljšanje veljavnosti so naslednji:</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Akt o obvezni vsebini sistemskih obratovalnih navodil za distribucijski sistem drugih energetskih plinov (Uradni list RS, št. 44/16),</w:t>
      </w:r>
    </w:p>
    <w:p w:rsidR="00532F2C" w:rsidRPr="00033C42" w:rsidRDefault="00D27095" w:rsidP="00033C42">
      <w:pPr>
        <w:numPr>
          <w:ilvl w:val="0"/>
          <w:numId w:val="6"/>
        </w:numPr>
        <w:spacing w:line="260" w:lineRule="exact"/>
        <w:rPr>
          <w:rFonts w:cs="Arial"/>
          <w:sz w:val="20"/>
          <w:szCs w:val="20"/>
        </w:rPr>
      </w:pPr>
      <w:r w:rsidRPr="00033C42">
        <w:rPr>
          <w:rFonts w:cs="Arial"/>
          <w:sz w:val="20"/>
          <w:szCs w:val="20"/>
        </w:rPr>
        <w:t>Akt o obvezni vsebini sistemskih obratovalnih navodil za distribucijski sistem toplote (Uradni list RS, št. 47/15 in 9/16),</w:t>
      </w:r>
    </w:p>
    <w:p w:rsidR="00532F2C" w:rsidRPr="00033C42" w:rsidRDefault="00D27095" w:rsidP="00033C42">
      <w:pPr>
        <w:pStyle w:val="Odstavekseznama"/>
        <w:numPr>
          <w:ilvl w:val="0"/>
          <w:numId w:val="6"/>
        </w:numPr>
        <w:spacing w:line="260" w:lineRule="exact"/>
        <w:rPr>
          <w:rFonts w:cs="Arial"/>
          <w:sz w:val="20"/>
        </w:rPr>
      </w:pPr>
      <w:r w:rsidRPr="00033C42">
        <w:rPr>
          <w:rFonts w:cs="Arial"/>
          <w:sz w:val="20"/>
        </w:rPr>
        <w:t>Akt o metodologiji za oblikovanje cene toplote za daljinsko ogrevanje (Uradni list RS, št. 2/17),</w:t>
      </w:r>
    </w:p>
    <w:p w:rsidR="00532F2C" w:rsidRPr="00033C42" w:rsidRDefault="00D27095" w:rsidP="00033C42">
      <w:pPr>
        <w:pStyle w:val="Odstavekseznama"/>
        <w:numPr>
          <w:ilvl w:val="0"/>
          <w:numId w:val="6"/>
        </w:numPr>
        <w:spacing w:line="260" w:lineRule="exact"/>
        <w:rPr>
          <w:rFonts w:cs="Arial"/>
          <w:sz w:val="20"/>
        </w:rPr>
      </w:pPr>
      <w:r w:rsidRPr="00033C42">
        <w:rPr>
          <w:rFonts w:cs="Arial"/>
          <w:sz w:val="20"/>
        </w:rPr>
        <w:t>Akt o načinu posredovanja podatkov in dokumentov izvajalcev energetskih dejavnosti (Uradni list RS, št. 98/14).</w:t>
      </w:r>
    </w:p>
    <w:p w:rsidR="00532F2C" w:rsidRPr="00033C42" w:rsidRDefault="00D27095" w:rsidP="00033C42">
      <w:pPr>
        <w:pStyle w:val="Odstavekseznama"/>
        <w:numPr>
          <w:ilvl w:val="0"/>
          <w:numId w:val="6"/>
        </w:numPr>
        <w:spacing w:line="260" w:lineRule="exact"/>
        <w:rPr>
          <w:rFonts w:cs="Arial"/>
          <w:sz w:val="20"/>
        </w:rPr>
      </w:pPr>
      <w:r w:rsidRPr="00033C42">
        <w:rPr>
          <w:rFonts w:cs="Arial"/>
          <w:sz w:val="20"/>
        </w:rPr>
        <w:t>Sistemska obratovalna navodila distributerjev iz 17. člena predloga zakona.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c) Normativna usklajenost predloga zakona: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je skladen z akti zakonodajnega svežnja Čista energija za vse Evropejce.</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č) Usklajenost predloga zakona: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Usklajevanje predloga zakona je potekalo v okviru javne obravnave in na podlagi izvedene delavnice s strokovno javnostjo.</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3. OCENA FINANČNIH POSLEDIC PREDLOGA ZAKONA ZA DRŽAVNI PRORAČUN IN DRUGA JAVNA FINANČNA SREDSTVA</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ne bo imel vpliva na državni proračun ali na druga javna sredstva, saj njegovo izvajanje ne zahteva porabe proračunskih ali drugih javnih sredstev.</w:t>
      </w:r>
    </w:p>
    <w:p w:rsidR="00532F2C" w:rsidRPr="00033C42" w:rsidRDefault="00532F2C" w:rsidP="00033C42">
      <w:pPr>
        <w:spacing w:line="260" w:lineRule="exact"/>
        <w:rPr>
          <w:rFonts w:cs="Arial"/>
          <w:sz w:val="20"/>
          <w:szCs w:val="20"/>
        </w:rPr>
      </w:pPr>
    </w:p>
    <w:p w:rsidR="00532F2C" w:rsidRPr="00033C42" w:rsidRDefault="00D27095" w:rsidP="00033C42">
      <w:pPr>
        <w:keepNext/>
        <w:keepLines/>
        <w:spacing w:line="260" w:lineRule="exact"/>
        <w:rPr>
          <w:rFonts w:cs="Arial"/>
          <w:b/>
          <w:sz w:val="20"/>
          <w:szCs w:val="20"/>
        </w:rPr>
      </w:pPr>
      <w:r w:rsidRPr="00033C42">
        <w:rPr>
          <w:rFonts w:cs="Arial"/>
          <w:b/>
          <w:sz w:val="20"/>
          <w:szCs w:val="20"/>
        </w:rPr>
        <w:lastRenderedPageBreak/>
        <w:t>4. NAVEDBA, DA SO SREDSTVA ZA IZVAJANJE ZAKONA V DRŽAVNEM PRORAČUNU ZAGOTOVLJENA, ČE PREDLOG ZAKONA PREDVIDEVA PORABO PRORAČUNSKIH SREDSTEV V OBDOBJU, ZA KATERO JE BIL DRŽAVNI PRORAČUN ŽE SPREJET</w:t>
      </w:r>
    </w:p>
    <w:p w:rsidR="00532F2C" w:rsidRPr="00033C42" w:rsidRDefault="00532F2C" w:rsidP="00033C42">
      <w:pPr>
        <w:keepNext/>
        <w:keepLines/>
        <w:spacing w:line="260" w:lineRule="exact"/>
        <w:rPr>
          <w:rFonts w:cs="Arial"/>
          <w:b/>
          <w:sz w:val="20"/>
          <w:szCs w:val="20"/>
        </w:rPr>
      </w:pPr>
    </w:p>
    <w:p w:rsidR="00532F2C" w:rsidRPr="00033C42" w:rsidRDefault="00D27095" w:rsidP="00033C42">
      <w:pPr>
        <w:keepNext/>
        <w:keepLines/>
        <w:spacing w:line="260" w:lineRule="exact"/>
        <w:rPr>
          <w:rFonts w:cs="Arial"/>
          <w:sz w:val="20"/>
          <w:szCs w:val="20"/>
        </w:rPr>
      </w:pPr>
      <w:r w:rsidRPr="00033C42">
        <w:rPr>
          <w:rFonts w:cs="Arial"/>
          <w:sz w:val="20"/>
          <w:szCs w:val="20"/>
        </w:rPr>
        <w:t>Predlog zakona ne predvideva porabe proračunskih sredstev v obdobju, za katerega je bil državni proračun že sprejet, zato v že sprejetem državnem proračunu sredstev ni treba zagotoviti.</w:t>
      </w:r>
    </w:p>
    <w:p w:rsidR="00532F2C" w:rsidRPr="00033C42" w:rsidRDefault="00D27095" w:rsidP="00033C42">
      <w:pPr>
        <w:spacing w:line="260" w:lineRule="exact"/>
        <w:rPr>
          <w:rFonts w:cs="Arial"/>
          <w:sz w:val="20"/>
          <w:szCs w:val="20"/>
        </w:rPr>
      </w:pPr>
      <w:r w:rsidRPr="00033C42">
        <w:rPr>
          <w:rFonts w:cs="Arial"/>
          <w:sz w:val="20"/>
          <w:szCs w:val="20"/>
        </w:rPr>
        <w:t xml:space="preserve"> </w:t>
      </w:r>
    </w:p>
    <w:p w:rsidR="00532F2C" w:rsidRPr="00033C42" w:rsidRDefault="00D27095" w:rsidP="00033C42">
      <w:pPr>
        <w:spacing w:line="260" w:lineRule="exact"/>
        <w:rPr>
          <w:rFonts w:cs="Arial"/>
          <w:b/>
          <w:sz w:val="20"/>
          <w:szCs w:val="20"/>
        </w:rPr>
      </w:pPr>
      <w:r w:rsidRPr="00033C42">
        <w:rPr>
          <w:rFonts w:cs="Arial"/>
          <w:b/>
          <w:sz w:val="20"/>
          <w:szCs w:val="20"/>
        </w:rPr>
        <w:t>5. PRIKAZ UREDITVE V DRUGIH PRAVNIH SISTEMIH IN PRILAGOJENOSTI PREDLAGANE UREDITVE PRAVU EVROPSKE UNIJE</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sz w:val="20"/>
          <w:szCs w:val="20"/>
        </w:rPr>
      </w:pPr>
      <w:r w:rsidRPr="00033C42">
        <w:rPr>
          <w:rFonts w:eastAsia="Calibri" w:cs="Arial"/>
          <w:sz w:val="20"/>
          <w:szCs w:val="20"/>
        </w:rPr>
        <w:t>P</w:t>
      </w:r>
      <w:r w:rsidRPr="00033C42">
        <w:rPr>
          <w:rFonts w:cs="Arial"/>
          <w:sz w:val="20"/>
          <w:szCs w:val="20"/>
        </w:rPr>
        <w:t>odročja oskrbe toplote iz distribucijskih sistemov (daljinsko ogrevanje in hlajenje) ni urejeno enotno na nivoju Evropske unije in zato tudi ne obstaja evropska zakonodaja ki bi določala enoten pristop k urejanju odnosov med akterji na tem področju: način izvajanja distribucije, določanje cen toplote,</w:t>
      </w:r>
      <w:r w:rsidRPr="00033C42">
        <w:rPr>
          <w:rFonts w:eastAsia="Calibri" w:cs="Arial"/>
          <w:sz w:val="20"/>
          <w:szCs w:val="20"/>
        </w:rPr>
        <w:t>…</w:t>
      </w:r>
      <w:r w:rsidRPr="00033C42">
        <w:rPr>
          <w:rFonts w:cs="Arial"/>
          <w:sz w:val="20"/>
          <w:szCs w:val="20"/>
        </w:rPr>
        <w:t xml:space="preserve"> Evropska zakonodaja v okviru spodbujanja rabe obnovljivih virov in učinkovite rabe energije določa kriterije za učinkovit sistem daljinskega ogrevanja, postavlja cilje za doseganje deleža obnovljivih virov v distribuirani toploti, določene pravice odjemalcev pri odklopih v povezavi z deležem obnovljivih virov in določa način merjenja toplote kot podporo nadzoru učinkovitosti rabe energije v stavbah. Te vsebine so v slovenski pravni red prenesene s predpisi o spodbujanju rabe obnovljivih virov in učinkoviti rabi energije</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Na področju ki ga obravnava predlog zakona so rešitve v drugih državah članicah prilagojene njihovim lokalnim posebnostim in predvsem zgodovinskemu razvoju sistemov daljinskega ogrevanja in hlajenja. Ključna področja različnih pristopov so izvajanje gospodarske javne službe s podeljeno koncesijo distributerju, regulacija cene toplote in prioritetna raba energenta </w:t>
      </w:r>
      <w:r w:rsidRPr="00033C42">
        <w:rPr>
          <w:rFonts w:eastAsia="Calibri" w:cs="Arial"/>
          <w:sz w:val="20"/>
          <w:szCs w:val="20"/>
        </w:rPr>
        <w:t>za ogrevanje na določenem območju.</w:t>
      </w:r>
    </w:p>
    <w:p w:rsidR="00532F2C" w:rsidRPr="00033C42" w:rsidRDefault="00532F2C" w:rsidP="00033C42">
      <w:pPr>
        <w:spacing w:line="260" w:lineRule="exact"/>
        <w:rPr>
          <w:rFonts w:cs="Arial"/>
          <w:sz w:val="20"/>
          <w:szCs w:val="20"/>
        </w:rPr>
      </w:pPr>
    </w:p>
    <w:p w:rsidR="005947C0" w:rsidRPr="00033C42" w:rsidRDefault="005947C0" w:rsidP="00033C42">
      <w:pPr>
        <w:spacing w:line="260" w:lineRule="exact"/>
        <w:rPr>
          <w:rFonts w:cs="Arial"/>
          <w:sz w:val="20"/>
          <w:szCs w:val="20"/>
        </w:rPr>
      </w:pPr>
      <w:r w:rsidRPr="00033C42">
        <w:rPr>
          <w:rFonts w:cs="Arial"/>
          <w:sz w:val="20"/>
          <w:szCs w:val="20"/>
        </w:rPr>
        <w:t>Danska</w:t>
      </w:r>
    </w:p>
    <w:p w:rsidR="005947C0" w:rsidRPr="00033C42" w:rsidRDefault="005947C0"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Danska, kot napredna država v sistemih daljinskega ogrevanja</w:t>
      </w:r>
      <w:r w:rsidR="005947C0" w:rsidRPr="00033C42">
        <w:rPr>
          <w:rFonts w:cs="Arial"/>
          <w:sz w:val="20"/>
          <w:szCs w:val="20"/>
        </w:rPr>
        <w:t>,</w:t>
      </w:r>
      <w:r w:rsidRPr="00033C42">
        <w:rPr>
          <w:rFonts w:cs="Arial"/>
          <w:sz w:val="20"/>
          <w:szCs w:val="20"/>
        </w:rPr>
        <w:t xml:space="preserve"> ima uveden sistem območij s prioritetno rabo energenta za ogrevanje, saj se s tem izogne podvajanju infrastrukture za ogrevanje. Cene ogrevanja so zaradi monopolnega položaja distributerja regulirane po stroškovnem principu, podobno kot v predlogu zakona. Dodatno ima Danska pozitivno izkušnjo s primeri odkupa sistemov daljinskega </w:t>
      </w:r>
      <w:r w:rsidRPr="00033C42">
        <w:rPr>
          <w:rFonts w:eastAsia="Calibri" w:cs="Arial"/>
          <w:sz w:val="20"/>
          <w:szCs w:val="20"/>
        </w:rPr>
        <w:t>ogrevanja</w:t>
      </w:r>
      <w:r w:rsidRPr="00033C42">
        <w:rPr>
          <w:rFonts w:cs="Arial"/>
          <w:sz w:val="20"/>
          <w:szCs w:val="20"/>
        </w:rPr>
        <w:t xml:space="preserve"> s strani sami odjemalcev, saj so v takem primeru interesi akterjev poravnani.</w:t>
      </w:r>
    </w:p>
    <w:p w:rsidR="00532F2C" w:rsidRPr="00033C42" w:rsidRDefault="00532F2C" w:rsidP="00033C42">
      <w:pPr>
        <w:spacing w:line="260" w:lineRule="exact"/>
        <w:rPr>
          <w:rFonts w:cs="Arial"/>
          <w:sz w:val="20"/>
          <w:szCs w:val="20"/>
        </w:rPr>
      </w:pPr>
    </w:p>
    <w:p w:rsidR="005947C0" w:rsidRPr="00033C42" w:rsidRDefault="005947C0" w:rsidP="00033C42">
      <w:pPr>
        <w:spacing w:line="260" w:lineRule="exact"/>
        <w:rPr>
          <w:rFonts w:cs="Arial"/>
          <w:sz w:val="20"/>
          <w:szCs w:val="20"/>
        </w:rPr>
      </w:pPr>
      <w:r w:rsidRPr="00033C42">
        <w:rPr>
          <w:rFonts w:cs="Arial"/>
          <w:sz w:val="20"/>
          <w:szCs w:val="20"/>
        </w:rPr>
        <w:t>Finska</w:t>
      </w:r>
    </w:p>
    <w:p w:rsidR="005947C0" w:rsidRPr="00033C42" w:rsidRDefault="005947C0"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Na Finskem vsi energenti konkurenčno vstopajo na trg in zato se lahko infrastrukture za dobavo </w:t>
      </w:r>
      <w:r w:rsidR="001347C4" w:rsidRPr="00033C42">
        <w:rPr>
          <w:rFonts w:cs="Arial"/>
          <w:sz w:val="20"/>
          <w:szCs w:val="20"/>
        </w:rPr>
        <w:t xml:space="preserve">energije do objekta podvajajo. </w:t>
      </w:r>
      <w:r w:rsidRPr="00033C42">
        <w:rPr>
          <w:rFonts w:cs="Arial"/>
          <w:sz w:val="20"/>
          <w:szCs w:val="20"/>
        </w:rPr>
        <w:t xml:space="preserve">Menjava energenta je v popolni domeni odločitve odjemalca. Sistem daljinskega ogrevanja mora za optimalno delovanje prenašati zadostno količino energije, sicer so toplotne izgube lahko nesorazmerno velike glede na prenos toplote do uporabnikov in s tem je racionalno delovanje sistema lahko ogroženo. </w:t>
      </w:r>
      <w:r w:rsidRPr="00033C42">
        <w:rPr>
          <w:rFonts w:eastAsia="Calibri" w:cs="Arial"/>
          <w:sz w:val="20"/>
          <w:szCs w:val="20"/>
        </w:rPr>
        <w:t>Posledično je na Finskem konkurenčen tudi pristop pri določanju cene energije za odjemalca. Cena za daljinsko ogrevanje se na primer oblikuje s fiksnim delom, ki je odvisen od pretoka vode in variabilnim delom, ki se štirikrat letno spreminja, glede na strošek uporabljenih  energentov, povezanih taks in CO2 kuponov.</w:t>
      </w:r>
    </w:p>
    <w:p w:rsidR="00532F2C" w:rsidRPr="00033C42" w:rsidRDefault="00532F2C" w:rsidP="00033C42">
      <w:pPr>
        <w:spacing w:line="260" w:lineRule="exact"/>
        <w:rPr>
          <w:rFonts w:cs="Arial"/>
          <w:sz w:val="20"/>
          <w:szCs w:val="20"/>
        </w:rPr>
      </w:pPr>
    </w:p>
    <w:p w:rsidR="005947C0" w:rsidRPr="00033C42" w:rsidRDefault="005947C0" w:rsidP="00033C42">
      <w:pPr>
        <w:spacing w:line="260" w:lineRule="exact"/>
        <w:rPr>
          <w:rFonts w:cs="Arial"/>
          <w:sz w:val="20"/>
          <w:szCs w:val="20"/>
        </w:rPr>
      </w:pPr>
      <w:r w:rsidRPr="00033C42">
        <w:rPr>
          <w:rFonts w:cs="Arial"/>
          <w:sz w:val="20"/>
          <w:szCs w:val="20"/>
        </w:rPr>
        <w:t>Avstrija</w:t>
      </w:r>
    </w:p>
    <w:p w:rsidR="005947C0" w:rsidRPr="00033C42" w:rsidRDefault="005947C0"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V Avstriji se je dolžina omrežij daljinskega ogrevanja v letih do 2019 povečala za skoraj 900 km. Kumulativno povečanje priključne obremenitve v obdobju od 2012 do 2017 je znašalo okoli 1.000 MW (cca polovica </w:t>
      </w:r>
      <w:r w:rsidRPr="00033C42">
        <w:rPr>
          <w:rFonts w:eastAsia="Calibri" w:cs="Arial"/>
          <w:sz w:val="20"/>
          <w:szCs w:val="20"/>
        </w:rPr>
        <w:t xml:space="preserve">priključne </w:t>
      </w:r>
      <w:r w:rsidRPr="00033C42">
        <w:rPr>
          <w:rFonts w:cs="Arial"/>
          <w:sz w:val="20"/>
          <w:szCs w:val="20"/>
        </w:rPr>
        <w:t>moči v Ljubljani) kar je bilo doseženo predvsem s priključevanjem novih območij, kot tudi z zgoščevanjem priključitev. Vendar razvoj zadnjih let ne sme zamegliti dejstva, da se podjetja za oskrbo s toploto v Avstriji soočajo z izjemno zahtevnimi tržnimi razmerami. Obstoječe sistemi s SPTE in lastnimi kotli so komaj donosne za obratovanje.</w:t>
      </w:r>
      <w:r w:rsidRPr="00033C42">
        <w:rPr>
          <w:rFonts w:cs="Arial"/>
          <w:sz w:val="20"/>
          <w:szCs w:val="20"/>
        </w:rPr>
        <w:br/>
      </w:r>
      <w:r w:rsidRPr="00033C42">
        <w:rPr>
          <w:rFonts w:cs="Arial"/>
          <w:sz w:val="20"/>
          <w:szCs w:val="20"/>
        </w:rPr>
        <w:lastRenderedPageBreak/>
        <w:t>Podobno kot v drugih državah, bo potrebno panogo daljinskega ogrevanja, ki še naprej prispevala k varstvu podnebja pri oskrbi s toploto, celovito gospodarsko zaščititi glede na trenutno zelo težke pogoje poslovanja.</w:t>
      </w:r>
    </w:p>
    <w:p w:rsidR="00532F2C" w:rsidRPr="00033C42" w:rsidRDefault="00D27095" w:rsidP="00033C42">
      <w:pPr>
        <w:spacing w:line="260" w:lineRule="exact"/>
        <w:rPr>
          <w:rFonts w:cs="Arial"/>
          <w:sz w:val="20"/>
          <w:szCs w:val="20"/>
        </w:rPr>
      </w:pPr>
      <w:r w:rsidRPr="00033C42">
        <w:rPr>
          <w:rFonts w:cs="Arial"/>
          <w:sz w:val="20"/>
          <w:szCs w:val="20"/>
        </w:rPr>
        <w:t>Pripravljenost za investiranje, zlasti v SPTE elektrarne je zelo nizka. Nekatere načrtovane naložbe v klasične sisteme oskrbe s toploto preko toplarn pa so se prekinile. Obseg naložb v naslednjih 10 letih se močno premika v smeri širitve omrežja in izgradnje tako imenovanih »drugih oskrbovalnih objektov«, kot sta toplovodni elektrodni kotel in plinski kotel.</w:t>
      </w:r>
    </w:p>
    <w:p w:rsidR="001347C4" w:rsidRPr="00033C42" w:rsidRDefault="001347C4" w:rsidP="00033C42">
      <w:pPr>
        <w:spacing w:line="260" w:lineRule="exact"/>
        <w:rPr>
          <w:rFonts w:cs="Arial"/>
          <w:sz w:val="20"/>
          <w:szCs w:val="20"/>
        </w:rPr>
      </w:pPr>
    </w:p>
    <w:p w:rsidR="001347C4" w:rsidRPr="00033C42" w:rsidRDefault="001347C4" w:rsidP="00033C42">
      <w:pPr>
        <w:spacing w:line="260" w:lineRule="exact"/>
        <w:rPr>
          <w:rFonts w:cs="Arial"/>
          <w:sz w:val="20"/>
          <w:szCs w:val="20"/>
        </w:rPr>
      </w:pPr>
      <w:r w:rsidRPr="00033C42">
        <w:rPr>
          <w:rFonts w:cs="Arial"/>
          <w:sz w:val="20"/>
          <w:szCs w:val="20"/>
        </w:rPr>
        <w:t>Hrvaška</w:t>
      </w:r>
    </w:p>
    <w:p w:rsidR="00532F2C" w:rsidRPr="00033C42" w:rsidRDefault="00D27095" w:rsidP="00033C42">
      <w:pPr>
        <w:pStyle w:val="Odstavekseznama"/>
        <w:spacing w:line="260" w:lineRule="exact"/>
        <w:ind w:left="0"/>
        <w:rPr>
          <w:rFonts w:cs="Arial"/>
          <w:sz w:val="20"/>
        </w:rPr>
      </w:pPr>
      <w:r w:rsidRPr="00033C42">
        <w:rPr>
          <w:rFonts w:cs="Arial"/>
          <w:sz w:val="20"/>
        </w:rPr>
        <w:t xml:space="preserve"> </w:t>
      </w:r>
    </w:p>
    <w:p w:rsidR="00532F2C" w:rsidRPr="00033C42" w:rsidRDefault="00D27095" w:rsidP="00033C42">
      <w:pPr>
        <w:pStyle w:val="Odstavekseznama"/>
        <w:spacing w:line="260" w:lineRule="exact"/>
        <w:ind w:left="0"/>
        <w:rPr>
          <w:rFonts w:cs="Arial"/>
          <w:sz w:val="20"/>
        </w:rPr>
      </w:pPr>
      <w:r w:rsidRPr="00033C42">
        <w:rPr>
          <w:rFonts w:cs="Arial"/>
          <w:sz w:val="20"/>
        </w:rPr>
        <w:t>Na Hrvaškem je bil sistem oskrbe s toploto iz distribucijskih sistemov prenovljen leta 2015, ko so oskrbno verigo za večje distribucijske sisteme razde</w:t>
      </w:r>
      <w:r w:rsidR="00FB1424" w:rsidRPr="00033C42">
        <w:rPr>
          <w:rFonts w:cs="Arial"/>
          <w:sz w:val="20"/>
        </w:rPr>
        <w:t>lili vloge distributerja in dob</w:t>
      </w:r>
      <w:r w:rsidRPr="00033C42">
        <w:rPr>
          <w:rFonts w:cs="Arial"/>
          <w:sz w:val="20"/>
        </w:rPr>
        <w:t>a</w:t>
      </w:r>
      <w:r w:rsidR="00FB1424" w:rsidRPr="00033C42">
        <w:rPr>
          <w:rFonts w:cs="Arial"/>
          <w:sz w:val="20"/>
        </w:rPr>
        <w:t>v</w:t>
      </w:r>
      <w:r w:rsidRPr="00033C42">
        <w:rPr>
          <w:rFonts w:cs="Arial"/>
          <w:sz w:val="20"/>
        </w:rPr>
        <w:t xml:space="preserve">itelja na </w:t>
      </w:r>
      <w:r w:rsidRPr="00033C42">
        <w:rPr>
          <w:rFonts w:eastAsia="Calibri" w:cs="Arial"/>
          <w:sz w:val="20"/>
        </w:rPr>
        <w:t>več akterjev: proizvajalec toplote, distributer toplote in dobavitelj toplote. Cena toplote je v primeru oskrbe v sistem v višini nad 60% za proizvajalca regulirana v skladu z metodologijo,</w:t>
      </w:r>
      <w:r w:rsidR="00FB1424" w:rsidRPr="00033C42">
        <w:rPr>
          <w:rFonts w:eastAsia="Calibri" w:cs="Arial"/>
          <w:sz w:val="20"/>
        </w:rPr>
        <w:t xml:space="preserve"> </w:t>
      </w:r>
      <w:r w:rsidRPr="00033C42">
        <w:rPr>
          <w:rFonts w:eastAsia="Calibri" w:cs="Arial"/>
          <w:sz w:val="20"/>
        </w:rPr>
        <w:t>ki jo določi hrvaška regulatorna agencija HERA. Pod to vrednostjo se smatra da je proizvodnja toplote tržna dejavnost. Distributer toplote prejema za izvajanje servisa distribucije toplote omrežnino. Dobavitelj toplote kupuje toploto od proizvajalcev (ki imajo prost in enakopraven dostop do distribucijskega sistema) in jo prodaja končnim odjemalcem na omrežju po dogovorjeni ceni med obema akterjema. Na posameznem večjem distribucijskem sistemu lahko toploto kupuje od proizvajalca toplote in jo prodaja končnemu odjemalcu tudi več dobaviteljev toplote. Posledično lahko končni odjemalec (če obstaja več aktivnih dobaviteljev na posameznem omrežju) tudi zamenja dobavitelja.</w:t>
      </w:r>
    </w:p>
    <w:p w:rsidR="00532F2C" w:rsidRPr="00033C42" w:rsidRDefault="00D27095" w:rsidP="00033C42">
      <w:pPr>
        <w:pStyle w:val="Odstavekseznama"/>
        <w:spacing w:line="260" w:lineRule="exact"/>
        <w:ind w:left="0"/>
        <w:rPr>
          <w:rFonts w:cs="Arial"/>
          <w:sz w:val="20"/>
        </w:rPr>
      </w:pPr>
      <w:r w:rsidRPr="00033C42">
        <w:rPr>
          <w:rFonts w:eastAsia="Calibri" w:cs="Arial"/>
          <w:sz w:val="20"/>
        </w:rPr>
        <w:t>Končni odjemalec se lahko odklopi iz omrežja če je predhodno poravnal vse obveznosti do dobavitelja, če je zagotovil soglasje odjemalcev na skupnem odjemnem mestu, soglasje dobavitelja in soglasje distributerja toplote.</w:t>
      </w:r>
    </w:p>
    <w:p w:rsidR="00532F2C" w:rsidRPr="00033C42" w:rsidRDefault="00532F2C" w:rsidP="00033C42">
      <w:pPr>
        <w:spacing w:line="260" w:lineRule="exact"/>
        <w:rPr>
          <w:rFonts w:cs="Arial"/>
          <w:sz w:val="20"/>
          <w:szCs w:val="20"/>
        </w:rPr>
      </w:pP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 PRESOJA POSLEDIC, KI JIH BO IMEL SPREJEM ZAKONA</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 xml:space="preserve">6.1 Presoja administrativnih posledic </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 xml:space="preserve">a) v postopkih oziroma poslovanju javne uprave ali pravosodnih organov: </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ne bo imel posledic na področju poslovanja javne uprave ali pravosodnih organov.</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b) pri obveznostih strank do javne uprave ali pravosodnih organov:</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sz w:val="20"/>
          <w:szCs w:val="20"/>
        </w:rPr>
        <w:t>Predlog zakona ne bo imel posledic pri obveznostih strank do javne uprave ali pravosodnih organov.</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6.2 Presoja posledic za okolje, vključno s prostorskimi in varstvenimi vidiki</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ne bo imel neposrednih vpliv na okolje. Zaradi večje prožnosti pri gradnji novih sistemov daljinskega ogrevanja in spodbujanja odjemalcev k učin</w:t>
      </w:r>
      <w:r w:rsidR="003B5FDF" w:rsidRPr="00033C42">
        <w:rPr>
          <w:rFonts w:cs="Arial"/>
          <w:sz w:val="20"/>
          <w:szCs w:val="20"/>
        </w:rPr>
        <w:t>k</w:t>
      </w:r>
      <w:r w:rsidRPr="00033C42">
        <w:rPr>
          <w:rFonts w:cs="Arial"/>
          <w:sz w:val="20"/>
          <w:szCs w:val="20"/>
        </w:rPr>
        <w:t>oviti rabi energije pa se pričakuje zmanjšanje emisij toplogrednih plinov v državi, kar bo pozitivno vplivalo na podnebne spremembe.</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6.3 Presoja posledic za gospodarstvo</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Pričakuje se pozitiven vpliv zakona na gospodarstvo zaradi večje prožnosti pri gradnji novih manjših sistemov daljinskega ogrevanja in hlajenja kar bi lahko </w:t>
      </w:r>
      <w:r w:rsidRPr="00033C42">
        <w:rPr>
          <w:rFonts w:eastAsia="Calibri" w:cs="Arial"/>
          <w:sz w:val="20"/>
          <w:szCs w:val="20"/>
        </w:rPr>
        <w:t>pomagalo k večjemu številu naložb vanje.</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 xml:space="preserve">MSP test je v prilogi zakona. </w:t>
      </w:r>
    </w:p>
    <w:p w:rsidR="00532F2C" w:rsidRPr="00033C42" w:rsidRDefault="00532F2C" w:rsidP="00033C42">
      <w:pPr>
        <w:spacing w:line="260" w:lineRule="exact"/>
        <w:rPr>
          <w:rFonts w:cs="Arial"/>
          <w:b/>
          <w:sz w:val="20"/>
          <w:szCs w:val="20"/>
        </w:rPr>
      </w:pPr>
    </w:p>
    <w:p w:rsidR="00532F2C" w:rsidRPr="00033C42" w:rsidRDefault="00D27095" w:rsidP="00033C42">
      <w:pPr>
        <w:keepNext/>
        <w:keepLines/>
        <w:spacing w:line="260" w:lineRule="exact"/>
        <w:rPr>
          <w:rFonts w:cs="Arial"/>
          <w:b/>
          <w:sz w:val="20"/>
          <w:szCs w:val="20"/>
        </w:rPr>
      </w:pPr>
      <w:r w:rsidRPr="00033C42">
        <w:rPr>
          <w:rFonts w:cs="Arial"/>
          <w:b/>
          <w:sz w:val="20"/>
          <w:szCs w:val="20"/>
        </w:rPr>
        <w:lastRenderedPageBreak/>
        <w:t>6.4 Presoja posledic za socialno področje, in sicer za:</w:t>
      </w:r>
    </w:p>
    <w:p w:rsidR="00532F2C" w:rsidRPr="00033C42" w:rsidRDefault="00532F2C" w:rsidP="00033C42">
      <w:pPr>
        <w:keepNext/>
        <w:keepLines/>
        <w:spacing w:line="260" w:lineRule="exact"/>
        <w:rPr>
          <w:rFonts w:cs="Arial"/>
          <w:sz w:val="20"/>
          <w:szCs w:val="20"/>
        </w:rPr>
      </w:pPr>
    </w:p>
    <w:p w:rsidR="00532F2C" w:rsidRPr="00033C42" w:rsidRDefault="00D27095" w:rsidP="00033C42">
      <w:pPr>
        <w:keepNext/>
        <w:keepLines/>
        <w:spacing w:line="260" w:lineRule="exact"/>
        <w:rPr>
          <w:rFonts w:cs="Arial"/>
          <w:sz w:val="20"/>
          <w:szCs w:val="20"/>
        </w:rPr>
      </w:pPr>
      <w:r w:rsidRPr="00033C42">
        <w:rPr>
          <w:rFonts w:cs="Arial"/>
          <w:sz w:val="20"/>
          <w:szCs w:val="20"/>
        </w:rPr>
        <w:t xml:space="preserve">Pričakuje se, da bo imel predlog zakona pozitiven vpliv na področju reševanja energetske revščine. Predlog zakona krepi socialne vidike tudi z bolj učinkovitim zagotavljanjem varstva ranljivih odjemalcev. </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6.5 Presoja posledic za dokumente razvojnega načrtovanja, in sicer za:</w:t>
      </w:r>
    </w:p>
    <w:p w:rsidR="00532F2C" w:rsidRPr="00033C42" w:rsidRDefault="00532F2C" w:rsidP="00033C42">
      <w:pPr>
        <w:spacing w:line="260" w:lineRule="exact"/>
        <w:rPr>
          <w:rFonts w:cs="Arial"/>
          <w:sz w:val="20"/>
          <w:szCs w:val="20"/>
        </w:rPr>
      </w:pPr>
    </w:p>
    <w:p w:rsidR="00532F2C" w:rsidRPr="00033C42" w:rsidRDefault="00D27095" w:rsidP="00033C42">
      <w:pPr>
        <w:keepNext/>
        <w:keepLines/>
        <w:spacing w:line="260" w:lineRule="exact"/>
        <w:rPr>
          <w:rFonts w:cs="Arial"/>
          <w:sz w:val="20"/>
          <w:szCs w:val="20"/>
        </w:rPr>
      </w:pPr>
      <w:r w:rsidRPr="00033C42">
        <w:rPr>
          <w:rFonts w:cs="Arial"/>
          <w:sz w:val="20"/>
          <w:szCs w:val="20"/>
        </w:rPr>
        <w:t>Pričakuje se, da bo predlog zakona ohranil pozitiven vpliv na socialnem področju. Predlog zakona kljub večji možnosti za odločitev občina za izvajanje tržne distribucije toplote ohranja visoko raven učinkovitega varstva pravic gospodinjskih odjemalcev.</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6.6 Presoja posledic za druga področja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Predlog zakona ne bo imel posledic na drugih področjih.</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6.7 Izvajanje sprejetega predpisa:</w:t>
      </w:r>
    </w:p>
    <w:p w:rsidR="00532F2C" w:rsidRPr="00033C42" w:rsidRDefault="00D27095" w:rsidP="00033C42">
      <w:pPr>
        <w:numPr>
          <w:ilvl w:val="0"/>
          <w:numId w:val="5"/>
        </w:numPr>
        <w:spacing w:line="260" w:lineRule="exact"/>
        <w:rPr>
          <w:rFonts w:cs="Arial"/>
          <w:sz w:val="20"/>
          <w:szCs w:val="20"/>
        </w:rPr>
      </w:pPr>
      <w:r w:rsidRPr="00033C42">
        <w:rPr>
          <w:rFonts w:cs="Arial"/>
          <w:sz w:val="20"/>
          <w:szCs w:val="20"/>
        </w:rPr>
        <w:t>Predstavitev sprejetega zakona:</w:t>
      </w:r>
    </w:p>
    <w:p w:rsidR="00532F2C" w:rsidRPr="00033C42" w:rsidRDefault="00D27095" w:rsidP="00033C42">
      <w:pPr>
        <w:spacing w:line="260" w:lineRule="exact"/>
        <w:rPr>
          <w:rFonts w:cs="Arial"/>
          <w:sz w:val="20"/>
          <w:szCs w:val="20"/>
        </w:rPr>
      </w:pPr>
      <w:r w:rsidRPr="00033C42">
        <w:rPr>
          <w:rFonts w:cs="Arial"/>
          <w:sz w:val="20"/>
          <w:szCs w:val="20"/>
        </w:rPr>
        <w:t>Predlog zakona bo objavljen tudi na spletni strani Ministrstva za infrastrukturo. Posebne delavnice ne bodo potrebne in niso predvidene.</w:t>
      </w:r>
    </w:p>
    <w:p w:rsidR="00532F2C" w:rsidRPr="00033C42" w:rsidRDefault="00532F2C" w:rsidP="00033C42">
      <w:pPr>
        <w:spacing w:line="260" w:lineRule="exact"/>
        <w:rPr>
          <w:rFonts w:cs="Arial"/>
          <w:sz w:val="20"/>
          <w:szCs w:val="20"/>
        </w:rPr>
      </w:pPr>
    </w:p>
    <w:p w:rsidR="00532F2C" w:rsidRPr="00033C42" w:rsidRDefault="00D27095" w:rsidP="00033C42">
      <w:pPr>
        <w:numPr>
          <w:ilvl w:val="0"/>
          <w:numId w:val="5"/>
        </w:numPr>
        <w:spacing w:line="260" w:lineRule="exact"/>
        <w:rPr>
          <w:rFonts w:cs="Arial"/>
          <w:sz w:val="20"/>
          <w:szCs w:val="20"/>
        </w:rPr>
      </w:pPr>
      <w:r w:rsidRPr="00033C42">
        <w:rPr>
          <w:rFonts w:cs="Arial"/>
          <w:sz w:val="20"/>
          <w:szCs w:val="20"/>
        </w:rPr>
        <w:t>Spremljanje izvajanja sprejetega predpisa:</w:t>
      </w:r>
    </w:p>
    <w:p w:rsidR="00532F2C" w:rsidRPr="00033C42" w:rsidRDefault="00D27095" w:rsidP="00033C42">
      <w:pPr>
        <w:spacing w:line="260" w:lineRule="exact"/>
        <w:rPr>
          <w:rFonts w:cs="Arial"/>
          <w:sz w:val="20"/>
          <w:szCs w:val="20"/>
        </w:rPr>
      </w:pPr>
      <w:r w:rsidRPr="00033C42">
        <w:rPr>
          <w:rFonts w:cs="Arial"/>
          <w:sz w:val="20"/>
          <w:szCs w:val="20"/>
        </w:rPr>
        <w:t xml:space="preserve">Ministrstvo za infrastrukturo bo spremljalo izvajanje zakona in podzakonskih predpisov.  </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6.8 Druge pomembne okoliščine v zvezi z vprašanji, ki jih ureja predlog zakona</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sz w:val="20"/>
          <w:szCs w:val="20"/>
        </w:rPr>
      </w:pPr>
      <w:r w:rsidRPr="00033C42">
        <w:rPr>
          <w:rFonts w:cs="Arial"/>
          <w:sz w:val="20"/>
          <w:szCs w:val="20"/>
        </w:rPr>
        <w:t>Pri pripravi predpisa je sodeloval Inštitut za javno upravo pri Pravni fakulteti v Ljubljani v okviru projekta tehnične podpore, ki ga financira EU.</w:t>
      </w: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7. PRIKAZ SODELOVANJA JAVNOSTI PRI PRIPRAVI PREDLOGA ZAKONA:</w:t>
      </w:r>
    </w:p>
    <w:p w:rsidR="00532F2C" w:rsidRPr="00033C42" w:rsidRDefault="00532F2C" w:rsidP="00033C42">
      <w:pPr>
        <w:pStyle w:val="Neotevilenodstavek"/>
        <w:widowControl w:val="0"/>
        <w:spacing w:before="0" w:after="0" w:line="260" w:lineRule="exact"/>
        <w:rPr>
          <w:iCs/>
          <w:color w:val="000000"/>
          <w:sz w:val="20"/>
          <w:szCs w:val="20"/>
        </w:rPr>
      </w:pPr>
    </w:p>
    <w:p w:rsidR="00532F2C" w:rsidRPr="00033C42" w:rsidRDefault="00D27095" w:rsidP="00033C42">
      <w:pPr>
        <w:pStyle w:val="Neotevilenodstavek"/>
        <w:widowControl w:val="0"/>
        <w:spacing w:before="0" w:after="0" w:line="260" w:lineRule="exact"/>
        <w:rPr>
          <w:iCs/>
          <w:color w:val="000000"/>
          <w:sz w:val="20"/>
          <w:szCs w:val="20"/>
        </w:rPr>
      </w:pPr>
      <w:r w:rsidRPr="00033C42">
        <w:rPr>
          <w:iCs/>
          <w:color w:val="000000"/>
          <w:sz w:val="20"/>
          <w:szCs w:val="20"/>
        </w:rPr>
        <w:t>Datum objave: 15. 7. 2021</w:t>
      </w:r>
    </w:p>
    <w:p w:rsidR="00532F2C" w:rsidRPr="00033C42" w:rsidRDefault="00532F2C" w:rsidP="00033C42">
      <w:pPr>
        <w:pStyle w:val="Neotevilenodstavek"/>
        <w:widowControl w:val="0"/>
        <w:spacing w:before="0" w:after="0" w:line="260" w:lineRule="exact"/>
        <w:rPr>
          <w:iCs/>
          <w:color w:val="000000"/>
          <w:sz w:val="20"/>
          <w:szCs w:val="20"/>
        </w:rPr>
      </w:pPr>
    </w:p>
    <w:p w:rsidR="00532F2C" w:rsidRPr="00033C42" w:rsidRDefault="00D27095" w:rsidP="00033C42">
      <w:pPr>
        <w:pStyle w:val="Neotevilenodstavek"/>
        <w:widowControl w:val="0"/>
        <w:spacing w:before="0" w:after="0" w:line="260" w:lineRule="exact"/>
        <w:rPr>
          <w:iCs/>
          <w:color w:val="000000"/>
          <w:sz w:val="20"/>
          <w:szCs w:val="20"/>
        </w:rPr>
      </w:pPr>
      <w:r w:rsidRPr="00033C42">
        <w:rPr>
          <w:iCs/>
          <w:sz w:val="20"/>
          <w:szCs w:val="20"/>
        </w:rPr>
        <w:t xml:space="preserve">Predlog zakona je bil objavljen na spletni strani Ministrstva za infrastrukturo in na e-demokraciji od </w:t>
      </w:r>
      <w:r w:rsidRPr="00033C42">
        <w:rPr>
          <w:iCs/>
          <w:color w:val="000000"/>
          <w:sz w:val="20"/>
          <w:szCs w:val="20"/>
        </w:rPr>
        <w:t>15. 7. 2021</w:t>
      </w:r>
      <w:r w:rsidRPr="00033C42">
        <w:rPr>
          <w:iCs/>
          <w:sz w:val="20"/>
          <w:szCs w:val="20"/>
        </w:rPr>
        <w:t xml:space="preserve"> do 1. 9. 2021. V fazi javne obravnave smo prejeli skupno 90 pripomb šestih  pripombodajalcev in sicer so pripombe in predloge podali: </w:t>
      </w:r>
    </w:p>
    <w:p w:rsidR="00532F2C" w:rsidRPr="00033C42" w:rsidRDefault="00D27095" w:rsidP="00033C42">
      <w:pPr>
        <w:pStyle w:val="Neotevilenodstavek"/>
        <w:widowControl w:val="0"/>
        <w:spacing w:after="0" w:line="260" w:lineRule="exact"/>
        <w:rPr>
          <w:iCs/>
          <w:sz w:val="20"/>
          <w:szCs w:val="20"/>
        </w:rPr>
      </w:pPr>
      <w:r w:rsidRPr="00033C42">
        <w:rPr>
          <w:iCs/>
          <w:sz w:val="20"/>
          <w:szCs w:val="20"/>
        </w:rPr>
        <w:t>Petrol d. d., Agencija za energijo,  EZS Sekcija za daljinsko ogrevanje pri Energetski zbornici Slovenije, Zveza potrošnikov Slovenije, Inštitut Jožef Štefan – Center za energetsko učinkovitost in Združenje občin Slovenije.</w:t>
      </w:r>
    </w:p>
    <w:p w:rsidR="00532F2C" w:rsidRPr="00033C42" w:rsidRDefault="00532F2C" w:rsidP="00033C42">
      <w:pPr>
        <w:pStyle w:val="Neotevilenodstavek"/>
        <w:widowControl w:val="0"/>
        <w:spacing w:before="0" w:after="0" w:line="260" w:lineRule="exact"/>
        <w:rPr>
          <w:iCs/>
          <w:sz w:val="20"/>
          <w:szCs w:val="20"/>
        </w:rPr>
      </w:pPr>
    </w:p>
    <w:p w:rsidR="00532F2C" w:rsidRPr="00033C42" w:rsidRDefault="00D27095" w:rsidP="00033C42">
      <w:pPr>
        <w:spacing w:line="260" w:lineRule="exact"/>
        <w:rPr>
          <w:rFonts w:cs="Arial"/>
          <w:b/>
          <w:sz w:val="20"/>
          <w:szCs w:val="20"/>
        </w:rPr>
      </w:pPr>
      <w:r w:rsidRPr="00033C42">
        <w:rPr>
          <w:rFonts w:cs="Arial"/>
          <w:iCs/>
          <w:sz w:val="20"/>
          <w:szCs w:val="20"/>
        </w:rPr>
        <w:t xml:space="preserve">Ministrstvo za infrastrukturo je pregledalo in obravnavalo vse prejete pripombe in jih večinoma tudi upoštevalo, v kolikor niso bile v nasprotju s pravnim redom Republike Slovenije in EU ter </w:t>
      </w:r>
      <w:r w:rsidRPr="00033C42">
        <w:rPr>
          <w:rFonts w:cs="Arial"/>
          <w:sz w:val="20"/>
          <w:szCs w:val="20"/>
        </w:rPr>
        <w:t>sistemskimi</w:t>
      </w:r>
      <w:r w:rsidRPr="00033C42">
        <w:rPr>
          <w:rFonts w:cs="Arial"/>
          <w:iCs/>
          <w:sz w:val="20"/>
          <w:szCs w:val="20"/>
        </w:rPr>
        <w:t xml:space="preserve"> rešitvami predloga zakona.</w:t>
      </w:r>
      <w:r w:rsidRPr="00033C42">
        <w:rPr>
          <w:rFonts w:cs="Arial"/>
          <w:b/>
          <w:sz w:val="20"/>
          <w:szCs w:val="20"/>
        </w:rPr>
        <w:t xml:space="preserve"> </w:t>
      </w:r>
    </w:p>
    <w:p w:rsidR="00532F2C" w:rsidRPr="00033C42" w:rsidRDefault="00532F2C" w:rsidP="00033C42">
      <w:pPr>
        <w:spacing w:line="260" w:lineRule="exact"/>
        <w:rPr>
          <w:rFonts w:cs="Arial"/>
          <w:b/>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8. PODATEK O ZUNANJEM STROKOVNJAKU OZIROMA PRAVNI OSEBI, KI JE SODELOVALA PRI PRIPRAVI PREDLOGA ZAKONA, IN ZNESKU PLAČILA ZA TA NAMEN</w:t>
      </w:r>
    </w:p>
    <w:p w:rsidR="00532F2C" w:rsidRPr="00033C42" w:rsidRDefault="00532F2C" w:rsidP="00033C42">
      <w:pPr>
        <w:spacing w:line="260" w:lineRule="exact"/>
        <w:rPr>
          <w:rFonts w:cs="Arial"/>
          <w:sz w:val="20"/>
          <w:szCs w:val="20"/>
          <w:lang w:eastAsia="sl-SI"/>
        </w:rPr>
      </w:pPr>
    </w:p>
    <w:p w:rsidR="00532F2C" w:rsidRPr="00033C42" w:rsidRDefault="00D27095" w:rsidP="00033C42">
      <w:pPr>
        <w:spacing w:line="260" w:lineRule="exact"/>
        <w:rPr>
          <w:rFonts w:cs="Arial"/>
          <w:iCs/>
          <w:sz w:val="20"/>
          <w:szCs w:val="20"/>
        </w:rPr>
      </w:pPr>
      <w:r w:rsidRPr="00033C42">
        <w:rPr>
          <w:rFonts w:cs="Arial"/>
          <w:iCs/>
          <w:sz w:val="20"/>
          <w:szCs w:val="20"/>
        </w:rPr>
        <w:t xml:space="preserve">Pri pripravi predpisa je sodeloval Inštitut za javno upravo pri Pravni fakulteti v Ljubljani v okviru projekta tehnične podpore, ki ga financira EU. Predlog zakona je nastal na podlagi Analize nadomestitve veljavnega EZ-1 in prenosa paketa EU predpisov "Čista energija za vse Evropejce", katerega izvajalec je Inštitut za javno upravo pri Pravni fakulteti v Ljubljani v okviru tehnične pomoči EK za podporo strukturnim reformam. Vrednost celotnega projekta, ki vključuje pripravo petih novih </w:t>
      </w:r>
      <w:r w:rsidRPr="00033C42">
        <w:rPr>
          <w:rFonts w:cs="Arial"/>
          <w:iCs/>
          <w:sz w:val="20"/>
          <w:szCs w:val="20"/>
        </w:rPr>
        <w:lastRenderedPageBreak/>
        <w:t>zakonov na področju energetike v letih 2020 in 2021, je bila ocenjena na 120.000 evrov. Javno naročilo je izvedla Evropska Komisija, Ministrstvo za infrastrukturo je prejemnik tehnične pomoči.</w:t>
      </w:r>
    </w:p>
    <w:p w:rsidR="00532F2C" w:rsidRPr="00033C42" w:rsidRDefault="00532F2C" w:rsidP="00033C42">
      <w:pPr>
        <w:spacing w:line="260" w:lineRule="exact"/>
        <w:rPr>
          <w:rFonts w:cs="Arial"/>
          <w:iCs/>
          <w:sz w:val="20"/>
          <w:szCs w:val="20"/>
        </w:rPr>
      </w:pPr>
    </w:p>
    <w:p w:rsidR="00532F2C" w:rsidRPr="00033C42" w:rsidRDefault="00D27095" w:rsidP="00033C42">
      <w:pPr>
        <w:spacing w:line="260" w:lineRule="exact"/>
        <w:rPr>
          <w:rFonts w:cs="Arial"/>
          <w:b/>
          <w:sz w:val="20"/>
          <w:szCs w:val="20"/>
        </w:rPr>
      </w:pPr>
      <w:r w:rsidRPr="00033C42">
        <w:rPr>
          <w:rFonts w:cs="Arial"/>
          <w:b/>
          <w:sz w:val="20"/>
          <w:szCs w:val="20"/>
        </w:rPr>
        <w:t>9. NAVEDBA, KATERI PREDSTAVNIKI PREDLAGATELJA BODO SODELOVALI PRI DELU DRŽAVNEGA ZBORA IN DELOVNIH TELES</w:t>
      </w:r>
    </w:p>
    <w:p w:rsidR="00532F2C" w:rsidRPr="00033C42" w:rsidRDefault="00D27095" w:rsidP="00033C42">
      <w:pPr>
        <w:pStyle w:val="Neotevilenodstavek"/>
        <w:numPr>
          <w:ilvl w:val="0"/>
          <w:numId w:val="4"/>
        </w:numPr>
        <w:spacing w:before="0" w:after="0" w:line="260" w:lineRule="exact"/>
        <w:rPr>
          <w:iCs/>
          <w:sz w:val="20"/>
          <w:szCs w:val="20"/>
        </w:rPr>
      </w:pPr>
      <w:r w:rsidRPr="00033C42">
        <w:rPr>
          <w:iCs/>
          <w:sz w:val="20"/>
          <w:szCs w:val="20"/>
        </w:rPr>
        <w:t>Jernej Vrtovec, minister,</w:t>
      </w:r>
    </w:p>
    <w:p w:rsidR="00532F2C" w:rsidRPr="00033C42" w:rsidRDefault="00D27095" w:rsidP="00033C42">
      <w:pPr>
        <w:pStyle w:val="Neotevilenodstavek"/>
        <w:numPr>
          <w:ilvl w:val="0"/>
          <w:numId w:val="4"/>
        </w:numPr>
        <w:spacing w:before="0" w:after="0" w:line="260" w:lineRule="exact"/>
        <w:ind w:left="714" w:hanging="357"/>
        <w:rPr>
          <w:iCs/>
          <w:sz w:val="20"/>
          <w:szCs w:val="20"/>
        </w:rPr>
      </w:pPr>
      <w:r w:rsidRPr="00033C42">
        <w:rPr>
          <w:iCs/>
          <w:sz w:val="20"/>
          <w:szCs w:val="20"/>
        </w:rPr>
        <w:t>Blaž Košorok, državni sekretar,</w:t>
      </w:r>
    </w:p>
    <w:p w:rsidR="00532F2C" w:rsidRPr="00033C42" w:rsidRDefault="00D27095" w:rsidP="00033C42">
      <w:pPr>
        <w:pStyle w:val="Neotevilenodstavek"/>
        <w:numPr>
          <w:ilvl w:val="0"/>
          <w:numId w:val="4"/>
        </w:numPr>
        <w:spacing w:before="0" w:after="0" w:line="260" w:lineRule="exact"/>
        <w:ind w:left="714" w:hanging="357"/>
        <w:rPr>
          <w:iCs/>
          <w:sz w:val="20"/>
          <w:szCs w:val="20"/>
        </w:rPr>
      </w:pPr>
      <w:r w:rsidRPr="00033C42">
        <w:rPr>
          <w:iCs/>
          <w:sz w:val="20"/>
          <w:szCs w:val="20"/>
        </w:rPr>
        <w:t>Aleš Mihelič, državni sekretar,</w:t>
      </w:r>
    </w:p>
    <w:p w:rsidR="00532F2C" w:rsidRPr="00033C42" w:rsidRDefault="00D27095" w:rsidP="00033C42">
      <w:pPr>
        <w:pStyle w:val="Neotevilenodstavek"/>
        <w:numPr>
          <w:ilvl w:val="0"/>
          <w:numId w:val="4"/>
        </w:numPr>
        <w:spacing w:before="0" w:after="0" w:line="260" w:lineRule="exact"/>
        <w:rPr>
          <w:iCs/>
          <w:sz w:val="20"/>
          <w:szCs w:val="20"/>
        </w:rPr>
      </w:pPr>
      <w:r w:rsidRPr="00033C42">
        <w:rPr>
          <w:iCs/>
          <w:sz w:val="20"/>
          <w:szCs w:val="20"/>
        </w:rPr>
        <w:t>mag. Hinko Šolinc, generalni direktor Direktorata za energijo,</w:t>
      </w:r>
    </w:p>
    <w:p w:rsidR="00532F2C" w:rsidRPr="00033C42" w:rsidRDefault="00D27095" w:rsidP="00033C42">
      <w:pPr>
        <w:pStyle w:val="Neotevilenodstavek"/>
        <w:numPr>
          <w:ilvl w:val="0"/>
          <w:numId w:val="4"/>
        </w:numPr>
        <w:spacing w:before="0" w:after="0" w:line="260" w:lineRule="exact"/>
        <w:rPr>
          <w:iCs/>
          <w:sz w:val="20"/>
          <w:szCs w:val="20"/>
        </w:rPr>
      </w:pPr>
      <w:r w:rsidRPr="00033C42">
        <w:rPr>
          <w:iCs/>
          <w:sz w:val="20"/>
          <w:szCs w:val="20"/>
        </w:rPr>
        <w:t>mag. Tina Seršen, vodja sektorja za pravne in mednarodne energetske zadeve,</w:t>
      </w:r>
    </w:p>
    <w:p w:rsidR="00532F2C" w:rsidRPr="00033C42" w:rsidRDefault="00D27095" w:rsidP="00033C42">
      <w:pPr>
        <w:pStyle w:val="rkovnatokazaodstavkom"/>
        <w:numPr>
          <w:ilvl w:val="0"/>
          <w:numId w:val="4"/>
        </w:numPr>
        <w:spacing w:line="260" w:lineRule="exact"/>
        <w:rPr>
          <w:rFonts w:cs="Arial"/>
          <w:sz w:val="20"/>
          <w:szCs w:val="20"/>
        </w:rPr>
      </w:pPr>
      <w:r w:rsidRPr="00033C42">
        <w:rPr>
          <w:rFonts w:cs="Arial"/>
          <w:sz w:val="20"/>
          <w:szCs w:val="20"/>
        </w:rPr>
        <w:t>mag. Silvo Škornik, sekretar, vodja sektorja</w:t>
      </w:r>
      <w:r w:rsidRPr="00033C42">
        <w:rPr>
          <w:rFonts w:eastAsia="Calibri" w:cs="Arial"/>
          <w:color w:val="000000"/>
          <w:sz w:val="20"/>
          <w:szCs w:val="20"/>
          <w:shd w:val="clear" w:color="auto" w:fill="FFFFFF"/>
        </w:rPr>
        <w:t xml:space="preserve"> </w:t>
      </w:r>
      <w:r w:rsidRPr="00033C42">
        <w:rPr>
          <w:rFonts w:cs="Arial"/>
          <w:sz w:val="20"/>
          <w:szCs w:val="20"/>
        </w:rPr>
        <w:t>za oskrbo z energijo,</w:t>
      </w:r>
    </w:p>
    <w:p w:rsidR="00532F2C" w:rsidRPr="00033C42" w:rsidRDefault="00D27095" w:rsidP="00033C42">
      <w:pPr>
        <w:numPr>
          <w:ilvl w:val="0"/>
          <w:numId w:val="4"/>
        </w:numPr>
        <w:spacing w:line="260" w:lineRule="exact"/>
        <w:rPr>
          <w:rFonts w:cs="Arial"/>
          <w:sz w:val="20"/>
          <w:szCs w:val="20"/>
        </w:rPr>
      </w:pPr>
      <w:r w:rsidRPr="00033C42">
        <w:rPr>
          <w:rFonts w:cs="Arial"/>
          <w:sz w:val="20"/>
          <w:szCs w:val="20"/>
        </w:rPr>
        <w:t>Jurij Vertačnik, sekretar,</w:t>
      </w:r>
    </w:p>
    <w:p w:rsidR="00532F2C" w:rsidRPr="00033C42" w:rsidRDefault="00D27095" w:rsidP="00033C42">
      <w:pPr>
        <w:numPr>
          <w:ilvl w:val="0"/>
          <w:numId w:val="4"/>
        </w:numPr>
        <w:spacing w:line="260" w:lineRule="exact"/>
        <w:rPr>
          <w:rFonts w:cs="Arial"/>
          <w:sz w:val="20"/>
          <w:szCs w:val="20"/>
        </w:rPr>
      </w:pPr>
      <w:r w:rsidRPr="00033C42">
        <w:rPr>
          <w:rFonts w:cs="Arial"/>
          <w:sz w:val="20"/>
          <w:szCs w:val="20"/>
        </w:rPr>
        <w:t>Maša Vrhovnik</w:t>
      </w:r>
      <w:r w:rsidRPr="00033C42">
        <w:rPr>
          <w:rFonts w:cs="Arial"/>
          <w:iCs/>
          <w:sz w:val="20"/>
          <w:szCs w:val="20"/>
        </w:rPr>
        <w:t xml:space="preserve">, sekretarka. </w:t>
      </w:r>
    </w:p>
    <w:p w:rsidR="00532F2C" w:rsidRPr="00033C42" w:rsidRDefault="00532F2C" w:rsidP="00033C42">
      <w:pPr>
        <w:spacing w:line="260" w:lineRule="exact"/>
        <w:rPr>
          <w:rFonts w:cs="Arial"/>
          <w:b/>
          <w:sz w:val="20"/>
          <w:szCs w:val="20"/>
        </w:rPr>
      </w:pPr>
    </w:p>
    <w:p w:rsidR="00532F2C" w:rsidRPr="00033C42" w:rsidRDefault="00532F2C" w:rsidP="00033C42">
      <w:pPr>
        <w:spacing w:line="260" w:lineRule="exact"/>
        <w:rPr>
          <w:rFonts w:cs="Arial"/>
          <w:sz w:val="20"/>
          <w:szCs w:val="20"/>
        </w:rPr>
      </w:pPr>
    </w:p>
    <w:p w:rsidR="00532F2C" w:rsidRPr="00033C42" w:rsidRDefault="00D27095" w:rsidP="00033C42">
      <w:pPr>
        <w:spacing w:line="260" w:lineRule="exact"/>
        <w:jc w:val="left"/>
        <w:rPr>
          <w:rFonts w:cs="Arial"/>
          <w:b/>
          <w:sz w:val="20"/>
          <w:szCs w:val="20"/>
        </w:rPr>
      </w:pPr>
      <w:r w:rsidRPr="00033C42">
        <w:rPr>
          <w:rFonts w:cs="Arial"/>
          <w:sz w:val="20"/>
          <w:szCs w:val="20"/>
        </w:rPr>
        <w:br w:type="page"/>
      </w:r>
    </w:p>
    <w:p w:rsidR="00766753" w:rsidRPr="00033C42" w:rsidRDefault="00766753" w:rsidP="00033C42">
      <w:pPr>
        <w:spacing w:line="260" w:lineRule="exact"/>
        <w:rPr>
          <w:rFonts w:eastAsia="Times New Roman" w:cs="Arial"/>
          <w:b/>
          <w:sz w:val="20"/>
          <w:szCs w:val="20"/>
          <w:lang w:eastAsia="sl-SI"/>
        </w:rPr>
      </w:pPr>
      <w:r w:rsidRPr="00033C42">
        <w:rPr>
          <w:rFonts w:eastAsia="Times New Roman" w:cs="Arial"/>
          <w:b/>
          <w:sz w:val="20"/>
          <w:szCs w:val="20"/>
          <w:lang w:eastAsia="sl-SI"/>
        </w:rPr>
        <w:lastRenderedPageBreak/>
        <w:t>II. BESEDILO ČLENOV</w:t>
      </w:r>
      <w:r w:rsidRPr="00033C42">
        <w:rPr>
          <w:rFonts w:cs="Arial"/>
          <w:sz w:val="20"/>
          <w:szCs w:val="20"/>
        </w:rPr>
        <w:tab/>
      </w:r>
      <w:r w:rsidRPr="00033C42">
        <w:rPr>
          <w:rFonts w:cs="Arial"/>
          <w:sz w:val="20"/>
          <w:szCs w:val="20"/>
        </w:rPr>
        <w:tab/>
      </w:r>
      <w:r w:rsidRPr="00033C42">
        <w:rPr>
          <w:rFonts w:cs="Arial"/>
          <w:sz w:val="20"/>
          <w:szCs w:val="20"/>
        </w:rPr>
        <w:tab/>
      </w:r>
      <w:r w:rsidRPr="00033C42">
        <w:rPr>
          <w:rFonts w:cs="Arial"/>
          <w:sz w:val="20"/>
          <w:szCs w:val="20"/>
        </w:rPr>
        <w:tab/>
      </w:r>
      <w:r w:rsidRPr="00033C42">
        <w:rPr>
          <w:rFonts w:cs="Arial"/>
          <w:sz w:val="20"/>
          <w:szCs w:val="20"/>
        </w:rPr>
        <w:tab/>
      </w:r>
      <w:r w:rsidRPr="00033C42">
        <w:rPr>
          <w:rFonts w:cs="Arial"/>
          <w:sz w:val="20"/>
          <w:szCs w:val="20"/>
        </w:rPr>
        <w:tab/>
      </w:r>
      <w:r w:rsidRPr="00033C42">
        <w:rPr>
          <w:rFonts w:cs="Arial"/>
          <w:sz w:val="20"/>
          <w:szCs w:val="20"/>
        </w:rPr>
        <w:tab/>
      </w:r>
    </w:p>
    <w:p w:rsidR="00766753" w:rsidRPr="00033C42" w:rsidRDefault="00766753" w:rsidP="00033C42">
      <w:pPr>
        <w:spacing w:line="260" w:lineRule="exact"/>
        <w:jc w:val="center"/>
        <w:rPr>
          <w:rFonts w:cs="Arial"/>
          <w:sz w:val="20"/>
          <w:szCs w:val="20"/>
        </w:rPr>
      </w:pPr>
    </w:p>
    <w:p w:rsidR="00766753" w:rsidRPr="00033C42" w:rsidRDefault="00766753" w:rsidP="00033C42">
      <w:pPr>
        <w:spacing w:line="260" w:lineRule="exact"/>
        <w:jc w:val="center"/>
        <w:rPr>
          <w:rFonts w:cs="Arial"/>
          <w:sz w:val="20"/>
          <w:szCs w:val="20"/>
        </w:rPr>
      </w:pPr>
    </w:p>
    <w:p w:rsidR="00766753" w:rsidRPr="00033C42" w:rsidRDefault="00766753" w:rsidP="00033C42">
      <w:pPr>
        <w:spacing w:line="260" w:lineRule="exact"/>
        <w:jc w:val="right"/>
        <w:rPr>
          <w:rFonts w:eastAsia="Times New Roman" w:cs="Arial"/>
          <w:sz w:val="20"/>
          <w:szCs w:val="20"/>
          <w:lang w:eastAsia="sl-SI"/>
        </w:rPr>
      </w:pPr>
      <w:r w:rsidRPr="00033C42">
        <w:rPr>
          <w:rFonts w:eastAsia="Times New Roman" w:cs="Arial"/>
          <w:sz w:val="20"/>
          <w:szCs w:val="20"/>
          <w:lang w:eastAsia="sl-SI"/>
        </w:rPr>
        <w:tab/>
      </w:r>
      <w:r w:rsidRPr="00033C42">
        <w:rPr>
          <w:rFonts w:eastAsia="Times New Roman" w:cs="Arial"/>
          <w:sz w:val="20"/>
          <w:szCs w:val="20"/>
          <w:lang w:eastAsia="sl-SI"/>
        </w:rPr>
        <w:tab/>
      </w:r>
      <w:r w:rsidRPr="00033C42">
        <w:rPr>
          <w:rFonts w:eastAsia="Times New Roman" w:cs="Arial"/>
          <w:sz w:val="20"/>
          <w:szCs w:val="20"/>
          <w:lang w:eastAsia="sl-SI"/>
        </w:rPr>
        <w:tab/>
      </w:r>
      <w:r w:rsidRPr="00033C42">
        <w:rPr>
          <w:rFonts w:eastAsia="Times New Roman" w:cs="Arial"/>
          <w:sz w:val="20"/>
          <w:szCs w:val="20"/>
          <w:lang w:eastAsia="sl-SI"/>
        </w:rPr>
        <w:tab/>
      </w:r>
      <w:r w:rsidRPr="00033C42">
        <w:rPr>
          <w:rFonts w:eastAsia="Times New Roman" w:cs="Arial"/>
          <w:sz w:val="20"/>
          <w:szCs w:val="20"/>
          <w:lang w:eastAsia="sl-SI"/>
        </w:rPr>
        <w:tab/>
      </w:r>
      <w:r w:rsidRPr="00033C42">
        <w:rPr>
          <w:rFonts w:eastAsia="Times New Roman" w:cs="Arial"/>
          <w:sz w:val="20"/>
          <w:szCs w:val="20"/>
          <w:lang w:eastAsia="sl-SI"/>
        </w:rPr>
        <w:tab/>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I. poglavje: SPLOŠNE DOLOČBE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(vsebina in namen zakona)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(1) Ta zakon ureja pogoje za zagotavljanje oskrbe s toploto iz distribucijskih sistemov. Zakon ureja tudi oskrbo s plini iz distribucijskih sistemov, ki niso neposredno ali posredno povezani s prenosnim sistemom plina v Republiki Sloveniji.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Namen zakona je zagotoviti konkurenčno, dostopno in trajnostno usmerjeno oskrbo s toploto iz distribucijskih sistemov, omogočiti razvoj učinkovitih in konkurenčnih sistemov daljinskega ogrevanja in hlajenja skladno z usmeritvami iz celovitega nacionalnega energetskega in podnebnega načrta (v nadaljnjem besedilu: NEPN), obenem pa zagotoviti učinkovite mehanizme regulacije cen toplote in varstvo odjemalcev.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(izključitev uporabe zakona)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Ta zakon se ne uporablja za distribucijski sistem, ki ima skupno nazivno moč priključenih naprav odjemalcev na sistemu manjšo od 500 kW, razen določb 7., 8. in 32.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(2) Ta zakon se tudi ne uporablja za lastniške distribucijske sisteme, razen določb 7., 31. in 32. člena tega zakona, ki pa se uporabljajo za lastniške distribucijske sisteme s skupno nazivno močjo priključenih naprav odjemalcev na sistemu, večjo od 500 kW. </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b/>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(pomen izrazov)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Izrazi, uporabljeni v tem zakonu, pomenijo:</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sidDel="000414F7">
        <w:rPr>
          <w:rFonts w:eastAsia="Times New Roman" w:cs="Arial"/>
          <w:sz w:val="20"/>
          <w:szCs w:val="20"/>
          <w:lang w:eastAsia="sl-SI"/>
        </w:rPr>
        <w:t xml:space="preserve"> </w:t>
      </w:r>
      <w:r w:rsidRPr="00033C42">
        <w:rPr>
          <w:rFonts w:eastAsia="Times New Roman" w:cs="Arial"/>
          <w:sz w:val="20"/>
          <w:szCs w:val="20"/>
          <w:lang w:eastAsia="sl-SI"/>
        </w:rPr>
        <w:t>»daljinsko hlajenje« je distribucija toplotne energije v obliki ohlajenih tekočin iz centralnih ali decentraliziranih proizvodnih virov po sistemu do več objektov ali lokacij za hlajenja prostorov ali procesno hlajenje;</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»daljinsko ogrevanje« je distribucija toplotne energije v obliki pare, vroče vode ali tople vode iz centralnih ali decentraliziranih proizvodnih virov po sistemu do več objektov ali lokacij za ogrevanje prostorov ali procesno ogrevanje;</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»distribucija« pomeni prenos toplote ali plinov po distribucijskem sistemu in vključuje tudi dobavo odjemalcem;</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»distribucija plina« pomeni prenos plina po distribucijskem sistemu in vključuje tudi dobavo odjemalcem;</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sidDel="00A27C5D">
        <w:rPr>
          <w:rFonts w:eastAsia="Times New Roman" w:cs="Arial"/>
          <w:sz w:val="20"/>
          <w:szCs w:val="20"/>
          <w:lang w:eastAsia="sl-SI"/>
        </w:rPr>
        <w:t xml:space="preserve"> </w:t>
      </w:r>
      <w:r w:rsidRPr="00033C42">
        <w:rPr>
          <w:rFonts w:eastAsia="Times New Roman" w:cs="Arial"/>
          <w:sz w:val="20"/>
          <w:szCs w:val="20"/>
          <w:lang w:eastAsia="sl-SI"/>
        </w:rPr>
        <w:t>»distribucija toplote« je daljinsko ogrevanje ali daljinsko hlajenje, ki pomeni distribucijo toplote iz centralnih ali decentraliziranih proizvodnih virov po distribucijskem sistemu za ogrevanje ali hlajenje prostorov, ogrevanje sanitarne vode ali za procesno ogrevanje ali hlajenje ter vključuje tudi dobavo odjemalcem;</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sidDel="000A71A4">
        <w:rPr>
          <w:rFonts w:eastAsia="Times New Roman" w:cs="Arial"/>
          <w:sz w:val="20"/>
          <w:szCs w:val="20"/>
          <w:lang w:eastAsia="sl-SI"/>
        </w:rPr>
        <w:t xml:space="preserve"> </w:t>
      </w:r>
      <w:r w:rsidRPr="00033C42">
        <w:rPr>
          <w:rFonts w:eastAsia="Times New Roman" w:cs="Arial"/>
          <w:sz w:val="20"/>
          <w:szCs w:val="20"/>
          <w:lang w:eastAsia="sl-SI"/>
        </w:rPr>
        <w:t>»distribucijski sistem« ali »sistem« pomeni sistem naprav in napeljav, ki ni neposredno ali posredno povezan s prenosnimi sistemi in ki omogoča prenos toplote ali plina po omrežju od enega ali več virov do odjemalcev v več stavbah ali lokacijah;</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»distributer« pomeni pravno ali fizično osebo, ki izvaja dejavnost distribucije;</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 xml:space="preserve">» distributer toplote« je fizična ali pravna oseba, ki izvaja distribucijo toplote; </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lastRenderedPageBreak/>
        <w:t xml:space="preserve"> »dobava toplote« pomeni dobavo toplote po distribucijskem sistemu odjemalcu ali dobavo toplote distributerju od proizvajalca toplote;</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»gospodinjski odjemalec« je odjemalec, ki odjema toploto ali plin za svojo lastno rabo v gospodinjstvu, kar izključuje rabo toplote ali plina za opravljanje poslovnih dejavnosti;</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»lastniški distribucijski sistem« pomeni distribucijski sistem v solasti ali skupni lasti odjemalcev in lahko vključuje tudi proizvodni vir;</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 xml:space="preserve"> »odjemalec« pomeni fizično ali pravno osebo ali skupino oseb, ki odjema in kupuje toploto ali plin za lastno končno rabo;</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»odjemno mesto« pomeni mesto, kjer odjemalec prevzema toploto ali plin in na katerem se ugotavljata kakovost in količina dobavljene toplote ali plina za odjemalca;</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sidDel="000A71A4">
        <w:rPr>
          <w:rFonts w:eastAsia="Times New Roman" w:cs="Arial"/>
          <w:sz w:val="20"/>
          <w:szCs w:val="20"/>
          <w:lang w:eastAsia="sl-SI"/>
        </w:rPr>
        <w:t xml:space="preserve"> </w:t>
      </w:r>
      <w:r w:rsidRPr="00033C42">
        <w:rPr>
          <w:rFonts w:eastAsia="Times New Roman" w:cs="Arial"/>
          <w:sz w:val="20"/>
          <w:szCs w:val="20"/>
          <w:lang w:eastAsia="sl-SI"/>
        </w:rPr>
        <w:t>»obračunska moč« je moč naprav odjemalca, ki jo distributer upošteva pri obračunu distribucije toplote ali plina;</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sidDel="000A71A4">
        <w:rPr>
          <w:rFonts w:eastAsia="Times New Roman" w:cs="Arial"/>
          <w:sz w:val="20"/>
          <w:szCs w:val="20"/>
          <w:lang w:eastAsia="sl-SI"/>
        </w:rPr>
        <w:t xml:space="preserve"> </w:t>
      </w:r>
      <w:r w:rsidRPr="00033C42">
        <w:rPr>
          <w:rFonts w:eastAsia="Times New Roman" w:cs="Arial"/>
          <w:sz w:val="20"/>
          <w:szCs w:val="20"/>
          <w:lang w:eastAsia="sl-SI"/>
        </w:rPr>
        <w:t>»plin« pomeni energetski plin, ki se uporablja kot energent in ga je varno prenašati po distribucijskem sistemu do odjemnih mest;</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»priključek« pomeni vod, ki poteka od priključnega mesta na distribucijskem sistemu do toplotne postaje pri distribuciji toplote oziroma do glavne plinske zaporne pipe pri distribuciji plinov;</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»reguliran proizvajalec toplote« je pravna ali fizična oseba, ki dobavlja toploto distributerju toplote, katerega cena toplote za daljinsko ogrevanje je regulirana skladno z 19. členom tega zakona, in je z njim lastniško povezana oseba ali mu proda več kot 30 % celotne predvidene distribuirane toplote v naslednjem letu;</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»skupno odjemno mesto« pomeni mesto, na katerem se ugotavljata kakovost in količina dobavljene toplote ali plina za več odjemalcev skupaj;</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»tarifna postavka toplote« je znesek za distribucijo toplote na obračunsko enoto;</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»toplota« pomeni toploto v obliki pare, vroče vode, tople vode ali ohlajenih tekočin;</w:t>
      </w:r>
    </w:p>
    <w:p w:rsidR="00766753" w:rsidRPr="00033C42" w:rsidRDefault="00766753" w:rsidP="00033C42">
      <w:pPr>
        <w:numPr>
          <w:ilvl w:val="0"/>
          <w:numId w:val="20"/>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»tržna distribucija« pomeni obliko izvajanja distribucije toplote ali plinov na podlagi soglasja občine in brez podelitve izključne pravice ali določitve obveznega priključevanja na sistem in brez regulacije cene toplote za ogrevanje.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Drugi izrazi s področja energetike, ki niso opredeljeni s tem zakonom, imajo enak pomen, kot ga določajo predpisi s področja energetike.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(način opravljanja dejavnosti distribucije)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Dejavnost distribucije toplote in dejavnost distribucije plinov se lahko opravlja kot:</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izbirna lokalna gospodarska javna služba (v nadaljnjem besedilu: gospodarska javna služba) ali</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tržna distribucija.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Dejavnost distribucije toplote in dejavnost distribucije plinov se opravlja kot gospodarska javna služba, kadar je trajna in nemotena oskrba s toploto in plini v javnem interesu zaradi zagotavljanja javnih potreb. Odločitev o tem sprejme občina.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Če distributer oskrbuje ali namerava oskrbovati več kot petsto gospodinjskih odjemalcev, se distribucija toplote opravlja kot gospodarska javna služba.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5.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(izključna pravica)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Občina določi pogoje in način opravljanja gospodarske javne službe v skladu s predpisi, ki urejajo gospodarske javne službe, javno-zasebno partnerstvo in nekatere koncesijske pogodbe.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Za zagotavljanje javnih potreb iz tretjega odstavka prejšnjega člena s potrebnim obsegom investicij v nov ali obstoječ distribucijski sistem lahko občina z odlokom podeli distributerju izključno pravico opravljanja gospodarske javne službe distribucije toplote ali plinov na območju občine ali njenem delu. Z odlokom se določi tudi natančen prostorski obseg distribucijskega območja za opravljanje gospodarske javne službe.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(3) Občina obvesti Agencijo za energijo (v nadaljnjem besedilu: agencija) o sprejetju odloka o določitvi gospodarske javne službe iz prejšnjega odstavka najpozneje pet dni po njegovem sprejetju in predvidenem začetku izvajanja te distribucije na njenem območju.</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6.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(postopek odločitve občine glede tržne distribucije)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Za izvajanje dejavnosti distribucije toplote in distribucije plinov kot tržne distribucije mora distributer predhodno pridobiti soglasje občine, na območju katere se bo izvajala tržna distribucija. K vlogi za izvajanje tržne distribucije distributer priloži idejno zasnovo za pridobitev projektnih in drugih pogojev ter opredeli predvideno število in vrsto odjemalcev, njihovo lego v prostoru in  njihovo predvideno skupno letno porabo toplote.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Občina odloči o soglasju za izvajanje tržne distribucije v treh mesecih od prejema popolne vloge iz prejšnjega odstavka.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Občina ne izda soglasja za izvajanje tržne distribucije iz prejšnjega odstavka, če:</w:t>
      </w:r>
    </w:p>
    <w:p w:rsidR="00766753" w:rsidRPr="00033C42" w:rsidRDefault="00766753" w:rsidP="00033C42">
      <w:pPr>
        <w:numPr>
          <w:ilvl w:val="0"/>
          <w:numId w:val="21"/>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se občina na predlaganem območju odloči izvajati gospodarsko javno službo iz 4. člena tega zakona ali gospodarsko javno službo dejavnost operaterja distribucijskega sistema plina skladno z zakonom, ki ureja oskrbo s plini, ali</w:t>
      </w:r>
    </w:p>
    <w:p w:rsidR="00766753" w:rsidRPr="00033C42" w:rsidRDefault="00766753" w:rsidP="00033C42">
      <w:pPr>
        <w:numPr>
          <w:ilvl w:val="0"/>
          <w:numId w:val="21"/>
        </w:numPr>
        <w:spacing w:line="260" w:lineRule="exact"/>
        <w:contextualSpacing/>
        <w:rPr>
          <w:rFonts w:eastAsia="Times New Roman" w:cs="Arial"/>
          <w:sz w:val="20"/>
          <w:szCs w:val="20"/>
          <w:lang w:eastAsia="sl-SI"/>
        </w:rPr>
      </w:pPr>
      <w:r w:rsidRPr="00033C42">
        <w:rPr>
          <w:rFonts w:eastAsia="Times New Roman" w:cs="Arial"/>
          <w:sz w:val="20"/>
          <w:szCs w:val="20"/>
          <w:lang w:eastAsia="sl-SI"/>
        </w:rPr>
        <w:t>je predlagana energetska oskrba v nasprotju s smernicami iz sprejetega lokalnega energetskega koncepta ali usmeritvami NEPN.</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V primeru zavrnitve soglasja iz prve alineje prejšnjega odstavka mora občina v treh mesecih po zavrnitvi soglasja začeti postopek za pripravo koncesijskega akta za uvedbo gospodarske javne službe.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Občina v soglasju iz drugega odstavka tega člena določi natančno prostorsko opredelitev distribucijskega sistema in določi čas izvajanja tržne distribucije v letih.</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Če investitor ne začne gradnje distribucijskega sistema v dveh letih po izdaji soglasja, lahko občina soglasje prekliče.</w:t>
      </w:r>
    </w:p>
    <w:p w:rsidR="00766753" w:rsidRPr="00033C42" w:rsidRDefault="00766753" w:rsidP="00033C42">
      <w:pPr>
        <w:spacing w:line="260" w:lineRule="exact"/>
        <w:rPr>
          <w:rFonts w:eastAsia="Times New Roman" w:cs="Arial"/>
          <w:b/>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7.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(priglasitev dejavnosti agenciji)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mora pred začetkom in po prenehanju opravljanja dejavnosti distribucije toplote ali plinov na določenem distribucijskem sistemu o tem obvestiti agencijo.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Za vodenje evidenc izvajalcev dejavnosti distribucije toplote in distribucije plina po tem zakonu lahko agencija, skladno z zakonom, ki ureja varovanje osebnih podatkov, zbira, vodi in obdeluje naslednje osebne podatke distributerja, ki je fizična oseba: ime, priimek, naslov stalnega prebivališča in naslov opravljanja dejavnosti.</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II. poglavje: VARSTVO ODJEMALCEV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8.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(pogodba o dobavi in splošni pogodbeni pogoji)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Pogodba o dobavi toplote ali plina med odjemalcem in distributerjem mora biti sklenjena v pisni obliki.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Pogodba iz prejšnjega odstavka se sklene med distributerjem in odjemalcem, ki je imetnik soglasja za priključitev. Če potencialni odjemalec ni imetnik soglasja za priključitev na distribucijski sistem iz</w:t>
      </w:r>
      <w:r w:rsidRPr="00033C42">
        <w:rPr>
          <w:rFonts w:eastAsia="Times New Roman" w:cs="Arial"/>
          <w:b/>
          <w:bCs/>
          <w:sz w:val="20"/>
          <w:szCs w:val="20"/>
          <w:lang w:eastAsia="sl-SI"/>
        </w:rPr>
        <w:t xml:space="preserve"> </w:t>
      </w:r>
      <w:r w:rsidRPr="00033C42">
        <w:rPr>
          <w:rFonts w:eastAsia="Times New Roman" w:cs="Arial"/>
          <w:sz w:val="20"/>
          <w:szCs w:val="20"/>
          <w:lang w:eastAsia="sl-SI"/>
        </w:rPr>
        <w:t xml:space="preserve">26. člena tega zakona, mora za sklenitev pogodbe o dobavi toplote pridobiti soglasje osebe, ki je imetnik soglasja za priključitev, iz katerega mora izhajati, da soglasodajalec dovoljuje potencialnemu odjemalcu sistema, da preko njegovega priključka odjema toploto ali plin.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(3) Oseba, ki sklene pogodbo, in imetnik soglasja za priključitev sta solidarno odgovorna za nastale obveznosti dobave, razen če je subsidiarna odgovornost določena z drugim zakonom.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(4) Pogodba iz prvega odstavka tega člena mora določati najmanj naslednje:</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ime in naslov distributerja;</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ime in naslov odjemalca, davčno oziroma matično številko;</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naslov in podatke o stavbi ali delu stavbe, v katerem odjema toploto ali plin;</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vrste storitev, ponujeno raven kakovosti storitev;</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pravice in obveznosti pogodbenih strank v zvezi z neizpolnjevanjem pogodbe;</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ceno toplote ali plina in dan podpisa pogodbe;</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načine pridobivanja podatkov o vseh veljavnih tarifah in cenah storitev;</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trajanje pogodbe, pogoje za podaljšanje in prenehanje storitev in pogodbe;</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dogovore o nadomestilu in povračilu v primeru, če ni dosežena raven kakovosti storitev iz pogodbe, vključno z nenatančnim ali zapoznelim obračunavanjem dobavljene toplote ali plina;</w:t>
      </w:r>
    </w:p>
    <w:p w:rsidR="00766753" w:rsidRPr="00033C42" w:rsidRDefault="00766753" w:rsidP="00033C42">
      <w:pPr>
        <w:numPr>
          <w:ilvl w:val="0"/>
          <w:numId w:val="2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informacije o pravicah odjemalcev.</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(5) Sestavni del pogodbe o dobavi so tudi splošni pogodbeni pogoji, ki morajo biti pravični in znani vnaprej, distributer pa jih mora odjemalcu zagotoviti pred sklenitvijo pogodbe, tudi če se pogodbe sklepajo po posrednikih. Splošni pogodbeni pogoji distributerja, ki izvaja gospodarsko javno službo, morajo biti skladni s sistemskimi obratovalnimi navodili iz </w:t>
      </w:r>
      <w:r w:rsidRPr="00033C42">
        <w:rPr>
          <w:rFonts w:eastAsia="Times New Roman" w:cs="Arial"/>
          <w:bCs/>
          <w:sz w:val="20"/>
          <w:szCs w:val="20"/>
          <w:lang w:eastAsia="sl-SI"/>
        </w:rPr>
        <w:t>17.</w:t>
      </w:r>
      <w:r w:rsidRPr="00033C42">
        <w:rPr>
          <w:rFonts w:eastAsia="Times New Roman" w:cs="Arial"/>
          <w:sz w:val="20"/>
          <w:szCs w:val="20"/>
          <w:lang w:eastAsia="sl-SI"/>
        </w:rPr>
        <w:t xml:space="preserve"> člena tega zakona. Distributer ne sme uporabljati nepoštenih in zavajajočih načinov prodaje toplote ali plina.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Spremembo splošnih pogodbenih pogojev mora distributer neposredno ter na pregleden in razumljiv način sporočiti odjemalcu najmanj mesec dni pred njeno uveljavitvijo, če se sprememba nanaša na pogodbo odjemalca.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(7) Distributer v sistemskih obratovalnih navodilih in splošnih pogodbenih pogojih iz 17. člena tega zakona podrobneje določi obveznosti pogodbenih strank in postopek urejanja pogodbenih razmerij na skupnem odjemnem mestu.</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9.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(kontaktna točka za odjemalce)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mora odjemalcem na enem mestu zagotoviti potrebne informacije glede njihovih pravic, veljavnih predpisov in metod za reševanje sporov, ki so jim na voljo v primeru spora z distributerjem (v nadaljnjem besedilu: kontaktna točka).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V kontaktni točki mora distributer zagotoviti najmanj informacije o:</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načinih reševanja sporov;</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veljavnih cenah toplote ali plina ter pogojih v zvezi z dostopom do teh storitev in v zvezi njihovo uporabo;</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načinu pridobitve podatkov o porabi;</w:t>
      </w:r>
    </w:p>
    <w:p w:rsidR="00766753" w:rsidRPr="00033C42" w:rsidRDefault="00766753" w:rsidP="00033C42">
      <w:pPr>
        <w:numPr>
          <w:ilvl w:val="0"/>
          <w:numId w:val="21"/>
        </w:numPr>
        <w:spacing w:line="260" w:lineRule="exact"/>
        <w:contextualSpacing/>
        <w:jc w:val="left"/>
        <w:rPr>
          <w:rFonts w:eastAsia="Times New Roman" w:cs="Arial"/>
          <w:sz w:val="20"/>
          <w:szCs w:val="20"/>
          <w:lang w:eastAsia="sl-SI"/>
        </w:rPr>
      </w:pPr>
      <w:r w:rsidRPr="00033C42">
        <w:rPr>
          <w:rFonts w:eastAsia="Times New Roman" w:cs="Arial"/>
          <w:sz w:val="20"/>
          <w:szCs w:val="20"/>
          <w:lang w:eastAsia="sl-SI"/>
        </w:rPr>
        <w:t>pravicah do oskrbe s toploto ali plinom določene kakovosti po razumni ceni v skladu predpisi in splošnimi akti.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zagotovi pregleden, enostaven in brezplačen notranji postopek obravnave pritožb končnih odjemalcev.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10.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(obveščanje odjemalcev)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Distributer najmanj enkrat letno svojim odjemalcem v jasni in razumljivi obliki poda informacije o njihovi porabi toplote oziroma plina v skladu s predpisi </w:t>
      </w:r>
      <w:r w:rsidRPr="00033C42">
        <w:rPr>
          <w:rFonts w:eastAsia="Times New Roman" w:cs="Arial"/>
          <w:color w:val="000000"/>
          <w:sz w:val="20"/>
          <w:szCs w:val="20"/>
          <w:lang w:eastAsia="sl-SI"/>
        </w:rPr>
        <w:t>o učinkoviti rabi energije in na svoji spletni strani objavi vrednosti kazalnikov skladno z dolo</w:t>
      </w:r>
      <w:r w:rsidRPr="00033C42">
        <w:rPr>
          <w:rFonts w:eastAsia="Times New Roman" w:cs="Arial"/>
          <w:sz w:val="20"/>
          <w:szCs w:val="20"/>
          <w:lang w:eastAsia="sl-SI"/>
        </w:rPr>
        <w:t xml:space="preserve">čili predpisov o spodbujanju rabe obnovljivih virov energije. </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III. poglavje: MERJENJE PORABE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11.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(merjenje porabe in oddaje)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(1) Distributer mora zagotoviti merjenje porabe toplote ali plina na odjemnem mestu v skladu s predpisi o meroslovju in predpisi o učinkoviti rabi energije. Distributer toplote mora zagotoviti izvajanje meritev kakovosti dobavljene toplote.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(2) Proizvajalec toplote, ki dobavlja toploto v distribucijski sistem, mora meriti količino porabljenih primarnih goriv in količino proizvedene toplote po posameznih napravah za proizvodnjo toplote ter količino predane toplote v sistem.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mora zagotoviti merjenje prevzete toplote ali plina za vse prevzemne točke v distribucijski sistem. Proizvajalec in distributer se lahko dogovorita o skupni meritvi na prevzemni točki v distribucijski sistem.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12.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(obveščanje distributerja)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Odjemalec, ki odjema toploto v delu stavbe ali v stavbi iz odjemnega mesta z več odjemalci ali več stavb, mora najpozneje v 15 dneh po začetku odjema toplote ali po njegovem prenehanju sporočiti distributerju naslednje podatke: ime in priimek ali firmo odjemalca, naslov in podatke o delu stavbe, v katerem odjema toploto, oziroma o stavbi, v kateri odjema to energijo, davčno številko in datum začetka ali prenehanja odjema toplote. Za začetek ali prenehanje odjema toplote se šteje začetek ali konec obračunskega obdobja, v katerem je odjemalec začel ali prenehal uporabljati del stavbe, ali datum zapisniško ugotovljenega priklopa oziroma odklopa odjemalca iz skupnega odjemnega mesta.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Če distributer nima pravilnih podatkov o odjemalcu iz prejšnjega odstavka, neposredno ali s posredovanjem upravnika stavbe pozove osebo, ki uporablja zadevni del stavbe oziroma stavbo, da nemudoma sporoči podatke.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Inšpektor iz 33. člena tega zakona, ki v inšpekcijskem postopku zaradi kršitve prvega in drugega odstavka tega člena ugotovi podatke o odjemalcu iz prvega odstavka tega člena, mora te podatke sporočiti distributerju.</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IV. poglavje: OBVEZNOSTI DISTRIBUTERJEV V JAVNEM INTERESU</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13.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(obveznosti v javnem interesu)</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Distributerji morajo v javnem interesu zagotavljati:</w:t>
      </w:r>
    </w:p>
    <w:p w:rsidR="00766753" w:rsidRPr="00033C42" w:rsidRDefault="00766753" w:rsidP="00033C42">
      <w:pPr>
        <w:numPr>
          <w:ilvl w:val="0"/>
          <w:numId w:val="34"/>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varno in zanesljivo dolgoročno načrtovanje in oskrbo s toploto in plini,</w:t>
      </w:r>
    </w:p>
    <w:p w:rsidR="00766753" w:rsidRPr="00033C42" w:rsidRDefault="00766753" w:rsidP="00033C42">
      <w:pPr>
        <w:numPr>
          <w:ilvl w:val="0"/>
          <w:numId w:val="3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nediskriminatorno obravnavo odjemalcev in</w:t>
      </w:r>
    </w:p>
    <w:p w:rsidR="00766753" w:rsidRPr="00033C42" w:rsidRDefault="00766753" w:rsidP="00033C42">
      <w:pPr>
        <w:numPr>
          <w:ilvl w:val="0"/>
          <w:numId w:val="38"/>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nujno oskrbo gospodinjskih odjemalcev.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14.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(zanesljivost oskrbe)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(1) Distributerji morajo s primernimi ukrepi pri izbiri in skladiščenju goriv ter izbiri dobaviteljev, razvoju in obratovanju sistema zagotoviti dolgoročno zanesljivo in varno oskrbo odjemalcev.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Distributerji morajo zagotoviti sprejemanje informacij odjemalcev o motnjah na sistemu pri dobavi energije in motnje nemudoma odpraviti, če vzrok motenj niso napake na napravah odjemalca.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Distributerji toplote, ki kot edini primarni vir za proizvodnjo toplote uporabljajo plin iz povezanega distribucijskega ali prenosnega sistema plina, upoštevajo navodila in ukrepe iz predpisov o zanesljivi oskrbi s plini in načrta za izredne razmere, ki ga sprejme pristojni organ za zanesljivo oskrbo s plinom.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15.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(nediskriminatorno obravnavanje odjemalcev)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(1) Distributer ne sme diskriminirati odjemalcev glede pogojev uporabe sistema. Razlike v pogojih za uporabo sistema morajo temeljiti na objektivnih in preglednih merilih ter biti opredeljene v sistemskih obratovalnih navodilih oziroma splošnih pogodbenih pogojih izvajalcev tržne distribucije.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Odjemalec, ki s količino odjema ali prilagajanjem svojega odjema prispeva k ugodnejši obremenitvi distribucijskega sistema, je upravičen do ugodnejših pogojev oskrbe, če so razlogi in merila za ugodnejšo obravnavo določeni v sistemskih obratovalnih navodilih oziroma splošnih pogodbenih pogojih izvajalcev tržne distribucije.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16.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(nujna oskrba gospodinjskega odjemalca)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Do nujne oskrbe je upravičen gospodinjski odjemalec, ki si zaradi svojih premoženjskih razmer, dohodkov in drugih socialnih okoliščin ter bivalnih razmer ne more zagotoviti drugega vira energije za ogrevanje, ki bi mu povzročil enake ali manjše stroške za ogrevanje stanovanjskih prostorov.</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Distributer ne sme odjemalca iz prejšnjega odstavka odklopiti oziroma mu omejiti odjema toplote ali plina pod količino, ki je glede na okoliščine (letni čas, temperaturne razmere, kraj prebivanja, zdravstveno stanje in druge podobne okoliščine) nujno potrebna, da ne pride do ogrožanja življenja in zdravja odjemalca in oseb, ki z njim prebivajo.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mora odjemalca pred odklopom obvestiti o možnosti nujne oskrbe, dokazilih, ki jih mora odjemalec predložiti distributerju, da mu distributer odobri nujno oskrbo, in rokih, v katerih je treba ta dokazila predložiti. Podrobnejše pogoje predpiše distributer v sistemskih obratovalnih navodilih oziroma v splošnih pogodbenih pogojih iz 17.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Stroške odjema toplote odjemalcev iz prvega odstavka tega člena nosi distributer do takrat, ko jih plača odjemalec. Stroški, ki jih distributer, ki izvaja gospodarsko javno službo distribucijo toplote, ne more izterjati od odjemalca iz prvega odstavka tega člena, so upravičeni stroški tega distributerja in se upoštevajo pri regulaciji cene.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Določbe tega člena se ne uporabljajo, če gospodinjski odjemalec odjema toploto ali plin preko skupnega odjemnega mesta in če je takemu odjemalcu nemogoče ločeno ustaviti oskrbo s toploto ali plinom.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V. poglavje: DRUGE OBVEZNOSTI DISTRIBUTERJEV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17.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(sistemska obratovalna navodila)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ki dejavnost distribucije toplote in dejavnost distribucije plinov opravlja kot gospodarsko javno službo, mora izdati sistemska obratovalna navodila, ki urejajo obratovanje in način vodenja distribucijskega sistema. Sistemska obratovalna navodila morajo biti pregledna, objektivna in nediskriminatorna. S sistemskimi obratovalnimi navodili se zlasti uredijo:</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splošni pogoji za dobavo in odjem, ki urejajo pravice in obveznosti odjemalcev glede dobave toplote ali plinov;</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obratovanje sistema, tehnični in drugi pogoji za varno obratovanje sistema, pogoji in način izvajanja priključitev na sistem ter druga vprašanja v zvezi z zanesljivo in kakovostno oskrbo s toploto ali plini, vključno s posegi v varnostni pas distribucijskega sistema;</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tarifni sistem, ki določa način zaračunavanja dobave in tarifne elemente za dobavo toplote ali plinov različnim kategorijam odjemalcem glede na moč, vrsto in karakteristiko odjema, kakovost in druge elemente.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Sistemska obratovalna navodila iz prejšnjega odstavka morajo biti zakonita in pripravljena skladno s splošnim aktom agencije, s katerim agencija podrobneje predpiše vsebino tega akta.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Pred objavo sistemskih obratovalnih navodil mora distributer pridobiti soglasje agencije.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(4) Distributer, ki opravlja tržno distribucijo, mora pripraviti splošne pogodbene pogoje, ki urejajo pravice in obveznosti odjemalcev glede dobave toplote ali plinov in s katerimi se opredelijo tudi </w:t>
      </w:r>
      <w:r w:rsidRPr="00033C42">
        <w:rPr>
          <w:rFonts w:eastAsia="Times New Roman" w:cs="Arial"/>
          <w:sz w:val="20"/>
          <w:szCs w:val="20"/>
          <w:lang w:eastAsia="sl-SI"/>
        </w:rPr>
        <w:lastRenderedPageBreak/>
        <w:t>obratovanje sistema, tehnični in drugi pogoji za varno obratovanje sistema, pogoji in način izvajanja priključitev na sistem in druga vprašanja v zvezi z zanesljivo in kakovostno oskrbo. Distributer mora odjemalca seznaniti s temi pogoji pred podpisom pogodbe o dobavi.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Sistemska obratovalna navodila in splošni pogodbeni pogoji se objavijo v Uradnem listu Republike Slovenije ter na spletni strani distributerja in agencije v štirinajstih dneh po prejemu soglasja od agencije.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18.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(obratovanje distribucijskega sistema in tehnična varnost naprav)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Distributerji toplote z obračunsko močjo naprav na sistemu, večjo kot 10 MW, morajo zagotoviti:</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sistem nadzora obratovanja sistema distribucije toplote, ki omogoča optimalno termično in hidravlično obratovanje sistema;</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analizo možnih in izvedbo stroškovno upravičenih ukrepov za energetsko učinkovito optimiziranje obratovanja sistema distribucije toplote.</w:t>
      </w:r>
    </w:p>
    <w:p w:rsidR="00766753" w:rsidRPr="00033C42" w:rsidRDefault="00766753" w:rsidP="00033C42">
      <w:pPr>
        <w:spacing w:line="260" w:lineRule="exact"/>
        <w:contextualSpacing/>
        <w:rPr>
          <w:rFonts w:eastAsia="Times New Roman" w:cs="Arial"/>
          <w:sz w:val="20"/>
          <w:szCs w:val="20"/>
          <w:lang w:eastAsia="sl-SI"/>
        </w:rPr>
      </w:pPr>
      <w:r w:rsidRPr="00033C42">
        <w:rPr>
          <w:rFonts w:eastAsia="Times New Roman" w:cs="Arial"/>
          <w:sz w:val="20"/>
          <w:szCs w:val="20"/>
          <w:lang w:eastAsia="sl-SI"/>
        </w:rPr>
        <w:t>(2) Pravna ali fizična oseba, ki kot investitor ali izvajalec želi izvajati gradbena dela v varnostnem pasu distribucijskega sistema (pet metrov na vsako stran od distribucijskega sistema), mora pred začetkom del v varnostnem pasu o nameravanih posegih obvestiti distributerja in pridobiti njegovo soglasje.</w:t>
      </w:r>
    </w:p>
    <w:p w:rsidR="00766753" w:rsidRPr="00033C42" w:rsidRDefault="00766753" w:rsidP="00033C42">
      <w:pPr>
        <w:spacing w:line="260" w:lineRule="exact"/>
        <w:contextualSpacing/>
        <w:rPr>
          <w:rFonts w:eastAsia="Times New Roman" w:cs="Arial"/>
          <w:sz w:val="20"/>
          <w:szCs w:val="20"/>
          <w:lang w:eastAsia="sl-SI"/>
        </w:rPr>
      </w:pPr>
      <w:r w:rsidRPr="00033C42">
        <w:rPr>
          <w:rFonts w:eastAsia="Times New Roman" w:cs="Arial"/>
          <w:sz w:val="20"/>
          <w:szCs w:val="20"/>
          <w:lang w:eastAsia="sl-SI"/>
        </w:rPr>
        <w:t>(3) Energetski objekti, naprave in napeljave distributerja sistema morajo izpolnjevati tehnične in druge predpise ter obvezne standarde na področju strojne energetike, s katerimi se zagotavlja tehnična varnost obratovanja energetskih postrojev.</w:t>
      </w:r>
    </w:p>
    <w:p w:rsidR="00766753" w:rsidRPr="00033C42" w:rsidRDefault="00766753" w:rsidP="00033C42">
      <w:pPr>
        <w:spacing w:line="260" w:lineRule="exact"/>
        <w:contextualSpacing/>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VI. poglavje: REGULACIJA CENE TOPLOTE IN OBRAČUN ENERGIJE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19.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(regulacija in metodologija za oblikovanje cene toplote)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(1) </w:t>
      </w:r>
      <w:r w:rsidRPr="00033C42">
        <w:rPr>
          <w:rFonts w:eastAsia="Times New Roman" w:cs="Arial"/>
          <w:color w:val="000000"/>
          <w:sz w:val="20"/>
          <w:szCs w:val="20"/>
          <w:lang w:eastAsia="sl-SI"/>
        </w:rPr>
        <w:t>Cena toplote za daljinsko ogrevanje iz distribucijskih sistemov, pri katerih distributerji izvajajo gospodarsko javno službo distribucijo toplote, mora biti regulirana v skladu s tem poglavjem za sisteme, na katere je priključenih več kot 500 gospodinjskih odjemalcev, in za regulirane proizvajalce toplote, ki dobavljajo v take sisteme. Za sisteme, na katere je priključenih manj kot 500 gospodinjskih odjemalcev, regulacija cene toplote v skladu s tem členom ni obvezna.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color w:val="000000"/>
          <w:sz w:val="20"/>
          <w:szCs w:val="20"/>
          <w:lang w:eastAsia="sl-SI"/>
        </w:rPr>
        <w:t xml:space="preserve">(2) Cena toplote ni regulirana za končne odjemalce v primeru distribucije pare in daljinskega hlajenja, ampak se določa prosto s pogodbo med odjemalcem in distributerjem.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color w:val="000000"/>
          <w:sz w:val="20"/>
          <w:szCs w:val="20"/>
          <w:lang w:eastAsia="sl-SI"/>
        </w:rPr>
        <w:t xml:space="preserve">(3) Regulacija cene toplote iz prvega odstavka tega člena se izvaja na podlagi metodologije za oblikovanje cene toplote za daljinsko ogrevanje (v nadaljnjem besedilu: metodologija), ki jo s splošnim aktom predpiše agencija.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color w:val="000000"/>
          <w:sz w:val="20"/>
          <w:szCs w:val="20"/>
          <w:lang w:eastAsia="sl-SI"/>
        </w:rPr>
        <w:t>(4) Z metodologijo s</w:t>
      </w:r>
      <w:r w:rsidRPr="00033C42">
        <w:rPr>
          <w:rFonts w:eastAsia="Times New Roman" w:cs="Arial"/>
          <w:sz w:val="20"/>
          <w:szCs w:val="20"/>
          <w:lang w:eastAsia="sl-SI"/>
        </w:rPr>
        <w:t xml:space="preserve">e določi način oblikovanja izhodiščne cene kot najvišje povprečne cene, na podlagi katere distributer in regulirani proizvajalec toplote v skladu z merili in mehanizmom iz metodologije oblikujeta cene toplote za daljinsko ogrevanje.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Z metodologijo za oblikovanje cene toplote za daljinsko ogrevanje se določijo:</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vrste in merila za določitev upravičenih stroškov;</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elementi izhodiščne cene, ki vključujejo fiksni in variabilni del;</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način oblikovanja izhodiščne cene in razlogi za njeno spremembo;</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merila oziroma mehanizem za prilagajanje posameznih elementov izhodiščne cene spremembam upravičenih stroškov;</w:t>
      </w:r>
    </w:p>
    <w:p w:rsidR="00766753" w:rsidRPr="00033C42" w:rsidRDefault="00766753" w:rsidP="00033C42">
      <w:pPr>
        <w:numPr>
          <w:ilvl w:val="0"/>
          <w:numId w:val="23"/>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vrste podatkov, oblika in način posredovanja podatkov, potrebnih za določitev upravičenih stroškov in izhodiščne cene.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Metodologija mora biti oblikovana tako, da spodbuja energetsko in stroškovno učinkovito izvajanje distribucije in proizvodnje toplote, uravnoteženo spodbuja investicije distributerja oziroma proizvajalca toplote in koristi odjemalcev ter preprečuje nihanja in omogoča stabilnost prodajnih cen toplote.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lastRenderedPageBreak/>
        <w:t>20.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(oblikovanje izhodiščne cene toplote)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Izhodiščna cena toplote se določi na podlagi upravičenih stroškov in je sestavljena iz fiksnega in variabilnega dela.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Oblikovanje izhodiščne cene mora upoštevati in podpirati izvajanje ciljev in nalog, določenih v zakonih, ki urejajo učinkovito rabo energije in spodbujanje obnovljivih virov energije.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color w:val="000000"/>
          <w:sz w:val="20"/>
          <w:szCs w:val="20"/>
          <w:lang w:eastAsia="sl-SI"/>
        </w:rPr>
        <w:t>21. člen</w:t>
      </w:r>
    </w:p>
    <w:p w:rsidR="00766753" w:rsidRPr="00033C42" w:rsidRDefault="00766753" w:rsidP="00033C42">
      <w:pPr>
        <w:spacing w:line="260" w:lineRule="exact"/>
        <w:jc w:val="center"/>
        <w:rPr>
          <w:rFonts w:eastAsia="Times New Roman" w:cs="Arial"/>
          <w:color w:val="000000"/>
          <w:sz w:val="20"/>
          <w:szCs w:val="20"/>
          <w:lang w:eastAsia="sl-SI"/>
        </w:rPr>
      </w:pPr>
      <w:r w:rsidRPr="00033C42">
        <w:rPr>
          <w:rFonts w:eastAsia="Times New Roman" w:cs="Arial"/>
          <w:color w:val="000000"/>
          <w:sz w:val="20"/>
          <w:szCs w:val="20"/>
          <w:lang w:eastAsia="sl-SI"/>
        </w:rPr>
        <w:t>(upravičeni stroški)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Upravičeni stroški so stroški, ki jih agencija določi in prizna v skladu z metodologijo iz 19. člena tega zakona in vsebujejo stroške energentov, energije, stroške delovanja in vzdrževanja, amortizacijo in druge upravičene stroške, ki so nujno potrebni za izvajanje dejavnosti.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(2) Kadar distributer oziroma regulirani proizvajalec toplote poleg dejavnosti distribucije oziroma proizvodnje toplote opravlja tudi druge dejavnosti, mora tem dejavnostim pripisati sorazmerni del skupnih stroškov.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Pri ugotavljanju upravičenih stroškov za najem distribucijskega sistema, vira ali njegovega dela od lastnika lahko agencija v postopku odločanja o soglasju k izhodiščni ceni izvede analizo upravičenih stroškov tudi za najemodajalca distribucijskega sistema, pri čemer mora najemojemalec zagotoviti, da so agenciji na razpolago vsi potrebni podatki najemodajalca. V tem primeru agencija upošteva višino najemnine na podlagi gibanja primerljivih cen v preteklih letih.</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22.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(postopek za pridobitev soglasja agencije k izhodiščni ceni)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toplote oziroma regulirani proizvajalec toplote mora pred začetkom opravljanja dejavnosti distribucije toplote pri agenciji vložiti zahtevo za izdajo soglasja k izhodiščni ceni in obrazložitev predloga. Prav tako mora pridobiti soglasje agencije tudi za vsako spremembo izhodiščne cene, opredeljene v metodologiji iz 19.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Distributer toplote pošlje kopijo zahteve občini, na območju katere opravlja dejavnost distribucije toplote. Občina lahko agenciji v 15 dneh od prejema kopije zahteve sporoči mnenje o zahtevi.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toplote in regulirani proizvajalec toplote morata na zahtevo agencije sporočiti vse podatke, ki jih agencija zahteva za odločanje o zahtevi.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Pri spremembi metodologije določitve izhodiščne cene, ki vpliva na izhodiščne cene, h katerim je agencija dala soglasje iz prvega odstavka tega člena, mora distributer toplote oziroma regulirani proizvajalec toplote vložiti zahtevo za novo soglasje k izhodiščni ceni toplote.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color w:val="000000"/>
          <w:sz w:val="20"/>
          <w:szCs w:val="20"/>
          <w:lang w:eastAsia="sl-SI"/>
        </w:rPr>
        <w:t>23. člen</w:t>
      </w:r>
    </w:p>
    <w:p w:rsidR="00766753" w:rsidRPr="00033C42" w:rsidRDefault="00766753" w:rsidP="00033C42">
      <w:pPr>
        <w:spacing w:line="260" w:lineRule="exact"/>
        <w:jc w:val="center"/>
        <w:rPr>
          <w:rFonts w:eastAsia="Times New Roman" w:cs="Arial"/>
          <w:color w:val="000000"/>
          <w:sz w:val="20"/>
          <w:szCs w:val="20"/>
          <w:lang w:eastAsia="sl-SI"/>
        </w:rPr>
      </w:pPr>
      <w:r w:rsidRPr="00033C42">
        <w:rPr>
          <w:rFonts w:eastAsia="Times New Roman" w:cs="Arial"/>
          <w:color w:val="000000"/>
          <w:sz w:val="20"/>
          <w:szCs w:val="20"/>
          <w:lang w:eastAsia="sl-SI"/>
        </w:rPr>
        <w:t>(tarifne postavke za toploto)</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toplote določi objektivne, pregledne in nediskriminatorne tarifne postavke toplote za posamezne odjemalce v skladu z izhodiščno ceno, določeno na podlagi metodologije iz 19. člena tega zakona, in tarifnim sistemom.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(2) Distributer toplote lahko k tarifnim postavkam iz prejšnjega odstavka obračuna dodatek k tarifni postavki.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Dodatki k tarifni postavki so lahko pozitivni ali negativni in določeni za daljše ali krajše obdobje. Dodatki so lahko različnih izvorov in so lahko spodbuda za učinkovitejšo rabo ali distribucijo energije.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(4) Distributer mora v objavi tarifnih postavk in na računu odjemalcu jasno prikazati tarifno postavko za toploto in obračunane dodatke.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Distributer pred vključitvijo pozitivnih dodatkov, ki jih dodaja k tarifni postavki in imajo za posledico višjo ceno, pridobi soglasje občine.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(6) Tarifni sistem in tarifne postavke in dodatki morajo spodbujati odjemalce, da bodo s količino odjema in njegovim prilagajanjem ali na drug način prispevali k učinkoviti rabi energije in učinkovitejšemu delovanju distribucijskega sistema.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(7) Pred začetkom zaračunavanja tarifnih postavk in dodatkov k tarifnim postavkam mora distributer toplote tarifne postavke in dodatke k tarifnim postavkam javno objaviti ter vsaj tri dni pred objavo pisno obvestiti agencijo.</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24.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(ločene računovodske evidence)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Distributerji, ki izvajajo gospodarsko javno službo z regulirano ceno toplote, in regulirani proizvajalci, ki poleg dejavnosti distribucije toplote oziroma proizvodnje toplote opravljajo tudi druge dejavnosti, morajo skladno z računovodskimi standardi voditi ločene računovodske evidence in v pojasnilih k računovodskim izkazom razkriti ločene računovodske izkaze za dejavnost distribucije toplote, proizvodnjo toplote in druge dejavnosti, kot bi se to od njih zahtevalo, če bi te dejavnosti opravljala ločena podjetja.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Za ločene računovodske izkaze iz prejšnjega odstavka se štejeta bilanca stanja in izkaz poslovnega izida.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Distributerji toplote, ki poleg dejavnosti distribucije toplote opravljajo tudi druge dejavnosti, morajo skladno z računovodskimi standardi v svojih notranjih aktih opredeliti sodila za razporejanje sredstev in obveznosti, stroškov in odhodkov ter prihodkov, ki jih upoštevajo pri vodenju računovodskih evidenc in pripravi ločenih računovodskih izkazov iz prejšnjega odstavka.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Letni računovodski izkazi morajo v pojasnilih prikazati vse posle, opravljene s povezanimi podjetji, katerih posamična vrednost presega 20.000 eurov.</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Distributerji toplote, ki izvajajo gospodarsko javno službo, morajo v pojasnilih k računovodskim izkazom skupaj z ločenimi računovodskimi izkazi za energetske dejavnosti, za katere se zahteva ločeno razkrivanje, v celoti razkriti tudi sodila iz tretjega odstavka tega člena. Ustreznost sodil in pravilnost njihove uporabe mora revizor letno revidirati ter o tem pripraviti posebno poročilo.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Distributerji, na katere se nanaša zakon, ki ureja preglednost finančnih odnosov in ločeno evidentiranje dejavnosti, morajo voditi računovodske evidence in izkaze tudi po navedenem zakonu, če to ni v nasprotju s tem zakonom.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25.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(obračunavanje dobavljene energije)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Dobavljeno toploto in plin iz distribucijskih sistemov plačujejo odjemalci na podlagi pogodbe o dobavi, ki jo sklenejo z distributerjem.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Dobavljena toplota ali plini se obračunavajo najmanj enkrat letno na podlagi odčitka merilne naprave. Distributer zagotovi, da so računi in informacije na računu pravilne, razumljive, jasne, jedrnate in odjemalcu prijazne.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omogoči odjemalcu plačevanje mesečnega zneska za dobavljeno toploto ali plin na podlagi dejanske porabe ali v obliki akontacije, če podatek o količini odjema v posameznem mesecu ni na voljo ali če se tako dogovori z distributerjem. Na zahtevo odjemalca mora distributer dati jasno in razumljivo pojasnilo o tem, kako je bil račun pripravljen. Če račun ne temelji na dejanski porabi, mora odgovor obsegati tudi pojasnilo o načinu končnega obračuna glede na dejansko porabo.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Distributer mora pri obračunavanju dobavljene toplote ali plina odjemalcu na računu poleg cene in morebitnih dodatkov k ceni prikazati najmanj:</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način določitve obračunanih količin (odčitek odjemalca, odčitek distributerja, akontacija enakomerni obrok, akontacija predvidena poraba),</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količino obračunanih enot toplote ali plina v enotah, ki jih meri merilna naprava, in</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xml:space="preserve">– dobavljeno količino energije v kWh.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Pri dobavi plinov distributer na računu prikaže tudi vrsto plina oziroma sestavo mešanice plinov in kurilno vrednost plina in ki je bila uporabljena za preračun obračunanih enot v kWh.</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(6) Na zahtevo odjemalca mora distributer tudi med obračunskim obdobjem izdelati obračun za dobavljeno toploto ali plin. Distributer lahko za storitev dodatnega obračuna zaračuna stroške po ceniku, ki ne smejo presegati dejanskih stroškov distributerja.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VII. poglavje: PRIKLJUČITEV NA SISTEM IN ODKLOP</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26.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(priključitev na sistem)</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Za priključitev na distribucijski sistem ali spremembo parametrov priključitve mora pravna ali fizična oseba, ki je lastnik objekta, ki ga želi priključiti na sistem in v čigar korist bo izdano soglasje za priključitev (v nadaljnjem besedilu: imetnik soglasja za priključitev), od distributerja pridobiti soglasje za priključitev. Pogoji za priključitev so določeni v splošnih pogodbenih pogojih oziroma v sistemskih obratovalnih navodilih.</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Dokončno soglasje za priključitev velja dve leti. V tem času mora imetnik soglasja za priključitev izpolniti vse pogoje, predpisane v soglasju za priključitev, in distributerju naročiti izvedbo priključitve. Veljavnost soglasja za priključitev lahko distributer na zahtevo imetnika soglasja za priključitev podaljša največ dvakrat, vendar vsakič največ za eno leto. Zahtevo za podaljšanje mora imetnik soglasja za priključitev vložiti 30 dni pred iztekom veljavnosti soglasja za priključitev. Pri zamudah na strani distributerja se šteje, da je soglasje podaljšano, kar mora distributer sporočiti imetniku soglasja za priključitev, ki še ni izvedel priključitve na sistem.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ki izvaja gospodarsko javno službo, odloča o soglasju za priključitev po javnem pooblastilu v upravnem postopku. O pritožbi zoper odločbo o izdaji ali zavrnitvi soglasja za priključitev odloča župan. O številu pritožb zoper odločbe o izdaji ali zavrnitvi soglasja za priključitev mora občina enkrat letno obvestiti agencijo.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Distributer, ki izvaja gospodarsko javno službo, zavrne zahtevo za priključitev, če:</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odjemalec ne izpolnjuje pogojev za priključitev;</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bi zaradi priključitve prišlo do večjih motenj v delovanju distribucijskega sistema;</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bi priključitev distributerju povzročila nastanek nesorazmernih stroškov priključitve. Nesorazmerni stroški priključitve pomenijo stroške gradnje priključka do točke v distribucijskem sistemu, kjer je priključitev možna, ali stroške, ki so potrebni zaradi povečanja zmogljivosti ali obsega obstoječega sistema, ali kombinacijo obojega, pri čemer ni pričakovati, da bi v razumnem času prišlo do povečanja odjema iz distribucijskega sistema na novem priključku oziroma obstoječem distribucijskem sistemu v tolikšnem obsegu, ki bi omogočal normalno amortizacijo naložbe.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Pri določitvi nesorazmernih stroškov priključitve mora distributer upoštevati predvsem:</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obseg potrebne investicije;</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predvidene dodatne prihodke distributerja glede na predviden obseg uporabe priključka s strani odjemalca;</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predvidene dodatne stroške distributerja, kot na primer stroške za vzdrževanje in obratovanje novega priključka oziroma povečanja zmogljivosti distribucijskega sistema;</w:t>
      </w:r>
    </w:p>
    <w:p w:rsidR="00766753" w:rsidRPr="00033C42" w:rsidRDefault="00766753" w:rsidP="00033C42">
      <w:pPr>
        <w:spacing w:line="260" w:lineRule="exact"/>
        <w:ind w:left="708"/>
        <w:rPr>
          <w:rFonts w:eastAsia="Times New Roman" w:cs="Arial"/>
          <w:sz w:val="20"/>
          <w:szCs w:val="20"/>
          <w:lang w:eastAsia="sl-SI"/>
        </w:rPr>
      </w:pPr>
      <w:r w:rsidRPr="00033C42">
        <w:rPr>
          <w:rFonts w:eastAsia="Times New Roman" w:cs="Arial"/>
          <w:sz w:val="20"/>
          <w:szCs w:val="20"/>
          <w:lang w:eastAsia="sl-SI"/>
        </w:rPr>
        <w:t>– predviden donos na sredstva distributerja.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Nesorazmerne stroške priključitve izračuna distributer tako, da so ob predvidenem obsegu uporabe priključka v ekonomski dobi uporabe priključka in ob pokritju nesorazmernih stroškov s strani odjemalca pokriti vsi stroški distributerja. Izračun mora temeljiti na metodah, ki se uporabljajo za ocenjevanje investicij, in mora upoštevati časovno vrednost denarja. Če v času amortizacije dela sistema ali priključka, za katerega je odjemalec plačal nesorazmerne stroške, pride do priključitve dodatnih odjemalcev, mora distributer povrniti odjemalcu ustrezen del nesorazmernih stroškov, ki jih kot nove nesorazmerne stroške zaračuna novim odjemalcem na tem delu sistema ali priključka.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(7) Podrobnejši način in postopek določitve nesorazmernih stroškov predpiše distributer v sistemskih obratovalnih navodilih.</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(8) Pri ugotovitvi nastanka nesorazmernih stroškov priključitve ima odjemalec pravico do priključitve v skladu s sistemskimi obratovalnimi navodili, če sam krije nesorazmerne stroške priključitve.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(9) Po dokončnosti odločbe o soglasju za priključitev skleneta distributer in imetnik soglasja za priključitev pisno pogodbo o priključitvi, s katero uredita medsebojna razmerja v zvezi z gradnjo, lastnino in vzdrževanjem priključka ter druga medsebojna razmerja, ki se nanašajo na izvedbo priključka in priključitev.</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(10) Če imetnik soglasja za priključitev umre (fizična oseba) ali preneha obstajati (pravna oseba), če gre za spremembo gradbenega dovoljenja zaradi spremembe investitorja ali zaradi pravnega prometa z objektom, se soglasje za priključitev lahko prenese na pravno ali fizično osebo, ki pridobi te objekte, naprave ali napeljave.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(11) Pravna ali fizična oseba, ki na podlagi sprememb iz prejšnjega odstavka pridobi objekte, naprave ali napeljave, mora najpozneje v 30 dneh po prejemu sodne oziroma upravne odločbe ali sklenitve pogodbe o nastali spremembi obvestiti distributerja in o tem predložiti dokazila, sicer mora zaprositi za novo soglasje za priključitev.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27.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(začasni odklop)</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sme začasno odklopiti odjemalca zaradi:</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rednega ali izrednega vzdrževanja;</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pregledov ali remontov;</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preizkusov ali kontrolnih meritev;</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razširitev sistema;</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izrednih dogodkov na sistemu;</w:t>
      </w:r>
    </w:p>
    <w:p w:rsidR="00766753" w:rsidRPr="00033C42" w:rsidRDefault="00766753" w:rsidP="00033C42">
      <w:pPr>
        <w:numPr>
          <w:ilvl w:val="0"/>
          <w:numId w:val="25"/>
        </w:numPr>
        <w:spacing w:line="260" w:lineRule="exact"/>
        <w:ind w:left="720"/>
        <w:contextualSpacing/>
        <w:rPr>
          <w:rFonts w:eastAsia="Times New Roman" w:cs="Arial"/>
          <w:sz w:val="20"/>
          <w:szCs w:val="20"/>
          <w:lang w:eastAsia="sl-SI"/>
        </w:rPr>
      </w:pPr>
      <w:r w:rsidRPr="00033C42">
        <w:rPr>
          <w:rFonts w:eastAsia="Times New Roman" w:cs="Arial"/>
          <w:sz w:val="20"/>
          <w:szCs w:val="20"/>
          <w:lang w:eastAsia="sl-SI"/>
        </w:rPr>
        <w:t>zaradi izvajanja ukrepov za zagotavljanje zanesljivosti oskrbe s plinom iz prenosnega sistema v skladu s predpisi o oskrbi s plini.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Za predvideni odklop ali omejitev dobave toplote ali plina mora distributer izbrati čas, ki čim manj prizadene odjemalce.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mora o predvidenem odklopu pravočasno obvestiti odjemalca v pisni obliki ali na drug oseben način. Pri večjem številu odjemalcev in v primeru, da osebno obveščanje ni stroškovno učinkovito, pa v sredstvih javnega obveščanja in na spletu vsaj 48 ur pred odklopom.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Distributer sme zaradi izvajanja nepredvidenih ali izrednih del za odpravo okvar in zagotovitve nemotenega in zanesljivega delovanja distribucijskega sistema odjemalcu prekiniti ali omejiti obseg dobave toplote ali plinov.</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Distributer mora o nepredvideni prekinitvi ali omejitvi dobave toplote ali plinov v najkrajšem možnem času obvestiti prizadete odjemalce na svoji spletni strani, ob večjih motnjah v distribucijskem sistemu pa tudi v sredstvih javnega obveščanja.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Pri začasnem odklopu ali omejitvi dobave toplote ali plina odjemalcem, izvedenim v skladu s tem členom, je distributer oproščen morebitne odškodninske odgovornosti oziroma odškodninskih zahtev odjemalcev.</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28.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(odklop odjemalca)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odklopi odjemalca po predhodnem obvestilu, če ta v roku, določenem v obvestilu, ne izpolni svoje obveznosti, in sicer:</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 opomin distributerja ne poravna pogodbenih obveznosti;</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moti dobavo toplote ali plinov drugim odjemalcem;</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odreče ali onemogoči osebam, ki imajo pooblastilo distributerja, dostop do vseh delov priključka, do zaščitnih in merilnih naprav in do energetskih objektov, naprav ali napeljav, kadar obstaja sum, da te naprave povzročajo motnje ali niso skladne z izdanim soglasjem za priključitev;</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lastRenderedPageBreak/>
        <w:t>brez soglasja distributerja priključi na sistem svoje energetske naprave ali napeljave ali omogoči prek svojih energetskih naprav priključitev energetskih naprav drugih odjemalcev;</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 opomin distributerja skladno s sistemskimi obratovalnimi navodili oziroma pogodbo o dobavi ne zniža odjema oziroma količine na dogovorjeno vrednost v zahtevanem roku;</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onemogoča pravilno registriranje obračunskih količin ali porablja toploto ali druge energetske pline brez zahtevanih oziroma dogovorjenih merilnih naprav ali mimo njih;</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 roku, ki ga določi distributer oziroma pristojni inšpekcijski organ, ne odstrani oziroma ne zniža do dovoljene meje motenj, ki jih povzročajo njegovi objekti, naprave ali napeljave, ali ne izpolni predpisanih tehničnih zahtev;</w:t>
      </w:r>
    </w:p>
    <w:p w:rsidR="00766753" w:rsidRPr="00033C42" w:rsidRDefault="00766753" w:rsidP="00033C42">
      <w:pPr>
        <w:numPr>
          <w:ilvl w:val="0"/>
          <w:numId w:val="26"/>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nima veljavne pogodbe o dobavi toplote ali plina za določeno odjemno mesto ali za dejanski obseg dobave in uporabe distribucijskega sistema.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Distributer mora gospodinjskega odjemalca o odklopu obvestiti vsaj 15 dni vnaprej, preostale odjemalce pa vsaj osem dni pred izvedenim odklopom.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lahko odklopi odjemalca brez predhodnega obvestila:</w:t>
      </w:r>
    </w:p>
    <w:p w:rsidR="00766753" w:rsidRPr="00033C42" w:rsidRDefault="00766753" w:rsidP="00033C42">
      <w:pPr>
        <w:numPr>
          <w:ilvl w:val="0"/>
          <w:numId w:val="11"/>
        </w:numPr>
        <w:spacing w:line="260" w:lineRule="exact"/>
        <w:contextualSpacing/>
        <w:rPr>
          <w:rFonts w:eastAsia="Times New Roman" w:cs="Arial"/>
          <w:sz w:val="20"/>
          <w:szCs w:val="20"/>
          <w:lang w:eastAsia="sl-SI"/>
        </w:rPr>
      </w:pPr>
      <w:r w:rsidRPr="00033C42">
        <w:rPr>
          <w:rFonts w:eastAsia="Times New Roman" w:cs="Arial"/>
          <w:sz w:val="20"/>
          <w:szCs w:val="20"/>
          <w:lang w:eastAsia="sl-SI"/>
        </w:rPr>
        <w:t>če odjemalec z obratovanjem svojih energetskih objektov, naprav ali napeljav ogroža življenje ali zdravje ljudi ali premoženje,</w:t>
      </w:r>
    </w:p>
    <w:p w:rsidR="00766753" w:rsidRPr="00033C42" w:rsidRDefault="00766753" w:rsidP="00033C42">
      <w:pPr>
        <w:numPr>
          <w:ilvl w:val="0"/>
          <w:numId w:val="11"/>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odjemalec nepooblaščeno odjema toploto ali pline z uničenjem pečatov ali s poškodovanjem merilne naprave, s čimer ogroža življenje ali zdravje ljudi ali premoženje ali delovanje distribucijskega sistema, ali</w:t>
      </w:r>
    </w:p>
    <w:p w:rsidR="00766753" w:rsidRPr="00033C42" w:rsidRDefault="00766753" w:rsidP="00033C42">
      <w:pPr>
        <w:numPr>
          <w:ilvl w:val="0"/>
          <w:numId w:val="11"/>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odjemalec brez soglasja distributerja priključi na sistem svoje energetske naprave ali napeljave.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V primeru odklopa odjemalca iz razloga iz prvega in tretjega odstavka tega člena mora odjemalec še naprej plačevati vse fiksne stroške dobave toplote ali plinov in stroške vzdrževanja merilne naprave.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Načine izvedbe odklopa odjemalca podrobneje predpiše distributer v sistemskih obratovalnih navodilih iz 17.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Stroške, ki so nastali distributerju v zvezi z odklopom v skladu s tem členom, nosi odjemalec.</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29.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(ponovna priključitev in povrnitev škode)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 mora odjemalca, ki je bil odklopljen, na njegovo zahtevo in na njegove stroške ponovno priključiti na sistem po odpravi razlogov za odklop in izpolnjevanju pogojev iz tega poglavja ter ko odjemalec distributerju poravna nastale stroške v zvezi z odklopom.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Distributer, ki je odjemalca neutemeljeno odklopil, mora v 24 urah od ugotovitve neutemeljenega odklopa na svoje stroške znova priključiti objekte, naprave ali napeljave odjemalca na svoj sistem.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Distributer ima pravico do povračila škode, ki je nastala zaradi ravnanj odjemalca, zaradi katerih ga je odklopil po predhodnem obvestilu oziroma brez predhodnega obvestila v skladu s splošnimi pravili odškodninske odgovornosti.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Odjemalec ima pravico do povračila škode, ki mu jo je povzročil distributer zaradi neutemeljenega odklopa, v skladu s splošnimi pravili odškodninske odgovornosti.</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30.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(odklop na zahtevo odjemalca)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Odjemalec, ki je imetnik soglasja za priključitev, lahko zahteva od distributerja, da njegovo odjemno mesto ali priključek odklopi od sistema. Za odklop mora odjemalec pridobiti soglasje distributerja, s katerim se preveri upravičenost odjemalca do odklopa ter opredelijo pogoji in način izvedbe odklopa.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(2) Distributer ne izda soglasja iz prejšnjega odstavka, če odklop zahteva posamezni odjemalec, ki se s toploto ali plinom oskrbuje iz skupnega odjemnega mesta z več odjemalci. </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(3) Distributer pri izdaji soglasja iz prvega odstavka tega člena upošteva tudi predpis, ki določa prednostno uporabo toplote iz distribucijskega sistema kot energenta za ogrevanje in predpise o spodbujanju rabe obnovljivih virov energije.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Pravica odjemalca do odklopa po tem členu ne posega v obveznosti odjemalca iz pogodbe o priključitvi, ki se nanašajo na obveznost uporabe priključka do poteka ekonomske dobe priključka.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Distributer mora odjemalca na njegove stroške ponovno priključiti na sistem, če odjemalec izpolnjuje pogoje za priključitev. Odjemalec mora pred ponovno priključitvijo pridobiti novo soglasje za priključitev iz 26. člena tega zakona in skleniti novo pogodbo o priključitvi.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(6) Distributer lahko odjemalcu, ki je zahteval odklop, zavrne ponovno priključitev na sistem ali izdajo novega soglasja za priključitev, dokler odjemalec ne poravna vseh obveznosti iz pogodbe o priključitvi in pogodbe o dobavi, ki izvirajo iz časa pred odklopom.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(7) Distributer v sistemskih obratovalnih navodilih iz 17. člena tega zakona podrobneje uredi pogoje in načine izvedbe odklopa ter medsebojna razmerja in plačilo stroškov v primeru ponovnega priklopa, če je bil odklop izveden na zahtevo odjemalca.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(8) Če se odjemalec ponovno priključi na sistem v roku, ki je krajši od enega leta, mora pred priključitvijo plačati vse fiksne stroške dobave toplote ali plinov in stroške vzdrževanja merilne naprave, ki bi jih plačeval, če bi toploto ali pline odjemal nepretrgoma.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(9) Stroške, ki so nastali distributerju v zvezi z odklopom po tem členu, nosi odjemalec.</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VIII. poglavje: DRUGE DOLOČBE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31.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(priključitev na lastniški distribucijski sistem)</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Na lastniški distribucijski sistem se lahko priključi odjemalec, ki po predpisih, ki urejajo pravice na delih stavb, ni solastnik ali skupni lastnik tega sistema, če pridobi soglasje lastnikov sistema in občine.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Občina izda soglasje iz prejšnjega odstavka skladno s 6. členom tega zakona, če na območju priključitve ni zagotovljena gospodarska javna služba iz 5. člena tega zakona ali gospodarska javna služba dejavnost operaterja distribucijskega sistema plina ali če je izvajalec gospodarske javne službe odjemalcu zavrnil priključitev na sistem.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32.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(poročanje, analiza in hramba podatkov)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Distributerji, upravljavci lastniških distribucijskih sistemov in proizvajalci toplote ali plina za prodajo morajo sporočati agenciji naslednje podatke o:</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distribucijskem sistemu in proizvodnih napravah;</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soglasjih za priključitev in priključevanju odjemalcev;</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porabi primarnih goriv, proizvedenih in distribuiranih količinah toplote ali plina;</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doseženi ravni kakovosti;</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pritožbah odjemalcev;</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tarifah, tarifnih postavkah in dodatkih ločeno po kategorijah odjemalcev;</w:t>
      </w:r>
    </w:p>
    <w:p w:rsidR="00766753" w:rsidRPr="00033C42" w:rsidRDefault="00766753" w:rsidP="00033C42">
      <w:pPr>
        <w:numPr>
          <w:ilvl w:val="0"/>
          <w:numId w:val="2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številu odjemalcev po posameznih kategorijah, vključno s podatki o deležu dobavljene energije po posamezni kategoriji.</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Za izvajanje tega člena agencija skladno s predpisi, ki urejajo varovanje osebnih podatkov, zbira, vodi in obdeluje naslednje osebne podatke distributerja, upravljavca lastniškega distribucijskega sistema in proizvajalca toplote ali plinov za prodajo, ki je fizična oseba: ime, priimek, naslov stalnega prebivališča in naslov opravljanja dejavnosti ter podatke iz prvega odstavka tega člena, če se nanašajo na določljive posameznike. Za inšpekcijski nadzor po tem zakonu agencija omogoča energetski inšpekciji dostop do zbranih podatkov distributerjev in proizvajalcev toplote po tem zakonu.</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(3) Agencija pripravi pregled dejavnosti distribucije toplote in analizo cen toplote na podlagi poročil distributerjev in drugih pridobljenih podatkov. Agencija objavi rezultate analize cen toplote enkrat letno do 1. julija za preteklo leto.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Merilni podatki iz prvega odstavka tega člena se zaradi zagotavljanja podatkov za učinkovito izvajanje energetskih storitev ter za obratovanje in zagotavljanje zanesljivosti oskrbe hranijo največ tri leta po poteku leta, v katerem nastanejo. Ne glede na določbe prejšnjega stavka se časovni agregati na ravni od vključno enega meseca, ki se nanašajo na uporabnika sistema, hranijo največ pet let po poteku leta, v katerem nastanejo.</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(5) Drugi osebni podatki uporabnikov sistema, ki izhajajo iz pogodbenega razmerja, se hranijo tako dolgo, kot je nujno za izvajanje ukrepov na zahtevo posameznika pred sklenitvijo pogodbe, za izvajanje pogodbe ter uveljavljanje pravic in obveznosti iz sklenjene pogodbe ali do poteka roka za uveljavljanje pravnega varstva pogodbenih strank.</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IX. poglavje: INŠPEKCIJSKI NADZOR</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33.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(inšpekcijski nadzor)</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Inšpektorat, pristojen za energijo (v nadaljnjem besedilu: energetska inšpekcija), izvaja nadzor nad izvrševanjem določb tega zakona ter na njegovi podlagi izdanih podzakonskih predpisov in splošnih aktov za izvrševanje javnih pooblastil.</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Nadzor energetske inšpekcije pri gradnji, vzdrževanju, obratovanju in uporabi energetskih objektov, naprav in sistemov za distribucijo toplote in plinov obsega zlasti:</w:t>
      </w:r>
    </w:p>
    <w:p w:rsidR="00766753" w:rsidRPr="00033C42" w:rsidRDefault="00766753" w:rsidP="00033C42">
      <w:pPr>
        <w:numPr>
          <w:ilvl w:val="0"/>
          <w:numId w:val="28"/>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nadzor nad upoštevanjem tehničnih in drugih predpisov ter obveznih standardov, ki veljajo za področje strojne energetike;</w:t>
      </w:r>
    </w:p>
    <w:p w:rsidR="00766753" w:rsidRPr="00033C42" w:rsidRDefault="00766753" w:rsidP="00033C42">
      <w:pPr>
        <w:numPr>
          <w:ilvl w:val="0"/>
          <w:numId w:val="28"/>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nadzor tehničnih zahtev pri gradnji, obratovanju in uporabi objektov, postrojev, napeljav in naprav, ki so namenjeni za proizvodnjo, prenos, shranjevanje, distribucijo, merjenje in indikacijo ter porabo toplote in plinov, in sicer:</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postrojih in napravah, ki so namenjeni za proizvodnjo in distribucijo toplote in plinov, vključno s posegi v varnostni pas distribucijskega sistema;</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toplotnih postrojih in napravah, ki so namenjeni za proizvodnjo elektrike in toplote za distribucijo toplote ali neposredno porabo v tehnološke namene;</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opremi pod tlakom in premični tlačni opremi v uporabi;</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postrojih in napravah, ki uporabljajo toploto, tehnične pline ali plin;</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cevovodih, namenjenih distribuciji toplote in plina, ter pripadajočih napravah in opremi;</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skladiščih toplote in plina, namenjenih oddaji v distribucijski sistem;</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napeljavah toplote in plina v objektih;</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pri učinkoviti rabi toplote in goriv pri napravah in postrojih;</w:t>
      </w:r>
    </w:p>
    <w:p w:rsidR="00766753" w:rsidRPr="00033C42" w:rsidRDefault="00766753" w:rsidP="00033C42">
      <w:pPr>
        <w:numPr>
          <w:ilvl w:val="0"/>
          <w:numId w:val="29"/>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nadzor nad upoštevanjem določil sistemskih obratovalnih navodil distribucijskih sistemov za oskrbo s toploto oziroma plinom.</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Energetska inšpekcija opravlja tudi nadzor nad strokovnostjo in usposobljenostjo delavcev, ki upravljajo energetske naprave toplote in plinov, v okviru zagotovitve varnosti in zanesljivosti obratovanja.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34.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(izvajanje inšpekcijskega nadzora)</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Če ni s tem zakonom določeno drugače, se za izvrševanje inšpekcijskega nadzora ter za inšpektorje uporabljajo določbe zakona, ki ureja inšpekcijski nadzor, in določbe zakona, ki ureja energetsko inšpekcijo.</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lastRenderedPageBreak/>
        <w:t>X. poglavje: KAZENSKE DOLOČBE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35.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(prekrški)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Z globo od 5.000 do 125.000 eurov se kaznuje za prekršek pravna oseba, če:</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kot distributer oskrbuje več kot petsto gospodinjskih odjemalcev in distribucije toplote ne opravlja kot gospodarska javna služba (drugi odstavek 4. člena);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 nasprotju s prvim odstavkom 7. člena tega zakona ne obvesti agencije pred začetkom in po prenehanju opravljanja dejavnosti distribucije toplote ali plinov na določenem distribucijskem sistemu;</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ne zagotovi meritev iz 11. člena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v roku ne izvrši predpisanega ukrepa zaradi zagotavljanja zanesljive oskrbe s toploto in plini, ki ga določi predpis iz tretjega odstavka 14. člena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sistemskih obratovalnih navodil nima sprejetih, potrjenih in objavljenih v skladu z 17. členom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na sistemu z obračunsko močjo, večjo kot 10 MW, nima vzpostavljenega sistema za nadzor obratovanja distribucijskega sistema v skladu s prvo alinejo prvega odstavka 18. člena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brez predhodnega obvestila in predhodnega soglasja distributerja izvaja gradbena dela v varnostnem pasu distribucijskega sistema (drugi odstavek 18. člena);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energetski objekti, naprave in napeljave distributerja ne izpolnjujejo predpisanih tehničnih normativov in standardov ter drugih pogojev, s katerimi se zagotavlja tehnična varnost obratovanja energetskih postrojev (tretji odstavek 18. člena);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cene za dobavo toplote za daljinsko ogrevanje ne določi v skladu z metodologijo agencije iz tretjega odstavka 19. člena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 xml:space="preserve">predhodno ne pridobi soglasja agencije k izhodiščni ceni ali k spremembi izhodiščne cene iz prvega odstavka 22. člena tega zakona; </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od distributerja ne pridobi soglasja za priključitev ali spremembo parametrov priključitve na distribucijski sistem (prvi odstavek 26. člena);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o začasnem odklopu ne obvesti odjemalca v skladu s tretjim odstavkom 27. člena tega zakona;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ne priključi v 24 urah na svoje stroške odjemalca energije iz sistema, kadar se ugotovi, da je bil neutemeljeno odklopljen (drugi odstavek 29. člena);</w:t>
      </w:r>
    </w:p>
    <w:p w:rsidR="00766753" w:rsidRPr="00033C42" w:rsidRDefault="00766753" w:rsidP="00033C42">
      <w:pPr>
        <w:numPr>
          <w:ilvl w:val="0"/>
          <w:numId w:val="32"/>
        </w:numPr>
        <w:spacing w:line="260" w:lineRule="exact"/>
        <w:contextualSpacing/>
        <w:rPr>
          <w:rFonts w:eastAsia="Times New Roman" w:cs="Arial"/>
          <w:sz w:val="20"/>
          <w:szCs w:val="20"/>
          <w:lang w:eastAsia="sl-SI"/>
        </w:rPr>
      </w:pPr>
      <w:r w:rsidRPr="00033C42">
        <w:rPr>
          <w:rFonts w:eastAsia="Times New Roman" w:cs="Arial"/>
          <w:sz w:val="20"/>
          <w:szCs w:val="20"/>
          <w:lang w:eastAsia="sl-SI"/>
        </w:rPr>
        <w:t>agenciji ne pošlje podatkov iz prvega odstavka 32.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 globo od 5.000 do 125.000 eurov se za prekršek iz prejšnjega odstavka kaznuje samostojni podjetnik posameznik ali posameznik, ki samostojno opravlja dejavnost.</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Z globo od 2.000 do 10.000 eurov se za prekršek iz prvega odstavka tega člena kaznuje tudi odgovorna oseba pravne osebe, odgovorna oseba samostojnega podjetnika posameznika ali odgovorna oseba posameznika, ki samostojno opravlja dejavnost.</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(4) Z globo do 1.000 do 3.000 eurov se za prekršek iz </w:t>
      </w:r>
      <w:r w:rsidR="00BF6BCF">
        <w:rPr>
          <w:rFonts w:eastAsia="Times New Roman" w:cs="Arial"/>
          <w:sz w:val="20"/>
          <w:szCs w:val="20"/>
          <w:lang w:eastAsia="sl-SI"/>
        </w:rPr>
        <w:t>8.</w:t>
      </w:r>
      <w:r w:rsidR="00BF6BCF" w:rsidRPr="00033C42">
        <w:rPr>
          <w:rFonts w:eastAsia="Times New Roman" w:cs="Arial"/>
          <w:sz w:val="20"/>
          <w:szCs w:val="20"/>
          <w:lang w:eastAsia="sl-SI"/>
        </w:rPr>
        <w:t xml:space="preserve"> </w:t>
      </w:r>
      <w:r w:rsidR="00BF6BCF">
        <w:rPr>
          <w:rFonts w:eastAsia="Times New Roman" w:cs="Arial"/>
          <w:sz w:val="20"/>
          <w:szCs w:val="20"/>
          <w:lang w:eastAsia="sl-SI"/>
        </w:rPr>
        <w:t>točke</w:t>
      </w:r>
      <w:r w:rsidRPr="00033C42">
        <w:rPr>
          <w:rFonts w:eastAsia="Times New Roman" w:cs="Arial"/>
          <w:sz w:val="20"/>
          <w:szCs w:val="20"/>
          <w:lang w:eastAsia="sl-SI"/>
        </w:rPr>
        <w:t xml:space="preserve"> prvega odstavka tega člena kaznuje tudi posameznik.</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36.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(lažji prekrški)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Z globo od 1.000 do 10.000 eurov se kaznuje za prekršek pravna oseba, če:</w:t>
      </w:r>
    </w:p>
    <w:p w:rsidR="00766753" w:rsidRPr="00033C42" w:rsidRDefault="00766753" w:rsidP="00033C42">
      <w:pPr>
        <w:numPr>
          <w:ilvl w:val="0"/>
          <w:numId w:val="1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kot odjemalec, ki odjema toploto v delu stavbe ali v stavbi preko skupnega odjemnega mesta več odjemalcev ali več stavb, v 15 dneh od začetka odjema toplote ali po prenehanju odjema ne sporoči distributerjem podatkov iz prvega odstavka 12. člena tega zakona;</w:t>
      </w:r>
    </w:p>
    <w:p w:rsidR="00766753" w:rsidRPr="00033C42" w:rsidRDefault="00766753" w:rsidP="00033C42">
      <w:pPr>
        <w:numPr>
          <w:ilvl w:val="0"/>
          <w:numId w:val="17"/>
        </w:numPr>
        <w:spacing w:line="260" w:lineRule="exact"/>
        <w:contextualSpacing/>
        <w:rPr>
          <w:rFonts w:eastAsia="Times New Roman" w:cs="Arial"/>
          <w:sz w:val="20"/>
          <w:szCs w:val="20"/>
          <w:lang w:eastAsia="sl-SI"/>
        </w:rPr>
      </w:pPr>
      <w:r w:rsidRPr="00033C42">
        <w:rPr>
          <w:rFonts w:eastAsia="Times New Roman" w:cs="Arial"/>
          <w:sz w:val="20"/>
          <w:szCs w:val="20"/>
          <w:lang w:eastAsia="sl-SI"/>
        </w:rPr>
        <w:t>ne pripravi ali seznani odjemalcev s splošnimi pogodbenimi pogoji v skladu s petim odstavkom 17.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(2) Z globo od 1.000 do 10.000 eurov se kaznuje samostojni podjetnik posameznik ali posameznik, ki samostojno opravlja dejavnost, če stori prekršek iz prejšnjega odstavka.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Z globo od 100 do 500 eurov se kaznuje odgovorna oseba pravne osebe, odgovorna oseba samostojnega podjetnika posameznika, ki stori prekršek iz prvega odstavka tega člena, ali odgovorna oseba posameznika, ki samostojno opravlja dejavnost.</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(4) Z globo od 50 do 400 eurov se kaznuje posameznik, ki stori prekršek iz prve alineje prvega odstavka tega člena.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37.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(prekršek zaradi kršitev v zvezi z vodenjem ločenih računovodskih evidenc)</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Z globo od 15.000 do 250.000 eurov se za prekršek kaznuje pravna oseba, če:</w:t>
      </w:r>
    </w:p>
    <w:p w:rsidR="00766753" w:rsidRPr="00033C42" w:rsidRDefault="00766753" w:rsidP="00033C42">
      <w:pPr>
        <w:spacing w:line="260" w:lineRule="exact"/>
        <w:rPr>
          <w:sz w:val="20"/>
          <w:szCs w:val="20"/>
          <w:lang w:eastAsia="sl-SI"/>
        </w:rPr>
      </w:pPr>
      <w:r w:rsidRPr="00033C42">
        <w:rPr>
          <w:sz w:val="20"/>
          <w:szCs w:val="20"/>
          <w:lang w:eastAsia="sl-SI"/>
        </w:rPr>
        <w:t>– v nasprotju s prvim in drugim odstavkom 24. člena tega zakona ne vodi ločene računovodske evidence in ne razkrije ločenih računovodskih izkazov za dejavnost distribucije toplote, proizvodnje toplote in druge dejavnosti;</w:t>
      </w:r>
    </w:p>
    <w:p w:rsidR="00766753" w:rsidRPr="00033C42" w:rsidRDefault="00766753" w:rsidP="00033C42">
      <w:pPr>
        <w:spacing w:line="260" w:lineRule="exact"/>
        <w:rPr>
          <w:sz w:val="20"/>
          <w:szCs w:val="20"/>
          <w:lang w:eastAsia="sl-SI"/>
        </w:rPr>
      </w:pPr>
      <w:r w:rsidRPr="00033C42">
        <w:rPr>
          <w:sz w:val="20"/>
          <w:szCs w:val="20"/>
          <w:lang w:eastAsia="sl-SI"/>
        </w:rPr>
        <w:t>– v nasprotju s tretjim odstavkom 24. člena tega zakona ne opredeli sodil za razporejanje sredstev in obveznosti, stroškov in odhodkov ter prihodkov;</w:t>
      </w:r>
    </w:p>
    <w:p w:rsidR="00766753" w:rsidRPr="00033C42" w:rsidRDefault="00766753" w:rsidP="00033C42">
      <w:pPr>
        <w:spacing w:line="260" w:lineRule="exact"/>
        <w:rPr>
          <w:sz w:val="20"/>
          <w:szCs w:val="20"/>
          <w:lang w:eastAsia="sl-SI"/>
        </w:rPr>
      </w:pPr>
      <w:r w:rsidRPr="00033C42">
        <w:rPr>
          <w:sz w:val="20"/>
          <w:szCs w:val="20"/>
          <w:lang w:eastAsia="sl-SI"/>
        </w:rPr>
        <w:t>– v nasprotju s četrtim odstavkom 24. člena tega zakona v pojasnilih ne prikaže vseh poslov s povezanimi podjetij posamičnih vrednosti nad 20.000 eurov;</w:t>
      </w:r>
    </w:p>
    <w:p w:rsidR="00766753" w:rsidRPr="00033C42" w:rsidRDefault="00766753" w:rsidP="00033C42">
      <w:pPr>
        <w:spacing w:line="260" w:lineRule="exact"/>
        <w:rPr>
          <w:sz w:val="20"/>
          <w:szCs w:val="20"/>
          <w:lang w:eastAsia="sl-SI"/>
        </w:rPr>
      </w:pPr>
      <w:r w:rsidRPr="00033C42">
        <w:rPr>
          <w:sz w:val="20"/>
          <w:szCs w:val="20"/>
          <w:lang w:eastAsia="sl-SI"/>
        </w:rPr>
        <w:t>– v nasprotju s petim odstavkom 24. člena ne razkrije v celoti sodil iz tretjega odstavka 24. člena tega zakona, ki jih letno revidira revizor.</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Z globo od 15.000 do 150.000 eurov se za prekršek iz prejšnjega odstavka kaznuje samostojni podjetnik posameznik ali posameznik, ki samostojno opravlja dejavnost.</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Z globo od 2.000 do 10.000 eurov se za prekršek iz prvega odstavka tega člena kaznuje tudi odgovorna oseba pravne osebe, odgovorna oseba samostojnega podjetnika posameznika ali odgovorna oseba posameznika, ki samostojno opravlja dejavnost.</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iCs/>
          <w:sz w:val="20"/>
          <w:szCs w:val="20"/>
          <w:lang w:eastAsia="sl-SI"/>
        </w:rPr>
      </w:pPr>
      <w:r w:rsidRPr="00033C42">
        <w:rPr>
          <w:rFonts w:eastAsia="Times New Roman" w:cs="Arial"/>
          <w:iCs/>
          <w:sz w:val="20"/>
          <w:szCs w:val="20"/>
          <w:lang w:eastAsia="sl-SI"/>
        </w:rPr>
        <w:t>38. člen</w:t>
      </w:r>
    </w:p>
    <w:p w:rsidR="00766753" w:rsidRPr="00033C42" w:rsidRDefault="00766753" w:rsidP="00033C42">
      <w:pPr>
        <w:spacing w:line="260" w:lineRule="exact"/>
        <w:jc w:val="center"/>
        <w:rPr>
          <w:rFonts w:eastAsia="Times New Roman" w:cs="Arial"/>
          <w:iCs/>
          <w:sz w:val="20"/>
          <w:szCs w:val="20"/>
          <w:lang w:eastAsia="sl-SI"/>
        </w:rPr>
      </w:pPr>
      <w:r w:rsidRPr="00033C42">
        <w:rPr>
          <w:rFonts w:eastAsia="Times New Roman" w:cs="Arial"/>
          <w:iCs/>
          <w:sz w:val="20"/>
          <w:szCs w:val="20"/>
          <w:lang w:eastAsia="sl-SI"/>
        </w:rPr>
        <w:t>(višina globe v hitrem prekrškovnem postopku)</w:t>
      </w:r>
    </w:p>
    <w:p w:rsidR="00766753" w:rsidRPr="00033C42" w:rsidRDefault="00766753" w:rsidP="00033C42">
      <w:pPr>
        <w:spacing w:line="260" w:lineRule="exact"/>
        <w:rPr>
          <w:rFonts w:eastAsia="Times New Roman" w:cs="Arial"/>
          <w:iCs/>
          <w:sz w:val="20"/>
          <w:szCs w:val="20"/>
          <w:lang w:eastAsia="sl-SI"/>
        </w:rPr>
      </w:pPr>
    </w:p>
    <w:p w:rsidR="00766753" w:rsidRPr="00033C42" w:rsidRDefault="00766753" w:rsidP="00033C42">
      <w:pPr>
        <w:spacing w:line="260" w:lineRule="exact"/>
        <w:rPr>
          <w:rFonts w:eastAsia="Times New Roman" w:cs="Arial"/>
          <w:iCs/>
          <w:sz w:val="20"/>
          <w:szCs w:val="20"/>
          <w:lang w:eastAsia="sl-SI"/>
        </w:rPr>
      </w:pPr>
      <w:r w:rsidRPr="00033C42">
        <w:rPr>
          <w:rFonts w:eastAsia="Times New Roman" w:cs="Arial"/>
          <w:iCs/>
          <w:sz w:val="20"/>
          <w:szCs w:val="20"/>
          <w:lang w:eastAsia="sl-SI"/>
        </w:rPr>
        <w:t>Za prekrške iz tega zakona se sme v hitrem postopku izreči globa tudi v znesku, ki je višji od najnižje predpisane globe, določene s tem zakonom.</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b/>
          <w:sz w:val="20"/>
          <w:szCs w:val="20"/>
          <w:lang w:eastAsia="sl-SI"/>
        </w:rPr>
        <w:t>XI. poglavje: PREHODNE IN KONČNE DOLOČBE</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39.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(inšpekcijski in upravni postopki v teku)</w:t>
      </w:r>
    </w:p>
    <w:p w:rsidR="00766753" w:rsidRPr="00033C42" w:rsidRDefault="00766753" w:rsidP="00033C42">
      <w:pPr>
        <w:spacing w:line="260" w:lineRule="exact"/>
        <w:rPr>
          <w:rFonts w:eastAsia="Times New Roman" w:cs="Arial"/>
          <w:iCs/>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iCs/>
          <w:sz w:val="20"/>
          <w:szCs w:val="20"/>
          <w:lang w:eastAsia="sl-SI"/>
        </w:rPr>
        <w:t>Inšpekcijski in upravni postopki v zadevah s področja tega zakona, ki so se začeli pred uveljavitvijo tega zakona, se dokončajo po tem zakonu.</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40.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(nadaljevanje izvajanja dejavnosti distribucije toplote in dejavnosti distribucije plinov)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Pravna ali fizična oseba, ki na dan uveljavitve tega zakona izvaja dejavnost distribucije toplote ali dejavnost distribucije plinov, nadaljuje izvajanje te dejavnosti v skladu s tem zakonom na podlagi aktov in pogodb, na podlagi katerih izvaja to dejavnost ob uveljavitvi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Akti in pogodbe iz prejšnjega odstavka veljajo kot akti in pogodbe iz 5. in 6. člena tega zakona.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41.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(podaljšanje veljavnosti splošnim aktom agencije)</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lastRenderedPageBreak/>
        <w:t>(1) Akt o obvezni vsebini sistemskih obratovalnih navodil za distribucijski sistem drugih energetskih plinov (Uradni list RS, št. 44/16) še naprej velja kot splošni akt, izdan na podlagi drugega odstavka 17.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Akt o obvezni vsebini sistemskih obratovalnih navodil za distribucijski sistem toplote (Uradni list RS, št. 47/15 in 9/16) še naprej velja kot splošni akt, izdan na podlagi drugega odstavka 17. člena tega zakona.</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(3) Akt o metodologiji za oblikovanje cene toplote za daljinsko ogrevanje (Uradni list RS, št. 2/17) še naprej velja kot splošni akt, izdan na podlagi drugega odstavka 19. člena tega zakona do izdaje novega akta, ki ga agencija sprejme v devetih mesecih o</w:t>
      </w:r>
      <w:r w:rsidR="008257D1">
        <w:rPr>
          <w:rFonts w:eastAsia="Times New Roman" w:cs="Arial"/>
          <w:sz w:val="20"/>
          <w:szCs w:val="20"/>
          <w:lang w:eastAsia="sl-SI"/>
        </w:rPr>
        <w:t>d</w:t>
      </w:r>
      <w:r w:rsidRPr="00033C42">
        <w:rPr>
          <w:rFonts w:eastAsia="Times New Roman" w:cs="Arial"/>
          <w:sz w:val="20"/>
          <w:szCs w:val="20"/>
          <w:lang w:eastAsia="sl-SI"/>
        </w:rPr>
        <w:t xml:space="preserve"> uveljavitv</w:t>
      </w:r>
      <w:r w:rsidR="008257D1">
        <w:rPr>
          <w:rFonts w:eastAsia="Times New Roman" w:cs="Arial"/>
          <w:sz w:val="20"/>
          <w:szCs w:val="20"/>
          <w:lang w:eastAsia="sl-SI"/>
        </w:rPr>
        <w:t>e</w:t>
      </w:r>
      <w:r w:rsidRPr="00033C42">
        <w:rPr>
          <w:rFonts w:eastAsia="Times New Roman" w:cs="Arial"/>
          <w:sz w:val="20"/>
          <w:szCs w:val="20"/>
          <w:lang w:eastAsia="sl-SI"/>
        </w:rPr>
        <w:t xml:space="preserve"> tega zakona.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42.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(podaljšanje veljavnosti splošnih aktov distributerjev)</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Splošni akti za izvrševanje javnih pooblastil, ki so jih izdali distributerji na podlagi prvega odstavka 297. člena Energetskega zakona (Uradni list RS, št. 60/19 – uradno prečiščeno besedilo, 65/20 in 158/20 – ZURE, 121/21 – ZSROVE in 172/21 – ZOEE</w:t>
      </w:r>
      <w:r w:rsidR="008257D1">
        <w:rPr>
          <w:rFonts w:eastAsia="Times New Roman" w:cs="Arial"/>
          <w:sz w:val="20"/>
          <w:szCs w:val="20"/>
          <w:lang w:eastAsia="sl-SI"/>
        </w:rPr>
        <w:t>;</w:t>
      </w:r>
      <w:r w:rsidRPr="00033C42">
        <w:rPr>
          <w:rFonts w:eastAsia="Times New Roman" w:cs="Arial"/>
          <w:sz w:val="20"/>
          <w:szCs w:val="20"/>
          <w:lang w:eastAsia="sl-SI"/>
        </w:rPr>
        <w:t xml:space="preserve"> v nadaljnjem besedilu: EZ-1), veljajo še naprej kot splošni akti, izdani na podlagi prvega odstavka 17. člena tega zakona.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43.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(uporaba Energetskega zakona za področje urejanja tega zakona)</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(1) Določbe prvega, šestega, osmega in devetega dela EZ-1 se uporabljajo za področje urejanja tega zakona, razen če ta zakon določenega vprašanja ne ureja drugače.</w:t>
      </w: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(2) Do uveljavitve zakona, ki bo urejal agencijo, se vsi sklici na zakon, ki ureja agencijo, ali na zakon, ki ureja postopke odločanja agencije v tem zakonu, štejejo za sklice na EZ-1.</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44.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(prenehanje veljavnosti nekaterih določb E</w:t>
      </w:r>
      <w:r w:rsidR="008257D1">
        <w:rPr>
          <w:rFonts w:eastAsia="Times New Roman" w:cs="Arial"/>
          <w:sz w:val="20"/>
          <w:szCs w:val="20"/>
          <w:lang w:eastAsia="sl-SI"/>
        </w:rPr>
        <w:t>Z-1</w:t>
      </w:r>
      <w:r w:rsidRPr="00033C42">
        <w:rPr>
          <w:rFonts w:eastAsia="Times New Roman" w:cs="Arial"/>
          <w:sz w:val="20"/>
          <w:szCs w:val="20"/>
          <w:lang w:eastAsia="sl-SI"/>
        </w:rPr>
        <w:t>)</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contextualSpacing/>
        <w:rPr>
          <w:rFonts w:eastAsia="Times New Roman" w:cs="Arial"/>
          <w:sz w:val="20"/>
          <w:szCs w:val="20"/>
          <w:lang w:eastAsia="sl-SI"/>
        </w:rPr>
      </w:pPr>
      <w:r w:rsidRPr="00033C42">
        <w:rPr>
          <w:rFonts w:eastAsia="Times New Roman" w:cs="Arial"/>
          <w:sz w:val="20"/>
          <w:szCs w:val="20"/>
          <w:lang w:eastAsia="sl-SI"/>
        </w:rPr>
        <w:t>V E</w:t>
      </w:r>
      <w:r w:rsidR="008257D1">
        <w:rPr>
          <w:rFonts w:eastAsia="Times New Roman" w:cs="Arial"/>
          <w:sz w:val="20"/>
          <w:szCs w:val="20"/>
          <w:lang w:eastAsia="sl-SI"/>
        </w:rPr>
        <w:t>Z-1</w:t>
      </w:r>
      <w:r w:rsidR="00CB780D">
        <w:rPr>
          <w:rFonts w:eastAsia="Times New Roman" w:cs="Arial"/>
          <w:sz w:val="20"/>
          <w:szCs w:val="20"/>
          <w:lang w:eastAsia="sl-SI"/>
        </w:rPr>
        <w:t xml:space="preserve"> prenehaj</w:t>
      </w:r>
      <w:r w:rsidR="00086B98">
        <w:rPr>
          <w:rFonts w:eastAsia="Times New Roman" w:cs="Arial"/>
          <w:sz w:val="20"/>
          <w:szCs w:val="20"/>
          <w:lang w:eastAsia="sl-SI"/>
        </w:rPr>
        <w:t>o</w:t>
      </w:r>
      <w:r w:rsidR="00CB780D">
        <w:rPr>
          <w:rFonts w:eastAsia="Times New Roman" w:cs="Arial"/>
          <w:sz w:val="20"/>
          <w:szCs w:val="20"/>
          <w:lang w:eastAsia="sl-SI"/>
        </w:rPr>
        <w:t xml:space="preserve"> veljati</w:t>
      </w:r>
      <w:r w:rsidRPr="00033C42">
        <w:rPr>
          <w:rFonts w:eastAsia="Times New Roman" w:cs="Arial"/>
          <w:sz w:val="20"/>
          <w:szCs w:val="20"/>
          <w:lang w:eastAsia="sl-SI"/>
        </w:rPr>
        <w:t>:</w:t>
      </w:r>
    </w:p>
    <w:p w:rsidR="0031486D" w:rsidRDefault="008257D1" w:rsidP="001647A6">
      <w:pPr>
        <w:spacing w:line="260" w:lineRule="exact"/>
        <w:ind w:left="360"/>
        <w:contextualSpacing/>
        <w:rPr>
          <w:rFonts w:eastAsia="Times New Roman" w:cs="Arial"/>
          <w:sz w:val="20"/>
          <w:szCs w:val="20"/>
          <w:lang w:eastAsia="sl-SI"/>
        </w:rPr>
      </w:pPr>
      <w:r>
        <w:rPr>
          <w:rFonts w:eastAsia="Times New Roman" w:cs="Arial"/>
          <w:sz w:val="20"/>
          <w:szCs w:val="20"/>
          <w:lang w:eastAsia="sl-SI"/>
        </w:rPr>
        <w:t xml:space="preserve">– </w:t>
      </w:r>
      <w:r w:rsidR="00086B98">
        <w:rPr>
          <w:rFonts w:eastAsia="Times New Roman" w:cs="Arial"/>
          <w:sz w:val="20"/>
          <w:szCs w:val="20"/>
          <w:lang w:eastAsia="sl-SI"/>
        </w:rPr>
        <w:t xml:space="preserve">naslov </w:t>
      </w:r>
      <w:r w:rsidR="00766753" w:rsidRPr="00033C42">
        <w:rPr>
          <w:rFonts w:eastAsia="Times New Roman" w:cs="Arial"/>
          <w:sz w:val="20"/>
          <w:szCs w:val="20"/>
          <w:lang w:eastAsia="sl-SI"/>
        </w:rPr>
        <w:t>del</w:t>
      </w:r>
      <w:r w:rsidR="00086B98">
        <w:rPr>
          <w:rFonts w:eastAsia="Times New Roman" w:cs="Arial"/>
          <w:sz w:val="20"/>
          <w:szCs w:val="20"/>
          <w:lang w:eastAsia="sl-SI"/>
        </w:rPr>
        <w:t>a »Četrti del</w:t>
      </w:r>
      <w:r w:rsidR="00766753" w:rsidRPr="00033C42">
        <w:rPr>
          <w:rFonts w:eastAsia="Times New Roman" w:cs="Arial"/>
          <w:sz w:val="20"/>
          <w:szCs w:val="20"/>
          <w:lang w:eastAsia="sl-SI"/>
        </w:rPr>
        <w:t>: TOPLOTA IN DRUGI ENERGETSKI PLINI IZ ZAKLJUČENIH DISTRIBUCIJSKIH SISTEMOV</w:t>
      </w:r>
      <w:r w:rsidR="00086B98">
        <w:rPr>
          <w:rFonts w:eastAsia="Times New Roman" w:cs="Arial"/>
          <w:sz w:val="20"/>
          <w:szCs w:val="20"/>
          <w:lang w:eastAsia="sl-SI"/>
        </w:rPr>
        <w:t>«</w:t>
      </w:r>
      <w:r w:rsidR="00766753" w:rsidRPr="00033C42">
        <w:rPr>
          <w:rFonts w:eastAsia="Times New Roman" w:cs="Arial"/>
          <w:sz w:val="20"/>
          <w:szCs w:val="20"/>
          <w:lang w:eastAsia="sl-SI"/>
        </w:rPr>
        <w:t xml:space="preserve"> z naslovi vseh poglavij, oddelkov in pododdelkov v njem </w:t>
      </w:r>
      <w:r w:rsidR="00CB780D">
        <w:rPr>
          <w:rFonts w:eastAsia="Times New Roman" w:cs="Arial"/>
          <w:sz w:val="20"/>
          <w:szCs w:val="20"/>
          <w:lang w:eastAsia="sl-SI"/>
        </w:rPr>
        <w:t>ter</w:t>
      </w:r>
      <w:r w:rsidR="00CB780D" w:rsidRPr="00033C42">
        <w:rPr>
          <w:rFonts w:eastAsia="Times New Roman" w:cs="Arial"/>
          <w:sz w:val="20"/>
          <w:szCs w:val="20"/>
          <w:lang w:eastAsia="sl-SI"/>
        </w:rPr>
        <w:t xml:space="preserve"> </w:t>
      </w:r>
      <w:r w:rsidR="00766753" w:rsidRPr="00033C42">
        <w:rPr>
          <w:rFonts w:eastAsia="Times New Roman" w:cs="Arial"/>
          <w:sz w:val="20"/>
          <w:szCs w:val="20"/>
          <w:lang w:eastAsia="sl-SI"/>
        </w:rPr>
        <w:t>282. do 311. člen;</w:t>
      </w:r>
    </w:p>
    <w:p w:rsidR="0031486D" w:rsidRDefault="008257D1" w:rsidP="001647A6">
      <w:pPr>
        <w:spacing w:line="260" w:lineRule="exact"/>
        <w:ind w:left="360"/>
        <w:contextualSpacing/>
        <w:rPr>
          <w:rFonts w:eastAsia="Times New Roman" w:cs="Arial"/>
          <w:sz w:val="20"/>
          <w:szCs w:val="20"/>
          <w:lang w:eastAsia="sl-SI"/>
        </w:rPr>
      </w:pPr>
      <w:r>
        <w:rPr>
          <w:rFonts w:eastAsia="Times New Roman" w:cs="Arial"/>
          <w:sz w:val="20"/>
          <w:szCs w:val="20"/>
          <w:lang w:eastAsia="sl-SI"/>
        </w:rPr>
        <w:t xml:space="preserve">– </w:t>
      </w:r>
      <w:r w:rsidR="00766753" w:rsidRPr="00033C42">
        <w:rPr>
          <w:rFonts w:eastAsia="Times New Roman" w:cs="Arial"/>
          <w:sz w:val="20"/>
          <w:szCs w:val="20"/>
          <w:lang w:eastAsia="sl-SI"/>
        </w:rPr>
        <w:t>492. člen.</w:t>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45. člen</w:t>
      </w:r>
    </w:p>
    <w:p w:rsidR="00766753" w:rsidRPr="00033C42" w:rsidRDefault="00766753" w:rsidP="00033C42">
      <w:pPr>
        <w:spacing w:line="260" w:lineRule="exact"/>
        <w:jc w:val="center"/>
        <w:rPr>
          <w:rFonts w:eastAsia="Times New Roman" w:cs="Arial"/>
          <w:sz w:val="20"/>
          <w:szCs w:val="20"/>
          <w:lang w:eastAsia="sl-SI"/>
        </w:rPr>
      </w:pPr>
      <w:r w:rsidRPr="00033C42">
        <w:rPr>
          <w:rFonts w:eastAsia="Times New Roman" w:cs="Arial"/>
          <w:sz w:val="20"/>
          <w:szCs w:val="20"/>
          <w:lang w:eastAsia="sl-SI"/>
        </w:rPr>
        <w:t>(začetek veljavnosti)</w:t>
      </w:r>
    </w:p>
    <w:p w:rsidR="00766753" w:rsidRPr="00033C42" w:rsidRDefault="00766753" w:rsidP="00033C42">
      <w:pPr>
        <w:spacing w:line="260" w:lineRule="exact"/>
        <w:jc w:val="center"/>
        <w:rPr>
          <w:rFonts w:eastAsia="Times New Roman" w:cs="Arial"/>
          <w:sz w:val="20"/>
          <w:szCs w:val="20"/>
          <w:lang w:eastAsia="sl-SI"/>
        </w:rPr>
      </w:pPr>
    </w:p>
    <w:p w:rsidR="00766753" w:rsidRPr="00033C42" w:rsidRDefault="00766753" w:rsidP="00033C42">
      <w:pPr>
        <w:spacing w:line="260" w:lineRule="exact"/>
        <w:rPr>
          <w:rFonts w:eastAsia="Times New Roman" w:cs="Arial"/>
          <w:sz w:val="20"/>
          <w:szCs w:val="20"/>
          <w:lang w:eastAsia="sl-SI"/>
        </w:rPr>
      </w:pPr>
      <w:r w:rsidRPr="00033C42">
        <w:rPr>
          <w:rFonts w:eastAsia="Times New Roman" w:cs="Arial"/>
          <w:sz w:val="20"/>
          <w:szCs w:val="20"/>
          <w:lang w:eastAsia="sl-SI"/>
        </w:rPr>
        <w:t xml:space="preserve"> Ta zakon začne veljati petnajsti dan po objavi v Uradnem listu Republike Slovenije.</w:t>
      </w:r>
    </w:p>
    <w:p w:rsidR="00766753" w:rsidRPr="00033C42" w:rsidRDefault="00766753" w:rsidP="00033C42">
      <w:pPr>
        <w:spacing w:line="260" w:lineRule="exact"/>
        <w:jc w:val="left"/>
        <w:rPr>
          <w:rFonts w:eastAsia="Times New Roman" w:cs="Arial"/>
          <w:sz w:val="20"/>
          <w:szCs w:val="20"/>
          <w:lang w:eastAsia="sl-SI"/>
        </w:rPr>
      </w:pPr>
      <w:r w:rsidRPr="00033C42">
        <w:rPr>
          <w:rFonts w:eastAsia="Times New Roman" w:cs="Arial"/>
          <w:sz w:val="20"/>
          <w:szCs w:val="20"/>
          <w:lang w:eastAsia="sl-SI"/>
        </w:rPr>
        <w:br w:type="page"/>
      </w:r>
    </w:p>
    <w:p w:rsidR="00766753" w:rsidRPr="00033C42" w:rsidRDefault="00766753" w:rsidP="00033C42">
      <w:pPr>
        <w:spacing w:line="260" w:lineRule="exact"/>
        <w:rPr>
          <w:rFonts w:eastAsia="Times New Roman" w:cs="Arial"/>
          <w:sz w:val="20"/>
          <w:szCs w:val="20"/>
          <w:lang w:eastAsia="sl-SI"/>
        </w:rPr>
      </w:pPr>
    </w:p>
    <w:p w:rsidR="00766753" w:rsidRPr="00033C42" w:rsidRDefault="00766753" w:rsidP="00033C42">
      <w:pPr>
        <w:spacing w:line="260" w:lineRule="exact"/>
        <w:rPr>
          <w:rFonts w:eastAsia="Times New Roman" w:cs="Arial"/>
          <w:b/>
          <w:sz w:val="20"/>
          <w:szCs w:val="20"/>
          <w:lang w:eastAsia="sl-SI"/>
        </w:rPr>
      </w:pPr>
    </w:p>
    <w:p w:rsidR="00532F2C" w:rsidRPr="00033C42" w:rsidRDefault="00D27095" w:rsidP="00033C42">
      <w:pPr>
        <w:spacing w:line="260" w:lineRule="exact"/>
        <w:rPr>
          <w:rFonts w:cs="Arial"/>
          <w:b/>
          <w:sz w:val="20"/>
          <w:szCs w:val="20"/>
        </w:rPr>
      </w:pPr>
      <w:r w:rsidRPr="00033C42">
        <w:rPr>
          <w:rFonts w:cs="Arial"/>
          <w:b/>
          <w:sz w:val="20"/>
          <w:szCs w:val="20"/>
        </w:rPr>
        <w:t>IV. BESEDILO ČLENOV, KI SE SPREMINJAJO</w:t>
      </w:r>
    </w:p>
    <w:p w:rsidR="00532F2C" w:rsidRPr="00033C42" w:rsidRDefault="00532F2C" w:rsidP="00033C42">
      <w:pPr>
        <w:spacing w:line="260" w:lineRule="exact"/>
        <w:rPr>
          <w:rFonts w:cs="Arial"/>
          <w:b/>
          <w:sz w:val="20"/>
          <w:szCs w:val="20"/>
        </w:rPr>
      </w:pPr>
    </w:p>
    <w:p w:rsidR="00532F2C" w:rsidRPr="00033C42" w:rsidRDefault="00D27095" w:rsidP="00033C42">
      <w:pPr>
        <w:pStyle w:val="Neotevilenodstavek"/>
        <w:spacing w:before="0" w:after="0" w:line="260" w:lineRule="exact"/>
        <w:rPr>
          <w:sz w:val="20"/>
          <w:szCs w:val="20"/>
        </w:rPr>
      </w:pPr>
      <w:r w:rsidRPr="00033C42">
        <w:rPr>
          <w:sz w:val="20"/>
          <w:szCs w:val="20"/>
        </w:rPr>
        <w:t>Predlog zakona posega v določbe veljavnega Energetskega zakona (Uradni list RS, št. 60/19 – uradn</w:t>
      </w:r>
      <w:r w:rsidR="003C31E1" w:rsidRPr="00033C42">
        <w:rPr>
          <w:sz w:val="20"/>
          <w:szCs w:val="20"/>
        </w:rPr>
        <w:t xml:space="preserve">o prečiščeno besedilo, 65/20, </w:t>
      </w:r>
      <w:r w:rsidRPr="00033C42">
        <w:rPr>
          <w:sz w:val="20"/>
          <w:szCs w:val="20"/>
        </w:rPr>
        <w:t>158/20 – ZURE</w:t>
      </w:r>
      <w:r w:rsidR="003C31E1" w:rsidRPr="00033C42">
        <w:rPr>
          <w:sz w:val="20"/>
          <w:szCs w:val="20"/>
        </w:rPr>
        <w:t>, 121/21 – ZSROVE in 172/21 – ZOEE</w:t>
      </w:r>
      <w:r w:rsidRPr="00033C42">
        <w:rPr>
          <w:sz w:val="20"/>
          <w:szCs w:val="20"/>
        </w:rPr>
        <w:t>), in sicer v spodaj navedene člene.</w:t>
      </w:r>
    </w:p>
    <w:p w:rsidR="00532F2C" w:rsidRPr="00033C42" w:rsidRDefault="00D27095" w:rsidP="00033C42">
      <w:pPr>
        <w:pStyle w:val="del"/>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Četrti del</w:t>
      </w:r>
      <w:r w:rsidRPr="00033C42">
        <w:rPr>
          <w:rFonts w:ascii="Arial" w:hAnsi="Arial" w:cs="Arial"/>
          <w:sz w:val="20"/>
          <w:szCs w:val="20"/>
        </w:rPr>
        <w:br/>
        <w:t>TOPLOTA IN DRUGI ENERGETSKI PLINI IZ ZAKLJUČENIH DISTRIBUCIJSKIH SISTEMOV</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I. poglavje: SPLOŠNE DOLOČBE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282.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(uporaba določb tega dela)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Določbe tega dela zakona urejajo pogoje za zagotavljanje oskrbe s toploto in drugimi energetskimi plini iz distribucijskih sistemov (v nadaljnjem besedilu: distribucijski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Določbe tega dela zakona ne veljajo za distribucijske sisteme, ki imajo skupno nazivno moč priključenih naprav odjemalcev na omrežju manjšo od 500 kW, razen 288. in 311. člena tega zakona.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Določbe tega dela zakona tudi ne veljajo za lastniške distribucijske sisteme, razen 310. in 311. člena tega zakona.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283.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(pomen izrazov)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V tem delu zakona imajo posamezni izrazi naslednji pomen:</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1.      »drug energetski plin« pomeni energetski plin, ki se uporablja kot energent, razen zemeljskega plina;</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2.      »distribucija« pomeni prenos toplote ali drugih energetskih plinov po distribucijskem sistemu in vključuje tudi dobavo končnim odjemalcem;</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3.      »distribucijski sistem« pomeni sistem naprav in napeljav, ki ni povezan z drugimi distribucijskimi ali prenosnimi sistemi in ki omogoča prenos toplote ali drugega energetskega plina po omrežju od enega ali več virov do končnih odjemalcev v več stavbah ali lokacijah;</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4.      »distributer« pomeni pravno ali fizično osebo, ki izvaja dejavnost distribucije;</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5.      »lastniški distribucijski sistem« pomeni distribucijski sistem v solasti ali skupni lasti končnih odjemalcev in lahko vključuje tudi proizvodni vir;</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6.      »odjemno mesto« pomeni mesto, na katerem se izvajajo meritve ali drug način ugotavljanja količin toplote ali drugih energetskih plinov za končnega odjemalca;</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7.      »priključek« pomeni vod, ki poteka od glavnega voda do toplotne postaje pri distribuciji toplote oziroma do požarne pipe pri distribuciji ostalih energetskih plinov;</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8.      »reguliran proizvajalec toplote« je pravna ali fizična oseba, ki dobavlja toploto distributerju toplote, ki izvaja gospodarsko javno službo in je z njim lastniško povezan ali mu proda več kot 30 % celotne predvidene distribuirane toplote v naslednjem letu;</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9.      »tarifna postavka toplote« je znesek za distribucijo toplote na obračunsko enoto;</w:t>
      </w:r>
    </w:p>
    <w:p w:rsidR="00532F2C" w:rsidRPr="00033C42" w:rsidRDefault="00D27095" w:rsidP="00033C42">
      <w:pPr>
        <w:pStyle w:val="tevilnatoka"/>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lastRenderedPageBreak/>
        <w:t>10.   »tržna distribucija« pomeni obliko izvajanja distribucije toplote ali drugih energetskih plinov brez podelitve izključne pravice ali določitve obveznega priključevanja na sistem in brez regulacije cene toplote za ogrevanje.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284.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(način opravljanja dejavnosti distribucije toplote in distribucije drugih energetskih plinov)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Dejavnost distribucije toplote in dejavnost distribucije drugih energetskih plinov se lahko opravlja kot:</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izbirna lokalna gospodarska javna služba (v nadaljnjem besedilu: gospodarska javna služba) ali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tržna distribucija.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Če distributer oskrbuje ali namerava oskrbovati več kot sto gospodinjskih odjemalcev se distribucija toplote opravlja kot gospodarska javna služba.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Dejavnost distribucije toplote in dejavnost distribucije drugih energetskih plinov se opravlja kot gospodarska javna služba, kadar je trajna in nemotena oskrba s toploto in drugimi energetskimi plini v javnem interesu zaradi zagotavljanja javnih potreb. Z odlokom iz 285. člena tega zakona se določi tudi natančen prostorski obseg distribucijskega območja za opravljanje gospodarske javne službe.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285.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(izključna pravica)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Lokalna skupnost določi pogoje in način opravljanja gospodarske javne službe v skladu s predpisi, ki urejajo gospodarske javne službe in javno-zasebno partnerstvo.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Za zagotavljanje javnih potreb iz tretjega odstavka 284. člena tega zakona s potrebnim obsegom investicij v nov ali obstoječ distribucijski sistem, lahko lokalna skupnost z odlokom podeli distributerju izključno pravico opravljanja gospodarske javne službe distribucije toplote ali drugih energetskih plinov na območju lokalne skupnosti ali njenem delu.</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Lokalna skupnost obvesti agencijo o sprejetju odloka o določitvi gospodarske javne službe iz prejšnjega odstavka.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286.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(postopek odločitve lokalne skupnosti glede tržne distribucije)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Za izvajanje dejavnosti distribucije toplote in distribucije drugih energetskih plinov kot tržne distribucije mora distributer predhodno pridobiti soglasje lokalne skupnosti, na območju katere se bo izvajala tržna distribucija. K vlogi za izvajanje tržne distribucije distributer priloži idejno zasnovo investicije, prostorsko opredelitev območja distribucije ter opredeli predvideno število in vrsto uporabnikov ter njihovo skupno porabo.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Lokalna skupnost odloči o izdaji soglasja za izvajanje tržne distribucije v treh mesecih od prejema vloge iz prejšnjega odstavka.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Lokalna skupnost zavrne soglasje za izvajanje tržne distribucije, če:</w:t>
      </w:r>
    </w:p>
    <w:p w:rsidR="00532F2C" w:rsidRPr="00033C42" w:rsidRDefault="00D27095" w:rsidP="00033C42">
      <w:pPr>
        <w:pStyle w:val="rkovnatokazaodstavkom0"/>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a)     se lokalna skupnost na predlaganem območju odloči izvajati gospodarsko javno službo iz 284. člena ali 216. člena tega zakona ali</w:t>
      </w:r>
    </w:p>
    <w:p w:rsidR="00532F2C" w:rsidRPr="00033C42" w:rsidRDefault="00D27095" w:rsidP="00033C42">
      <w:pPr>
        <w:pStyle w:val="rkovnatokazaodstavkom0"/>
        <w:shd w:val="clear" w:color="auto" w:fill="FFFFFF"/>
        <w:spacing w:beforeAutospacing="0" w:afterAutospacing="0" w:line="260" w:lineRule="exact"/>
        <w:ind w:left="425" w:hanging="425"/>
        <w:jc w:val="both"/>
        <w:rPr>
          <w:rFonts w:ascii="Arial" w:hAnsi="Arial" w:cs="Arial"/>
          <w:sz w:val="20"/>
          <w:szCs w:val="20"/>
        </w:rPr>
      </w:pPr>
      <w:r w:rsidRPr="00033C42">
        <w:rPr>
          <w:rFonts w:ascii="Arial" w:hAnsi="Arial" w:cs="Arial"/>
          <w:sz w:val="20"/>
          <w:szCs w:val="20"/>
        </w:rPr>
        <w:t>b)     je predlagana energetska oskrba v nasprotju s smernicami iz sprejetega LEK.</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lastRenderedPageBreak/>
        <w:t>(4) V primeru zavrnitve soglasja iz a) točke prejšnjega odstavka, mora lokalna skupnost v roku treh mesecev po zavrnitvi soglasja začeti postopek za pripravo koncesijskega akta za uvedbo gospodarske javne službe.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(5) Lokalna skupnost mora v soglasju iz drugega odstavka tega člena določiti natančno prostorsko opredelitev distribucijskega sistema.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(6) Če investitor ne prične z gradnjo distribucijskega sistema v dveh letih po izdaji soglasja, lahko lokalna skupnost soglasje prekliče.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287.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(priglasitev dejavnosti agenciji)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mora pred pričetkom in po prenehanju opravljanja dejavnosti distribucije toplote ali drugih energetskih plinov na določenem distribucijskem sistemu o tem obvestiti agencijo.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Za namen vodenja evidenc izvajalcev dejavnosti distribucije toplote ali drugih energetskih plinov lahko agencija, skladno z zakonom, ki ureja varovanje osebnih podatkov, zbira, vodi in obdeluje naslednje osebne podatke distributerja, ki je fizična oseba: ime, priimek, naslov stalnega prebivališča in naslov opravljanja dejavnosti.</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II. poglavje: VARSTVO ODJEMALCEV</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288.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(pogodba o dobavi in splošni pogodbeni pogoji)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Pogodba o dobavi toplote ali drugega energetskega plina med odjemalcem in distributerjem mora biti sklenjena v pisni ali elektronski obliki skladno s predpisi o elektronskem poslovanju.</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Pogodba iz prejšnjega odstavka mora določati najmanj naslednje: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ime in naslov distributerja,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opravljene storitve, ponujeno raven kakovosti storitev,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pravice in obveznosti pogodbenih strank v zvezi z neizpolnjevanjem pogodbe,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vrste vzdrževalnih storitev,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načine pridobivanja podatkov o vseh veljavnih tarifah in stroških vzdrževanja,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trajanje pogodbe, pogoje za podaljšanje in prenehanje vzdrževalnih storitev in pogodbe,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dogovore o nadomestilu in povračilu v primeru, če ni dosežena raven kakovosti storitev iz pogodbe, vključno z nenatančnim ali zapoznelim obračunavanjem toplote ali drugega energetskega plina,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informacije o pravicah odjemalcev.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Sestavni del pogodbe o dobavi so tudi splošni pogodbeni pogoji, ki morajo biti pravični in znani vnaprej, distributer pa jih mora odjemalcu zagotoviti pred sklenitvijo pogodbe, tudi če se pogodbe sklepajo po posrednikih. Splošni pogodbeni pogoji distributerja, ki izvaja gospodarsko javno službo, morajo biti skladni s sistemskimi obratovalnimi navodili iz 297. člena tega zakona. Distributer ne sme uporabljati nepoštenih in zavajajočih načinov prodaje toplote ali drugega energetskega plina.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Spremembo splošnih pogodbenih pogojev mora distributer neposredno ter na pregleden in razumljiv način sporočiti odjemalcu najmanj mesec dni pred njihovo uveljavitvijo, če se sprememba nanaša na pogodbo odjemalca.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lastRenderedPageBreak/>
        <w:t>289.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(kontaktna točka za odjemalce)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mora odjemalcem na enem mestu zagotoviti potrebne informacije glede njihovih pravic, veljavnih predpisov in metod za reševanje sporov, ki so jim na voljo v primeru spora z distributerjem (v nadaljnjem besedilu: kontaktna točka).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V kontaktni točki mora distributer zagotoviti najmanj informacije 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načinih reševanja sporov;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veljavnih cenah toplote ali drugega energetskega plina ter splošno veljavnih pogojih v zvezi z dostopom do teh storitev in v zvezi njihovo uporabo;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načinu pridobitve podatkov o njihovi porabi;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pravicah do oskrbe s toploto ali drugim energetskim plinom določene kakovosti po razumni ceni v skladu predpisi in splošnimi akti.</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290.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(obveščanje odjemalcev)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mora najmanj enkrat letno svojim končnim odjemalcem v jasni in razumljivi obliki podati informacije 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veljavni ceni in porabi energije;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primerjavi porabe energije odjemalca s porabo energije v istem obdobju prejšnjega leta;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primerjavi s povprečnim normaliziranim ali referenčnim porabnikom energije iz iste porabniške kategorije, kadar je to mogoče.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Poleg informacij iz prejšnjega odstavka mora distributer svojim končnim odjemalcem posredovati tudi podatke o pravnih in fizičnih osebah, ki nudijo informacije o učinkoviti rabi energije, vključno z naslovi spletnih strani, na katerih je mogoče dobiti informacije o razpoložljivih ukrepih za izboljšanje energetske učinkovitosti.</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III. poglavje: MERJENJE PORABE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291.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(merjenje porabe in oddaje)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mora zagotoviti merjenje porabe na odjemnem mestu posameznega odjemalca ali skupnem odjemnem mestu več odjemalcev ali stavb. Distributer toplote mora zagotoviti tudi meritev kvalitete dobavljene toplote.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Proizvajalec toplote za nadaljnjo prodajo mora meriti količino predane toplote v omrežje. Proizvajalec toplote v skupni kotlovnici mora meriti količino proizvedene toplote na pragu kotlovnice, ne glede na vrsto naprave za proizvodnjo toplote.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292.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(obveščanje distributerja)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 xml:space="preserve">(1) Odjemalec, ki odjema toploto v delu stavbe ali v stavbi iz skupnega odjemnega mesta več odjemalcev ali več stavb, je dolžan najkasneje v 15 dneh po začetku odjemanja toplote ali po njegovem prenehanju sporočiti distributerju naslednje podatke: ime in priimek ali firmo odjemalca, naslov in podatke o delu stavbe, v katerem odjema toploto, oziroma o stavbi, v kateri odjema to energijo, davčno številko in datum začetka ali prenehanja odjema toplote. Za začetek ali prenehanje </w:t>
      </w:r>
      <w:r w:rsidRPr="00033C42">
        <w:rPr>
          <w:rFonts w:ascii="Arial" w:hAnsi="Arial" w:cs="Arial"/>
          <w:sz w:val="20"/>
          <w:szCs w:val="20"/>
        </w:rPr>
        <w:lastRenderedPageBreak/>
        <w:t>odjema toplote se šteje začetek ali prenehanje uporabe dela stavbe oziroma stavbe iz prejšnjega stavka.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Če distributer nima pravilnih podatkov o odjemalcu iz prejšnjega odstavka, neposredno ali s posredovanjem upravnika stavbe pozove osebo, ki uporablja zadevni del stavbe oziroma stavbo, da nemudoma sporoči podatke.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Inšpektor, ki v inšpekcijskem postopku zaradi kršitve prvega in drugega odstavka tega člena ugotovi podatke o odjemalcu iz prvega odstavka tega člena, je te podatke dolžan sporočiti distributerju.</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IV. poglavje: OBVEZNOSTI DISTRIBUTERJEV V JAVNEM INTERESU</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293.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(obveznosti v javnem interesu)</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Distributerji morajo v javnem interesu zagotavljati: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zanesljivo oskrbo s toploto in drugimi energetskimi plini;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nediskriminatorno obravnavo odjemalcev;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nujno oskrbo odjemalcev daljinskega ogrevanja.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Distributerji, ki izvajajo gospodarsko javno službo distribucije toplote, zagotavljajo dobavo toplote končnim odjemalcem daljinskega ogrevanja po reguliranih cenah, skladno z 299. do 302. členom tega zakona.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294.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(zanesljivost oskrbe)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Distributerji morajo s primernimi ukrepi zagotoviti zanesljivost obratovanja distribucijskega sistema z zagotavljanjem zadostne zmogljivosti in zanesljivosti sistema ter zanesljivost dobave v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Minister, pristojen za energijo, lahko predpiše distributerjem obvezne minimalne zaloge primarnih goriv, obveznost sklenitve dolgoročnih pogodb s proizvajalci toplote ali dobavitelji goriv ter druge primerne ukrepe ali kriterije, da se zagotovi zanesljivost oskrbe.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Distributerji morajo zagotoviti sprejemanje informacij odjemalcev o motnjah na sistemu pri dobavi energije in na zahtevo odjemalca odpravijo motnjo, ki onemogoča odjem toplote ali drugih energetskih plinov v dogovorjeni količini in kvaliteti.</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295.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(nediskriminatorno obravnavanje odjemalcev)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ne sme diskriminirati odjemalcev sistema glede pogojev uporabe sistema. Razlike v pogojih uporabe sistema morajo temeljiti na objektivnih in preglednih merilih ter biti opredeljene v sistemskih obratovalnih navodilih oziroma splošnih pogodbenih pogojih izvajalcev tržne distribucije.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 xml:space="preserve">(2) Odjemalec, ki s količino odjema ali prilagajanjem svojega odjema prispeva k ugodnejši obremenitvi distribucijskega sistema, je upravičen do ugodnejših pogojev oskrbe, če so razlogi in </w:t>
      </w:r>
      <w:r w:rsidRPr="00033C42">
        <w:rPr>
          <w:rFonts w:ascii="Arial" w:hAnsi="Arial" w:cs="Arial"/>
          <w:sz w:val="20"/>
          <w:szCs w:val="20"/>
        </w:rPr>
        <w:lastRenderedPageBreak/>
        <w:t>kriteriji za ugodnejšo obravnavo določeni v sistemskih obratovalnih navodilih oziroma splošnih pogodbenih pogojih izvajalcev tržne distribucije.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296.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(nujna oskrba gospodinjskega odjemalca)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Do nujne oskrbe je upravičen gospodinjski odjemalec, ki si zaradi svojih premoženjskih razmer, dohodkov in drugih socialnih okoliščin ter bivalnih razmer ne more zagotoviti drugega vira energije za ogrevanje, ki bi mu povzročil enake ali manjše stroške za ogrevanje stanovanjskih prostorov.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Distributer ne sme odjemalca iz prejšnjega odstavka odklopiti oziroma mu omejiti odjem toplote ali drugega energetskega plina pod količino, ki je glede na okoliščine (letni čas, temperaturne razmere, kraj prebivanja, zdravstveno stanje in druge podobne okoliščine) nujno potrebna, da ne pride do ogrožanja življenja in zdravja odjemalca in oseb, ki z njim prebivajo.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Stroške odjema toplote odjemalcev iz prvega odstavka tega člena nosi distributer do takrat, ko jih plača odjemalec. Stroški, ki jih distributer, ki izvaja gospodarsko javno službo distribucijo toplote, ne more izterjati od odjemalca iz prvega odstavka tega člena, so upravičeni stroški tega distributerja in se upoštevajo pri regulaciji cene.</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V. poglavje: DRUGE OBVEZNOSTI DISTRIBUTERJEV</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297.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(sistemska obratovalna navodila)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ki dejavnost distribucije toplote in dejavnost distribucije drugih energetskih plinov opravlja kot gospodarsko javno službo, mora izdati sistemska obratovalna navodila, ki urejajo obratovanje in način vodenja distribucijskega sistema. Sistemska obratovalna navodila morajo biti pregledna, objektivna in nediskriminatorna. S sistemskimi obratovalnimi navodili se zlasti uredijo: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splošni pogoji za dobavo in odjem, ki urejajo pravice in obveznosti odjemalcev glede dobave toplote ali drugih energetskih plinov;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obratovanje omrežja, tehnični in drugi pogoji za varno obratovanje sistema, pogoji in način izvajanja priključitev na sistem ter druga vprašanja v zvezi z zanesljivo in kvalitetno oskrbo s toploto ali drugimi energetskimi plini;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tarifni sistem, ki določa način zaračunavanja dobave in tarifne elemente za dobavo toplote ali drugih energetskih plinov različnim kategorijam odjemalcem glede na moč, vrsto in karakteristiko odjema, kvaliteto in druge elemente.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Sistemska obratovalna navodila iz prejšnjega odstavka morajo biti zakonita in pripravljena skladno s splošnim aktom agencije, s katerim agencija podrobneje predpiše vsebino tega akta.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Pred objavo sistemskih obratovalnih navodil mora distributer pridobiti soglasje agencije.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Sistemska obratovalna navodila se objavijo v Uradnem listu Republike Slovenije.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 xml:space="preserve">(5) Distributer, ki opravlja tržno distribucijo, mora pripraviti splošne pogodbene pogoje, ki urejajo pravice in obveznosti odjemalcev glede dobave toplote ali drugih energetskih plinov in s katerimi se opredelijo obratovanje omrežja, tehnični in drugi pogoji za varno obratovanje sistema, </w:t>
      </w:r>
      <w:r w:rsidRPr="00033C42">
        <w:rPr>
          <w:rFonts w:ascii="Arial" w:hAnsi="Arial" w:cs="Arial"/>
          <w:sz w:val="20"/>
          <w:szCs w:val="20"/>
        </w:rPr>
        <w:lastRenderedPageBreak/>
        <w:t>pogoji in način izvajanja priključitev na sistem in druga vprašanja v zvezi z zanesljivo in kvalitetno oskrbo, ter seznaniti odjemalce s temi pogoji.</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298.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(obratovanje sistema za daljinsko ogrevanje ali hlajenje)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Distributerji toplote z močjo sistema nad 10 MW morajo zagotoviti: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sistem nadzora obratovanja sistema daljinskega ogrevanja ali hlajenja, ki omogoča optimalno termično in hidravlično obratovanje sistema;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izvedbo ukrepov za optimiranje obratovanja sistema daljinskega ogrevanja ali hlajenja.</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VI. poglavje: REGULACIJA CENE OSKRBE S TOPLOTO ZA DALJINSKO OGREVANJE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299.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(metoda reguliranja cene)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Cena toplote za daljinsko ogrevanje iz distribucijskih sistemov, katerih distributerji izvajajo gospodarsko javno službo, in cena, ki jo zaračunava regulirani proizvajalec toplote, je regulirana v skladu z določbami tega poglavja.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Regulacija cene toplote iz prejšnjega odstavka se izvaja na podlagi metodologije za oblikovanje cene toplote za daljinsko ogrevanje (v nadaljnjem besedilu: metodologija), ki jo s splošnim aktom predpiše agencija. Z metodologijo se določi način oblikovanja izhodiščne cene kot najvišje povprečne cene, na podlagi katere distributer in regulirani proizvajalec toplote v skladu z merili in mehanizmom iz metodologije oblikujeta cene toplote za daljinsko ogrevanje. Z metodologijo se določijo: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vrste in merila za določitev upravičenih stroškov;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elementi izhodiščne cene, ki vključujejo fiksni in variabilni del;</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način oblikovanja izhodiščne cene in razlogi za njeno spremembo;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merila oziroma mehanizem za prilagajanje posameznih elementov izhodiščne cene spremembam upravičenih stroškov;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vrste podatkov, oblika in način posredovanja podatkov, potrebnih za določitev upravičenih stroškov in izhodiščne cene.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Metodologija mora biti oblikovna tako, da spodbuja energetsko in stroškovno učinkovito izvajanje distribucije in proizvodnje toplote ter uravnoteženo spodbuja investicije in koristi odjemalcev.</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300.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(oblikovanje izhodiščne cene toplote)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Izhodiščna cena toplote se določi na podlagi upravičenih stroškov in je sestavljena iz fiksnega in variabilnega dela.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Oblikovanje izhodiščne cene mora upoštevati in podpirati izvajanje ciljev in nalog določenih v petem delu tega zakona.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301.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(upravičeni stroški)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lastRenderedPageBreak/>
        <w:t>(1) Upravičeni stroški distributerja oziroma reguliranega proizvajalca toplote so stroški, ki so nujni za opravljanje dejavnosti distribucije. Kadar distributer oziroma regulirani proizvajalec toplote poleg dejavnosti distribucije opravlja tudi druge dejavnosti, mora tem dejavnostim pripisati sorazmerni del skupnih stroškov. Upravičeni stroški vsebujejo stroške energentov, energije, stroške delovanja in vzdrževanja, amortizacijo in druge upravičene stroške, ki so nujno potrebni za izvajanje dejavnosti.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Pri ugotavljanju upravičenih stroškov za najem distribucijskega sistema, vira ali njegovega dela od lastnika lahko agencija v postopku odločanja o soglasju k izhodiščni ceni izvede analizo upravičenih stroškov tudi za najemodajalca distribucijskega sistema, pri čemer mora najemojemalec zagotoviti, da so agenciji na razpolago vsi potrebni podatki najemodajalca. V tem primeru agencija upošteva višino najemnine na podlagi gibanja primerljivih cen v preteklih letih.</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302.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(postopek za pridobitev soglasja agencije na izhodiščno ceno)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toplote oziroma regulirani proizvajalec toplote mora pred pričetkom opravljanja dejavnosti distribucije toplote agenciji vložiti zahtevo za izdajo soglasja k izhodiščni ceni in obrazložitev predloga. Distributer mora pridobiti soglasje agencije tudi za vsako spremembo izhodiščne cene.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Distributer toplote kopijo zahteve posreduje lokalni skupnosti, na območju katere opravlja dejavnost distribucije toplote. Lokalna skupnost lahko agenciji v 15 dneh od prejema kopije zahteve posreduje mnenje o zahtevi.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 toplote in regulirani proizvajalec toplote sta dolžna na zahtevo agencije posredovati vse podatke, ki jih agencija zahteva za odločanje o zahtevi.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V primeru spremembe metodologije določitve izhodiščne cene, mora distributer toplote oziroma regulirani proizvajalec toplote podati zahtevo za novo soglasje k izhodiščni ceni toplote.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303.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(obračunavanje tarifnih postavk toplote)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toplote določi objektivne, pregledne in nediskriminatorne tarifne postavke toplote za posamezne končne odjemalce v skladu z izhodiščno ceno, določeno na podlagi metodologije in tarifnim sistemom.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Tarifni sistem in tarifne postavke morajo spodbujati odjemalce, da bodo s količino odjema, s prilagajanjem svojega odjema ali na drug način prispevali k učinkovitejšem delovanju distribucijskega sistema.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Pred začetkom zaračunavanja tarifnih postavk mora distributer toplote tarifne postavke javno objaviti ter vsaj tri dni pred objavo pisno obvestiti agencijo.</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304.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(obračunavanje dobavljene energije)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Dobavljeno toploto in njeno kvaliteto ter dobavljene druge energetske pline iz distribucijskih sistemov plačujejo končni odjemalci na podlagi pogodb o dobavi, ki jo sklenejo z distributerjem.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lastRenderedPageBreak/>
        <w:t>(2) Dobavljena toplota ali drugi energetski plini se obračunavajo najmanj enkrat letno. V vmesnem času med dvema obračunoma končni odjemalec plačuje akontacije.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 mora omogočiti končnemu odjemalcu plačevanje mesečnega zneska na osnovi akontacije ali na podlagi dejanske porabe.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Na zahtevo končnega odjemalca je distributer tudi med obračunskim obdobjem dolžan izdelati obračun za dobavljeno toploto ali druge energetske pline. Distributer lahko za storitev dodatnega obračuna zaračuna stroške po ceniku, ki ne smejo presegati dejanskih stroškov distributerja in ga potrdi agencija.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305.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(ločene računovodske evidence)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Distributerji, ki izvajajo gospodarsko javno službo in ki poleg dejavnosti distribucije opravljajo tudi druge dejavnosti, morajo skladno z računovodskimi standardi voditi ločene računovodske evidence in v pojasnilih k računovodskim izkazom razkriti ločene računovodske izkaze za dejavnost distribucije toplote, proizvodnjo toplote in ostale dejavnosti, kot bi se to od njih zahtevalo, če bi te dejavnosti opravljala ločena podjetja.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Za ločene računovodske izkaze iz prejšnjega odstavka se štejejo bilanca stanja, izkaz poslovnega izida in izkaz denarnih tokov.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Distributerji toplote, ki poleg dejavnosti distribucije toplote opravljajo tudi druge dejavnosti, morajo skladno z računovodskimi standardi v svojih notranjih aktih opredeliti sodila za razporejanje sredstev in obveznosti, stroškov in odhodkov ter prihodkov, ki jih upoštevajo pri vodenju računovodskih evidenc in pripravi ločenih računovodskih izkazov iz prejšnjega odstavka.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Za določanje sodil iz prejšnjega odstavka se uporablja zakon, ki ureja preglednost finančnih odnosov in ločeno evidentiranje dejavnosti.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(5) Letni računovodski izkazi morajo v pojasnilih prikazati vse posle, opravljene s povezanimi podjetji, katerih posamična vrednost presega 20.000 eurov.</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(6) Distributerji toplote, ki izvajajo gospodarsko javno službo morajo v pojasnilih k računovodskim izkazom skupaj z ločenimi računovodskimi izkazi za energetske dejavnosti, za katere se zahteva ločeno razkrivanje, v celoti razkriti tudi sodila iz tretjega odstavka tega člena. Ustreznost in pravilnost njihove uporabe mora biti letno revidirano s strani revizorja, ki mora o tem podati posebno poročilo.</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VII. poglavje: PRIKLJUČITEV NA SISTEM</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306.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(priključitev na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Za priključitev na distribucijski sistem ali spremembo parametrov priključitve mora odjemalec sistema, v čigar korist bo izdano soglasje za priključitev (v nadaljnjem besedilu: imetnik soglasja za priključitev) od distributerja pridobiti soglasje za priključitev. Pogoji za priključitev so določeni v splošnih pogodbenih pogojih oziroma v sistemskih obratovalnih navodilih.</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 xml:space="preserve">(2) Dokončno soglasje za priključitev velja dve leti. V tem času mora imetnik soglasja za priključitev objekta izpolniti vse pogoje, predpisane v soglasju za priključitev, in operaterju naročiti </w:t>
      </w:r>
      <w:r w:rsidRPr="00033C42">
        <w:rPr>
          <w:rFonts w:ascii="Arial" w:hAnsi="Arial" w:cs="Arial"/>
          <w:sz w:val="20"/>
          <w:szCs w:val="20"/>
        </w:rPr>
        <w:lastRenderedPageBreak/>
        <w:t>izvedbo priključitve. Veljavnost soglasja za priključitev lahko operater sistema na zahtevo imetnika soglasja za priključitev podaljša največ dvakrat, vendar vsakič največ za eno leto. Zahtevo za podaljšanje mora imetnik soglasja za priključitev podati 30 dni pred iztekom veljavnosti soglasja za priključitev. V primeru zamud na strani operaterja sistema se šteje, da je soglasje podaljšano, kar je operater dolžan sporočiti imetniku soglasja za priključitev, ki še ni izvedel priključitve na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 ki izvaja gospodarsko javno službo, odloča o soglasju za priključitev po javnem pooblastilu v upravnem postopku. O pritožbi zoper odločbo o izdaji ali zavrnitvi soglasja za priključitev odloča župan. O številu pritožb zoper odločbe o izdaji ali zavrnitvi soglasja za priključitev, mora lokalna skupnost enkrat letno obvestiti agencijo.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Distributer, ki izvaja gospodarsko javno službo, zavrne zahtevo za priključitev, če: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odjemalec sistema ne izpolnjuje pogojev za priključitev;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bi zaradi priključitve prišlo do večjih motenj v oskrbi;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bi priključitev distributerju povzročila nastanek nesorazmernih stroškov. Nesorazmerni stroški pomenijo stroške gradnje priključka do točke v sistemu, kjer je priključitev možna, ali stroške, ki so potrebni zaradi ojačitve obstoječega sistema, ali kombinacijo obojega, pri čemer ni pričakovati, da bi v razumnem času prišlo do povečanja odjema iz sistema na novem priključku oziroma obstoječem distribucijskem sistemu v tolikšnem obsegu, ki bi omogočal normalno amortizacijo naložbe.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(5) V primeru ugotovitve nastanka nesorazmernih stroškov ima odjemalec pravico do priključitve v skladu s sistemskimi obratovalnimi navodili, če sam krije nesorazmerno visoke stroške.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(6) Po dokončnosti odločbe o soglasju za priključitev na sistem skleneta distributer in imetnik soglasja za priključitev pogodbo, s katero uredita medsebojna razmerja v zvezi s priključkom, vzdrževanjem priključka, dobavo toplote ali drugih energetskih plinov in druga medsebojna razmerja, ki se nanašajo na izvedbo priključka, priključitev in dobavo.</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(7) Pogodbo o dobavi toplote ali drugih energetskih plinov je dolžan distributer, ki izvaja gospodarsko javno službo, skleniti tudi z osebo, ki ni imetnik soglasja za priključitev, če ta oseba pridobi dovoljenje imetnika soglasja za priključitev, da preko njegovega priključka odjema toploto ali druge energetske pline.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(8) V primeru spremembe lastništva objekta na katerega se nanaša soglasje za priključitev je novi lastnik o tem dolžan v 15 dneh obvestiti distributerja in predložiti ustrezna dokazila.</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307.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(začasni odklop)</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sme začasno odklopiti odjemalca zaradi: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rednega ali izrednega vzdrževanja,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pregledov ali remontov,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preizkusov ali kontrolnih meritev,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razširitev omrežja.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Za predvideni odklop mora distributer izbrati čas, ki čim manj prizadene odjemalce.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 mora o predvidenem odklopu pravočasno obvestiti uporabnika sistema v pisni obliki ali na drug oseben način. V primeru večjega števila odjemalcev in v primeru, da osebno obveščanje ni stroškovno učinkovito, pa v sredstvih javnega obveščanja in na spletu vsaj 48 ur pred odklopom.</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lastRenderedPageBreak/>
        <w:t>308.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(odklop odjemalca)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odklopi odjemalca po predhodnem obvestilu, če ta v roku, določenem v obvestilu, ne izpolni svoje obveznosti, in sicer:</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na opomin distributerja ne poravna pogodbenih obveznosti;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moti dobavo toplote ali drugih energetskih plinov drugim odjemalcem;</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odreče ali onemogoči osebam, ki imajo pooblastilo distributerja, dostop do vseh delov priključka, do zaščitnih in merilnih naprav in do energetskih objektov, naprav ali napeljav, kadar obstaja sum, da te naprave povzročajo motnje;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brez soglasja distributerja priključi na omrežje svoje energetske naprave ali napeljave ali omogoči prek svojih energetskih naprav priključitev energetskih naprav drugih odjemalcev;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na opomin distributerja skladno s sistemskimi obratovalnimi navodili oziroma pogodbo o dobavi ne zniža odjema oziroma količine na dogovorjeno vrednost v zahtevanem roku;</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onemogoča pravilno registriranje obračunskih količin ali porablja toploto ali druge energetske pline brez zahtevanih oziroma dogovorjenih merilnih naprav ali mimo njih;</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v roku, ki ga določi distributer oziroma pristojni inšpekcijski organ, ne odstrani oziroma ne zniža do dovoljene meje motenj, ki jih povzročajo njegovi objekti, naprave ali napeljave.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Distributer lahko odklopi odjemalca brez predhodnega obvestila, če odjemalec z obratovanjem svojih energetskih objektov, naprav ali napeljav ogroža življenje ali zdravje ljudi ali premoženje.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309.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(ponovna priključitev in povrnitev škode)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 je dolžan odjemalca, ki je bil odklopljen, na njegovo zahtevo in na njegove stroške ponovno priključiti na sistem, po odpravi razlogov za odklop in izpolnjevanju pogojev iz tega poglavja.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Distributer, ki je odjemalca neutemeljeno odklopil, mora v 24 urah od ugotovitve neutemeljenega odklopa na svoje stroške znova priključiti objekte, naprave ali napeljave odjemalca omrežja na svoj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Distributer ima pravico do povračila škode, ki je nastala zaradi ravnanj odjemalca, zaradi katerih ga je odklopil po predhodnem obvestilu oziroma brez predhodnega obvestila.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Odjemalec ima pravico do povračila škode zaradi neutemeljenega odklopa.</w:t>
      </w:r>
    </w:p>
    <w:p w:rsidR="00532F2C" w:rsidRPr="00033C42" w:rsidRDefault="00D27095" w:rsidP="00033C42">
      <w:pPr>
        <w:pStyle w:val="poglavje"/>
        <w:shd w:val="clear" w:color="auto" w:fill="FFFFFF"/>
        <w:spacing w:before="480" w:beforeAutospacing="0" w:afterAutospacing="0" w:line="260" w:lineRule="exact"/>
        <w:jc w:val="center"/>
        <w:rPr>
          <w:rFonts w:ascii="Arial" w:hAnsi="Arial" w:cs="Arial"/>
          <w:sz w:val="20"/>
          <w:szCs w:val="20"/>
        </w:rPr>
      </w:pPr>
      <w:r w:rsidRPr="00033C42">
        <w:rPr>
          <w:rFonts w:ascii="Arial" w:hAnsi="Arial" w:cs="Arial"/>
          <w:sz w:val="20"/>
          <w:szCs w:val="20"/>
        </w:rPr>
        <w:t>VIII. poglavje: POSEBNE DOLOČBE</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310.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(priključitev na lastniški distribucijski sistem)</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Na lastniški distribucijski sistem se lahko priključi odjemalec, ki po predpisih, ki urejajo pravice na delih stavb, ni solastnik ali skupni lastnik tega sistema, če pridobi soglasje lokalne skupnosti.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Lokalna skupnost izda soglasje skladno z 286. členom tega zakona, če na območju priključitve ni zagotovljena izbirna gospodarska javna služba dejavnost distribucije iz 216. ali 285. člena tega zakona ali če je izvajalec javne službe odjemalcu zavrnil priključitev na sistem.</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lastRenderedPageBreak/>
        <w:t>311.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(poročanje in analiza cen toplote)</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Distributerji, upravljavci lastniških distribucijskih sistemov in proizvajalci toplote ali drugih energetskih plinov za prodajo morajo sporočati agenciji naslednje podatke o:</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distribucijskem omrežju in napravah,</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soglasjih za priključitev in priključevanju odjemalcev,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proizvedenih in distribuiranih količinah toplote ali drugega energetskega plina,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doseženi ravni kakovosti,</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pritožbah odjemalcev,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tarifah in cenah ločeno po kategorijah odjemalcev,</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it-IT"/>
        </w:rPr>
      </w:pPr>
      <w:r w:rsidRPr="00033C42">
        <w:rPr>
          <w:rFonts w:ascii="Arial" w:hAnsi="Arial" w:cs="Arial"/>
          <w:sz w:val="20"/>
          <w:szCs w:val="20"/>
          <w:lang w:val="it-IT"/>
        </w:rPr>
        <w:t>-        številu končnih odjemalcev po posameznih kategorijah, vključno s podatki o deležu dobavljene energije po posamezni kategoriji.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Za namen izvajanja tega člena agencija, skladno z zakonom, ki ureja varovanje osebnih podatkov, zbira, vodi in obdeluje naslednje osebne podatke distributerja, upravljavca lastniškega distribucijskega sistema in proizvajalca toplote ali drugih energetskih plinov za prodajo, ki je fizična oseba: ime, priimek, naslov stalnega prebivališča in naslov opravljanja dejavnosti.</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Agencija s splošnim aktom določi obseg in periodiko sporočanja podatkov iz prvega odstavka tega člena ter pripravi analizo cen toplote na osnovi poročil distributerjev in ostalih pridobljenih podatkov. Agencija objavi rezultate analize enkrat letno do 1. julija za preteklo leto.</w:t>
      </w:r>
    </w:p>
    <w:p w:rsidR="00532F2C" w:rsidRPr="00033C42" w:rsidRDefault="00D27095" w:rsidP="00033C42">
      <w:pPr>
        <w:pStyle w:val="len"/>
        <w:shd w:val="clear" w:color="auto" w:fill="FFFFFF"/>
        <w:spacing w:before="480" w:beforeAutospacing="0" w:afterAutospacing="0" w:line="260" w:lineRule="exact"/>
        <w:jc w:val="center"/>
        <w:rPr>
          <w:rFonts w:ascii="Arial" w:hAnsi="Arial" w:cs="Arial"/>
          <w:b/>
          <w:bCs/>
          <w:sz w:val="20"/>
          <w:szCs w:val="20"/>
        </w:rPr>
      </w:pPr>
      <w:r w:rsidRPr="00033C42">
        <w:rPr>
          <w:rFonts w:ascii="Arial" w:hAnsi="Arial" w:cs="Arial"/>
          <w:b/>
          <w:bCs/>
          <w:sz w:val="20"/>
          <w:szCs w:val="20"/>
        </w:rPr>
        <w:t>492. člen</w:t>
      </w:r>
    </w:p>
    <w:p w:rsidR="00532F2C" w:rsidRPr="00033C42" w:rsidRDefault="00D27095" w:rsidP="00033C42">
      <w:pPr>
        <w:pStyle w:val="lennaslov"/>
        <w:shd w:val="clear" w:color="auto" w:fill="FFFFFF"/>
        <w:spacing w:beforeAutospacing="0" w:afterAutospacing="0" w:line="260" w:lineRule="exact"/>
        <w:jc w:val="center"/>
        <w:rPr>
          <w:rFonts w:ascii="Arial" w:hAnsi="Arial" w:cs="Arial"/>
          <w:b/>
          <w:bCs/>
          <w:sz w:val="20"/>
          <w:szCs w:val="20"/>
        </w:rPr>
      </w:pPr>
      <w:r w:rsidRPr="00033C42">
        <w:rPr>
          <w:rFonts w:ascii="Arial" w:hAnsi="Arial" w:cs="Arial"/>
          <w:b/>
          <w:bCs/>
          <w:sz w:val="20"/>
          <w:szCs w:val="20"/>
        </w:rPr>
        <w:t>(prekrški za četrti del zakona)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 Z globo od 15.000 do 250.000 eurov se za prekršek kaznuje pravna oseba, če pri vodenju računovodskih izkazov ravna v nasprotju s 305. členom tega zakona.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(2) Z globo od 15.000 do 150.000 eurov se za prekršek iz prejšnjega odstavka kaznuje samostojni podjetnik posameznik ali posameznik, ki samostojno opravlja dejavnost.</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(3) Z globo od 2.000 do 10.000 eurov se za prekršek iz prvega odstavka tega člena kaznuje tudi odgovorna oseba pravne osebe, odgovorna oseba samostojnega podjetnika posameznika ali odgovorna oseba posameznika, ki samostojno opravlja dejavnost.</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(4) Z globo od 5.000 do 125.000 eurov se kaznuje za prekršek pravna oseba, če: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ne zagotovi meritev iz 291.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v roku ne izvrši predpisanega ukrepa zaradi zagotavljanja zanesljive oskrbe s toploto in drugimi energetskimi plini, ki ga določi predpis iz drugega odstavka 294.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nima sprejetih, potrjenih in objavljenih aktov v skladu z 297. členom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nima vzpostavljenega sistema za nadzor obratovanja distribucijskega sistema skladno z 298. členom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cene za dobavo toplote za daljinsko ogrevanje ne določi v skladu z metodologijo agencije iz drugega odstavka 299.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predhodno ne pridobi soglasja agencije na izhodiščno ceno ali na spremembo izhodiščne cene za dobavo toplote za daljinsko ogrevanje (302. člen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brez soglasja distributerja na njegov zaključeni distribucijski sistem priključi svoje objekte, naprave in napeljave oziroma omogoči priključitev drugih objektov, naprav in napeljav (306. člen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začasnem odklopu ne obvesti odjemalca (tretji odstavek 307.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ne priključi v roku 24 ur na svoje stroške odjemalca energije iz omrežja, kadar se ugotovi, da je bil neutemeljeno odklopljen (drugi odstavek 309.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lastRenderedPageBreak/>
        <w:t>-        ne posreduje podatkov, zahtevanih s predpisom iz 311. člena tega zakona.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(5) Z globo od 5.000 do 125.000 eurov se za prekršek iz prejšnjega odstavka kaznuje samostojni podjetnik posameznik ali posameznik, ki samostojno opravlja dejavnost.</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(6) Z globo od 2.000 do 10.000 eurov se za prekršek iz četrtega odstavka tega člena kaznuje tudi odgovorna oseba pravne osebe, odgovorna oseba samostojnega podjetnika posameznika ali odgovorna oseba posameznika, ki samostojno opravlja dejavnost.</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(7) Z globo od 1.000 do 10.000 eurov se kaznuje za prekršek pravna oseba, če:</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kot odjemalec, ki odjema toploto v delu stavbe ali v stavbi preko skupnega odjemnega mesta več odjemalcev ali več stavb, ne sporoči distributerjem podatkov po 292. členu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ne pripravi ali seznani odjemalcev s splošnimi pogodbenimi pogoji v skladu s petim odstavkom 297. člena tega zakona;</w:t>
      </w:r>
    </w:p>
    <w:p w:rsidR="00532F2C" w:rsidRPr="00033C42" w:rsidRDefault="00D27095" w:rsidP="00033C42">
      <w:pPr>
        <w:pStyle w:val="alineazaodstavkom"/>
        <w:shd w:val="clear" w:color="auto" w:fill="FFFFFF"/>
        <w:spacing w:beforeAutospacing="0" w:afterAutospacing="0" w:line="260" w:lineRule="exact"/>
        <w:ind w:left="425" w:hanging="425"/>
        <w:jc w:val="both"/>
        <w:rPr>
          <w:rFonts w:ascii="Arial" w:hAnsi="Arial" w:cs="Arial"/>
          <w:sz w:val="20"/>
          <w:szCs w:val="20"/>
          <w:lang w:val="sl-SI"/>
        </w:rPr>
      </w:pPr>
      <w:r w:rsidRPr="00033C42">
        <w:rPr>
          <w:rFonts w:ascii="Arial" w:hAnsi="Arial" w:cs="Arial"/>
          <w:sz w:val="20"/>
          <w:szCs w:val="20"/>
          <w:lang w:val="sl-SI"/>
        </w:rPr>
        <w:t>-        v roku ne obvesti agencije o spremembi cene za dobavo toplote za daljinsko ogrevanje (četrti odstavek 299. člena tega zakona).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(8) Z globo od 1.000 do 10.000 eurov se kaznuje samostojni podjetnik posameznik ali posameznik, ki samostojno opravlja dejavnost, če stori prekršek iz prejšnjega odstavka.</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(9) Z globo od 100 do 500 eurov se kaznuje odgovorna oseba pravne osebe, odgovorna oseba samostojnega podjetnika posameznika, ki stori prekršek iz sedmega odstavka tega člena ali odgovorna oseba posameznika, ki samostojno opravlja dejavnost.</w:t>
      </w:r>
    </w:p>
    <w:p w:rsidR="00532F2C" w:rsidRPr="00033C42" w:rsidRDefault="00D27095" w:rsidP="00033C42">
      <w:pPr>
        <w:pStyle w:val="odstavek"/>
        <w:shd w:val="clear" w:color="auto" w:fill="FFFFFF"/>
        <w:spacing w:before="240" w:beforeAutospacing="0" w:afterAutospacing="0" w:line="260" w:lineRule="exact"/>
        <w:ind w:firstLine="1021"/>
        <w:jc w:val="both"/>
        <w:rPr>
          <w:rFonts w:ascii="Arial" w:hAnsi="Arial" w:cs="Arial"/>
          <w:sz w:val="20"/>
          <w:szCs w:val="20"/>
        </w:rPr>
      </w:pPr>
      <w:r w:rsidRPr="00033C42">
        <w:rPr>
          <w:rFonts w:ascii="Arial" w:hAnsi="Arial" w:cs="Arial"/>
          <w:sz w:val="20"/>
          <w:szCs w:val="20"/>
        </w:rPr>
        <w:t>(10) Z globo od 50 do 400 eurov se kaznuje posameznik, ki stori prekršek iz prve alineje sedmega odstavka tega člena.</w:t>
      </w:r>
    </w:p>
    <w:p w:rsidR="00532F2C" w:rsidRPr="00033C42" w:rsidRDefault="00532F2C" w:rsidP="00033C42">
      <w:pPr>
        <w:shd w:val="clear" w:color="auto" w:fill="FFFFFF"/>
        <w:spacing w:before="240" w:line="260" w:lineRule="exact"/>
        <w:rPr>
          <w:rFonts w:eastAsia="Times New Roman" w:cs="Arial"/>
          <w:sz w:val="20"/>
          <w:szCs w:val="20"/>
          <w:lang w:eastAsia="sl-SI"/>
        </w:rPr>
      </w:pPr>
    </w:p>
    <w:p w:rsidR="00532F2C" w:rsidRPr="00033C42" w:rsidRDefault="00532F2C" w:rsidP="00033C42">
      <w:pPr>
        <w:shd w:val="clear" w:color="auto" w:fill="FFFFFF"/>
        <w:spacing w:before="240" w:line="260" w:lineRule="exact"/>
        <w:ind w:firstLine="1021"/>
        <w:rPr>
          <w:rFonts w:eastAsia="Times New Roman" w:cs="Arial"/>
          <w:sz w:val="20"/>
          <w:szCs w:val="20"/>
          <w:lang w:eastAsia="sl-SI"/>
        </w:rPr>
      </w:pPr>
    </w:p>
    <w:p w:rsidR="00532F2C" w:rsidRPr="00033C42" w:rsidRDefault="00532F2C" w:rsidP="00033C42">
      <w:pPr>
        <w:spacing w:after="160" w:line="260" w:lineRule="exact"/>
        <w:jc w:val="left"/>
        <w:rPr>
          <w:rFonts w:cs="Arial"/>
          <w:b/>
          <w:sz w:val="20"/>
          <w:szCs w:val="20"/>
        </w:rPr>
      </w:pPr>
    </w:p>
    <w:sectPr w:rsidR="00532F2C" w:rsidRPr="00033C42" w:rsidSect="00AA478B">
      <w:footerReference w:type="default" r:id="rId10"/>
      <w:pgSz w:w="11906" w:h="16838"/>
      <w:pgMar w:top="1417" w:right="1417" w:bottom="1417" w:left="1417" w:header="0" w:footer="708"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0050" w:rsidRDefault="00E20050">
      <w:r>
        <w:separator/>
      </w:r>
    </w:p>
  </w:endnote>
  <w:endnote w:type="continuationSeparator" w:id="0">
    <w:p w:rsidR="00E20050" w:rsidRDefault="00E20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EE"/>
    <w:family w:val="auto"/>
    <w:notTrueType/>
    <w:pitch w:val="default"/>
    <w:sig w:usb0="00000001" w:usb1="00000000" w:usb2="00000000" w:usb3="00000000" w:csb0="00000003" w:csb1="00000000"/>
  </w:font>
  <w:font w:name="EU Albertina">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6BCF" w:rsidRDefault="001647A6">
    <w:pPr>
      <w:pStyle w:val="Noga"/>
      <w:jc w:val="right"/>
    </w:pPr>
    <w:r>
      <w:rPr>
        <w:noProof/>
      </w:rPr>
      <w:fldChar w:fldCharType="begin"/>
    </w:r>
    <w:r>
      <w:rPr>
        <w:noProof/>
      </w:rPr>
      <w:instrText>PAGE</w:instrText>
    </w:r>
    <w:r>
      <w:rPr>
        <w:noProof/>
      </w:rPr>
      <w:fldChar w:fldCharType="separate"/>
    </w:r>
    <w:r>
      <w:rPr>
        <w:noProof/>
      </w:rPr>
      <w:t>1</w:t>
    </w:r>
    <w:r>
      <w:rPr>
        <w:noProof/>
      </w:rPr>
      <w:fldChar w:fldCharType="end"/>
    </w:r>
  </w:p>
  <w:p w:rsidR="00BF6BCF" w:rsidRDefault="00BF6BC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0050" w:rsidRDefault="00E20050">
      <w:r>
        <w:separator/>
      </w:r>
    </w:p>
  </w:footnote>
  <w:footnote w:type="continuationSeparator" w:id="0">
    <w:p w:rsidR="00E20050" w:rsidRDefault="00E200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E5AA8"/>
    <w:multiLevelType w:val="multilevel"/>
    <w:tmpl w:val="E4AC391A"/>
    <w:lvl w:ilvl="0">
      <w:start w:val="1"/>
      <w:numFmt w:val="decimal"/>
      <w:lvlText w:val="%1."/>
      <w:lvlJc w:val="left"/>
      <w:pPr>
        <w:tabs>
          <w:tab w:val="num" w:pos="0"/>
        </w:tabs>
        <w:ind w:left="360" w:firstLine="0"/>
      </w:pPr>
      <w:rPr>
        <w:rFonts w:ascii="Arial" w:eastAsia="Times New Roman" w:hAnsi="Arial" w:cs="Arial"/>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3ED3A1B"/>
    <w:multiLevelType w:val="multilevel"/>
    <w:tmpl w:val="C2468CD8"/>
    <w:lvl w:ilvl="0">
      <w:start w:val="1"/>
      <w:numFmt w:val="bullet"/>
      <w:pStyle w:val="Rimskatevilnatoka"/>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4F85B31"/>
    <w:multiLevelType w:val="multilevel"/>
    <w:tmpl w:val="6E5E8A38"/>
    <w:lvl w:ilvl="0">
      <w:start w:val="1"/>
      <w:numFmt w:val="decimal"/>
      <w:lvlText w:val="%1."/>
      <w:lvlJc w:val="left"/>
      <w:pPr>
        <w:tabs>
          <w:tab w:val="num" w:pos="65"/>
        </w:tabs>
        <w:ind w:left="785" w:hanging="360"/>
      </w:pPr>
      <w:rPr>
        <w:rFonts w:hint="default"/>
      </w:rPr>
    </w:lvl>
    <w:lvl w:ilvl="1">
      <w:start w:val="1"/>
      <w:numFmt w:val="bullet"/>
      <w:lvlText w:val="o"/>
      <w:lvlJc w:val="left"/>
      <w:pPr>
        <w:tabs>
          <w:tab w:val="num" w:pos="65"/>
        </w:tabs>
        <w:ind w:left="1505" w:hanging="360"/>
      </w:pPr>
      <w:rPr>
        <w:rFonts w:ascii="Courier New" w:hAnsi="Courier New" w:cs="Courier New" w:hint="default"/>
      </w:rPr>
    </w:lvl>
    <w:lvl w:ilvl="2">
      <w:start w:val="1"/>
      <w:numFmt w:val="bullet"/>
      <w:lvlText w:val=""/>
      <w:lvlJc w:val="left"/>
      <w:pPr>
        <w:tabs>
          <w:tab w:val="num" w:pos="65"/>
        </w:tabs>
        <w:ind w:left="2225" w:hanging="360"/>
      </w:pPr>
      <w:rPr>
        <w:rFonts w:ascii="Wingdings" w:hAnsi="Wingdings" w:cs="Wingdings" w:hint="default"/>
      </w:rPr>
    </w:lvl>
    <w:lvl w:ilvl="3">
      <w:start w:val="1"/>
      <w:numFmt w:val="bullet"/>
      <w:lvlText w:val=""/>
      <w:lvlJc w:val="left"/>
      <w:pPr>
        <w:tabs>
          <w:tab w:val="num" w:pos="65"/>
        </w:tabs>
        <w:ind w:left="2945" w:hanging="360"/>
      </w:pPr>
      <w:rPr>
        <w:rFonts w:ascii="Symbol" w:hAnsi="Symbol" w:cs="Symbol" w:hint="default"/>
      </w:rPr>
    </w:lvl>
    <w:lvl w:ilvl="4">
      <w:start w:val="1"/>
      <w:numFmt w:val="bullet"/>
      <w:lvlText w:val="o"/>
      <w:lvlJc w:val="left"/>
      <w:pPr>
        <w:tabs>
          <w:tab w:val="num" w:pos="65"/>
        </w:tabs>
        <w:ind w:left="3665" w:hanging="360"/>
      </w:pPr>
      <w:rPr>
        <w:rFonts w:ascii="Courier New" w:hAnsi="Courier New" w:cs="Courier New" w:hint="default"/>
      </w:rPr>
    </w:lvl>
    <w:lvl w:ilvl="5">
      <w:start w:val="1"/>
      <w:numFmt w:val="bullet"/>
      <w:lvlText w:val=""/>
      <w:lvlJc w:val="left"/>
      <w:pPr>
        <w:tabs>
          <w:tab w:val="num" w:pos="65"/>
        </w:tabs>
        <w:ind w:left="4385" w:hanging="360"/>
      </w:pPr>
      <w:rPr>
        <w:rFonts w:ascii="Wingdings" w:hAnsi="Wingdings" w:cs="Wingdings" w:hint="default"/>
      </w:rPr>
    </w:lvl>
    <w:lvl w:ilvl="6">
      <w:start w:val="1"/>
      <w:numFmt w:val="bullet"/>
      <w:lvlText w:val=""/>
      <w:lvlJc w:val="left"/>
      <w:pPr>
        <w:tabs>
          <w:tab w:val="num" w:pos="65"/>
        </w:tabs>
        <w:ind w:left="5105" w:hanging="360"/>
      </w:pPr>
      <w:rPr>
        <w:rFonts w:ascii="Symbol" w:hAnsi="Symbol" w:cs="Symbol" w:hint="default"/>
      </w:rPr>
    </w:lvl>
    <w:lvl w:ilvl="7">
      <w:start w:val="1"/>
      <w:numFmt w:val="bullet"/>
      <w:lvlText w:val="o"/>
      <w:lvlJc w:val="left"/>
      <w:pPr>
        <w:tabs>
          <w:tab w:val="num" w:pos="65"/>
        </w:tabs>
        <w:ind w:left="5825" w:hanging="360"/>
      </w:pPr>
      <w:rPr>
        <w:rFonts w:ascii="Courier New" w:hAnsi="Courier New" w:cs="Courier New" w:hint="default"/>
      </w:rPr>
    </w:lvl>
    <w:lvl w:ilvl="8">
      <w:start w:val="1"/>
      <w:numFmt w:val="bullet"/>
      <w:lvlText w:val=""/>
      <w:lvlJc w:val="left"/>
      <w:pPr>
        <w:tabs>
          <w:tab w:val="num" w:pos="65"/>
        </w:tabs>
        <w:ind w:left="6545" w:hanging="360"/>
      </w:pPr>
      <w:rPr>
        <w:rFonts w:ascii="Wingdings" w:hAnsi="Wingdings" w:cs="Wingdings" w:hint="default"/>
      </w:rPr>
    </w:lvl>
  </w:abstractNum>
  <w:abstractNum w:abstractNumId="3" w15:restartNumberingAfterBreak="0">
    <w:nsid w:val="07E915DA"/>
    <w:multiLevelType w:val="multilevel"/>
    <w:tmpl w:val="1674DD1C"/>
    <w:lvl w:ilvl="0">
      <w:start w:val="4"/>
      <w:numFmt w:val="bullet"/>
      <w:lvlText w:val="-"/>
      <w:lvlJc w:val="left"/>
      <w:pPr>
        <w:tabs>
          <w:tab w:val="num" w:pos="65"/>
        </w:tabs>
        <w:ind w:left="785" w:hanging="360"/>
      </w:pPr>
      <w:rPr>
        <w:rFonts w:ascii="Arial" w:hAnsi="Arial" w:cs="Arial" w:hint="default"/>
      </w:rPr>
    </w:lvl>
    <w:lvl w:ilvl="1">
      <w:start w:val="1"/>
      <w:numFmt w:val="bullet"/>
      <w:lvlText w:val="o"/>
      <w:lvlJc w:val="left"/>
      <w:pPr>
        <w:tabs>
          <w:tab w:val="num" w:pos="65"/>
        </w:tabs>
        <w:ind w:left="1505" w:hanging="360"/>
      </w:pPr>
      <w:rPr>
        <w:rFonts w:ascii="Courier New" w:hAnsi="Courier New" w:cs="Courier New" w:hint="default"/>
      </w:rPr>
    </w:lvl>
    <w:lvl w:ilvl="2">
      <w:start w:val="1"/>
      <w:numFmt w:val="bullet"/>
      <w:lvlText w:val=""/>
      <w:lvlJc w:val="left"/>
      <w:pPr>
        <w:tabs>
          <w:tab w:val="num" w:pos="65"/>
        </w:tabs>
        <w:ind w:left="2225" w:hanging="360"/>
      </w:pPr>
      <w:rPr>
        <w:rFonts w:ascii="Wingdings" w:hAnsi="Wingdings" w:cs="Wingdings" w:hint="default"/>
      </w:rPr>
    </w:lvl>
    <w:lvl w:ilvl="3">
      <w:start w:val="1"/>
      <w:numFmt w:val="bullet"/>
      <w:lvlText w:val=""/>
      <w:lvlJc w:val="left"/>
      <w:pPr>
        <w:tabs>
          <w:tab w:val="num" w:pos="65"/>
        </w:tabs>
        <w:ind w:left="2945" w:hanging="360"/>
      </w:pPr>
      <w:rPr>
        <w:rFonts w:ascii="Symbol" w:hAnsi="Symbol" w:cs="Symbol" w:hint="default"/>
      </w:rPr>
    </w:lvl>
    <w:lvl w:ilvl="4">
      <w:start w:val="1"/>
      <w:numFmt w:val="bullet"/>
      <w:lvlText w:val="o"/>
      <w:lvlJc w:val="left"/>
      <w:pPr>
        <w:tabs>
          <w:tab w:val="num" w:pos="65"/>
        </w:tabs>
        <w:ind w:left="3665" w:hanging="360"/>
      </w:pPr>
      <w:rPr>
        <w:rFonts w:ascii="Courier New" w:hAnsi="Courier New" w:cs="Courier New" w:hint="default"/>
      </w:rPr>
    </w:lvl>
    <w:lvl w:ilvl="5">
      <w:start w:val="1"/>
      <w:numFmt w:val="bullet"/>
      <w:lvlText w:val=""/>
      <w:lvlJc w:val="left"/>
      <w:pPr>
        <w:tabs>
          <w:tab w:val="num" w:pos="65"/>
        </w:tabs>
        <w:ind w:left="4385" w:hanging="360"/>
      </w:pPr>
      <w:rPr>
        <w:rFonts w:ascii="Wingdings" w:hAnsi="Wingdings" w:cs="Wingdings" w:hint="default"/>
      </w:rPr>
    </w:lvl>
    <w:lvl w:ilvl="6">
      <w:start w:val="1"/>
      <w:numFmt w:val="bullet"/>
      <w:lvlText w:val=""/>
      <w:lvlJc w:val="left"/>
      <w:pPr>
        <w:tabs>
          <w:tab w:val="num" w:pos="65"/>
        </w:tabs>
        <w:ind w:left="5105" w:hanging="360"/>
      </w:pPr>
      <w:rPr>
        <w:rFonts w:ascii="Symbol" w:hAnsi="Symbol" w:cs="Symbol" w:hint="default"/>
      </w:rPr>
    </w:lvl>
    <w:lvl w:ilvl="7">
      <w:start w:val="1"/>
      <w:numFmt w:val="bullet"/>
      <w:lvlText w:val="o"/>
      <w:lvlJc w:val="left"/>
      <w:pPr>
        <w:tabs>
          <w:tab w:val="num" w:pos="65"/>
        </w:tabs>
        <w:ind w:left="5825" w:hanging="360"/>
      </w:pPr>
      <w:rPr>
        <w:rFonts w:ascii="Courier New" w:hAnsi="Courier New" w:cs="Courier New" w:hint="default"/>
      </w:rPr>
    </w:lvl>
    <w:lvl w:ilvl="8">
      <w:start w:val="1"/>
      <w:numFmt w:val="bullet"/>
      <w:lvlText w:val=""/>
      <w:lvlJc w:val="left"/>
      <w:pPr>
        <w:tabs>
          <w:tab w:val="num" w:pos="65"/>
        </w:tabs>
        <w:ind w:left="6545" w:hanging="360"/>
      </w:pPr>
      <w:rPr>
        <w:rFonts w:ascii="Wingdings" w:hAnsi="Wingdings" w:cs="Wingdings" w:hint="default"/>
      </w:rPr>
    </w:lvl>
  </w:abstractNum>
  <w:abstractNum w:abstractNumId="4" w15:restartNumberingAfterBreak="0">
    <w:nsid w:val="0C67704E"/>
    <w:multiLevelType w:val="multilevel"/>
    <w:tmpl w:val="6422D9C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CC6308A"/>
    <w:multiLevelType w:val="multilevel"/>
    <w:tmpl w:val="919ED218"/>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D582DCE"/>
    <w:multiLevelType w:val="multilevel"/>
    <w:tmpl w:val="C43CB136"/>
    <w:lvl w:ilvl="0">
      <w:start w:val="2"/>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13B53308"/>
    <w:multiLevelType w:val="multilevel"/>
    <w:tmpl w:val="CA165724"/>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5337DB5"/>
    <w:multiLevelType w:val="multilevel"/>
    <w:tmpl w:val="DED2C4B6"/>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172C2AA7"/>
    <w:multiLevelType w:val="multilevel"/>
    <w:tmpl w:val="110AF15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193B3199"/>
    <w:multiLevelType w:val="multilevel"/>
    <w:tmpl w:val="E6C6D530"/>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267B05F7"/>
    <w:multiLevelType w:val="multilevel"/>
    <w:tmpl w:val="0C4C0068"/>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2" w15:restartNumberingAfterBreak="0">
    <w:nsid w:val="26D625D7"/>
    <w:multiLevelType w:val="multilevel"/>
    <w:tmpl w:val="C8F4CA0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28F74B82"/>
    <w:multiLevelType w:val="multilevel"/>
    <w:tmpl w:val="F5880B10"/>
    <w:lvl w:ilvl="0">
      <w:start w:val="1"/>
      <w:numFmt w:val="decimal"/>
      <w:lvlText w:val="%1."/>
      <w:lvlJc w:val="left"/>
      <w:pPr>
        <w:tabs>
          <w:tab w:val="num" w:pos="65"/>
        </w:tabs>
        <w:ind w:left="785" w:hanging="360"/>
      </w:pPr>
      <w:rPr>
        <w:rFonts w:hint="default"/>
      </w:rPr>
    </w:lvl>
    <w:lvl w:ilvl="1">
      <w:start w:val="1"/>
      <w:numFmt w:val="bullet"/>
      <w:lvlText w:val="o"/>
      <w:lvlJc w:val="left"/>
      <w:pPr>
        <w:tabs>
          <w:tab w:val="num" w:pos="65"/>
        </w:tabs>
        <w:ind w:left="1505" w:hanging="360"/>
      </w:pPr>
      <w:rPr>
        <w:rFonts w:ascii="Courier New" w:hAnsi="Courier New" w:cs="Courier New" w:hint="default"/>
      </w:rPr>
    </w:lvl>
    <w:lvl w:ilvl="2">
      <w:start w:val="1"/>
      <w:numFmt w:val="bullet"/>
      <w:lvlText w:val=""/>
      <w:lvlJc w:val="left"/>
      <w:pPr>
        <w:tabs>
          <w:tab w:val="num" w:pos="65"/>
        </w:tabs>
        <w:ind w:left="2225" w:hanging="360"/>
      </w:pPr>
      <w:rPr>
        <w:rFonts w:ascii="Wingdings" w:hAnsi="Wingdings" w:cs="Wingdings" w:hint="default"/>
      </w:rPr>
    </w:lvl>
    <w:lvl w:ilvl="3">
      <w:start w:val="1"/>
      <w:numFmt w:val="bullet"/>
      <w:lvlText w:val=""/>
      <w:lvlJc w:val="left"/>
      <w:pPr>
        <w:tabs>
          <w:tab w:val="num" w:pos="65"/>
        </w:tabs>
        <w:ind w:left="2945" w:hanging="360"/>
      </w:pPr>
      <w:rPr>
        <w:rFonts w:ascii="Symbol" w:hAnsi="Symbol" w:cs="Symbol" w:hint="default"/>
      </w:rPr>
    </w:lvl>
    <w:lvl w:ilvl="4">
      <w:start w:val="1"/>
      <w:numFmt w:val="bullet"/>
      <w:lvlText w:val="o"/>
      <w:lvlJc w:val="left"/>
      <w:pPr>
        <w:tabs>
          <w:tab w:val="num" w:pos="65"/>
        </w:tabs>
        <w:ind w:left="3665" w:hanging="360"/>
      </w:pPr>
      <w:rPr>
        <w:rFonts w:ascii="Courier New" w:hAnsi="Courier New" w:cs="Courier New" w:hint="default"/>
      </w:rPr>
    </w:lvl>
    <w:lvl w:ilvl="5">
      <w:start w:val="1"/>
      <w:numFmt w:val="bullet"/>
      <w:lvlText w:val=""/>
      <w:lvlJc w:val="left"/>
      <w:pPr>
        <w:tabs>
          <w:tab w:val="num" w:pos="65"/>
        </w:tabs>
        <w:ind w:left="4385" w:hanging="360"/>
      </w:pPr>
      <w:rPr>
        <w:rFonts w:ascii="Wingdings" w:hAnsi="Wingdings" w:cs="Wingdings" w:hint="default"/>
      </w:rPr>
    </w:lvl>
    <w:lvl w:ilvl="6">
      <w:start w:val="1"/>
      <w:numFmt w:val="bullet"/>
      <w:lvlText w:val=""/>
      <w:lvlJc w:val="left"/>
      <w:pPr>
        <w:tabs>
          <w:tab w:val="num" w:pos="65"/>
        </w:tabs>
        <w:ind w:left="5105" w:hanging="360"/>
      </w:pPr>
      <w:rPr>
        <w:rFonts w:ascii="Symbol" w:hAnsi="Symbol" w:cs="Symbol" w:hint="default"/>
      </w:rPr>
    </w:lvl>
    <w:lvl w:ilvl="7">
      <w:start w:val="1"/>
      <w:numFmt w:val="bullet"/>
      <w:lvlText w:val="o"/>
      <w:lvlJc w:val="left"/>
      <w:pPr>
        <w:tabs>
          <w:tab w:val="num" w:pos="65"/>
        </w:tabs>
        <w:ind w:left="5825" w:hanging="360"/>
      </w:pPr>
      <w:rPr>
        <w:rFonts w:ascii="Courier New" w:hAnsi="Courier New" w:cs="Courier New" w:hint="default"/>
      </w:rPr>
    </w:lvl>
    <w:lvl w:ilvl="8">
      <w:start w:val="1"/>
      <w:numFmt w:val="bullet"/>
      <w:lvlText w:val=""/>
      <w:lvlJc w:val="left"/>
      <w:pPr>
        <w:tabs>
          <w:tab w:val="num" w:pos="65"/>
        </w:tabs>
        <w:ind w:left="6545" w:hanging="360"/>
      </w:pPr>
      <w:rPr>
        <w:rFonts w:ascii="Wingdings" w:hAnsi="Wingdings" w:cs="Wingdings" w:hint="default"/>
      </w:rPr>
    </w:lvl>
  </w:abstractNum>
  <w:abstractNum w:abstractNumId="14" w15:restartNumberingAfterBreak="0">
    <w:nsid w:val="2F451E67"/>
    <w:multiLevelType w:val="multilevel"/>
    <w:tmpl w:val="02A838E0"/>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15:restartNumberingAfterBreak="0">
    <w:nsid w:val="30585D5F"/>
    <w:multiLevelType w:val="multilevel"/>
    <w:tmpl w:val="A530BEE0"/>
    <w:lvl w:ilvl="0">
      <w:start w:val="4"/>
      <w:numFmt w:val="bullet"/>
      <w:lvlText w:val="-"/>
      <w:lvlJc w:val="left"/>
      <w:pPr>
        <w:tabs>
          <w:tab w:val="num" w:pos="0"/>
        </w:tabs>
        <w:ind w:left="360" w:firstLine="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38C056F5"/>
    <w:multiLevelType w:val="multilevel"/>
    <w:tmpl w:val="7EB69C6C"/>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38D16E9F"/>
    <w:multiLevelType w:val="hybridMultilevel"/>
    <w:tmpl w:val="267CEAAE"/>
    <w:lvl w:ilvl="0" w:tplc="41B0527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9BB7C9F"/>
    <w:multiLevelType w:val="multilevel"/>
    <w:tmpl w:val="617EA0F2"/>
    <w:lvl w:ilvl="0">
      <w:start w:val="1"/>
      <w:numFmt w:val="decimal"/>
      <w:pStyle w:val="NASLOV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3A9A6A1A"/>
    <w:multiLevelType w:val="hybridMultilevel"/>
    <w:tmpl w:val="59CA04C6"/>
    <w:lvl w:ilvl="0" w:tplc="41B0527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AE3677C"/>
    <w:multiLevelType w:val="multilevel"/>
    <w:tmpl w:val="A5A64ADE"/>
    <w:lvl w:ilvl="0">
      <w:numFmt w:val="bullet"/>
      <w:pStyle w:val="Alinea"/>
      <w:lvlText w:val="-"/>
      <w:lvlJc w:val="left"/>
      <w:pPr>
        <w:tabs>
          <w:tab w:val="num" w:pos="360"/>
        </w:tabs>
        <w:ind w:left="360" w:hanging="360"/>
      </w:pPr>
      <w:rPr>
        <w:rFonts w:ascii="Times New Roman" w:hAnsi="Times New Roman" w:cs="Times New Roman" w:hint="default"/>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44BF2217"/>
    <w:multiLevelType w:val="hybridMultilevel"/>
    <w:tmpl w:val="1C265128"/>
    <w:lvl w:ilvl="0" w:tplc="8D1007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71814AD"/>
    <w:multiLevelType w:val="hybridMultilevel"/>
    <w:tmpl w:val="4C5CC4F4"/>
    <w:lvl w:ilvl="0" w:tplc="D34CA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BB03B1"/>
    <w:multiLevelType w:val="multilevel"/>
    <w:tmpl w:val="81ECB356"/>
    <w:lvl w:ilvl="0">
      <w:start w:val="1"/>
      <w:numFmt w:val="decimal"/>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A1555A7"/>
    <w:multiLevelType w:val="multilevel"/>
    <w:tmpl w:val="61E855AC"/>
    <w:lvl w:ilvl="0">
      <w:start w:val="1"/>
      <w:numFmt w:val="lowerLetter"/>
      <w:pStyle w:val="rkovnatokazaodstavkom"/>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25" w15:restartNumberingAfterBreak="0">
    <w:nsid w:val="4DF278DC"/>
    <w:multiLevelType w:val="hybridMultilevel"/>
    <w:tmpl w:val="9C48F97A"/>
    <w:lvl w:ilvl="0" w:tplc="A440AC9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EFD18C3"/>
    <w:multiLevelType w:val="hybridMultilevel"/>
    <w:tmpl w:val="FA52CD4A"/>
    <w:lvl w:ilvl="0" w:tplc="546073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A0451"/>
    <w:multiLevelType w:val="multilevel"/>
    <w:tmpl w:val="9F82AB2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54F464A5"/>
    <w:multiLevelType w:val="multilevel"/>
    <w:tmpl w:val="AC0E4766"/>
    <w:lvl w:ilvl="0">
      <w:start w:val="1"/>
      <w:numFmt w:val="decimal"/>
      <w:pStyle w:val="Naslov5"/>
      <w:lvlText w:val="%1."/>
      <w:lvlJc w:val="left"/>
      <w:pPr>
        <w:tabs>
          <w:tab w:val="num" w:pos="0"/>
        </w:tabs>
        <w:ind w:left="447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9" w15:restartNumberingAfterBreak="0">
    <w:nsid w:val="59DC0EC0"/>
    <w:multiLevelType w:val="hybridMultilevel"/>
    <w:tmpl w:val="14623F90"/>
    <w:lvl w:ilvl="0" w:tplc="41B0527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F4232CD"/>
    <w:multiLevelType w:val="hybridMultilevel"/>
    <w:tmpl w:val="3E8AA078"/>
    <w:lvl w:ilvl="0" w:tplc="AA7E58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167FE8"/>
    <w:multiLevelType w:val="multilevel"/>
    <w:tmpl w:val="774C3474"/>
    <w:lvl w:ilvl="0">
      <w:numFmt w:val="bullet"/>
      <w:lvlText w:val="-"/>
      <w:lvlJc w:val="left"/>
      <w:pPr>
        <w:tabs>
          <w:tab w:val="num" w:pos="0"/>
        </w:tabs>
        <w:ind w:left="1068" w:hanging="360"/>
      </w:pPr>
      <w:rPr>
        <w:rFonts w:ascii="Calibri" w:eastAsiaTheme="minorHAnsi" w:hAnsi="Calibri" w:cs="Calibri" w:hint="default"/>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32" w15:restartNumberingAfterBreak="0">
    <w:nsid w:val="6A033AAA"/>
    <w:multiLevelType w:val="multilevel"/>
    <w:tmpl w:val="8A683F3A"/>
    <w:lvl w:ilvl="0">
      <w:start w:val="4"/>
      <w:numFmt w:val="bullet"/>
      <w:lvlText w:val="-"/>
      <w:lvlJc w:val="left"/>
      <w:pPr>
        <w:tabs>
          <w:tab w:val="num" w:pos="0"/>
        </w:tabs>
        <w:ind w:left="720" w:hanging="360"/>
      </w:pPr>
      <w:rPr>
        <w:rFonts w:ascii="Arial" w:hAnsi="Arial" w:cs="Arial"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15:restartNumberingAfterBreak="0">
    <w:nsid w:val="6B73567B"/>
    <w:multiLevelType w:val="hybridMultilevel"/>
    <w:tmpl w:val="EE641C22"/>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4" w15:restartNumberingAfterBreak="0">
    <w:nsid w:val="6BED416B"/>
    <w:multiLevelType w:val="multilevel"/>
    <w:tmpl w:val="CF6C1538"/>
    <w:lvl w:ilvl="0">
      <w:start w:val="1"/>
      <w:numFmt w:val="decimal"/>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5" w15:restartNumberingAfterBreak="0">
    <w:nsid w:val="6D040373"/>
    <w:multiLevelType w:val="multilevel"/>
    <w:tmpl w:val="EF3A1482"/>
    <w:lvl w:ilvl="0">
      <w:start w:val="3"/>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6" w15:restartNumberingAfterBreak="0">
    <w:nsid w:val="712433FB"/>
    <w:multiLevelType w:val="multilevel"/>
    <w:tmpl w:val="D4986EBC"/>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7" w15:restartNumberingAfterBreak="0">
    <w:nsid w:val="75E64ECC"/>
    <w:multiLevelType w:val="multilevel"/>
    <w:tmpl w:val="377C12E0"/>
    <w:lvl w:ilvl="0">
      <w:start w:val="1"/>
      <w:numFmt w:val="decimal"/>
      <w:lvlText w:val="%1."/>
      <w:lvlJc w:val="left"/>
      <w:pPr>
        <w:tabs>
          <w:tab w:val="num" w:pos="0"/>
        </w:tabs>
        <w:ind w:left="360" w:firstLine="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78EE08BA"/>
    <w:multiLevelType w:val="multilevel"/>
    <w:tmpl w:val="D140FFE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28"/>
  </w:num>
  <w:num w:numId="2">
    <w:abstractNumId w:val="20"/>
  </w:num>
  <w:num w:numId="3">
    <w:abstractNumId w:val="18"/>
  </w:num>
  <w:num w:numId="4">
    <w:abstractNumId w:val="35"/>
  </w:num>
  <w:num w:numId="5">
    <w:abstractNumId w:val="4"/>
  </w:num>
  <w:num w:numId="6">
    <w:abstractNumId w:val="6"/>
  </w:num>
  <w:num w:numId="7">
    <w:abstractNumId w:val="36"/>
  </w:num>
  <w:num w:numId="8">
    <w:abstractNumId w:val="24"/>
  </w:num>
  <w:num w:numId="9">
    <w:abstractNumId w:val="1"/>
  </w:num>
  <w:num w:numId="10">
    <w:abstractNumId w:val="38"/>
  </w:num>
  <w:num w:numId="11">
    <w:abstractNumId w:val="10"/>
  </w:num>
  <w:num w:numId="12">
    <w:abstractNumId w:val="5"/>
  </w:num>
  <w:num w:numId="13">
    <w:abstractNumId w:val="16"/>
  </w:num>
  <w:num w:numId="14">
    <w:abstractNumId w:val="14"/>
  </w:num>
  <w:num w:numId="15">
    <w:abstractNumId w:val="11"/>
  </w:num>
  <w:num w:numId="16">
    <w:abstractNumId w:val="3"/>
  </w:num>
  <w:num w:numId="17">
    <w:abstractNumId w:val="8"/>
  </w:num>
  <w:num w:numId="18">
    <w:abstractNumId w:val="0"/>
  </w:num>
  <w:num w:numId="19">
    <w:abstractNumId w:val="32"/>
  </w:num>
  <w:num w:numId="20">
    <w:abstractNumId w:val="37"/>
  </w:num>
  <w:num w:numId="21">
    <w:abstractNumId w:val="15"/>
  </w:num>
  <w:num w:numId="22">
    <w:abstractNumId w:val="9"/>
  </w:num>
  <w:num w:numId="23">
    <w:abstractNumId w:val="7"/>
  </w:num>
  <w:num w:numId="24">
    <w:abstractNumId w:val="27"/>
  </w:num>
  <w:num w:numId="25">
    <w:abstractNumId w:val="33"/>
  </w:num>
  <w:num w:numId="26">
    <w:abstractNumId w:val="12"/>
  </w:num>
  <w:num w:numId="27">
    <w:abstractNumId w:val="34"/>
  </w:num>
  <w:num w:numId="28">
    <w:abstractNumId w:val="23"/>
  </w:num>
  <w:num w:numId="29">
    <w:abstractNumId w:val="31"/>
  </w:num>
  <w:num w:numId="30">
    <w:abstractNumId w:val="22"/>
  </w:num>
  <w:num w:numId="31">
    <w:abstractNumId w:val="2"/>
  </w:num>
  <w:num w:numId="32">
    <w:abstractNumId w:val="13"/>
  </w:num>
  <w:num w:numId="33">
    <w:abstractNumId w:val="21"/>
  </w:num>
  <w:num w:numId="34">
    <w:abstractNumId w:val="19"/>
  </w:num>
  <w:num w:numId="35">
    <w:abstractNumId w:val="30"/>
  </w:num>
  <w:num w:numId="36">
    <w:abstractNumId w:val="17"/>
  </w:num>
  <w:num w:numId="37">
    <w:abstractNumId w:val="25"/>
  </w:num>
  <w:num w:numId="38">
    <w:abstractNumId w:val="29"/>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F2C"/>
    <w:rsid w:val="00033C42"/>
    <w:rsid w:val="00036EF3"/>
    <w:rsid w:val="00057EFF"/>
    <w:rsid w:val="00086B98"/>
    <w:rsid w:val="00090DD9"/>
    <w:rsid w:val="000A6C0F"/>
    <w:rsid w:val="000C0B12"/>
    <w:rsid w:val="000C5681"/>
    <w:rsid w:val="000D4ADB"/>
    <w:rsid w:val="000E790C"/>
    <w:rsid w:val="000F2BF5"/>
    <w:rsid w:val="000F5146"/>
    <w:rsid w:val="00115BCB"/>
    <w:rsid w:val="0013044D"/>
    <w:rsid w:val="001347C4"/>
    <w:rsid w:val="00136A49"/>
    <w:rsid w:val="00150323"/>
    <w:rsid w:val="00155D4E"/>
    <w:rsid w:val="001647A6"/>
    <w:rsid w:val="00164C6A"/>
    <w:rsid w:val="00175F89"/>
    <w:rsid w:val="0018071C"/>
    <w:rsid w:val="00183CF3"/>
    <w:rsid w:val="001B4657"/>
    <w:rsid w:val="001D54CF"/>
    <w:rsid w:val="002044B4"/>
    <w:rsid w:val="002078B8"/>
    <w:rsid w:val="00223B07"/>
    <w:rsid w:val="0023334F"/>
    <w:rsid w:val="00243C9F"/>
    <w:rsid w:val="002476E5"/>
    <w:rsid w:val="00280CBA"/>
    <w:rsid w:val="00294DA0"/>
    <w:rsid w:val="002C798D"/>
    <w:rsid w:val="002E4C06"/>
    <w:rsid w:val="002F0C57"/>
    <w:rsid w:val="00312F1F"/>
    <w:rsid w:val="0031486D"/>
    <w:rsid w:val="00344ECF"/>
    <w:rsid w:val="00380285"/>
    <w:rsid w:val="00387792"/>
    <w:rsid w:val="003A39C9"/>
    <w:rsid w:val="003B3EFF"/>
    <w:rsid w:val="003B47BD"/>
    <w:rsid w:val="003B5FDF"/>
    <w:rsid w:val="003B6173"/>
    <w:rsid w:val="003C31E1"/>
    <w:rsid w:val="003D0F55"/>
    <w:rsid w:val="00400EED"/>
    <w:rsid w:val="00456C58"/>
    <w:rsid w:val="004778CE"/>
    <w:rsid w:val="0048474F"/>
    <w:rsid w:val="00491D00"/>
    <w:rsid w:val="004B4DCB"/>
    <w:rsid w:val="004C2DFD"/>
    <w:rsid w:val="00517658"/>
    <w:rsid w:val="00532F2C"/>
    <w:rsid w:val="005600C3"/>
    <w:rsid w:val="00584298"/>
    <w:rsid w:val="00587697"/>
    <w:rsid w:val="00592FC0"/>
    <w:rsid w:val="00593365"/>
    <w:rsid w:val="005947C0"/>
    <w:rsid w:val="005C1B88"/>
    <w:rsid w:val="005C6485"/>
    <w:rsid w:val="005D12E8"/>
    <w:rsid w:val="005D3093"/>
    <w:rsid w:val="00630B8F"/>
    <w:rsid w:val="00646969"/>
    <w:rsid w:val="00663C01"/>
    <w:rsid w:val="0067554A"/>
    <w:rsid w:val="006A3C36"/>
    <w:rsid w:val="006B0369"/>
    <w:rsid w:val="0070265F"/>
    <w:rsid w:val="007127EC"/>
    <w:rsid w:val="007129F2"/>
    <w:rsid w:val="00742678"/>
    <w:rsid w:val="00743052"/>
    <w:rsid w:val="007628FD"/>
    <w:rsid w:val="00766753"/>
    <w:rsid w:val="007806F3"/>
    <w:rsid w:val="00783E9D"/>
    <w:rsid w:val="0078646F"/>
    <w:rsid w:val="007975E6"/>
    <w:rsid w:val="007978B0"/>
    <w:rsid w:val="007B1F61"/>
    <w:rsid w:val="007D4672"/>
    <w:rsid w:val="007E1EE7"/>
    <w:rsid w:val="007E4A8B"/>
    <w:rsid w:val="00801EA7"/>
    <w:rsid w:val="0080578F"/>
    <w:rsid w:val="008257D1"/>
    <w:rsid w:val="00840F88"/>
    <w:rsid w:val="00845954"/>
    <w:rsid w:val="00874DD4"/>
    <w:rsid w:val="008B6F70"/>
    <w:rsid w:val="008D61D9"/>
    <w:rsid w:val="008E09DC"/>
    <w:rsid w:val="008F3936"/>
    <w:rsid w:val="00913FB1"/>
    <w:rsid w:val="009176BC"/>
    <w:rsid w:val="00956661"/>
    <w:rsid w:val="0097681F"/>
    <w:rsid w:val="009D6978"/>
    <w:rsid w:val="009E585C"/>
    <w:rsid w:val="009F2C01"/>
    <w:rsid w:val="00A14522"/>
    <w:rsid w:val="00A32874"/>
    <w:rsid w:val="00A70002"/>
    <w:rsid w:val="00A91153"/>
    <w:rsid w:val="00A95808"/>
    <w:rsid w:val="00AA478B"/>
    <w:rsid w:val="00AB1F13"/>
    <w:rsid w:val="00AC4442"/>
    <w:rsid w:val="00AD3A59"/>
    <w:rsid w:val="00AE5B38"/>
    <w:rsid w:val="00AE5EE2"/>
    <w:rsid w:val="00B14BB5"/>
    <w:rsid w:val="00B32A71"/>
    <w:rsid w:val="00B37C60"/>
    <w:rsid w:val="00BA51C6"/>
    <w:rsid w:val="00BB32C9"/>
    <w:rsid w:val="00BE7C7F"/>
    <w:rsid w:val="00BF6BCF"/>
    <w:rsid w:val="00BF7564"/>
    <w:rsid w:val="00C279BC"/>
    <w:rsid w:val="00C41B49"/>
    <w:rsid w:val="00C449AF"/>
    <w:rsid w:val="00C80441"/>
    <w:rsid w:val="00C90B81"/>
    <w:rsid w:val="00CA1FAE"/>
    <w:rsid w:val="00CA2077"/>
    <w:rsid w:val="00CA7E14"/>
    <w:rsid w:val="00CB780D"/>
    <w:rsid w:val="00CC2278"/>
    <w:rsid w:val="00D01671"/>
    <w:rsid w:val="00D161F3"/>
    <w:rsid w:val="00D27095"/>
    <w:rsid w:val="00D44DC6"/>
    <w:rsid w:val="00D806E9"/>
    <w:rsid w:val="00DA242C"/>
    <w:rsid w:val="00DB52B3"/>
    <w:rsid w:val="00DD03C4"/>
    <w:rsid w:val="00DE6609"/>
    <w:rsid w:val="00E07864"/>
    <w:rsid w:val="00E20050"/>
    <w:rsid w:val="00E20103"/>
    <w:rsid w:val="00E21343"/>
    <w:rsid w:val="00E25387"/>
    <w:rsid w:val="00E274A9"/>
    <w:rsid w:val="00E3043B"/>
    <w:rsid w:val="00E90723"/>
    <w:rsid w:val="00EC42B5"/>
    <w:rsid w:val="00F0028D"/>
    <w:rsid w:val="00F236B9"/>
    <w:rsid w:val="00F50A80"/>
    <w:rsid w:val="00F560AA"/>
    <w:rsid w:val="00FA670D"/>
    <w:rsid w:val="00FB1424"/>
    <w:rsid w:val="00FC382D"/>
    <w:rsid w:val="00FD67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E78861-A113-44D8-B213-020C68D2E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50ADA"/>
    <w:pPr>
      <w:jc w:val="both"/>
    </w:pPr>
    <w:rPr>
      <w:rFonts w:ascii="Arial" w:hAnsi="Arial" w:cs="Times New Roman"/>
      <w:sz w:val="24"/>
    </w:rPr>
  </w:style>
  <w:style w:type="paragraph" w:styleId="Naslov10">
    <w:name w:val="heading 1"/>
    <w:basedOn w:val="Navaden"/>
    <w:next w:val="Navaden"/>
    <w:link w:val="Naslov1Znak"/>
    <w:autoRedefine/>
    <w:uiPriority w:val="9"/>
    <w:qFormat/>
    <w:rsid w:val="00C50ADA"/>
    <w:pPr>
      <w:ind w:left="3"/>
      <w:jc w:val="center"/>
      <w:outlineLvl w:val="0"/>
    </w:pPr>
    <w:rPr>
      <w:rFonts w:eastAsia="Times New Roman"/>
      <w:b/>
      <w:bCs/>
      <w:szCs w:val="24"/>
    </w:rPr>
  </w:style>
  <w:style w:type="paragraph" w:styleId="Naslov2">
    <w:name w:val="heading 2"/>
    <w:basedOn w:val="Navaden"/>
    <w:next w:val="Navaden"/>
    <w:link w:val="Naslov2Znak"/>
    <w:autoRedefine/>
    <w:uiPriority w:val="9"/>
    <w:qFormat/>
    <w:rsid w:val="0019481F"/>
    <w:pPr>
      <w:keepNext/>
      <w:keepLines/>
      <w:spacing w:before="200"/>
      <w:ind w:left="1080"/>
      <w:jc w:val="center"/>
      <w:outlineLvl w:val="1"/>
    </w:pPr>
    <w:rPr>
      <w:rFonts w:eastAsia="Times New Roman" w:cs="Arial"/>
      <w:b/>
      <w:bCs/>
      <w:sz w:val="22"/>
    </w:rPr>
  </w:style>
  <w:style w:type="paragraph" w:styleId="Naslov3">
    <w:name w:val="heading 3"/>
    <w:basedOn w:val="Navaden"/>
    <w:next w:val="Navaden"/>
    <w:link w:val="Naslov3Znak"/>
    <w:autoRedefine/>
    <w:qFormat/>
    <w:rsid w:val="00C50ADA"/>
    <w:pPr>
      <w:keepNext/>
      <w:keepLines/>
      <w:spacing w:before="200"/>
      <w:contextualSpacing/>
      <w:jc w:val="center"/>
      <w:outlineLvl w:val="2"/>
    </w:pPr>
    <w:rPr>
      <w:b/>
    </w:rPr>
  </w:style>
  <w:style w:type="paragraph" w:styleId="Naslov4">
    <w:name w:val="heading 4"/>
    <w:basedOn w:val="Navaden"/>
    <w:next w:val="Navaden"/>
    <w:link w:val="Naslov4Znak"/>
    <w:uiPriority w:val="9"/>
    <w:unhideWhenUsed/>
    <w:qFormat/>
    <w:rsid w:val="00C50ADA"/>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C50ADA"/>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0"/>
    <w:uiPriority w:val="9"/>
    <w:qFormat/>
    <w:rsid w:val="00C50ADA"/>
    <w:rPr>
      <w:rFonts w:ascii="Arial" w:eastAsia="Times New Roman" w:hAnsi="Arial" w:cs="Times New Roman"/>
      <w:b/>
      <w:bCs/>
      <w:sz w:val="24"/>
      <w:szCs w:val="24"/>
    </w:rPr>
  </w:style>
  <w:style w:type="character" w:customStyle="1" w:styleId="Naslov2Znak">
    <w:name w:val="Naslov 2 Znak"/>
    <w:basedOn w:val="Privzetapisavaodstavka"/>
    <w:link w:val="Naslov2"/>
    <w:uiPriority w:val="9"/>
    <w:qFormat/>
    <w:rsid w:val="0019481F"/>
    <w:rPr>
      <w:rFonts w:ascii="Arial" w:eastAsia="Times New Roman" w:hAnsi="Arial" w:cs="Arial"/>
      <w:b/>
      <w:bCs/>
    </w:rPr>
  </w:style>
  <w:style w:type="character" w:customStyle="1" w:styleId="Naslov3Znak">
    <w:name w:val="Naslov 3 Znak"/>
    <w:basedOn w:val="Privzetapisavaodstavka"/>
    <w:link w:val="Naslov3"/>
    <w:qFormat/>
    <w:rsid w:val="00C50ADA"/>
    <w:rPr>
      <w:rFonts w:ascii="Arial" w:eastAsia="Calibri" w:hAnsi="Arial" w:cs="Times New Roman"/>
      <w:b/>
      <w:sz w:val="24"/>
    </w:rPr>
  </w:style>
  <w:style w:type="character" w:customStyle="1" w:styleId="Naslov4Znak">
    <w:name w:val="Naslov 4 Znak"/>
    <w:basedOn w:val="Privzetapisavaodstavka"/>
    <w:link w:val="Naslov4"/>
    <w:uiPriority w:val="9"/>
    <w:qFormat/>
    <w:rsid w:val="00C50ADA"/>
    <w:rPr>
      <w:rFonts w:ascii="Arial" w:eastAsia="Times New Roman" w:hAnsi="Arial" w:cs="Times New Roman"/>
      <w:b/>
      <w:bCs/>
      <w:szCs w:val="28"/>
    </w:rPr>
  </w:style>
  <w:style w:type="character" w:customStyle="1" w:styleId="Naslov5Znak">
    <w:name w:val="Naslov 5 Znak"/>
    <w:basedOn w:val="Privzetapisavaodstavka"/>
    <w:link w:val="Naslov5"/>
    <w:uiPriority w:val="9"/>
    <w:qFormat/>
    <w:rsid w:val="00C50ADA"/>
    <w:rPr>
      <w:rFonts w:ascii="Arial" w:eastAsia="Times New Roman" w:hAnsi="Arial" w:cs="Times New Roman"/>
      <w:bCs/>
      <w:iCs/>
      <w:sz w:val="24"/>
      <w:szCs w:val="26"/>
    </w:rPr>
  </w:style>
  <w:style w:type="character" w:customStyle="1" w:styleId="OdstavekseznamaZnak">
    <w:name w:val="Odstavek seznama Znak"/>
    <w:link w:val="Odstavekseznama"/>
    <w:uiPriority w:val="34"/>
    <w:qFormat/>
    <w:rsid w:val="00C50ADA"/>
    <w:rPr>
      <w:rFonts w:ascii="Arial" w:eastAsia="Calibri" w:hAnsi="Arial" w:cs="Times New Roman"/>
      <w:sz w:val="24"/>
      <w:szCs w:val="20"/>
    </w:rPr>
  </w:style>
  <w:style w:type="character" w:customStyle="1" w:styleId="OdstavkilenovZnak1">
    <w:name w:val="Odstavki členov Znak1"/>
    <w:link w:val="Odstavkilenov"/>
    <w:qFormat/>
    <w:rsid w:val="00C50ADA"/>
    <w:rPr>
      <w:rFonts w:ascii="Arial" w:eastAsia="Calibri" w:hAnsi="Arial" w:cs="Times New Roman"/>
      <w:sz w:val="24"/>
      <w:szCs w:val="20"/>
    </w:rPr>
  </w:style>
  <w:style w:type="character" w:customStyle="1" w:styleId="OdstavkilenaZnak">
    <w:name w:val="Odstavki člena Znak"/>
    <w:link w:val="Odstavkilena"/>
    <w:qFormat/>
    <w:rsid w:val="00C50ADA"/>
    <w:rPr>
      <w:rFonts w:ascii="Arial" w:eastAsia="Calibri" w:hAnsi="Arial" w:cs="Times New Roman"/>
      <w:sz w:val="24"/>
      <w:szCs w:val="20"/>
    </w:rPr>
  </w:style>
  <w:style w:type="character" w:customStyle="1" w:styleId="OdstavkilenovZnak">
    <w:name w:val="Odstavki členov Znak"/>
    <w:qFormat/>
    <w:rsid w:val="00C50ADA"/>
    <w:rPr>
      <w:rFonts w:ascii="Arial" w:hAnsi="Arial"/>
      <w:sz w:val="24"/>
    </w:rPr>
  </w:style>
  <w:style w:type="character" w:customStyle="1" w:styleId="GlavaZnak">
    <w:name w:val="Glava Znak"/>
    <w:basedOn w:val="Privzetapisavaodstavka"/>
    <w:link w:val="Glava"/>
    <w:qFormat/>
    <w:rsid w:val="00C50ADA"/>
    <w:rPr>
      <w:rFonts w:ascii="Arial" w:eastAsia="Calibri" w:hAnsi="Arial" w:cs="Times New Roman"/>
      <w:sz w:val="24"/>
      <w:szCs w:val="20"/>
    </w:rPr>
  </w:style>
  <w:style w:type="character" w:customStyle="1" w:styleId="NogaZnak">
    <w:name w:val="Noga Znak"/>
    <w:basedOn w:val="Privzetapisavaodstavka"/>
    <w:link w:val="Noga"/>
    <w:qFormat/>
    <w:rsid w:val="00C50ADA"/>
    <w:rPr>
      <w:rFonts w:ascii="Arial" w:eastAsia="Calibri" w:hAnsi="Arial" w:cs="Times New Roman"/>
      <w:sz w:val="24"/>
      <w:szCs w:val="20"/>
    </w:rPr>
  </w:style>
  <w:style w:type="character" w:customStyle="1" w:styleId="Sprotnaopomba-besediloZnak">
    <w:name w:val="Sprotna opomba - besedilo Znak"/>
    <w:basedOn w:val="Privzetapisavaodstavka"/>
    <w:uiPriority w:val="99"/>
    <w:qFormat/>
    <w:rsid w:val="00C50ADA"/>
    <w:rPr>
      <w:rFonts w:ascii="Arial" w:eastAsia="Calibri" w:hAnsi="Arial" w:cs="Times New Roman"/>
      <w:sz w:val="20"/>
      <w:szCs w:val="20"/>
    </w:rPr>
  </w:style>
  <w:style w:type="character" w:customStyle="1" w:styleId="Sidrosprotneopombe">
    <w:name w:val="Sidro sprotne opombe"/>
    <w:rsid w:val="00AA478B"/>
    <w:rPr>
      <w:vertAlign w:val="superscript"/>
    </w:rPr>
  </w:style>
  <w:style w:type="character" w:customStyle="1" w:styleId="FootnoteCharacters">
    <w:name w:val="Footnote Characters"/>
    <w:uiPriority w:val="99"/>
    <w:unhideWhenUsed/>
    <w:qFormat/>
    <w:rsid w:val="00C50ADA"/>
    <w:rPr>
      <w:vertAlign w:val="superscript"/>
    </w:rPr>
  </w:style>
  <w:style w:type="character" w:styleId="Pripombasklic">
    <w:name w:val="annotation reference"/>
    <w:uiPriority w:val="99"/>
    <w:unhideWhenUsed/>
    <w:qFormat/>
    <w:rsid w:val="00C50ADA"/>
    <w:rPr>
      <w:sz w:val="16"/>
      <w:szCs w:val="16"/>
    </w:rPr>
  </w:style>
  <w:style w:type="character" w:customStyle="1" w:styleId="PripombabesediloZnak">
    <w:name w:val="Pripomba – besedilo Znak"/>
    <w:basedOn w:val="Privzetapisavaodstavka"/>
    <w:link w:val="Pripombabesedilo"/>
    <w:uiPriority w:val="99"/>
    <w:qFormat/>
    <w:rsid w:val="00C50ADA"/>
    <w:rPr>
      <w:rFonts w:ascii="Arial" w:eastAsia="Calibri" w:hAnsi="Arial" w:cs="Times New Roman"/>
      <w:sz w:val="20"/>
      <w:szCs w:val="20"/>
    </w:rPr>
  </w:style>
  <w:style w:type="character" w:customStyle="1" w:styleId="ZadevapripombeZnak">
    <w:name w:val="Zadeva pripombe Znak"/>
    <w:basedOn w:val="PripombabesediloZnak"/>
    <w:link w:val="Zadevapripombe"/>
    <w:uiPriority w:val="99"/>
    <w:qFormat/>
    <w:rsid w:val="00C50ADA"/>
    <w:rPr>
      <w:rFonts w:ascii="Arial" w:eastAsia="Calibri" w:hAnsi="Arial" w:cs="Times New Roman"/>
      <w:b/>
      <w:bCs/>
      <w:sz w:val="20"/>
      <w:szCs w:val="20"/>
    </w:rPr>
  </w:style>
  <w:style w:type="character" w:customStyle="1" w:styleId="BesedilooblakaZnak">
    <w:name w:val="Besedilo oblačka Znak"/>
    <w:basedOn w:val="Privzetapisavaodstavka"/>
    <w:link w:val="Besedilooblaka"/>
    <w:uiPriority w:val="99"/>
    <w:semiHidden/>
    <w:qFormat/>
    <w:rsid w:val="00C50ADA"/>
    <w:rPr>
      <w:rFonts w:ascii="Tahoma" w:eastAsia="Calibri" w:hAnsi="Tahoma" w:cs="Times New Roman"/>
      <w:sz w:val="16"/>
      <w:szCs w:val="16"/>
    </w:rPr>
  </w:style>
  <w:style w:type="character" w:customStyle="1" w:styleId="ListParagraphChar">
    <w:name w:val="List Paragraph Char"/>
    <w:link w:val="Odstavekseznama1"/>
    <w:qFormat/>
    <w:locked/>
    <w:rsid w:val="00C50ADA"/>
    <w:rPr>
      <w:rFonts w:ascii="Arial" w:eastAsia="Times New Roman" w:hAnsi="Arial" w:cs="Times New Roman"/>
      <w:sz w:val="24"/>
      <w:szCs w:val="20"/>
    </w:rPr>
  </w:style>
  <w:style w:type="character" w:customStyle="1" w:styleId="ListParagraphChar1">
    <w:name w:val="List Paragraph Char1"/>
    <w:link w:val="ListParagraph1"/>
    <w:qFormat/>
    <w:locked/>
    <w:rsid w:val="00C50ADA"/>
    <w:rPr>
      <w:rFonts w:ascii="Arial" w:hAnsi="Arial" w:cs="Times New Roman"/>
      <w:sz w:val="24"/>
    </w:rPr>
  </w:style>
  <w:style w:type="character" w:customStyle="1" w:styleId="Pripombasklic1">
    <w:name w:val="Pripomba – sklic1"/>
    <w:semiHidden/>
    <w:unhideWhenUsed/>
    <w:qFormat/>
    <w:rsid w:val="00C50ADA"/>
    <w:rPr>
      <w:sz w:val="16"/>
      <w:szCs w:val="16"/>
    </w:rPr>
  </w:style>
  <w:style w:type="character" w:customStyle="1" w:styleId="Spletnapovezava">
    <w:name w:val="Spletna povezava"/>
    <w:uiPriority w:val="99"/>
    <w:unhideWhenUsed/>
    <w:rsid w:val="00C50ADA"/>
    <w:rPr>
      <w:color w:val="0000FF"/>
      <w:u w:val="single"/>
    </w:rPr>
  </w:style>
  <w:style w:type="character" w:customStyle="1" w:styleId="Komentar-besediloZnak">
    <w:name w:val="Komentar - besedilo Znak"/>
    <w:basedOn w:val="Privzetapisavaodstavka"/>
    <w:qFormat/>
    <w:rsid w:val="00C50ADA"/>
  </w:style>
  <w:style w:type="character" w:customStyle="1" w:styleId="ListParagraphChar2">
    <w:name w:val="List Paragraph Char2"/>
    <w:link w:val="Odstavekseznama2"/>
    <w:qFormat/>
    <w:locked/>
    <w:rsid w:val="00C50ADA"/>
    <w:rPr>
      <w:rFonts w:ascii="Arial" w:eastAsia="Times New Roman" w:hAnsi="Arial" w:cs="Times New Roman"/>
    </w:rPr>
  </w:style>
  <w:style w:type="character" w:styleId="tevilkastrani">
    <w:name w:val="page number"/>
    <w:basedOn w:val="Privzetapisavaodstavka"/>
    <w:qFormat/>
    <w:rsid w:val="00C50ADA"/>
  </w:style>
  <w:style w:type="character" w:customStyle="1" w:styleId="highlight1">
    <w:name w:val="highlight1"/>
    <w:qFormat/>
    <w:rsid w:val="00C50ADA"/>
    <w:rPr>
      <w:color w:val="FF0000"/>
      <w:sz w:val="12"/>
      <w:szCs w:val="12"/>
      <w:shd w:val="clear" w:color="auto" w:fill="FFFFFF"/>
    </w:rPr>
  </w:style>
  <w:style w:type="character" w:customStyle="1" w:styleId="highlight">
    <w:name w:val="highlight"/>
    <w:basedOn w:val="Privzetapisavaodstavka"/>
    <w:qFormat/>
    <w:rsid w:val="00C50ADA"/>
  </w:style>
  <w:style w:type="character" w:customStyle="1" w:styleId="NASLOV1Znak0">
    <w:name w:val="NASLOV 1 Znak"/>
    <w:basedOn w:val="Privzetapisavaodstavka"/>
    <w:qFormat/>
    <w:rsid w:val="00C50ADA"/>
    <w:rPr>
      <w:rFonts w:ascii="Arial" w:eastAsia="Arial" w:hAnsi="Arial" w:cs="Arial"/>
      <w:b/>
      <w:color w:val="000000"/>
      <w:sz w:val="24"/>
      <w:szCs w:val="24"/>
    </w:rPr>
  </w:style>
  <w:style w:type="character" w:customStyle="1" w:styleId="TelobesedilaZnak">
    <w:name w:val="Telo besedila Znak"/>
    <w:basedOn w:val="Privzetapisavaodstavka"/>
    <w:link w:val="Telobesedila"/>
    <w:uiPriority w:val="99"/>
    <w:qFormat/>
    <w:rsid w:val="00C50ADA"/>
    <w:rPr>
      <w:rFonts w:ascii="Arial" w:hAnsi="Arial" w:cs="Arial"/>
    </w:rPr>
  </w:style>
  <w:style w:type="character" w:customStyle="1" w:styleId="Telobesedila2Znak">
    <w:name w:val="Telo besedila 2 Znak"/>
    <w:basedOn w:val="Privzetapisavaodstavka"/>
    <w:link w:val="Telobesedila2"/>
    <w:uiPriority w:val="99"/>
    <w:qFormat/>
    <w:rsid w:val="00C50ADA"/>
    <w:rPr>
      <w:color w:val="0070C0"/>
    </w:rPr>
  </w:style>
  <w:style w:type="character" w:styleId="Poudarek">
    <w:name w:val="Emphasis"/>
    <w:basedOn w:val="Privzetapisavaodstavka"/>
    <w:uiPriority w:val="20"/>
    <w:qFormat/>
    <w:rsid w:val="00C50ADA"/>
    <w:rPr>
      <w:i/>
      <w:iCs/>
    </w:rPr>
  </w:style>
  <w:style w:type="character" w:customStyle="1" w:styleId="Telobesedila3Znak">
    <w:name w:val="Telo besedila 3 Znak"/>
    <w:basedOn w:val="Privzetapisavaodstavka"/>
    <w:link w:val="Telobesedila3"/>
    <w:uiPriority w:val="99"/>
    <w:qFormat/>
    <w:rsid w:val="00C50ADA"/>
    <w:rPr>
      <w:rFonts w:ascii="Arial" w:hAnsi="Arial" w:cs="Arial"/>
      <w:sz w:val="24"/>
      <w:szCs w:val="24"/>
    </w:rPr>
  </w:style>
  <w:style w:type="character" w:customStyle="1" w:styleId="Obiskanaspletnapovezava">
    <w:name w:val="Obiskana spletna povezava"/>
    <w:basedOn w:val="Privzetapisavaodstavka"/>
    <w:uiPriority w:val="99"/>
    <w:semiHidden/>
    <w:unhideWhenUsed/>
    <w:rsid w:val="00C50ADA"/>
    <w:rPr>
      <w:color w:val="954F72" w:themeColor="followedHyperlink"/>
      <w:u w:val="single"/>
    </w:rPr>
  </w:style>
  <w:style w:type="character" w:customStyle="1" w:styleId="fontstyle01">
    <w:name w:val="fontstyle01"/>
    <w:basedOn w:val="Privzetapisavaodstavka"/>
    <w:qFormat/>
    <w:rsid w:val="00C50ADA"/>
    <w:rPr>
      <w:rFonts w:ascii="Verdana" w:hAnsi="Verdana"/>
      <w:b w:val="0"/>
      <w:bCs w:val="0"/>
      <w:i w:val="0"/>
      <w:iCs w:val="0"/>
      <w:color w:val="000000"/>
      <w:sz w:val="20"/>
      <w:szCs w:val="20"/>
    </w:rPr>
  </w:style>
  <w:style w:type="character" w:customStyle="1" w:styleId="NeotevilenodstavekZnak">
    <w:name w:val="Neoštevilčen odstavek Znak"/>
    <w:link w:val="Neotevilenodstavek"/>
    <w:qFormat/>
    <w:rsid w:val="00C50ADA"/>
    <w:rPr>
      <w:rFonts w:ascii="Arial" w:eastAsia="Times New Roman" w:hAnsi="Arial" w:cs="Arial"/>
      <w:lang w:eastAsia="sl-SI"/>
    </w:rPr>
  </w:style>
  <w:style w:type="character" w:customStyle="1" w:styleId="rkovnatokazaodstavkomZnak">
    <w:name w:val="Črkovna točka_za odstavkom Znak"/>
    <w:qFormat/>
    <w:rsid w:val="00C2707F"/>
    <w:rPr>
      <w:rFonts w:ascii="Arial" w:hAnsi="Arial"/>
    </w:rPr>
  </w:style>
  <w:style w:type="paragraph" w:styleId="Naslov">
    <w:name w:val="Title"/>
    <w:basedOn w:val="Navaden"/>
    <w:next w:val="Telobesedila"/>
    <w:link w:val="NaslovZnak"/>
    <w:qFormat/>
    <w:rsid w:val="00AA478B"/>
    <w:pPr>
      <w:keepNext/>
      <w:spacing w:before="240" w:after="120"/>
    </w:pPr>
    <w:rPr>
      <w:rFonts w:ascii="Liberation Sans" w:eastAsia="Microsoft YaHei" w:hAnsi="Liberation Sans" w:cs="Mangal"/>
      <w:sz w:val="28"/>
      <w:szCs w:val="28"/>
    </w:rPr>
  </w:style>
  <w:style w:type="paragraph" w:styleId="Telobesedila">
    <w:name w:val="Body Text"/>
    <w:basedOn w:val="Navaden"/>
    <w:link w:val="TelobesedilaZnak"/>
    <w:uiPriority w:val="99"/>
    <w:unhideWhenUsed/>
    <w:rsid w:val="00C50ADA"/>
    <w:rPr>
      <w:rFonts w:cs="Arial"/>
      <w:sz w:val="22"/>
    </w:rPr>
  </w:style>
  <w:style w:type="paragraph" w:styleId="Seznam">
    <w:name w:val="List"/>
    <w:basedOn w:val="Telobesedila"/>
    <w:rsid w:val="00AA478B"/>
    <w:rPr>
      <w:rFonts w:cs="Mangal"/>
    </w:rPr>
  </w:style>
  <w:style w:type="paragraph" w:styleId="Napis">
    <w:name w:val="caption"/>
    <w:basedOn w:val="Navaden"/>
    <w:qFormat/>
    <w:rsid w:val="00AA478B"/>
    <w:pPr>
      <w:suppressLineNumbers/>
      <w:spacing w:before="120" w:after="120"/>
    </w:pPr>
    <w:rPr>
      <w:rFonts w:cs="Mangal"/>
      <w:i/>
      <w:iCs/>
      <w:szCs w:val="24"/>
    </w:rPr>
  </w:style>
  <w:style w:type="paragraph" w:customStyle="1" w:styleId="Kazalo">
    <w:name w:val="Kazalo"/>
    <w:basedOn w:val="Navaden"/>
    <w:qFormat/>
    <w:rsid w:val="00AA478B"/>
    <w:pPr>
      <w:suppressLineNumbers/>
    </w:pPr>
    <w:rPr>
      <w:rFonts w:cs="Mangal"/>
    </w:rPr>
  </w:style>
  <w:style w:type="paragraph" w:styleId="Odstavekseznama">
    <w:name w:val="List Paragraph"/>
    <w:basedOn w:val="Navaden"/>
    <w:link w:val="OdstavekseznamaZnak"/>
    <w:uiPriority w:val="34"/>
    <w:qFormat/>
    <w:rsid w:val="00C50ADA"/>
    <w:pPr>
      <w:ind w:left="720"/>
      <w:contextualSpacing/>
    </w:pPr>
    <w:rPr>
      <w:szCs w:val="20"/>
    </w:rPr>
  </w:style>
  <w:style w:type="paragraph" w:customStyle="1" w:styleId="Odstavkilenov">
    <w:name w:val="Odstavki členov"/>
    <w:basedOn w:val="Odstavekseznama"/>
    <w:link w:val="OdstavkilenovZnak1"/>
    <w:qFormat/>
    <w:rsid w:val="00C50ADA"/>
    <w:pPr>
      <w:ind w:left="0"/>
    </w:pPr>
  </w:style>
  <w:style w:type="paragraph" w:customStyle="1" w:styleId="Odstavkilena">
    <w:name w:val="Odstavki člena"/>
    <w:basedOn w:val="Odstavkilenov"/>
    <w:link w:val="OdstavkilenaZnak"/>
    <w:qFormat/>
    <w:rsid w:val="00C50ADA"/>
  </w:style>
  <w:style w:type="paragraph" w:customStyle="1" w:styleId="Glavainnoga">
    <w:name w:val="Glava in noga"/>
    <w:basedOn w:val="Navaden"/>
    <w:qFormat/>
    <w:rsid w:val="00AA478B"/>
  </w:style>
  <w:style w:type="paragraph" w:styleId="Glava">
    <w:name w:val="header"/>
    <w:basedOn w:val="Navaden"/>
    <w:link w:val="GlavaZnak"/>
    <w:unhideWhenUsed/>
    <w:rsid w:val="00C50ADA"/>
    <w:pPr>
      <w:tabs>
        <w:tab w:val="center" w:pos="4536"/>
        <w:tab w:val="right" w:pos="9072"/>
      </w:tabs>
    </w:pPr>
    <w:rPr>
      <w:szCs w:val="20"/>
    </w:rPr>
  </w:style>
  <w:style w:type="paragraph" w:styleId="Noga">
    <w:name w:val="footer"/>
    <w:basedOn w:val="Navaden"/>
    <w:link w:val="NogaZnak"/>
    <w:unhideWhenUsed/>
    <w:rsid w:val="00C50ADA"/>
    <w:pPr>
      <w:tabs>
        <w:tab w:val="center" w:pos="4536"/>
        <w:tab w:val="right" w:pos="9072"/>
      </w:tabs>
    </w:pPr>
    <w:rPr>
      <w:szCs w:val="20"/>
    </w:rPr>
  </w:style>
  <w:style w:type="paragraph" w:styleId="Sprotnaopomba-besedilo">
    <w:name w:val="footnote text"/>
    <w:basedOn w:val="Navaden"/>
    <w:link w:val="Sprotnaopomba-besediloZnak1"/>
    <w:uiPriority w:val="99"/>
    <w:unhideWhenUsed/>
    <w:rsid w:val="00C50ADA"/>
    <w:rPr>
      <w:sz w:val="20"/>
      <w:szCs w:val="20"/>
    </w:rPr>
  </w:style>
  <w:style w:type="paragraph" w:styleId="Pripombabesedilo">
    <w:name w:val="annotation text"/>
    <w:basedOn w:val="Navaden"/>
    <w:link w:val="PripombabesediloZnak"/>
    <w:uiPriority w:val="99"/>
    <w:unhideWhenUsed/>
    <w:qFormat/>
    <w:rsid w:val="00C50ADA"/>
    <w:rPr>
      <w:sz w:val="20"/>
      <w:szCs w:val="20"/>
    </w:rPr>
  </w:style>
  <w:style w:type="paragraph" w:styleId="Zadevapripombe">
    <w:name w:val="annotation subject"/>
    <w:basedOn w:val="Pripombabesedilo"/>
    <w:next w:val="Pripombabesedilo"/>
    <w:link w:val="ZadevapripombeZnak"/>
    <w:uiPriority w:val="99"/>
    <w:unhideWhenUsed/>
    <w:qFormat/>
    <w:rsid w:val="00C50ADA"/>
    <w:rPr>
      <w:b/>
      <w:bCs/>
    </w:rPr>
  </w:style>
  <w:style w:type="paragraph" w:styleId="Besedilooblaka">
    <w:name w:val="Balloon Text"/>
    <w:basedOn w:val="Navaden"/>
    <w:link w:val="BesedilooblakaZnak"/>
    <w:uiPriority w:val="99"/>
    <w:semiHidden/>
    <w:unhideWhenUsed/>
    <w:qFormat/>
    <w:rsid w:val="00C50ADA"/>
    <w:rPr>
      <w:rFonts w:ascii="Tahoma" w:hAnsi="Tahoma"/>
      <w:sz w:val="16"/>
      <w:szCs w:val="16"/>
    </w:rPr>
  </w:style>
  <w:style w:type="paragraph" w:customStyle="1" w:styleId="Odstavekseznama1">
    <w:name w:val="Odstavek seznama1"/>
    <w:basedOn w:val="Navaden"/>
    <w:link w:val="ListParagraphChar"/>
    <w:qFormat/>
    <w:rsid w:val="00C50ADA"/>
    <w:pPr>
      <w:ind w:left="720"/>
      <w:contextualSpacing/>
    </w:pPr>
    <w:rPr>
      <w:rFonts w:eastAsia="Times New Roman"/>
      <w:szCs w:val="20"/>
    </w:rPr>
  </w:style>
  <w:style w:type="paragraph" w:styleId="Navadensplet">
    <w:name w:val="Normal (Web)"/>
    <w:basedOn w:val="Navaden"/>
    <w:uiPriority w:val="99"/>
    <w:qFormat/>
    <w:rsid w:val="00C50ADA"/>
    <w:pPr>
      <w:spacing w:beforeAutospacing="1" w:afterAutospacing="1"/>
    </w:pPr>
    <w:rPr>
      <w:rFonts w:ascii="Times New Roman" w:eastAsia="Times New Roman" w:hAnsi="Times New Roman"/>
      <w:szCs w:val="24"/>
      <w:lang w:eastAsia="sl-SI"/>
    </w:rPr>
  </w:style>
  <w:style w:type="paragraph" w:customStyle="1" w:styleId="ListParagraph1">
    <w:name w:val="List Paragraph1"/>
    <w:basedOn w:val="Navaden"/>
    <w:link w:val="ListParagraphChar1"/>
    <w:qFormat/>
    <w:rsid w:val="00C50ADA"/>
    <w:pPr>
      <w:ind w:left="720"/>
      <w:contextualSpacing/>
    </w:pPr>
  </w:style>
  <w:style w:type="paragraph" w:styleId="NaslovTOC">
    <w:name w:val="TOC Heading"/>
    <w:basedOn w:val="Naslov10"/>
    <w:next w:val="Navaden"/>
    <w:uiPriority w:val="39"/>
    <w:unhideWhenUsed/>
    <w:qFormat/>
    <w:rsid w:val="00C50ADA"/>
    <w:pPr>
      <w:spacing w:line="276" w:lineRule="auto"/>
      <w:ind w:left="0"/>
      <w:jc w:val="left"/>
    </w:pPr>
    <w:rPr>
      <w:rFonts w:ascii="Cambria" w:hAnsi="Cambria"/>
      <w:color w:val="365F91"/>
      <w:lang w:eastAsia="sl-SI"/>
    </w:rPr>
  </w:style>
  <w:style w:type="paragraph" w:styleId="Kazalovsebine1">
    <w:name w:val="toc 1"/>
    <w:basedOn w:val="Navaden"/>
    <w:next w:val="Navaden"/>
    <w:autoRedefine/>
    <w:uiPriority w:val="39"/>
    <w:unhideWhenUsed/>
    <w:rsid w:val="00C50ADA"/>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C50ADA"/>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C50ADA"/>
    <w:pPr>
      <w:ind w:left="240"/>
      <w:jc w:val="left"/>
    </w:pPr>
    <w:rPr>
      <w:rFonts w:ascii="Calibri" w:hAnsi="Calibri" w:cs="Calibri"/>
      <w:sz w:val="20"/>
      <w:szCs w:val="20"/>
    </w:rPr>
  </w:style>
  <w:style w:type="paragraph" w:styleId="Kazalovsebine5">
    <w:name w:val="toc 5"/>
    <w:basedOn w:val="Navaden"/>
    <w:next w:val="Navaden"/>
    <w:autoRedefine/>
    <w:uiPriority w:val="39"/>
    <w:unhideWhenUsed/>
    <w:rsid w:val="00C50ADA"/>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C50ADA"/>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C50ADA"/>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C50ADA"/>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C50ADA"/>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C50ADA"/>
    <w:pPr>
      <w:ind w:left="1680"/>
      <w:jc w:val="left"/>
    </w:pPr>
    <w:rPr>
      <w:rFonts w:ascii="Calibri" w:hAnsi="Calibri" w:cs="Calibri"/>
      <w:sz w:val="20"/>
      <w:szCs w:val="20"/>
    </w:rPr>
  </w:style>
  <w:style w:type="paragraph" w:customStyle="1" w:styleId="Default">
    <w:name w:val="Default"/>
    <w:qFormat/>
    <w:rsid w:val="00C50ADA"/>
    <w:rPr>
      <w:rFonts w:ascii="EUAlbertina" w:eastAsia="Calibri" w:hAnsi="EUAlbertina" w:cs="EUAlbertina"/>
      <w:color w:val="000000"/>
      <w:sz w:val="24"/>
      <w:szCs w:val="24"/>
    </w:rPr>
  </w:style>
  <w:style w:type="paragraph" w:customStyle="1" w:styleId="Odstavekseznama2">
    <w:name w:val="Odstavek seznama2"/>
    <w:basedOn w:val="Navaden"/>
    <w:link w:val="ListParagraphChar2"/>
    <w:qFormat/>
    <w:rsid w:val="00C50ADA"/>
    <w:pPr>
      <w:ind w:left="720"/>
      <w:contextualSpacing/>
    </w:pPr>
    <w:rPr>
      <w:rFonts w:eastAsia="Times New Roman"/>
      <w:sz w:val="22"/>
    </w:rPr>
  </w:style>
  <w:style w:type="paragraph" w:styleId="Stvarnokazalo1">
    <w:name w:val="index 1"/>
    <w:basedOn w:val="Navaden"/>
    <w:next w:val="Navaden"/>
    <w:autoRedefine/>
    <w:qFormat/>
    <w:rsid w:val="00C50ADA"/>
    <w:pPr>
      <w:ind w:left="240" w:hanging="240"/>
    </w:pPr>
  </w:style>
  <w:style w:type="paragraph" w:styleId="Revizija">
    <w:name w:val="Revision"/>
    <w:uiPriority w:val="99"/>
    <w:semiHidden/>
    <w:qFormat/>
    <w:rsid w:val="00C50ADA"/>
    <w:rPr>
      <w:rFonts w:ascii="Arial" w:hAnsi="Arial" w:cs="Times New Roman"/>
      <w:sz w:val="24"/>
    </w:rPr>
  </w:style>
  <w:style w:type="paragraph" w:customStyle="1" w:styleId="CM4">
    <w:name w:val="CM4"/>
    <w:basedOn w:val="Default"/>
    <w:next w:val="Default"/>
    <w:qFormat/>
    <w:rsid w:val="00C50ADA"/>
    <w:pPr>
      <w:spacing w:before="60" w:after="60"/>
    </w:pPr>
    <w:rPr>
      <w:rFonts w:ascii="EU Albertina" w:eastAsia="Times New Roman" w:hAnsi="EU Albertina" w:cs="Times New Roman"/>
      <w:color w:val="auto"/>
      <w:lang w:eastAsia="sl-SI"/>
    </w:rPr>
  </w:style>
  <w:style w:type="paragraph" w:customStyle="1" w:styleId="Alinea">
    <w:name w:val="Alinea"/>
    <w:basedOn w:val="Navaden"/>
    <w:qFormat/>
    <w:rsid w:val="00C50ADA"/>
    <w:pPr>
      <w:numPr>
        <w:numId w:val="2"/>
      </w:numPr>
      <w:jc w:val="left"/>
    </w:pPr>
    <w:rPr>
      <w:rFonts w:ascii="Times New Roman" w:eastAsia="Times New Roman" w:hAnsi="Times New Roman"/>
      <w:sz w:val="22"/>
      <w:szCs w:val="24"/>
      <w:lang w:eastAsia="sl-SI"/>
    </w:rPr>
  </w:style>
  <w:style w:type="paragraph" w:customStyle="1" w:styleId="esegmenth4">
    <w:name w:val="esegment_h4"/>
    <w:basedOn w:val="Navaden"/>
    <w:qFormat/>
    <w:rsid w:val="00C50ADA"/>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qFormat/>
    <w:rsid w:val="00C50ADA"/>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qFormat/>
    <w:rsid w:val="00C50ADA"/>
    <w:pPr>
      <w:spacing w:after="160" w:line="240" w:lineRule="exact"/>
      <w:jc w:val="left"/>
    </w:pPr>
    <w:rPr>
      <w:rFonts w:ascii="Tahoma" w:eastAsia="Times New Roman" w:hAnsi="Tahoma"/>
      <w:sz w:val="20"/>
      <w:szCs w:val="24"/>
      <w:lang w:val="en-US"/>
    </w:rPr>
  </w:style>
  <w:style w:type="paragraph" w:customStyle="1" w:styleId="Point0">
    <w:name w:val="Point 0"/>
    <w:basedOn w:val="Navaden"/>
    <w:qFormat/>
    <w:rsid w:val="00C50ADA"/>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qFormat/>
    <w:rsid w:val="00C50ADA"/>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qFormat/>
    <w:rsid w:val="00C50ADA"/>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qFormat/>
    <w:rsid w:val="00C50ADA"/>
    <w:pPr>
      <w:ind w:left="720"/>
      <w:contextualSpacing/>
    </w:pPr>
    <w:rPr>
      <w:rFonts w:ascii="Times New Roman" w:hAnsi="Times New Roman"/>
      <w:sz w:val="22"/>
      <w:szCs w:val="24"/>
      <w:lang w:eastAsia="sl-SI"/>
    </w:rPr>
  </w:style>
  <w:style w:type="paragraph" w:customStyle="1" w:styleId="SlogNasredini">
    <w:name w:val="Slog Na sredini"/>
    <w:basedOn w:val="Navaden"/>
    <w:qFormat/>
    <w:rsid w:val="00C50ADA"/>
    <w:pPr>
      <w:jc w:val="center"/>
    </w:pPr>
    <w:rPr>
      <w:rFonts w:ascii="Times New Roman" w:eastAsia="Times New Roman" w:hAnsi="Times New Roman"/>
      <w:sz w:val="22"/>
      <w:szCs w:val="20"/>
      <w:lang w:eastAsia="sl-SI"/>
    </w:rPr>
  </w:style>
  <w:style w:type="paragraph" w:styleId="Brezrazmikov">
    <w:name w:val="No Spacing"/>
    <w:qFormat/>
    <w:rsid w:val="00C50ADA"/>
    <w:rPr>
      <w:rFonts w:cs="Times New Roman"/>
    </w:rPr>
  </w:style>
  <w:style w:type="paragraph" w:customStyle="1" w:styleId="NPB">
    <w:name w:val="NPB"/>
    <w:basedOn w:val="Navaden"/>
    <w:qFormat/>
    <w:rsid w:val="00C50ADA"/>
    <w:pPr>
      <w:spacing w:before="480"/>
      <w:jc w:val="center"/>
      <w:textAlignment w:val="baseline"/>
    </w:pPr>
    <w:rPr>
      <w:rFonts w:eastAsia="Times New Roman" w:cs="Arial"/>
      <w:b/>
      <w:bCs/>
      <w:color w:val="000000"/>
      <w:sz w:val="22"/>
      <w:lang w:eastAsia="ar-SA"/>
    </w:rPr>
  </w:style>
  <w:style w:type="paragraph" w:customStyle="1" w:styleId="Navaden1">
    <w:name w:val="Navaden1"/>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len">
    <w:name w:val="len"/>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lennaslov">
    <w:name w:val="lennaslov"/>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odstavek">
    <w:name w:val="odstav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Navaden2">
    <w:name w:val="Navaden2"/>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NASLOV1">
    <w:name w:val="NASLOV 1"/>
    <w:basedOn w:val="Odstavekseznama"/>
    <w:autoRedefine/>
    <w:qFormat/>
    <w:rsid w:val="00C50ADA"/>
    <w:pPr>
      <w:numPr>
        <w:numId w:val="3"/>
      </w:numPr>
      <w:spacing w:line="276" w:lineRule="auto"/>
      <w:ind w:left="360" w:hanging="360"/>
    </w:pPr>
    <w:rPr>
      <w:rFonts w:eastAsia="Arial" w:cs="Arial"/>
      <w:b/>
      <w:color w:val="000000"/>
      <w:szCs w:val="24"/>
    </w:rPr>
  </w:style>
  <w:style w:type="paragraph" w:styleId="Telobesedila2">
    <w:name w:val="Body Text 2"/>
    <w:basedOn w:val="Navaden"/>
    <w:link w:val="Telobesedila2Znak"/>
    <w:uiPriority w:val="99"/>
    <w:unhideWhenUsed/>
    <w:qFormat/>
    <w:rsid w:val="00C50ADA"/>
    <w:rPr>
      <w:rFonts w:asciiTheme="minorHAnsi" w:hAnsiTheme="minorHAnsi" w:cstheme="minorBidi"/>
      <w:color w:val="0070C0"/>
      <w:sz w:val="22"/>
    </w:rPr>
  </w:style>
  <w:style w:type="paragraph" w:styleId="Telobesedila3">
    <w:name w:val="Body Text 3"/>
    <w:basedOn w:val="Navaden"/>
    <w:link w:val="Telobesedila3Znak"/>
    <w:uiPriority w:val="99"/>
    <w:unhideWhenUsed/>
    <w:qFormat/>
    <w:rsid w:val="00C50ADA"/>
    <w:rPr>
      <w:rFonts w:cs="Arial"/>
      <w:szCs w:val="24"/>
    </w:rPr>
  </w:style>
  <w:style w:type="paragraph" w:customStyle="1" w:styleId="Neotevilenodstavek">
    <w:name w:val="Neoštevilčen odstavek"/>
    <w:basedOn w:val="Navaden"/>
    <w:link w:val="NeotevilenodstavekZnak"/>
    <w:qFormat/>
    <w:rsid w:val="00C50ADA"/>
    <w:pPr>
      <w:spacing w:before="60" w:after="60" w:line="200" w:lineRule="exact"/>
      <w:textAlignment w:val="baseline"/>
    </w:pPr>
    <w:rPr>
      <w:rFonts w:eastAsia="Times New Roman" w:cs="Arial"/>
      <w:sz w:val="22"/>
      <w:lang w:eastAsia="sl-SI"/>
    </w:rPr>
  </w:style>
  <w:style w:type="paragraph" w:customStyle="1" w:styleId="alineazaodstavkom">
    <w:name w:val="alineazaodstavkom"/>
    <w:basedOn w:val="Navaden"/>
    <w:qFormat/>
    <w:rsid w:val="00C50ADA"/>
    <w:pPr>
      <w:spacing w:beforeAutospacing="1" w:afterAutospacing="1"/>
      <w:jc w:val="left"/>
    </w:pPr>
    <w:rPr>
      <w:rFonts w:ascii="Times New Roman" w:eastAsia="Times New Roman" w:hAnsi="Times New Roman"/>
      <w:szCs w:val="24"/>
      <w:lang w:val="en-US"/>
    </w:rPr>
  </w:style>
  <w:style w:type="paragraph" w:customStyle="1" w:styleId="tevilnatoka">
    <w:name w:val="tevilnatoka"/>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tevilnotokoa0">
    <w:name w:val="rkovnatokazatevilnotokoa0"/>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msonormal0">
    <w:name w:val="msonormal"/>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del">
    <w:name w:val="del"/>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glavje">
    <w:name w:val="poglavje"/>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oddelek">
    <w:name w:val="oddel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tevilnotoko">
    <w:name w:val="rkovnatokazatevilnotoko"/>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doddelek">
    <w:name w:val="pododdel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odstavkom0">
    <w:name w:val="rkovnatokazaodstavkom"/>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alineazatevilnotoko">
    <w:name w:val="alineazatevilnotoko"/>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glavje0">
    <w:name w:val="Poglavje"/>
    <w:basedOn w:val="Navaden"/>
    <w:qFormat/>
    <w:rsid w:val="00C50ADA"/>
    <w:pPr>
      <w:spacing w:before="360" w:after="60" w:line="200" w:lineRule="exact"/>
      <w:jc w:val="center"/>
      <w:textAlignment w:val="baseline"/>
      <w:outlineLvl w:val="3"/>
    </w:pPr>
    <w:rPr>
      <w:rFonts w:eastAsia="Times New Roman" w:cs="Arial"/>
      <w:b/>
      <w:sz w:val="22"/>
      <w:lang w:eastAsia="sl-SI"/>
    </w:rPr>
  </w:style>
  <w:style w:type="paragraph" w:customStyle="1" w:styleId="Navaden3">
    <w:name w:val="Navaden3"/>
    <w:basedOn w:val="Navaden"/>
    <w:qFormat/>
    <w:rsid w:val="008B38A1"/>
    <w:pPr>
      <w:spacing w:beforeAutospacing="1" w:afterAutospacing="1"/>
      <w:jc w:val="left"/>
    </w:pPr>
    <w:rPr>
      <w:rFonts w:ascii="Times New Roman" w:eastAsia="Times New Roman" w:hAnsi="Times New Roman"/>
      <w:szCs w:val="24"/>
      <w:lang w:eastAsia="sl-SI"/>
    </w:rPr>
  </w:style>
  <w:style w:type="paragraph" w:customStyle="1" w:styleId="rkovnatokazaodstavkom">
    <w:name w:val="Črkovna točka_za odstavkom"/>
    <w:basedOn w:val="Navaden"/>
    <w:qFormat/>
    <w:rsid w:val="00C2707F"/>
    <w:pPr>
      <w:numPr>
        <w:numId w:val="8"/>
      </w:numPr>
      <w:spacing w:line="200" w:lineRule="exact"/>
      <w:textAlignment w:val="baseline"/>
    </w:pPr>
    <w:rPr>
      <w:rFonts w:cstheme="minorBidi"/>
      <w:sz w:val="22"/>
    </w:rPr>
  </w:style>
  <w:style w:type="paragraph" w:customStyle="1" w:styleId="Rimskatevilnatoka">
    <w:name w:val="Rimska številčna točka"/>
    <w:basedOn w:val="Navaden"/>
    <w:qFormat/>
    <w:rsid w:val="008B0CB3"/>
    <w:pPr>
      <w:numPr>
        <w:numId w:val="9"/>
      </w:numPr>
      <w:textAlignment w:val="baseline"/>
    </w:pPr>
    <w:rPr>
      <w:rFonts w:eastAsia="Times New Roman" w:cs="Arial"/>
      <w:sz w:val="22"/>
      <w:szCs w:val="16"/>
      <w:lang w:eastAsia="ar-SA"/>
    </w:rPr>
  </w:style>
  <w:style w:type="table" w:styleId="Tabelamrea">
    <w:name w:val="Table Grid"/>
    <w:basedOn w:val="Navadnatabela"/>
    <w:uiPriority w:val="59"/>
    <w:rsid w:val="00C50ADA"/>
    <w:rPr>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semiHidden/>
    <w:unhideWhenUsed/>
    <w:rsid w:val="00743052"/>
    <w:rPr>
      <w:color w:val="0000FF"/>
      <w:u w:val="single"/>
    </w:rPr>
  </w:style>
  <w:style w:type="character" w:customStyle="1" w:styleId="NaslovZnak">
    <w:name w:val="Naslov Znak"/>
    <w:basedOn w:val="Privzetapisavaodstavka"/>
    <w:link w:val="Naslov"/>
    <w:rsid w:val="00766753"/>
    <w:rPr>
      <w:rFonts w:ascii="Liberation Sans" w:eastAsia="Microsoft YaHei" w:hAnsi="Liberation Sans" w:cs="Mangal"/>
      <w:sz w:val="28"/>
      <w:szCs w:val="28"/>
    </w:rPr>
  </w:style>
  <w:style w:type="character" w:customStyle="1" w:styleId="TelobesedilaZnak1">
    <w:name w:val="Telo besedila Znak1"/>
    <w:basedOn w:val="Privzetapisavaodstavka"/>
    <w:uiPriority w:val="99"/>
    <w:semiHidden/>
    <w:rsid w:val="00766753"/>
    <w:rPr>
      <w:rFonts w:ascii="Arial" w:hAnsi="Arial" w:cs="Times New Roman"/>
      <w:sz w:val="24"/>
    </w:rPr>
  </w:style>
  <w:style w:type="character" w:customStyle="1" w:styleId="GlavaZnak1">
    <w:name w:val="Glava Znak1"/>
    <w:basedOn w:val="Privzetapisavaodstavka"/>
    <w:uiPriority w:val="99"/>
    <w:semiHidden/>
    <w:rsid w:val="00766753"/>
    <w:rPr>
      <w:rFonts w:ascii="Arial" w:hAnsi="Arial" w:cs="Times New Roman"/>
      <w:sz w:val="24"/>
    </w:rPr>
  </w:style>
  <w:style w:type="character" w:customStyle="1" w:styleId="NogaZnak1">
    <w:name w:val="Noga Znak1"/>
    <w:basedOn w:val="Privzetapisavaodstavka"/>
    <w:uiPriority w:val="99"/>
    <w:semiHidden/>
    <w:rsid w:val="00766753"/>
    <w:rPr>
      <w:rFonts w:ascii="Arial" w:hAnsi="Arial" w:cs="Times New Roman"/>
      <w:sz w:val="24"/>
    </w:rPr>
  </w:style>
  <w:style w:type="character" w:customStyle="1" w:styleId="Sprotnaopomba-besediloZnak1">
    <w:name w:val="Sprotna opomba - besedilo Znak1"/>
    <w:basedOn w:val="Privzetapisavaodstavka"/>
    <w:link w:val="Sprotnaopomba-besedilo"/>
    <w:uiPriority w:val="99"/>
    <w:rsid w:val="00766753"/>
    <w:rPr>
      <w:rFonts w:ascii="Arial" w:hAnsi="Arial" w:cs="Times New Roman"/>
      <w:sz w:val="20"/>
      <w:szCs w:val="20"/>
    </w:rPr>
  </w:style>
  <w:style w:type="character" w:customStyle="1" w:styleId="PripombabesediloZnak1">
    <w:name w:val="Pripomba – besedilo Znak1"/>
    <w:basedOn w:val="Privzetapisavaodstavka"/>
    <w:uiPriority w:val="99"/>
    <w:semiHidden/>
    <w:rsid w:val="00766753"/>
    <w:rPr>
      <w:rFonts w:ascii="Arial" w:hAnsi="Arial" w:cs="Times New Roman"/>
      <w:sz w:val="20"/>
      <w:szCs w:val="20"/>
    </w:rPr>
  </w:style>
  <w:style w:type="character" w:customStyle="1" w:styleId="ZadevapripombeZnak1">
    <w:name w:val="Zadeva pripombe Znak1"/>
    <w:basedOn w:val="PripombabesediloZnak1"/>
    <w:uiPriority w:val="99"/>
    <w:semiHidden/>
    <w:rsid w:val="00766753"/>
    <w:rPr>
      <w:rFonts w:ascii="Arial" w:hAnsi="Arial" w:cs="Times New Roman"/>
      <w:b/>
      <w:bCs/>
      <w:sz w:val="20"/>
      <w:szCs w:val="20"/>
    </w:rPr>
  </w:style>
  <w:style w:type="character" w:customStyle="1" w:styleId="BesedilooblakaZnak1">
    <w:name w:val="Besedilo oblačka Znak1"/>
    <w:basedOn w:val="Privzetapisavaodstavka"/>
    <w:uiPriority w:val="99"/>
    <w:semiHidden/>
    <w:rsid w:val="00766753"/>
    <w:rPr>
      <w:rFonts w:ascii="Segoe UI" w:hAnsi="Segoe UI" w:cs="Segoe UI"/>
      <w:sz w:val="18"/>
      <w:szCs w:val="18"/>
    </w:rPr>
  </w:style>
  <w:style w:type="character" w:customStyle="1" w:styleId="Telobesedila2Znak1">
    <w:name w:val="Telo besedila 2 Znak1"/>
    <w:basedOn w:val="Privzetapisavaodstavka"/>
    <w:uiPriority w:val="99"/>
    <w:semiHidden/>
    <w:rsid w:val="00766753"/>
    <w:rPr>
      <w:rFonts w:ascii="Arial" w:hAnsi="Arial" w:cs="Times New Roman"/>
      <w:sz w:val="24"/>
    </w:rPr>
  </w:style>
  <w:style w:type="character" w:customStyle="1" w:styleId="Telobesedila3Znak1">
    <w:name w:val="Telo besedila 3 Znak1"/>
    <w:basedOn w:val="Privzetapisavaodstavka"/>
    <w:uiPriority w:val="99"/>
    <w:semiHidden/>
    <w:rsid w:val="00766753"/>
    <w:rPr>
      <w:rFonts w:ascii="Arial" w:hAnsi="Arial"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21-01-257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A6799A2-B567-4D59-9FFA-9EE6D285B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16613</Words>
  <Characters>94695</Characters>
  <Application>Microsoft Office Word</Application>
  <DocSecurity>0</DocSecurity>
  <Lines>789</Lines>
  <Paragraphs>222</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111086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Lekan Štrukelj</dc:creator>
  <cp:lastModifiedBy>Darja Adamič</cp:lastModifiedBy>
  <cp:revision>2</cp:revision>
  <dcterms:created xsi:type="dcterms:W3CDTF">2021-12-23T14:46:00Z</dcterms:created>
  <dcterms:modified xsi:type="dcterms:W3CDTF">2021-12-23T14:46:00Z</dcterms:modified>
  <dc:language>sl-SI</dc:language>
</cp:coreProperties>
</file>