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B8884D" w14:textId="77777777" w:rsidR="0085590D" w:rsidRPr="00A9231D" w:rsidRDefault="0085590D" w:rsidP="0085590D">
      <w:pPr>
        <w:pStyle w:val="Glava"/>
        <w:tabs>
          <w:tab w:val="clear" w:pos="4513"/>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3711BB85" wp14:editId="3E539CC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A51B137" w14:textId="77777777" w:rsidR="0085590D" w:rsidRPr="00A9231D" w:rsidRDefault="0085590D" w:rsidP="0085590D">
      <w:pPr>
        <w:pStyle w:val="Glava"/>
        <w:tabs>
          <w:tab w:val="clear" w:pos="4513"/>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B084A25" w14:textId="77777777" w:rsidR="0085590D" w:rsidRPr="00A9231D" w:rsidRDefault="0085590D" w:rsidP="0085590D">
      <w:pPr>
        <w:pStyle w:val="Glava"/>
        <w:tabs>
          <w:tab w:val="clear" w:pos="4513"/>
          <w:tab w:val="left" w:pos="5114"/>
          <w:tab w:val="left" w:pos="8641"/>
        </w:tabs>
        <w:spacing w:line="240" w:lineRule="exact"/>
        <w:rPr>
          <w:rFonts w:cs="Arial"/>
          <w:sz w:val="16"/>
        </w:rPr>
      </w:pPr>
      <w:r w:rsidRPr="00A9231D">
        <w:rPr>
          <w:rFonts w:cs="Arial"/>
          <w:sz w:val="16"/>
        </w:rPr>
        <w:tab/>
        <w:t>F: +386 1 478 1607</w:t>
      </w:r>
    </w:p>
    <w:p w14:paraId="18114C01" w14:textId="77777777" w:rsidR="0085590D" w:rsidRPr="00A9231D" w:rsidRDefault="0085590D" w:rsidP="0085590D">
      <w:pPr>
        <w:pStyle w:val="Glava"/>
        <w:tabs>
          <w:tab w:val="clear" w:pos="4513"/>
          <w:tab w:val="left" w:pos="5114"/>
          <w:tab w:val="left" w:pos="8641"/>
        </w:tabs>
        <w:spacing w:line="240" w:lineRule="exact"/>
        <w:rPr>
          <w:rFonts w:cs="Arial"/>
          <w:sz w:val="16"/>
        </w:rPr>
      </w:pPr>
      <w:r w:rsidRPr="00A9231D">
        <w:rPr>
          <w:rFonts w:cs="Arial"/>
          <w:sz w:val="16"/>
        </w:rPr>
        <w:tab/>
        <w:t>E: gp.gs@gov.si</w:t>
      </w:r>
    </w:p>
    <w:p w14:paraId="6A9D7EAE" w14:textId="77777777" w:rsidR="0085590D" w:rsidRPr="00A9231D" w:rsidRDefault="0085590D" w:rsidP="0085590D">
      <w:pPr>
        <w:pStyle w:val="Glava"/>
        <w:tabs>
          <w:tab w:val="clear" w:pos="4513"/>
          <w:tab w:val="left" w:pos="5114"/>
          <w:tab w:val="left" w:pos="8641"/>
        </w:tabs>
        <w:spacing w:line="240" w:lineRule="exact"/>
        <w:rPr>
          <w:rFonts w:cs="Arial"/>
          <w:sz w:val="16"/>
        </w:rPr>
      </w:pPr>
      <w:r w:rsidRPr="00A9231D">
        <w:rPr>
          <w:rFonts w:cs="Arial"/>
          <w:sz w:val="16"/>
        </w:rPr>
        <w:tab/>
        <w:t>http://www.vlada.si/</w:t>
      </w:r>
    </w:p>
    <w:p w14:paraId="7685B941" w14:textId="77777777" w:rsidR="0085590D" w:rsidRDefault="0085590D" w:rsidP="0085491B">
      <w:pPr>
        <w:spacing w:after="0" w:line="312" w:lineRule="auto"/>
        <w:jc w:val="right"/>
        <w:rPr>
          <w:rFonts w:eastAsia="Times New Roman" w:cs="Arial"/>
          <w:sz w:val="20"/>
          <w:szCs w:val="20"/>
          <w:lang w:eastAsia="sl-SI"/>
        </w:rPr>
      </w:pPr>
    </w:p>
    <w:p w14:paraId="0320E209" w14:textId="28B278BA" w:rsidR="0085590D" w:rsidRDefault="0085590D" w:rsidP="0085491B">
      <w:pPr>
        <w:spacing w:after="0" w:line="312" w:lineRule="auto"/>
        <w:jc w:val="right"/>
        <w:rPr>
          <w:rFonts w:eastAsia="Times New Roman" w:cs="Arial"/>
          <w:sz w:val="20"/>
          <w:szCs w:val="20"/>
          <w:lang w:eastAsia="sl-SI"/>
        </w:rPr>
      </w:pPr>
      <w:r>
        <w:rPr>
          <w:rFonts w:eastAsia="Times New Roman" w:cs="Arial"/>
          <w:sz w:val="20"/>
          <w:szCs w:val="20"/>
          <w:lang w:eastAsia="sl-SI"/>
        </w:rPr>
        <w:t>SKRAJŠANI POSTOPEK</w:t>
      </w:r>
    </w:p>
    <w:p w14:paraId="11A0FD37" w14:textId="77777777" w:rsidR="0085491B" w:rsidRPr="00FF5156" w:rsidRDefault="0085491B" w:rsidP="0085491B">
      <w:pPr>
        <w:spacing w:after="0" w:line="312" w:lineRule="auto"/>
        <w:jc w:val="right"/>
        <w:rPr>
          <w:rFonts w:eastAsia="Times New Roman" w:cs="Arial"/>
          <w:sz w:val="20"/>
          <w:szCs w:val="20"/>
          <w:lang w:eastAsia="sl-SI"/>
        </w:rPr>
      </w:pPr>
      <w:r w:rsidRPr="00FF5156">
        <w:rPr>
          <w:rFonts w:eastAsia="Times New Roman" w:cs="Arial"/>
          <w:sz w:val="20"/>
          <w:szCs w:val="20"/>
          <w:lang w:eastAsia="sl-SI"/>
        </w:rPr>
        <w:t>PREDLOG</w:t>
      </w:r>
    </w:p>
    <w:p w14:paraId="681ED941" w14:textId="77777777" w:rsidR="0085491B" w:rsidRPr="00FF5156" w:rsidRDefault="0085491B" w:rsidP="0085491B">
      <w:pPr>
        <w:suppressAutoHyphens/>
        <w:overflowPunct w:val="0"/>
        <w:autoSpaceDE w:val="0"/>
        <w:autoSpaceDN w:val="0"/>
        <w:adjustRightInd w:val="0"/>
        <w:spacing w:after="0" w:line="312" w:lineRule="auto"/>
        <w:jc w:val="right"/>
        <w:textAlignment w:val="baseline"/>
        <w:rPr>
          <w:rFonts w:eastAsia="Times New Roman" w:cs="Arial"/>
          <w:sz w:val="20"/>
          <w:szCs w:val="20"/>
          <w:lang w:eastAsia="sl-SI"/>
        </w:rPr>
      </w:pPr>
      <w:r w:rsidRPr="00FF5156">
        <w:rPr>
          <w:rFonts w:eastAsia="Times New Roman" w:cs="Arial"/>
          <w:sz w:val="20"/>
          <w:szCs w:val="20"/>
          <w:lang w:eastAsia="sl-SI"/>
        </w:rPr>
        <w:t xml:space="preserve">EVA </w:t>
      </w:r>
      <w:r w:rsidRPr="00FF5156">
        <w:rPr>
          <w:rFonts w:eastAsia="Times New Roman" w:cs="Arial"/>
          <w:iCs/>
          <w:sz w:val="20"/>
          <w:szCs w:val="20"/>
          <w:lang w:eastAsia="sl-SI"/>
        </w:rPr>
        <w:t>202</w:t>
      </w:r>
      <w:r>
        <w:rPr>
          <w:rFonts w:eastAsia="Times New Roman" w:cs="Arial"/>
          <w:iCs/>
          <w:sz w:val="20"/>
          <w:szCs w:val="20"/>
          <w:lang w:eastAsia="sl-SI"/>
        </w:rPr>
        <w:t>1</w:t>
      </w:r>
      <w:r w:rsidRPr="00FF5156">
        <w:rPr>
          <w:rFonts w:eastAsia="Times New Roman" w:cs="Arial"/>
          <w:iCs/>
          <w:sz w:val="20"/>
          <w:szCs w:val="20"/>
          <w:lang w:eastAsia="sl-SI"/>
        </w:rPr>
        <w:t>-1611-000</w:t>
      </w:r>
      <w:r>
        <w:rPr>
          <w:rFonts w:eastAsia="Times New Roman" w:cs="Arial"/>
          <w:iCs/>
          <w:sz w:val="20"/>
          <w:szCs w:val="20"/>
          <w:lang w:eastAsia="sl-SI"/>
        </w:rPr>
        <w:t>2</w:t>
      </w:r>
    </w:p>
    <w:p w14:paraId="02818E40" w14:textId="77777777" w:rsidR="0085491B" w:rsidRPr="00FF5156" w:rsidRDefault="0085491B" w:rsidP="0085491B">
      <w:pPr>
        <w:suppressAutoHyphens/>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3F3AD57D" w14:textId="77777777" w:rsidR="0085491B" w:rsidRPr="00FF5156" w:rsidRDefault="0085491B" w:rsidP="0085491B">
      <w:pPr>
        <w:suppressAutoHyphens/>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4F1CE4A5" w14:textId="77777777" w:rsidR="0085491B" w:rsidRPr="00FF5156" w:rsidRDefault="0085491B" w:rsidP="0085491B">
      <w:pPr>
        <w:suppressAutoHyphens/>
        <w:overflowPunct w:val="0"/>
        <w:autoSpaceDE w:val="0"/>
        <w:autoSpaceDN w:val="0"/>
        <w:adjustRightInd w:val="0"/>
        <w:spacing w:after="0" w:line="312" w:lineRule="auto"/>
        <w:jc w:val="center"/>
        <w:textAlignment w:val="baseline"/>
        <w:rPr>
          <w:rFonts w:eastAsia="Times New Roman" w:cs="Arial"/>
          <w:b/>
          <w:sz w:val="20"/>
          <w:szCs w:val="20"/>
          <w:lang w:eastAsia="sl-SI"/>
        </w:rPr>
      </w:pPr>
      <w:r w:rsidRPr="00FF5156">
        <w:rPr>
          <w:rFonts w:eastAsia="Times New Roman" w:cs="Arial"/>
          <w:b/>
          <w:sz w:val="20"/>
          <w:szCs w:val="20"/>
          <w:lang w:eastAsia="sl-SI"/>
        </w:rPr>
        <w:t xml:space="preserve">ZAKON O SPREMEMBAH IN DOPOLNITVAH ZAKONA O </w:t>
      </w:r>
      <w:r>
        <w:rPr>
          <w:rFonts w:eastAsia="Times New Roman" w:cs="Arial"/>
          <w:b/>
          <w:sz w:val="20"/>
          <w:szCs w:val="20"/>
          <w:lang w:eastAsia="sl-SI"/>
        </w:rPr>
        <w:t>SISTEMU JAMSTVA ZA VLOGE</w:t>
      </w:r>
    </w:p>
    <w:p w14:paraId="227C5C52" w14:textId="77777777" w:rsidR="0085491B" w:rsidRPr="00FF5156" w:rsidRDefault="0085491B" w:rsidP="0085491B">
      <w:pPr>
        <w:suppressAutoHyphens/>
        <w:overflowPunct w:val="0"/>
        <w:autoSpaceDE w:val="0"/>
        <w:autoSpaceDN w:val="0"/>
        <w:adjustRightInd w:val="0"/>
        <w:spacing w:after="0" w:line="312" w:lineRule="auto"/>
        <w:jc w:val="left"/>
        <w:textAlignment w:val="baseline"/>
        <w:rPr>
          <w:rFonts w:eastAsia="Times New Roman" w:cs="Arial"/>
          <w:b/>
          <w:sz w:val="20"/>
          <w:szCs w:val="20"/>
          <w:lang w:eastAsia="sl-SI"/>
        </w:rPr>
      </w:pPr>
    </w:p>
    <w:p w14:paraId="17EE691E" w14:textId="77777777" w:rsidR="0085491B" w:rsidRPr="00FF5156" w:rsidRDefault="0085491B" w:rsidP="0085491B">
      <w:pPr>
        <w:spacing w:after="0" w:line="312" w:lineRule="auto"/>
        <w:rPr>
          <w:rFonts w:eastAsia="Times New Roman" w:cs="Arial"/>
          <w:b/>
          <w:sz w:val="20"/>
          <w:szCs w:val="20"/>
          <w:lang w:eastAsia="sl-SI"/>
        </w:rPr>
      </w:pPr>
    </w:p>
    <w:p w14:paraId="304367A3" w14:textId="77777777" w:rsidR="0085491B" w:rsidRPr="00FF5156" w:rsidRDefault="0085491B" w:rsidP="0085491B">
      <w:pPr>
        <w:spacing w:after="0" w:line="312" w:lineRule="auto"/>
        <w:rPr>
          <w:rFonts w:eastAsia="Times New Roman" w:cs="Arial"/>
          <w:b/>
          <w:sz w:val="20"/>
          <w:szCs w:val="20"/>
          <w:lang w:eastAsia="sl-SI"/>
        </w:rPr>
      </w:pPr>
      <w:r w:rsidRPr="00FF5156">
        <w:rPr>
          <w:rFonts w:eastAsia="Times New Roman" w:cs="Arial"/>
          <w:b/>
          <w:sz w:val="20"/>
          <w:szCs w:val="20"/>
          <w:lang w:eastAsia="sl-SI"/>
        </w:rPr>
        <w:t>I. UVOD</w:t>
      </w:r>
    </w:p>
    <w:p w14:paraId="24EB937C" w14:textId="77777777" w:rsidR="0085491B" w:rsidRPr="00FF5156" w:rsidRDefault="0085491B" w:rsidP="0085491B">
      <w:pPr>
        <w:spacing w:after="0" w:line="312" w:lineRule="auto"/>
        <w:rPr>
          <w:rFonts w:eastAsia="Times New Roman" w:cs="Arial"/>
          <w:b/>
          <w:sz w:val="20"/>
          <w:szCs w:val="20"/>
          <w:lang w:eastAsia="sl-SI"/>
        </w:rPr>
      </w:pPr>
    </w:p>
    <w:p w14:paraId="7C85C985" w14:textId="77777777" w:rsidR="0085491B" w:rsidRPr="00FF5156" w:rsidRDefault="0085491B" w:rsidP="0085491B">
      <w:pPr>
        <w:spacing w:after="0" w:line="312" w:lineRule="auto"/>
        <w:rPr>
          <w:rFonts w:eastAsia="Times New Roman" w:cs="Arial"/>
          <w:b/>
          <w:sz w:val="20"/>
          <w:szCs w:val="20"/>
          <w:lang w:eastAsia="sl-SI"/>
        </w:rPr>
      </w:pPr>
    </w:p>
    <w:p w14:paraId="3390EC7A" w14:textId="77777777" w:rsidR="0085491B" w:rsidRPr="00FF5156" w:rsidRDefault="0085491B" w:rsidP="0085491B">
      <w:pPr>
        <w:numPr>
          <w:ilvl w:val="0"/>
          <w:numId w:val="14"/>
        </w:numPr>
        <w:spacing w:after="0" w:line="312" w:lineRule="auto"/>
        <w:jc w:val="left"/>
        <w:rPr>
          <w:rFonts w:eastAsia="Times New Roman" w:cs="Arial"/>
          <w:b/>
          <w:sz w:val="20"/>
          <w:szCs w:val="20"/>
          <w:lang w:eastAsia="sl-SI"/>
        </w:rPr>
      </w:pPr>
      <w:r w:rsidRPr="00FF5156">
        <w:rPr>
          <w:rFonts w:eastAsia="Times New Roman" w:cs="Arial"/>
          <w:b/>
          <w:sz w:val="20"/>
          <w:szCs w:val="20"/>
          <w:lang w:eastAsia="sl-SI"/>
        </w:rPr>
        <w:t>OCENA STANJA IN RAZLOGI ZA SPREJEM PREDLOGA ZAKONA</w:t>
      </w:r>
    </w:p>
    <w:p w14:paraId="59CCD338" w14:textId="77777777" w:rsidR="0085491B" w:rsidRPr="00FF5156" w:rsidRDefault="0085491B" w:rsidP="0085491B">
      <w:pPr>
        <w:spacing w:after="0" w:line="312" w:lineRule="auto"/>
        <w:rPr>
          <w:rFonts w:eastAsia="Times New Roman" w:cs="Arial"/>
          <w:sz w:val="20"/>
          <w:szCs w:val="20"/>
          <w:highlight w:val="yellow"/>
          <w:lang w:eastAsia="sl-SI"/>
        </w:rPr>
      </w:pPr>
    </w:p>
    <w:p w14:paraId="21CFEF73" w14:textId="77777777" w:rsidR="0085491B" w:rsidRDefault="0085491B" w:rsidP="0085491B">
      <w:pPr>
        <w:spacing w:after="0" w:line="312" w:lineRule="auto"/>
        <w:rPr>
          <w:rFonts w:eastAsia="Times New Roman" w:cs="Arial"/>
          <w:sz w:val="20"/>
          <w:szCs w:val="20"/>
          <w:lang w:eastAsia="sl-SI"/>
        </w:rPr>
      </w:pPr>
      <w:r w:rsidRPr="001A7F66">
        <w:rPr>
          <w:rFonts w:eastAsia="Times New Roman" w:cs="Arial"/>
          <w:sz w:val="20"/>
          <w:szCs w:val="20"/>
          <w:lang w:eastAsia="sl-SI"/>
        </w:rPr>
        <w:t>Direktiva 2014/49/EU Evropskega parlamenta in Sveta z dne 16. aprila 2014 o sistemih jamstva za vloge (UL L št. 173 z dne 12. junija 2014, str. 149</w:t>
      </w:r>
      <w:r>
        <w:rPr>
          <w:rFonts w:eastAsia="Times New Roman" w:cs="Arial"/>
          <w:sz w:val="20"/>
          <w:szCs w:val="20"/>
          <w:lang w:eastAsia="sl-SI"/>
        </w:rPr>
        <w:t>)</w:t>
      </w:r>
      <w:r w:rsidRPr="001A7F66">
        <w:rPr>
          <w:rFonts w:eastAsia="Times New Roman" w:cs="Arial"/>
          <w:sz w:val="20"/>
          <w:szCs w:val="20"/>
          <w:lang w:eastAsia="sl-SI"/>
        </w:rPr>
        <w:t>, zadnjič popravljena s Popravkom Direktive 2014/49/EU Evropskega parlamenta in Sveta z dne 16. aprila 2014 o sistemih jamstva za vloge (UL L št. 309 z dne 30. oktobra 2014, str. 37), (v nadaljnjem besedilu: Direktiva 2014/49/EU)</w:t>
      </w:r>
      <w:r>
        <w:rPr>
          <w:rFonts w:eastAsia="Times New Roman" w:cs="Arial"/>
          <w:sz w:val="20"/>
          <w:szCs w:val="20"/>
          <w:lang w:eastAsia="sl-SI"/>
        </w:rPr>
        <w:t xml:space="preserve">, je bila v domači pravni red prenesena z </w:t>
      </w:r>
      <w:r w:rsidRPr="001A7F66">
        <w:rPr>
          <w:rFonts w:eastAsia="Times New Roman" w:cs="Arial"/>
          <w:sz w:val="20"/>
          <w:szCs w:val="20"/>
          <w:lang w:eastAsia="sl-SI"/>
        </w:rPr>
        <w:t>Zakonom o sistemu jamstva za vloge (Uradni list RS, št. 27/16</w:t>
      </w:r>
      <w:r>
        <w:rPr>
          <w:rFonts w:eastAsia="Times New Roman" w:cs="Arial"/>
          <w:sz w:val="20"/>
          <w:szCs w:val="20"/>
          <w:lang w:eastAsia="sl-SI"/>
        </w:rPr>
        <w:t>; v nadaljnjem besedilu: ZSJV</w:t>
      </w:r>
      <w:r w:rsidRPr="001A7F66">
        <w:rPr>
          <w:rFonts w:eastAsia="Times New Roman" w:cs="Arial"/>
          <w:sz w:val="20"/>
          <w:szCs w:val="20"/>
          <w:lang w:eastAsia="sl-SI"/>
        </w:rPr>
        <w:t>)</w:t>
      </w:r>
      <w:r>
        <w:rPr>
          <w:rFonts w:eastAsia="Times New Roman" w:cs="Arial"/>
          <w:sz w:val="20"/>
          <w:szCs w:val="20"/>
          <w:lang w:eastAsia="sl-SI"/>
        </w:rPr>
        <w:t>.</w:t>
      </w:r>
    </w:p>
    <w:p w14:paraId="4121DC07" w14:textId="77777777" w:rsidR="0085491B" w:rsidRDefault="0085491B" w:rsidP="0085491B">
      <w:pPr>
        <w:spacing w:after="0" w:line="312" w:lineRule="auto"/>
        <w:rPr>
          <w:rFonts w:eastAsia="Times New Roman" w:cs="Arial"/>
          <w:sz w:val="20"/>
          <w:szCs w:val="20"/>
          <w:lang w:eastAsia="sl-SI"/>
        </w:rPr>
      </w:pPr>
    </w:p>
    <w:p w14:paraId="4B02DCCC" w14:textId="77777777" w:rsidR="0085491B" w:rsidRDefault="0085491B" w:rsidP="0085491B">
      <w:pPr>
        <w:spacing w:after="0" w:line="312" w:lineRule="auto"/>
        <w:rPr>
          <w:rFonts w:eastAsia="Times New Roman" w:cs="Arial"/>
          <w:sz w:val="20"/>
          <w:szCs w:val="20"/>
          <w:lang w:eastAsia="sl-SI"/>
        </w:rPr>
      </w:pPr>
      <w:r>
        <w:rPr>
          <w:rFonts w:eastAsia="Times New Roman" w:cs="Arial"/>
          <w:sz w:val="20"/>
          <w:szCs w:val="20"/>
          <w:lang w:eastAsia="sl-SI"/>
        </w:rPr>
        <w:t>ZSJV</w:t>
      </w:r>
      <w:r w:rsidRPr="001A7F66">
        <w:rPr>
          <w:rFonts w:eastAsia="Times New Roman" w:cs="Arial"/>
          <w:sz w:val="20"/>
          <w:szCs w:val="20"/>
          <w:lang w:eastAsia="sl-SI"/>
        </w:rPr>
        <w:t xml:space="preserve"> ureja vzpostavitev in delovanje sistema jamstva za vloge pri bankah in hranilnicah na območju Republike Slovenije, pristojnosti in naloge Banke Slovenije pri izvajanju nalog in pooblastil organa za jamstvo vlog ter nadzor nad izpolnjevanjem obveznosti v zvezi s sistemom jamstva za vloge.</w:t>
      </w:r>
    </w:p>
    <w:p w14:paraId="47DD594C" w14:textId="77777777" w:rsidR="0085491B" w:rsidRDefault="0085491B" w:rsidP="0085491B">
      <w:pPr>
        <w:spacing w:after="0" w:line="312" w:lineRule="auto"/>
        <w:rPr>
          <w:rFonts w:eastAsia="Times New Roman" w:cs="Arial"/>
          <w:sz w:val="20"/>
          <w:szCs w:val="20"/>
          <w:lang w:eastAsia="sl-SI"/>
        </w:rPr>
      </w:pPr>
    </w:p>
    <w:p w14:paraId="11B794A0" w14:textId="77777777" w:rsidR="0085491B" w:rsidRPr="006C46C0" w:rsidRDefault="0085491B" w:rsidP="0085491B">
      <w:pPr>
        <w:spacing w:after="0" w:line="312" w:lineRule="auto"/>
        <w:rPr>
          <w:rFonts w:eastAsia="Times New Roman" w:cs="Arial"/>
          <w:sz w:val="20"/>
          <w:szCs w:val="20"/>
          <w:lang w:eastAsia="sl-SI"/>
        </w:rPr>
      </w:pPr>
      <w:r>
        <w:rPr>
          <w:rFonts w:eastAsia="Times New Roman" w:cs="Arial"/>
          <w:sz w:val="20"/>
          <w:szCs w:val="20"/>
          <w:lang w:eastAsia="sl-SI"/>
        </w:rPr>
        <w:t xml:space="preserve">Na podlagi ZSJV je v </w:t>
      </w:r>
      <w:r w:rsidRPr="006C46C0">
        <w:rPr>
          <w:rFonts w:eastAsia="Times New Roman" w:cs="Arial"/>
          <w:sz w:val="20"/>
          <w:szCs w:val="20"/>
          <w:lang w:eastAsia="sl-SI"/>
        </w:rPr>
        <w:t>Republiki Sloveniji vzpostav</w:t>
      </w:r>
      <w:r>
        <w:rPr>
          <w:rFonts w:eastAsia="Times New Roman" w:cs="Arial"/>
          <w:sz w:val="20"/>
          <w:szCs w:val="20"/>
          <w:lang w:eastAsia="sl-SI"/>
        </w:rPr>
        <w:t>ljen</w:t>
      </w:r>
      <w:r w:rsidRPr="006C46C0">
        <w:rPr>
          <w:rFonts w:eastAsia="Times New Roman" w:cs="Arial"/>
          <w:sz w:val="20"/>
          <w:szCs w:val="20"/>
          <w:lang w:eastAsia="sl-SI"/>
        </w:rPr>
        <w:t xml:space="preserve"> en sistem jamstva za vloge, </w:t>
      </w:r>
      <w:r>
        <w:rPr>
          <w:rFonts w:eastAsia="Times New Roman" w:cs="Arial"/>
          <w:sz w:val="20"/>
          <w:szCs w:val="20"/>
          <w:lang w:eastAsia="sl-SI"/>
        </w:rPr>
        <w:t xml:space="preserve">katerega članice so vse banke in hranilnice </w:t>
      </w:r>
      <w:r w:rsidRPr="006C46C0">
        <w:rPr>
          <w:rFonts w:eastAsia="Times New Roman" w:cs="Arial"/>
          <w:sz w:val="20"/>
          <w:szCs w:val="20"/>
          <w:lang w:eastAsia="sl-SI"/>
        </w:rPr>
        <w:t>s sedežem v Republiki Sloveniji</w:t>
      </w:r>
      <w:r>
        <w:rPr>
          <w:rFonts w:eastAsia="Times New Roman" w:cs="Arial"/>
          <w:sz w:val="20"/>
          <w:szCs w:val="20"/>
          <w:lang w:eastAsia="sl-SI"/>
        </w:rPr>
        <w:t xml:space="preserve">, </w:t>
      </w:r>
      <w:r w:rsidRPr="006C46C0">
        <w:rPr>
          <w:rFonts w:eastAsia="Times New Roman" w:cs="Arial"/>
          <w:sz w:val="20"/>
          <w:szCs w:val="20"/>
          <w:lang w:eastAsia="sl-SI"/>
        </w:rPr>
        <w:t xml:space="preserve">pod določenimi pogoji </w:t>
      </w:r>
      <w:r>
        <w:rPr>
          <w:rFonts w:eastAsia="Times New Roman" w:cs="Arial"/>
          <w:sz w:val="20"/>
          <w:szCs w:val="20"/>
          <w:lang w:eastAsia="sl-SI"/>
        </w:rPr>
        <w:t xml:space="preserve">pa tudi </w:t>
      </w:r>
      <w:r w:rsidRPr="006C46C0">
        <w:rPr>
          <w:rFonts w:eastAsia="Times New Roman" w:cs="Arial"/>
          <w:sz w:val="20"/>
          <w:szCs w:val="20"/>
          <w:lang w:eastAsia="sl-SI"/>
        </w:rPr>
        <w:t>banke tretj</w:t>
      </w:r>
      <w:r>
        <w:rPr>
          <w:rFonts w:eastAsia="Times New Roman" w:cs="Arial"/>
          <w:sz w:val="20"/>
          <w:szCs w:val="20"/>
          <w:lang w:eastAsia="sl-SI"/>
        </w:rPr>
        <w:t xml:space="preserve">ih </w:t>
      </w:r>
      <w:r w:rsidRPr="006C46C0">
        <w:rPr>
          <w:rFonts w:eastAsia="Times New Roman" w:cs="Arial"/>
          <w:sz w:val="20"/>
          <w:szCs w:val="20"/>
          <w:lang w:eastAsia="sl-SI"/>
        </w:rPr>
        <w:t xml:space="preserve">držav, ki so v skladu z zakonom, ki ureja bančništvo, pridobile dovoljenje za ustanovitev podružnice </w:t>
      </w:r>
      <w:r>
        <w:rPr>
          <w:rFonts w:eastAsia="Times New Roman" w:cs="Arial"/>
          <w:sz w:val="20"/>
          <w:szCs w:val="20"/>
          <w:lang w:eastAsia="sl-SI"/>
        </w:rPr>
        <w:t>v Republiki Sloveniji.</w:t>
      </w:r>
    </w:p>
    <w:p w14:paraId="4ACD73B3" w14:textId="77777777" w:rsidR="0085491B" w:rsidRPr="006C46C0" w:rsidRDefault="0085491B" w:rsidP="0085491B">
      <w:pPr>
        <w:spacing w:after="0" w:line="312" w:lineRule="auto"/>
        <w:rPr>
          <w:rFonts w:eastAsia="Times New Roman" w:cs="Arial"/>
          <w:sz w:val="20"/>
          <w:szCs w:val="20"/>
          <w:lang w:eastAsia="sl-SI"/>
        </w:rPr>
      </w:pPr>
    </w:p>
    <w:p w14:paraId="46DC6EFF" w14:textId="77777777" w:rsidR="0085491B" w:rsidRDefault="0085491B" w:rsidP="0085491B">
      <w:pPr>
        <w:spacing w:after="0" w:line="312" w:lineRule="auto"/>
        <w:rPr>
          <w:rFonts w:eastAsia="Times New Roman" w:cs="Arial"/>
          <w:sz w:val="20"/>
          <w:szCs w:val="20"/>
          <w:lang w:eastAsia="sl-SI"/>
        </w:rPr>
      </w:pPr>
      <w:r w:rsidRPr="006C46C0">
        <w:rPr>
          <w:rFonts w:eastAsia="Times New Roman" w:cs="Arial"/>
          <w:sz w:val="20"/>
          <w:szCs w:val="20"/>
          <w:lang w:eastAsia="sl-SI"/>
        </w:rPr>
        <w:t xml:space="preserve">Znesek kritja </w:t>
      </w:r>
      <w:r>
        <w:rPr>
          <w:rFonts w:eastAsia="Times New Roman" w:cs="Arial"/>
          <w:sz w:val="20"/>
          <w:szCs w:val="20"/>
          <w:lang w:eastAsia="sl-SI"/>
        </w:rPr>
        <w:t xml:space="preserve">za </w:t>
      </w:r>
      <w:r w:rsidRPr="006C46C0">
        <w:rPr>
          <w:rFonts w:eastAsia="Times New Roman" w:cs="Arial"/>
          <w:sz w:val="20"/>
          <w:szCs w:val="20"/>
          <w:lang w:eastAsia="sl-SI"/>
        </w:rPr>
        <w:t xml:space="preserve">vloge </w:t>
      </w:r>
      <w:r>
        <w:rPr>
          <w:rFonts w:eastAsia="Times New Roman" w:cs="Arial"/>
          <w:sz w:val="20"/>
          <w:szCs w:val="20"/>
          <w:lang w:eastAsia="sl-SI"/>
        </w:rPr>
        <w:t xml:space="preserve">posameznega vlagatelja pri eni banki je </w:t>
      </w:r>
      <w:r w:rsidRPr="006C46C0">
        <w:rPr>
          <w:rFonts w:eastAsia="Times New Roman" w:cs="Arial"/>
          <w:sz w:val="20"/>
          <w:szCs w:val="20"/>
          <w:lang w:eastAsia="sl-SI"/>
        </w:rPr>
        <w:t>100</w:t>
      </w:r>
      <w:r>
        <w:rPr>
          <w:rFonts w:eastAsia="Times New Roman" w:cs="Arial"/>
          <w:sz w:val="20"/>
          <w:szCs w:val="20"/>
          <w:lang w:eastAsia="sl-SI"/>
        </w:rPr>
        <w:t>.000</w:t>
      </w:r>
      <w:r w:rsidRPr="006C46C0">
        <w:rPr>
          <w:rFonts w:eastAsia="Times New Roman" w:cs="Arial"/>
          <w:sz w:val="20"/>
          <w:szCs w:val="20"/>
          <w:lang w:eastAsia="sl-SI"/>
        </w:rPr>
        <w:t xml:space="preserve"> evrov</w:t>
      </w:r>
      <w:r>
        <w:rPr>
          <w:rFonts w:eastAsia="Times New Roman" w:cs="Arial"/>
          <w:sz w:val="20"/>
          <w:szCs w:val="20"/>
          <w:lang w:eastAsia="sl-SI"/>
        </w:rPr>
        <w:t>, izjemoma je za nekatere vloge (</w:t>
      </w:r>
      <w:r w:rsidRPr="006C46C0">
        <w:rPr>
          <w:rFonts w:eastAsia="Times New Roman" w:cs="Arial"/>
          <w:sz w:val="20"/>
          <w:szCs w:val="20"/>
          <w:lang w:eastAsia="sl-SI"/>
        </w:rPr>
        <w:t>n</w:t>
      </w:r>
      <w:r>
        <w:rPr>
          <w:rFonts w:eastAsia="Times New Roman" w:cs="Arial"/>
          <w:sz w:val="20"/>
          <w:szCs w:val="20"/>
          <w:lang w:eastAsia="sl-SI"/>
        </w:rPr>
        <w:t>a primer</w:t>
      </w:r>
      <w:r w:rsidRPr="006C46C0">
        <w:rPr>
          <w:rFonts w:eastAsia="Times New Roman" w:cs="Arial"/>
          <w:sz w:val="20"/>
          <w:szCs w:val="20"/>
          <w:lang w:eastAsia="sl-SI"/>
        </w:rPr>
        <w:t xml:space="preserve"> </w:t>
      </w:r>
      <w:r>
        <w:rPr>
          <w:rFonts w:eastAsia="Times New Roman" w:cs="Arial"/>
          <w:sz w:val="20"/>
          <w:szCs w:val="20"/>
          <w:lang w:eastAsia="sl-SI"/>
        </w:rPr>
        <w:t>vloge</w:t>
      </w:r>
      <w:r w:rsidRPr="006C46C0">
        <w:rPr>
          <w:rFonts w:eastAsia="Times New Roman" w:cs="Arial"/>
          <w:sz w:val="20"/>
          <w:szCs w:val="20"/>
          <w:lang w:eastAsia="sl-SI"/>
        </w:rPr>
        <w:t>, ki so posledica nakupa oziroma prodaje stanovanjske nepremičnine, izplačila iz naslova socialnega, zdravstveneg</w:t>
      </w:r>
      <w:r>
        <w:rPr>
          <w:rFonts w:eastAsia="Times New Roman" w:cs="Arial"/>
          <w:sz w:val="20"/>
          <w:szCs w:val="20"/>
          <w:lang w:eastAsia="sl-SI"/>
        </w:rPr>
        <w:t xml:space="preserve">a ali življenjskega zavarovanja ali </w:t>
      </w:r>
      <w:r w:rsidRPr="006C46C0">
        <w:rPr>
          <w:rFonts w:eastAsia="Times New Roman" w:cs="Arial"/>
          <w:sz w:val="20"/>
          <w:szCs w:val="20"/>
          <w:lang w:eastAsia="sl-SI"/>
        </w:rPr>
        <w:t>izplačila invalidnine</w:t>
      </w:r>
      <w:r>
        <w:rPr>
          <w:rFonts w:eastAsia="Times New Roman" w:cs="Arial"/>
          <w:sz w:val="20"/>
          <w:szCs w:val="20"/>
          <w:lang w:eastAsia="sl-SI"/>
        </w:rPr>
        <w:t>)</w:t>
      </w:r>
      <w:r w:rsidRPr="006C46C0">
        <w:rPr>
          <w:rFonts w:eastAsia="Times New Roman" w:cs="Arial"/>
          <w:sz w:val="20"/>
          <w:szCs w:val="20"/>
          <w:lang w:eastAsia="sl-SI"/>
        </w:rPr>
        <w:t xml:space="preserve"> </w:t>
      </w:r>
      <w:r>
        <w:rPr>
          <w:rFonts w:eastAsia="Times New Roman" w:cs="Arial"/>
          <w:sz w:val="20"/>
          <w:szCs w:val="20"/>
          <w:lang w:eastAsia="sl-SI"/>
        </w:rPr>
        <w:t xml:space="preserve">izplačilo jamstva lahko tudi višje od navedenega zneska. </w:t>
      </w:r>
    </w:p>
    <w:p w14:paraId="119B05BB" w14:textId="77777777" w:rsidR="0085491B" w:rsidRDefault="0085491B" w:rsidP="0085491B">
      <w:pPr>
        <w:spacing w:after="0" w:line="312" w:lineRule="auto"/>
        <w:rPr>
          <w:rFonts w:eastAsia="Times New Roman" w:cs="Arial"/>
          <w:sz w:val="20"/>
          <w:szCs w:val="20"/>
          <w:lang w:eastAsia="sl-SI"/>
        </w:rPr>
      </w:pPr>
    </w:p>
    <w:p w14:paraId="0337894A" w14:textId="77777777" w:rsidR="0085491B" w:rsidRDefault="0085491B" w:rsidP="0085491B">
      <w:pPr>
        <w:spacing w:after="0" w:line="312" w:lineRule="auto"/>
        <w:rPr>
          <w:rFonts w:eastAsia="Times New Roman" w:cs="Arial"/>
          <w:sz w:val="20"/>
          <w:szCs w:val="20"/>
          <w:lang w:eastAsia="sl-SI"/>
        </w:rPr>
      </w:pPr>
      <w:r>
        <w:rPr>
          <w:rFonts w:eastAsia="Times New Roman" w:cs="Arial"/>
          <w:sz w:val="20"/>
          <w:szCs w:val="20"/>
          <w:lang w:eastAsia="sl-SI"/>
        </w:rPr>
        <w:t>Sistem jamstva za vloge upravlja Banka Slovenije. Ta naloga zajema:</w:t>
      </w:r>
    </w:p>
    <w:p w14:paraId="049A91C3" w14:textId="77777777" w:rsidR="0085491B" w:rsidRDefault="0085491B" w:rsidP="0085491B">
      <w:pPr>
        <w:spacing w:after="0" w:line="312" w:lineRule="auto"/>
        <w:rPr>
          <w:rFonts w:eastAsia="Times New Roman" w:cs="Arial"/>
          <w:sz w:val="20"/>
          <w:szCs w:val="20"/>
          <w:lang w:eastAsia="sl-SI"/>
        </w:rPr>
      </w:pPr>
    </w:p>
    <w:p w14:paraId="38D689F5" w14:textId="77777777" w:rsidR="0085491B" w:rsidRPr="006C46C0" w:rsidRDefault="0085491B" w:rsidP="0085491B">
      <w:pPr>
        <w:pStyle w:val="Odstavekseznama"/>
        <w:numPr>
          <w:ilvl w:val="0"/>
          <w:numId w:val="122"/>
        </w:numPr>
        <w:spacing w:after="0" w:line="312" w:lineRule="auto"/>
        <w:rPr>
          <w:rFonts w:eastAsia="Times New Roman" w:cs="Arial"/>
          <w:sz w:val="20"/>
          <w:szCs w:val="20"/>
          <w:lang w:eastAsia="sl-SI"/>
        </w:rPr>
      </w:pPr>
      <w:r w:rsidRPr="006C46C0">
        <w:rPr>
          <w:rFonts w:eastAsia="Times New Roman" w:cs="Arial"/>
          <w:sz w:val="20"/>
          <w:szCs w:val="20"/>
          <w:lang w:eastAsia="sl-SI"/>
        </w:rPr>
        <w:t>upravlja</w:t>
      </w:r>
      <w:r>
        <w:rPr>
          <w:rFonts w:eastAsia="Times New Roman" w:cs="Arial"/>
          <w:sz w:val="20"/>
          <w:szCs w:val="20"/>
          <w:lang w:eastAsia="sl-SI"/>
        </w:rPr>
        <w:t xml:space="preserve">nje </w:t>
      </w:r>
      <w:r w:rsidRPr="006C46C0">
        <w:rPr>
          <w:rFonts w:eastAsia="Times New Roman" w:cs="Arial"/>
          <w:sz w:val="20"/>
          <w:szCs w:val="20"/>
          <w:lang w:eastAsia="sl-SI"/>
        </w:rPr>
        <w:t>sklad</w:t>
      </w:r>
      <w:r>
        <w:rPr>
          <w:rFonts w:eastAsia="Times New Roman" w:cs="Arial"/>
          <w:sz w:val="20"/>
          <w:szCs w:val="20"/>
          <w:lang w:eastAsia="sl-SI"/>
        </w:rPr>
        <w:t>a za jamstvo vlog;</w:t>
      </w:r>
    </w:p>
    <w:p w14:paraId="19775B9B" w14:textId="77777777" w:rsidR="0085491B" w:rsidRPr="006C46C0" w:rsidRDefault="0085491B" w:rsidP="0085491B">
      <w:pPr>
        <w:pStyle w:val="Odstavekseznama"/>
        <w:numPr>
          <w:ilvl w:val="0"/>
          <w:numId w:val="122"/>
        </w:numPr>
        <w:spacing w:after="0" w:line="312" w:lineRule="auto"/>
        <w:rPr>
          <w:rFonts w:eastAsia="Times New Roman" w:cs="Arial"/>
          <w:sz w:val="20"/>
          <w:szCs w:val="20"/>
          <w:lang w:eastAsia="sl-SI"/>
        </w:rPr>
      </w:pPr>
      <w:r w:rsidRPr="006C46C0">
        <w:rPr>
          <w:rFonts w:eastAsia="Times New Roman" w:cs="Arial"/>
          <w:sz w:val="20"/>
          <w:szCs w:val="20"/>
          <w:lang w:eastAsia="sl-SI"/>
        </w:rPr>
        <w:t>zbira</w:t>
      </w:r>
      <w:r>
        <w:rPr>
          <w:rFonts w:eastAsia="Times New Roman" w:cs="Arial"/>
          <w:sz w:val="20"/>
          <w:szCs w:val="20"/>
          <w:lang w:eastAsia="sl-SI"/>
        </w:rPr>
        <w:t>nje</w:t>
      </w:r>
      <w:r w:rsidRPr="006C46C0">
        <w:rPr>
          <w:rFonts w:eastAsia="Times New Roman" w:cs="Arial"/>
          <w:sz w:val="20"/>
          <w:szCs w:val="20"/>
          <w:lang w:eastAsia="sl-SI"/>
        </w:rPr>
        <w:t xml:space="preserve"> redn</w:t>
      </w:r>
      <w:r>
        <w:rPr>
          <w:rFonts w:eastAsia="Times New Roman" w:cs="Arial"/>
          <w:sz w:val="20"/>
          <w:szCs w:val="20"/>
          <w:lang w:eastAsia="sl-SI"/>
        </w:rPr>
        <w:t>ih</w:t>
      </w:r>
      <w:r w:rsidRPr="006C46C0">
        <w:rPr>
          <w:rFonts w:eastAsia="Times New Roman" w:cs="Arial"/>
          <w:sz w:val="20"/>
          <w:szCs w:val="20"/>
          <w:lang w:eastAsia="sl-SI"/>
        </w:rPr>
        <w:t xml:space="preserve"> in izredn</w:t>
      </w:r>
      <w:r>
        <w:rPr>
          <w:rFonts w:eastAsia="Times New Roman" w:cs="Arial"/>
          <w:sz w:val="20"/>
          <w:szCs w:val="20"/>
          <w:lang w:eastAsia="sl-SI"/>
        </w:rPr>
        <w:t>ih</w:t>
      </w:r>
      <w:r w:rsidRPr="006C46C0">
        <w:rPr>
          <w:rFonts w:eastAsia="Times New Roman" w:cs="Arial"/>
          <w:sz w:val="20"/>
          <w:szCs w:val="20"/>
          <w:lang w:eastAsia="sl-SI"/>
        </w:rPr>
        <w:t xml:space="preserve"> prispevk</w:t>
      </w:r>
      <w:r>
        <w:rPr>
          <w:rFonts w:eastAsia="Times New Roman" w:cs="Arial"/>
          <w:sz w:val="20"/>
          <w:szCs w:val="20"/>
          <w:lang w:eastAsia="sl-SI"/>
        </w:rPr>
        <w:t>ov</w:t>
      </w:r>
      <w:r w:rsidRPr="006C46C0">
        <w:rPr>
          <w:rFonts w:eastAsia="Times New Roman" w:cs="Arial"/>
          <w:sz w:val="20"/>
          <w:szCs w:val="20"/>
          <w:lang w:eastAsia="sl-SI"/>
        </w:rPr>
        <w:t xml:space="preserve"> bank </w:t>
      </w:r>
      <w:r>
        <w:rPr>
          <w:rFonts w:eastAsia="Times New Roman" w:cs="Arial"/>
          <w:sz w:val="20"/>
          <w:szCs w:val="20"/>
          <w:lang w:eastAsia="sl-SI"/>
        </w:rPr>
        <w:t xml:space="preserve">in hranilnic </w:t>
      </w:r>
      <w:r w:rsidRPr="006C46C0">
        <w:rPr>
          <w:rFonts w:eastAsia="Times New Roman" w:cs="Arial"/>
          <w:sz w:val="20"/>
          <w:szCs w:val="20"/>
          <w:lang w:eastAsia="sl-SI"/>
        </w:rPr>
        <w:t>v sklad za jamstvo vlog ter sklepa</w:t>
      </w:r>
      <w:r>
        <w:rPr>
          <w:rFonts w:eastAsia="Times New Roman" w:cs="Arial"/>
          <w:sz w:val="20"/>
          <w:szCs w:val="20"/>
          <w:lang w:eastAsia="sl-SI"/>
        </w:rPr>
        <w:t>nje</w:t>
      </w:r>
      <w:r w:rsidRPr="006C46C0">
        <w:rPr>
          <w:rFonts w:eastAsia="Times New Roman" w:cs="Arial"/>
          <w:sz w:val="20"/>
          <w:szCs w:val="20"/>
          <w:lang w:eastAsia="sl-SI"/>
        </w:rPr>
        <w:t xml:space="preserve"> dogovor</w:t>
      </w:r>
      <w:r>
        <w:rPr>
          <w:rFonts w:eastAsia="Times New Roman" w:cs="Arial"/>
          <w:sz w:val="20"/>
          <w:szCs w:val="20"/>
          <w:lang w:eastAsia="sl-SI"/>
        </w:rPr>
        <w:t>ov</w:t>
      </w:r>
      <w:r w:rsidRPr="006C46C0">
        <w:rPr>
          <w:rFonts w:eastAsia="Times New Roman" w:cs="Arial"/>
          <w:sz w:val="20"/>
          <w:szCs w:val="20"/>
          <w:lang w:eastAsia="sl-SI"/>
        </w:rPr>
        <w:t xml:space="preserve"> o dru</w:t>
      </w:r>
      <w:r>
        <w:rPr>
          <w:rFonts w:eastAsia="Times New Roman" w:cs="Arial"/>
          <w:sz w:val="20"/>
          <w:szCs w:val="20"/>
          <w:lang w:eastAsia="sl-SI"/>
        </w:rPr>
        <w:t>gih oblikah financiranja sklada;</w:t>
      </w:r>
    </w:p>
    <w:p w14:paraId="13020B2C" w14:textId="77777777" w:rsidR="0085491B" w:rsidRPr="006C46C0" w:rsidRDefault="0085491B" w:rsidP="0085491B">
      <w:pPr>
        <w:pStyle w:val="Odstavekseznama"/>
        <w:numPr>
          <w:ilvl w:val="0"/>
          <w:numId w:val="122"/>
        </w:numPr>
        <w:spacing w:after="0" w:line="312" w:lineRule="auto"/>
        <w:rPr>
          <w:rFonts w:eastAsia="Times New Roman" w:cs="Arial"/>
          <w:sz w:val="20"/>
          <w:szCs w:val="20"/>
          <w:lang w:eastAsia="sl-SI"/>
        </w:rPr>
      </w:pPr>
      <w:r w:rsidRPr="006C46C0">
        <w:rPr>
          <w:rFonts w:eastAsia="Times New Roman" w:cs="Arial"/>
          <w:sz w:val="20"/>
          <w:szCs w:val="20"/>
          <w:lang w:eastAsia="sl-SI"/>
        </w:rPr>
        <w:t>vzpostav</w:t>
      </w:r>
      <w:r>
        <w:rPr>
          <w:rFonts w:eastAsia="Times New Roman" w:cs="Arial"/>
          <w:sz w:val="20"/>
          <w:szCs w:val="20"/>
          <w:lang w:eastAsia="sl-SI"/>
        </w:rPr>
        <w:t>itev</w:t>
      </w:r>
      <w:r w:rsidRPr="006C46C0">
        <w:rPr>
          <w:rFonts w:eastAsia="Times New Roman" w:cs="Arial"/>
          <w:sz w:val="20"/>
          <w:szCs w:val="20"/>
          <w:lang w:eastAsia="sl-SI"/>
        </w:rPr>
        <w:t>, preverja</w:t>
      </w:r>
      <w:r>
        <w:rPr>
          <w:rFonts w:eastAsia="Times New Roman" w:cs="Arial"/>
          <w:sz w:val="20"/>
          <w:szCs w:val="20"/>
          <w:lang w:eastAsia="sl-SI"/>
        </w:rPr>
        <w:t>nje</w:t>
      </w:r>
      <w:r w:rsidRPr="006C46C0">
        <w:rPr>
          <w:rFonts w:eastAsia="Times New Roman" w:cs="Arial"/>
          <w:sz w:val="20"/>
          <w:szCs w:val="20"/>
          <w:lang w:eastAsia="sl-SI"/>
        </w:rPr>
        <w:t xml:space="preserve"> in posodablja</w:t>
      </w:r>
      <w:r>
        <w:rPr>
          <w:rFonts w:eastAsia="Times New Roman" w:cs="Arial"/>
          <w:sz w:val="20"/>
          <w:szCs w:val="20"/>
          <w:lang w:eastAsia="sl-SI"/>
        </w:rPr>
        <w:t>nje</w:t>
      </w:r>
      <w:r w:rsidRPr="006C46C0">
        <w:rPr>
          <w:rFonts w:eastAsia="Times New Roman" w:cs="Arial"/>
          <w:sz w:val="20"/>
          <w:szCs w:val="20"/>
          <w:lang w:eastAsia="sl-SI"/>
        </w:rPr>
        <w:t xml:space="preserve"> postopk</w:t>
      </w:r>
      <w:r>
        <w:rPr>
          <w:rFonts w:eastAsia="Times New Roman" w:cs="Arial"/>
          <w:sz w:val="20"/>
          <w:szCs w:val="20"/>
          <w:lang w:eastAsia="sl-SI"/>
        </w:rPr>
        <w:t>ov</w:t>
      </w:r>
      <w:r w:rsidRPr="006C46C0">
        <w:rPr>
          <w:rFonts w:eastAsia="Times New Roman" w:cs="Arial"/>
          <w:sz w:val="20"/>
          <w:szCs w:val="20"/>
          <w:lang w:eastAsia="sl-SI"/>
        </w:rPr>
        <w:t xml:space="preserve"> za izplačilo kritja zajamčenih vlog</w:t>
      </w:r>
      <w:r>
        <w:rPr>
          <w:rFonts w:eastAsia="Times New Roman" w:cs="Arial"/>
          <w:sz w:val="20"/>
          <w:szCs w:val="20"/>
          <w:lang w:eastAsia="sl-SI"/>
        </w:rPr>
        <w:t>;</w:t>
      </w:r>
    </w:p>
    <w:p w14:paraId="507363DC" w14:textId="77777777" w:rsidR="0085491B" w:rsidRPr="006C46C0" w:rsidRDefault="0085491B" w:rsidP="0085491B">
      <w:pPr>
        <w:pStyle w:val="Odstavekseznama"/>
        <w:numPr>
          <w:ilvl w:val="0"/>
          <w:numId w:val="122"/>
        </w:numPr>
        <w:spacing w:after="0" w:line="312" w:lineRule="auto"/>
        <w:rPr>
          <w:rFonts w:eastAsia="Times New Roman" w:cs="Arial"/>
          <w:sz w:val="20"/>
          <w:szCs w:val="20"/>
          <w:lang w:eastAsia="sl-SI"/>
        </w:rPr>
      </w:pPr>
      <w:r w:rsidRPr="006C46C0">
        <w:rPr>
          <w:rFonts w:eastAsia="Times New Roman" w:cs="Arial"/>
          <w:sz w:val="20"/>
          <w:szCs w:val="20"/>
          <w:lang w:eastAsia="sl-SI"/>
        </w:rPr>
        <w:lastRenderedPageBreak/>
        <w:t>nadzira</w:t>
      </w:r>
      <w:r>
        <w:rPr>
          <w:rFonts w:eastAsia="Times New Roman" w:cs="Arial"/>
          <w:sz w:val="20"/>
          <w:szCs w:val="20"/>
          <w:lang w:eastAsia="sl-SI"/>
        </w:rPr>
        <w:t>nje</w:t>
      </w:r>
      <w:r w:rsidRPr="006C46C0">
        <w:rPr>
          <w:rFonts w:eastAsia="Times New Roman" w:cs="Arial"/>
          <w:sz w:val="20"/>
          <w:szCs w:val="20"/>
          <w:lang w:eastAsia="sl-SI"/>
        </w:rPr>
        <w:t xml:space="preserve"> član</w:t>
      </w:r>
      <w:r>
        <w:rPr>
          <w:rFonts w:eastAsia="Times New Roman" w:cs="Arial"/>
          <w:sz w:val="20"/>
          <w:szCs w:val="20"/>
          <w:lang w:eastAsia="sl-SI"/>
        </w:rPr>
        <w:t>ov</w:t>
      </w:r>
      <w:r w:rsidRPr="006C46C0">
        <w:rPr>
          <w:rFonts w:eastAsia="Times New Roman" w:cs="Arial"/>
          <w:sz w:val="20"/>
          <w:szCs w:val="20"/>
          <w:lang w:eastAsia="sl-SI"/>
        </w:rPr>
        <w:t xml:space="preserve"> sistema jamstva za vloge glede izpolnjevanja obveznosti iz članstva.</w:t>
      </w:r>
    </w:p>
    <w:p w14:paraId="75CAD6B2" w14:textId="77777777" w:rsidR="0085491B" w:rsidRPr="006C46C0" w:rsidRDefault="0085491B" w:rsidP="0085491B">
      <w:pPr>
        <w:spacing w:after="0" w:line="312" w:lineRule="auto"/>
        <w:rPr>
          <w:rFonts w:eastAsia="Times New Roman" w:cs="Arial"/>
          <w:sz w:val="20"/>
          <w:szCs w:val="20"/>
          <w:lang w:eastAsia="sl-SI"/>
        </w:rPr>
      </w:pPr>
    </w:p>
    <w:p w14:paraId="019B5A76" w14:textId="77777777" w:rsidR="0085491B" w:rsidRDefault="0085491B" w:rsidP="0085491B">
      <w:pPr>
        <w:spacing w:after="0" w:line="312" w:lineRule="auto"/>
        <w:rPr>
          <w:rFonts w:eastAsia="Times New Roman" w:cs="Arial"/>
          <w:sz w:val="20"/>
          <w:szCs w:val="20"/>
          <w:lang w:eastAsia="sl-SI"/>
        </w:rPr>
      </w:pPr>
      <w:r>
        <w:rPr>
          <w:rFonts w:eastAsia="Times New Roman" w:cs="Arial"/>
          <w:sz w:val="20"/>
          <w:szCs w:val="20"/>
          <w:lang w:eastAsia="sl-SI"/>
        </w:rPr>
        <w:t xml:space="preserve">Sredstva za izplačilo jamstva za vloge ob propadu banke ali hranilnice se zagotovijo iz sklada za jamstvo vlog. Ciljna vrednost sredstev sklada znaša 0,8 % vrednosti vseh zajamčenih vlog v Republiki Sloveniji, ki mora biti dosežena najpozneje do 3. julija 2024. Po podatkih Banke Slovenije so banke in hranilnice do zdaj v sklad za jamstvo vlog vplačale 122,4 milijona evrov (stanje na dan 30. 6. 2021), ciljna vrednost pa je približno 180 milijonov evrov. Sredstva tega sklada do zdaj še niso bila uporabljena. Če sredstva sklada ne bi zadoščala za izplačilo jamstva za vloge, dodatna sredstva zagotovijo banke in hranilnice. </w:t>
      </w:r>
    </w:p>
    <w:p w14:paraId="3FEA14A5" w14:textId="77777777" w:rsidR="0085491B" w:rsidRDefault="0085491B" w:rsidP="0085491B">
      <w:pPr>
        <w:spacing w:after="0" w:line="312" w:lineRule="auto"/>
        <w:rPr>
          <w:rFonts w:eastAsia="Times New Roman" w:cs="Arial"/>
          <w:sz w:val="20"/>
          <w:szCs w:val="20"/>
          <w:lang w:eastAsia="sl-SI"/>
        </w:rPr>
      </w:pPr>
    </w:p>
    <w:p w14:paraId="1226C521" w14:textId="77777777" w:rsidR="0085491B" w:rsidRDefault="0085491B" w:rsidP="0085491B">
      <w:pPr>
        <w:spacing w:after="0" w:line="312" w:lineRule="auto"/>
        <w:rPr>
          <w:rFonts w:eastAsia="Times New Roman" w:cs="Arial"/>
          <w:sz w:val="20"/>
          <w:szCs w:val="20"/>
          <w:lang w:eastAsia="sl-SI"/>
        </w:rPr>
      </w:pPr>
      <w:r>
        <w:rPr>
          <w:rFonts w:eastAsia="Times New Roman" w:cs="Arial"/>
          <w:sz w:val="20"/>
          <w:szCs w:val="20"/>
          <w:lang w:eastAsia="sl-SI"/>
        </w:rPr>
        <w:t xml:space="preserve">V okviru postopka preverjanja pravilnosti prenosa Direktive </w:t>
      </w:r>
      <w:r w:rsidRPr="001A7F66">
        <w:rPr>
          <w:rFonts w:eastAsia="Times New Roman" w:cs="Arial"/>
          <w:sz w:val="20"/>
          <w:szCs w:val="20"/>
          <w:lang w:eastAsia="sl-SI"/>
        </w:rPr>
        <w:t>2014/49/EU</w:t>
      </w:r>
      <w:r>
        <w:rPr>
          <w:rFonts w:eastAsia="Times New Roman" w:cs="Arial"/>
          <w:sz w:val="20"/>
          <w:szCs w:val="20"/>
          <w:lang w:eastAsia="sl-SI"/>
        </w:rPr>
        <w:t xml:space="preserve"> je Evropska komisija opozorila na pomanjkljivosti, ki jih je treba odpraviti, in sicer pri prenosu:</w:t>
      </w:r>
    </w:p>
    <w:p w14:paraId="746530FE" w14:textId="77777777" w:rsidR="0085491B" w:rsidRDefault="0085491B" w:rsidP="0085491B">
      <w:pPr>
        <w:spacing w:after="0" w:line="312" w:lineRule="auto"/>
        <w:rPr>
          <w:rFonts w:eastAsia="Times New Roman" w:cs="Arial"/>
          <w:sz w:val="20"/>
          <w:szCs w:val="20"/>
          <w:lang w:eastAsia="sl-SI"/>
        </w:rPr>
      </w:pPr>
    </w:p>
    <w:p w14:paraId="69156E57" w14:textId="77777777" w:rsidR="0085491B" w:rsidRDefault="0085491B" w:rsidP="0085491B">
      <w:pPr>
        <w:pStyle w:val="Odstavekseznama"/>
        <w:numPr>
          <w:ilvl w:val="0"/>
          <w:numId w:val="123"/>
        </w:numPr>
        <w:spacing w:after="0" w:line="312" w:lineRule="auto"/>
        <w:rPr>
          <w:rFonts w:eastAsia="Times New Roman" w:cs="Arial"/>
          <w:sz w:val="20"/>
          <w:szCs w:val="20"/>
          <w:lang w:eastAsia="sl-SI"/>
        </w:rPr>
      </w:pPr>
      <w:r w:rsidRPr="00393A45">
        <w:rPr>
          <w:rFonts w:eastAsia="Times New Roman" w:cs="Arial"/>
          <w:b/>
          <w:sz w:val="20"/>
          <w:szCs w:val="20"/>
          <w:lang w:eastAsia="sl-SI"/>
        </w:rPr>
        <w:t xml:space="preserve">prvega odstavka </w:t>
      </w:r>
      <w:r>
        <w:rPr>
          <w:rFonts w:eastAsia="Times New Roman" w:cs="Arial"/>
          <w:b/>
          <w:sz w:val="20"/>
          <w:szCs w:val="20"/>
          <w:lang w:eastAsia="sl-SI"/>
        </w:rPr>
        <w:t>4</w:t>
      </w:r>
      <w:r w:rsidRPr="00393A45">
        <w:rPr>
          <w:rFonts w:eastAsia="Times New Roman" w:cs="Arial"/>
          <w:b/>
          <w:sz w:val="20"/>
          <w:szCs w:val="20"/>
          <w:lang w:eastAsia="sl-SI"/>
        </w:rPr>
        <w:t>. člena Direktive 2014/49/EU</w:t>
      </w:r>
      <w:r>
        <w:rPr>
          <w:rFonts w:eastAsia="Times New Roman" w:cs="Arial"/>
          <w:sz w:val="20"/>
          <w:szCs w:val="20"/>
          <w:lang w:eastAsia="sl-SI"/>
        </w:rPr>
        <w:t xml:space="preserve">, ki </w:t>
      </w:r>
      <w:r w:rsidRPr="00393A45">
        <w:rPr>
          <w:rFonts w:eastAsia="Times New Roman" w:cs="Arial"/>
          <w:sz w:val="20"/>
          <w:szCs w:val="20"/>
          <w:lang w:eastAsia="sl-SI"/>
        </w:rPr>
        <w:t>ureja možnost združitve sistemov jamstva za vloge iz različnih držav članic</w:t>
      </w:r>
      <w:r>
        <w:rPr>
          <w:rFonts w:eastAsia="Times New Roman" w:cs="Arial"/>
          <w:sz w:val="20"/>
          <w:szCs w:val="20"/>
          <w:lang w:eastAsia="sl-SI"/>
        </w:rPr>
        <w:t xml:space="preserve"> Evropske unije</w:t>
      </w:r>
      <w:r w:rsidRPr="00393A45">
        <w:rPr>
          <w:rFonts w:eastAsia="Times New Roman" w:cs="Arial"/>
          <w:sz w:val="20"/>
          <w:szCs w:val="20"/>
          <w:lang w:eastAsia="sl-SI"/>
        </w:rPr>
        <w:t xml:space="preserve"> ali ustanovitve čezm</w:t>
      </w:r>
      <w:r>
        <w:rPr>
          <w:rFonts w:eastAsia="Times New Roman" w:cs="Arial"/>
          <w:sz w:val="20"/>
          <w:szCs w:val="20"/>
          <w:lang w:eastAsia="sl-SI"/>
        </w:rPr>
        <w:t>ejnih sistemov jamstva za vloge;</w:t>
      </w:r>
    </w:p>
    <w:p w14:paraId="7636F95C" w14:textId="77777777" w:rsidR="0085491B" w:rsidRDefault="0085491B" w:rsidP="0085491B">
      <w:pPr>
        <w:pStyle w:val="Odstavekseznama"/>
        <w:spacing w:after="0" w:line="312" w:lineRule="auto"/>
        <w:ind w:left="360"/>
        <w:rPr>
          <w:rFonts w:eastAsia="Times New Roman" w:cs="Arial"/>
          <w:sz w:val="20"/>
          <w:szCs w:val="20"/>
          <w:lang w:eastAsia="sl-SI"/>
        </w:rPr>
      </w:pPr>
    </w:p>
    <w:p w14:paraId="360944FE" w14:textId="77777777" w:rsidR="0085491B" w:rsidRDefault="0085491B" w:rsidP="0085491B">
      <w:pPr>
        <w:pStyle w:val="Odstavekseznama"/>
        <w:numPr>
          <w:ilvl w:val="0"/>
          <w:numId w:val="123"/>
        </w:numPr>
        <w:spacing w:after="0" w:line="312" w:lineRule="auto"/>
        <w:rPr>
          <w:rFonts w:eastAsia="Times New Roman" w:cs="Arial"/>
          <w:sz w:val="20"/>
          <w:szCs w:val="20"/>
          <w:lang w:eastAsia="sl-SI"/>
        </w:rPr>
      </w:pPr>
      <w:r w:rsidRPr="00393A45">
        <w:rPr>
          <w:rFonts w:eastAsia="Times New Roman" w:cs="Arial"/>
          <w:b/>
          <w:sz w:val="20"/>
          <w:szCs w:val="20"/>
          <w:lang w:eastAsia="sl-SI"/>
        </w:rPr>
        <w:t>tretjega odstavka 14. člena Direktive 2014/49/EU</w:t>
      </w:r>
      <w:r w:rsidRPr="00393A45">
        <w:rPr>
          <w:rFonts w:eastAsia="Times New Roman" w:cs="Arial"/>
          <w:sz w:val="20"/>
          <w:szCs w:val="20"/>
          <w:lang w:eastAsia="sl-SI"/>
        </w:rPr>
        <w:t xml:space="preserve">, ki določa, da se </w:t>
      </w:r>
      <w:r>
        <w:rPr>
          <w:rFonts w:eastAsia="Times New Roman" w:cs="Arial"/>
          <w:sz w:val="20"/>
          <w:szCs w:val="20"/>
          <w:lang w:eastAsia="sl-SI"/>
        </w:rPr>
        <w:t>ob</w:t>
      </w:r>
      <w:r w:rsidRPr="00393A45">
        <w:rPr>
          <w:rFonts w:eastAsia="Times New Roman" w:cs="Arial"/>
          <w:sz w:val="20"/>
          <w:szCs w:val="20"/>
          <w:lang w:eastAsia="sl-SI"/>
        </w:rPr>
        <w:t xml:space="preserve"> prenos</w:t>
      </w:r>
      <w:r>
        <w:rPr>
          <w:rFonts w:eastAsia="Times New Roman" w:cs="Arial"/>
          <w:sz w:val="20"/>
          <w:szCs w:val="20"/>
          <w:lang w:eastAsia="sl-SI"/>
        </w:rPr>
        <w:t>u</w:t>
      </w:r>
      <w:r w:rsidRPr="00393A45">
        <w:rPr>
          <w:rFonts w:eastAsia="Times New Roman" w:cs="Arial"/>
          <w:sz w:val="20"/>
          <w:szCs w:val="20"/>
          <w:lang w:eastAsia="sl-SI"/>
        </w:rPr>
        <w:t xml:space="preserve"> dela dejavnosti banke v drugo državo članico Evropske unije, zaradi česar se za ta del zanjo uporablja drug sistem jamstva za vloge, prispevki te banke, plačani v 12 mesecih pred prenosom, z izjemo izrednih prispevkov, prenesejo v drug sistem jamstva za vloge sorazmerno višini prenesenih </w:t>
      </w:r>
      <w:r>
        <w:rPr>
          <w:rFonts w:eastAsia="Times New Roman" w:cs="Arial"/>
          <w:sz w:val="20"/>
          <w:szCs w:val="20"/>
          <w:lang w:eastAsia="sl-SI"/>
        </w:rPr>
        <w:t>vlog;</w:t>
      </w:r>
    </w:p>
    <w:p w14:paraId="1CA8A6CE" w14:textId="77777777" w:rsidR="0085491B" w:rsidRDefault="0085491B" w:rsidP="0085491B">
      <w:pPr>
        <w:pStyle w:val="Odstavekseznama"/>
        <w:spacing w:after="0" w:line="312" w:lineRule="auto"/>
        <w:ind w:left="360"/>
        <w:rPr>
          <w:rFonts w:eastAsia="Times New Roman" w:cs="Arial"/>
          <w:sz w:val="20"/>
          <w:szCs w:val="20"/>
          <w:lang w:eastAsia="sl-SI"/>
        </w:rPr>
      </w:pPr>
    </w:p>
    <w:p w14:paraId="0D140135" w14:textId="77777777" w:rsidR="0085491B" w:rsidRDefault="0085491B" w:rsidP="0085491B">
      <w:pPr>
        <w:pStyle w:val="Odstavekseznama"/>
        <w:numPr>
          <w:ilvl w:val="0"/>
          <w:numId w:val="123"/>
        </w:numPr>
        <w:spacing w:after="0" w:line="312" w:lineRule="auto"/>
        <w:rPr>
          <w:rFonts w:eastAsia="Times New Roman" w:cs="Arial"/>
          <w:sz w:val="20"/>
          <w:szCs w:val="20"/>
          <w:lang w:eastAsia="sl-SI"/>
        </w:rPr>
      </w:pPr>
      <w:r w:rsidRPr="0031583F">
        <w:rPr>
          <w:rFonts w:eastAsia="Times New Roman" w:cs="Arial"/>
          <w:b/>
          <w:sz w:val="20"/>
          <w:szCs w:val="20"/>
          <w:lang w:eastAsia="sl-SI"/>
        </w:rPr>
        <w:t>petega odstavka 16. člena</w:t>
      </w:r>
      <w:r w:rsidRPr="0031583F">
        <w:rPr>
          <w:rFonts w:eastAsia="Times New Roman" w:cs="Arial"/>
          <w:sz w:val="20"/>
          <w:szCs w:val="20"/>
          <w:lang w:eastAsia="sl-SI"/>
        </w:rPr>
        <w:t xml:space="preserve"> </w:t>
      </w:r>
      <w:r w:rsidRPr="0031583F">
        <w:rPr>
          <w:rFonts w:eastAsia="Times New Roman" w:cs="Arial"/>
          <w:b/>
          <w:sz w:val="20"/>
          <w:szCs w:val="20"/>
          <w:lang w:eastAsia="sl-SI"/>
        </w:rPr>
        <w:t>Direktive 2014/49/EU</w:t>
      </w:r>
      <w:r w:rsidRPr="0031583F">
        <w:rPr>
          <w:rFonts w:eastAsia="Times New Roman" w:cs="Arial"/>
          <w:sz w:val="20"/>
          <w:szCs w:val="20"/>
          <w:lang w:eastAsia="sl-SI"/>
        </w:rPr>
        <w:t xml:space="preserve">, ki določa omejitve oglaševanja storitev bank v zvezi s članstvom v sistemu jamstva za vloge. </w:t>
      </w:r>
    </w:p>
    <w:p w14:paraId="537F15F6" w14:textId="77777777" w:rsidR="0085491B" w:rsidRDefault="0085491B" w:rsidP="0085491B">
      <w:pPr>
        <w:spacing w:after="0" w:line="312" w:lineRule="auto"/>
        <w:rPr>
          <w:rFonts w:eastAsia="Times New Roman" w:cs="Arial"/>
          <w:sz w:val="20"/>
          <w:szCs w:val="20"/>
          <w:lang w:eastAsia="sl-SI"/>
        </w:rPr>
      </w:pPr>
    </w:p>
    <w:p w14:paraId="4D7A51B0" w14:textId="77777777" w:rsidR="0085491B" w:rsidRDefault="0085491B" w:rsidP="0085491B">
      <w:pPr>
        <w:spacing w:after="0" w:line="312" w:lineRule="auto"/>
        <w:rPr>
          <w:rFonts w:eastAsia="Times New Roman" w:cs="Arial"/>
          <w:sz w:val="20"/>
          <w:szCs w:val="20"/>
          <w:lang w:eastAsia="sl-SI"/>
        </w:rPr>
      </w:pPr>
      <w:r>
        <w:rPr>
          <w:rFonts w:eastAsia="Times New Roman" w:cs="Arial"/>
          <w:sz w:val="20"/>
          <w:szCs w:val="20"/>
          <w:lang w:eastAsia="sl-SI"/>
        </w:rPr>
        <w:t xml:space="preserve">S predlogom zakona se odpravijo navedene pomanjkljivosti pri prenosu </w:t>
      </w:r>
      <w:r w:rsidRPr="0031583F">
        <w:rPr>
          <w:rFonts w:eastAsia="Times New Roman" w:cs="Arial"/>
          <w:sz w:val="20"/>
          <w:szCs w:val="20"/>
          <w:lang w:eastAsia="sl-SI"/>
        </w:rPr>
        <w:t>Direktive 2014/49/EU</w:t>
      </w:r>
      <w:r>
        <w:rPr>
          <w:rFonts w:eastAsia="Times New Roman" w:cs="Arial"/>
          <w:sz w:val="20"/>
          <w:szCs w:val="20"/>
          <w:lang w:eastAsia="sl-SI"/>
        </w:rPr>
        <w:t>.</w:t>
      </w:r>
    </w:p>
    <w:p w14:paraId="689CA62D" w14:textId="77777777" w:rsidR="0085491B" w:rsidRDefault="0085491B" w:rsidP="0085491B">
      <w:pPr>
        <w:spacing w:after="0" w:line="312" w:lineRule="auto"/>
        <w:rPr>
          <w:rFonts w:eastAsia="Times New Roman" w:cs="Arial"/>
          <w:sz w:val="20"/>
          <w:szCs w:val="20"/>
          <w:lang w:eastAsia="sl-SI"/>
        </w:rPr>
      </w:pPr>
    </w:p>
    <w:p w14:paraId="5C9FF2FF" w14:textId="77777777" w:rsidR="0085491B" w:rsidRDefault="0085491B" w:rsidP="0085491B">
      <w:pPr>
        <w:spacing w:after="0" w:line="312" w:lineRule="auto"/>
        <w:rPr>
          <w:rFonts w:eastAsia="Times New Roman" w:cs="Arial"/>
          <w:sz w:val="20"/>
          <w:szCs w:val="20"/>
          <w:lang w:eastAsia="sl-SI"/>
        </w:rPr>
      </w:pPr>
      <w:r>
        <w:rPr>
          <w:rFonts w:eastAsia="Times New Roman" w:cs="Arial"/>
          <w:sz w:val="20"/>
          <w:szCs w:val="20"/>
          <w:lang w:eastAsia="sl-SI"/>
        </w:rPr>
        <w:t xml:space="preserve">S predlogom zakona se dodatno omogoči, da Banka Slovenije, ki poleg sklada za jamstvo vlog upravlja tudi sklad za reševanje bank, ustanovljen z </w:t>
      </w:r>
      <w:r w:rsidRPr="0031583F">
        <w:rPr>
          <w:rFonts w:eastAsia="Times New Roman" w:cs="Arial"/>
          <w:sz w:val="20"/>
          <w:szCs w:val="20"/>
          <w:lang w:eastAsia="sl-SI"/>
        </w:rPr>
        <w:t>Zakon</w:t>
      </w:r>
      <w:r>
        <w:rPr>
          <w:rFonts w:eastAsia="Times New Roman" w:cs="Arial"/>
          <w:sz w:val="20"/>
          <w:szCs w:val="20"/>
          <w:lang w:eastAsia="sl-SI"/>
        </w:rPr>
        <w:t>om</w:t>
      </w:r>
      <w:r w:rsidRPr="0031583F">
        <w:rPr>
          <w:rFonts w:eastAsia="Times New Roman" w:cs="Arial"/>
          <w:sz w:val="20"/>
          <w:szCs w:val="20"/>
          <w:lang w:eastAsia="sl-SI"/>
        </w:rPr>
        <w:t xml:space="preserve"> o organu in skladu za reševanje bank (Uradni list RS, št. 97/14, 91/15, 44/16 – ZRPPB in 27/17</w:t>
      </w:r>
      <w:r>
        <w:rPr>
          <w:rFonts w:eastAsia="Times New Roman" w:cs="Arial"/>
          <w:sz w:val="20"/>
          <w:szCs w:val="20"/>
          <w:lang w:eastAsia="sl-SI"/>
        </w:rPr>
        <w:t>; v nadaljnjem besedilu: ZOSRB</w:t>
      </w:r>
      <w:r w:rsidRPr="0031583F">
        <w:rPr>
          <w:rFonts w:eastAsia="Times New Roman" w:cs="Arial"/>
          <w:sz w:val="20"/>
          <w:szCs w:val="20"/>
          <w:lang w:eastAsia="sl-SI"/>
        </w:rPr>
        <w:t>)</w:t>
      </w:r>
      <w:r>
        <w:rPr>
          <w:rFonts w:eastAsia="Times New Roman" w:cs="Arial"/>
          <w:sz w:val="20"/>
          <w:szCs w:val="20"/>
          <w:lang w:eastAsia="sl-SI"/>
        </w:rPr>
        <w:t>, sredstva obeh skladov lahko skupaj aktivno upravlja. Pri tem se zagotavlja ločeno vodenje sredstev za vsakega od navedenih skladov na ravni ločenih knjigovodskih evidenc. ZOSRB takšno upravljanje sredstev sklada za reševanje bank že dopušča, saj v 8. členu določa, da je p</w:t>
      </w:r>
      <w:r w:rsidRPr="00295225">
        <w:rPr>
          <w:rFonts w:eastAsia="Times New Roman" w:cs="Arial"/>
          <w:sz w:val="20"/>
          <w:szCs w:val="20"/>
          <w:lang w:eastAsia="sl-SI"/>
        </w:rPr>
        <w:t>remoženje sklada</w:t>
      </w:r>
      <w:r>
        <w:rPr>
          <w:rFonts w:eastAsia="Times New Roman" w:cs="Arial"/>
          <w:sz w:val="20"/>
          <w:szCs w:val="20"/>
          <w:lang w:eastAsia="sl-SI"/>
        </w:rPr>
        <w:t xml:space="preserve"> za reševanje bank </w:t>
      </w:r>
      <w:r w:rsidRPr="00295225">
        <w:rPr>
          <w:rFonts w:eastAsia="Times New Roman" w:cs="Arial"/>
          <w:sz w:val="20"/>
          <w:szCs w:val="20"/>
          <w:lang w:eastAsia="sl-SI"/>
        </w:rPr>
        <w:t>ločeno od drugega premoženja Banke Slovenije in drugega premoženja v upravljanju Banke Slovenije</w:t>
      </w:r>
      <w:r>
        <w:rPr>
          <w:rFonts w:eastAsia="Times New Roman" w:cs="Arial"/>
          <w:sz w:val="20"/>
          <w:szCs w:val="20"/>
          <w:lang w:eastAsia="sl-SI"/>
        </w:rPr>
        <w:t xml:space="preserve">, vendar lahko </w:t>
      </w:r>
      <w:r w:rsidRPr="00295225">
        <w:rPr>
          <w:rFonts w:eastAsia="Times New Roman" w:cs="Arial"/>
          <w:sz w:val="20"/>
          <w:szCs w:val="20"/>
          <w:lang w:eastAsia="sl-SI"/>
        </w:rPr>
        <w:t xml:space="preserve">Banka Slovenije upravlja premoženje </w:t>
      </w:r>
      <w:r>
        <w:rPr>
          <w:rFonts w:eastAsia="Times New Roman" w:cs="Arial"/>
          <w:sz w:val="20"/>
          <w:szCs w:val="20"/>
          <w:lang w:eastAsia="sl-SI"/>
        </w:rPr>
        <w:t xml:space="preserve">tega </w:t>
      </w:r>
      <w:r w:rsidRPr="00295225">
        <w:rPr>
          <w:rFonts w:eastAsia="Times New Roman" w:cs="Arial"/>
          <w:sz w:val="20"/>
          <w:szCs w:val="20"/>
          <w:lang w:eastAsia="sl-SI"/>
        </w:rPr>
        <w:t xml:space="preserve">sklada skupaj z drugim premoženjem Banke Slovenije ali drugim premoženjem v upravljanju Banke Slovenije, </w:t>
      </w:r>
      <w:r>
        <w:rPr>
          <w:rFonts w:eastAsia="Times New Roman" w:cs="Arial"/>
          <w:sz w:val="20"/>
          <w:szCs w:val="20"/>
          <w:lang w:eastAsia="sl-SI"/>
        </w:rPr>
        <w:t>če z</w:t>
      </w:r>
      <w:r w:rsidRPr="00295225">
        <w:rPr>
          <w:rFonts w:eastAsia="Times New Roman" w:cs="Arial"/>
          <w:sz w:val="20"/>
          <w:szCs w:val="20"/>
          <w:lang w:eastAsia="sl-SI"/>
        </w:rPr>
        <w:t>a sredstva in obveznosti sklada</w:t>
      </w:r>
      <w:r>
        <w:rPr>
          <w:rFonts w:eastAsia="Times New Roman" w:cs="Arial"/>
          <w:sz w:val="20"/>
          <w:szCs w:val="20"/>
          <w:lang w:eastAsia="sl-SI"/>
        </w:rPr>
        <w:t xml:space="preserve"> za reševanje bank </w:t>
      </w:r>
      <w:r w:rsidRPr="00295225">
        <w:rPr>
          <w:rFonts w:eastAsia="Times New Roman" w:cs="Arial"/>
          <w:sz w:val="20"/>
          <w:szCs w:val="20"/>
          <w:lang w:eastAsia="sl-SI"/>
        </w:rPr>
        <w:t>vodi ločeno knjigovodsko evidenco.</w:t>
      </w:r>
      <w:r>
        <w:rPr>
          <w:rFonts w:eastAsia="Times New Roman" w:cs="Arial"/>
          <w:sz w:val="20"/>
          <w:szCs w:val="20"/>
          <w:lang w:eastAsia="sl-SI"/>
        </w:rPr>
        <w:t xml:space="preserve"> </w:t>
      </w:r>
    </w:p>
    <w:p w14:paraId="7F3A1AFE" w14:textId="77777777" w:rsidR="0085491B" w:rsidRDefault="0085491B" w:rsidP="0085491B">
      <w:pPr>
        <w:spacing w:after="0" w:line="312" w:lineRule="auto"/>
        <w:rPr>
          <w:rFonts w:eastAsia="Times New Roman" w:cs="Arial"/>
          <w:sz w:val="20"/>
          <w:szCs w:val="20"/>
          <w:lang w:eastAsia="sl-SI"/>
        </w:rPr>
      </w:pPr>
    </w:p>
    <w:p w14:paraId="732A73DD" w14:textId="77777777" w:rsidR="0085491B" w:rsidRPr="00610C4A" w:rsidRDefault="0085491B" w:rsidP="0085491B">
      <w:pPr>
        <w:spacing w:after="0" w:line="312" w:lineRule="auto"/>
        <w:rPr>
          <w:rFonts w:eastAsia="Times New Roman" w:cs="Arial"/>
          <w:sz w:val="20"/>
          <w:szCs w:val="20"/>
          <w:lang w:eastAsia="sl-SI"/>
        </w:rPr>
      </w:pPr>
      <w:r>
        <w:rPr>
          <w:rFonts w:eastAsia="Times New Roman" w:cs="Arial"/>
          <w:sz w:val="20"/>
          <w:szCs w:val="20"/>
          <w:lang w:eastAsia="sl-SI"/>
        </w:rPr>
        <w:t xml:space="preserve">Kot je razvidno iz </w:t>
      </w:r>
      <w:r w:rsidRPr="00610C4A">
        <w:rPr>
          <w:rFonts w:eastAsia="Times New Roman" w:cs="Arial"/>
          <w:i/>
          <w:sz w:val="20"/>
          <w:szCs w:val="20"/>
          <w:lang w:eastAsia="sl-SI"/>
        </w:rPr>
        <w:t>Sklepa o naložbeni politiki in stroških upravljanja sklada za jamstvo vlog</w:t>
      </w:r>
      <w:r>
        <w:rPr>
          <w:rFonts w:eastAsia="Times New Roman" w:cs="Arial"/>
          <w:sz w:val="20"/>
          <w:szCs w:val="20"/>
          <w:lang w:eastAsia="sl-SI"/>
        </w:rPr>
        <w:t xml:space="preserve">, ki ga je na podlagi </w:t>
      </w:r>
      <w:r w:rsidRPr="00610C4A">
        <w:rPr>
          <w:rFonts w:eastAsia="Times New Roman" w:cs="Arial"/>
          <w:sz w:val="20"/>
          <w:szCs w:val="20"/>
          <w:lang w:eastAsia="sl-SI"/>
        </w:rPr>
        <w:t>3. točke drugega odstavka in petega odstavka 27. člena v zvezi s 36. členom</w:t>
      </w:r>
      <w:r>
        <w:rPr>
          <w:rFonts w:eastAsia="Times New Roman" w:cs="Arial"/>
          <w:sz w:val="20"/>
          <w:szCs w:val="20"/>
          <w:lang w:eastAsia="sl-SI"/>
        </w:rPr>
        <w:t xml:space="preserve"> ZSJV</w:t>
      </w:r>
      <w:r w:rsidRPr="00610C4A">
        <w:rPr>
          <w:rFonts w:eastAsia="Times New Roman" w:cs="Arial"/>
          <w:sz w:val="20"/>
          <w:szCs w:val="20"/>
          <w:lang w:eastAsia="sl-SI"/>
        </w:rPr>
        <w:t xml:space="preserve"> </w:t>
      </w:r>
      <w:r>
        <w:rPr>
          <w:rFonts w:eastAsia="Times New Roman" w:cs="Arial"/>
          <w:sz w:val="20"/>
          <w:szCs w:val="20"/>
          <w:lang w:eastAsia="sl-SI"/>
        </w:rPr>
        <w:t xml:space="preserve">sprejel </w:t>
      </w:r>
      <w:r w:rsidRPr="00610C4A">
        <w:rPr>
          <w:rFonts w:eastAsia="Times New Roman" w:cs="Arial"/>
          <w:sz w:val="20"/>
          <w:szCs w:val="20"/>
          <w:lang w:eastAsia="sl-SI"/>
        </w:rPr>
        <w:t>Svet Banke Slovenije</w:t>
      </w:r>
      <w:r>
        <w:rPr>
          <w:rFonts w:eastAsia="Times New Roman" w:cs="Arial"/>
          <w:sz w:val="20"/>
          <w:szCs w:val="20"/>
          <w:lang w:eastAsia="sl-SI"/>
        </w:rPr>
        <w:t xml:space="preserve">, </w:t>
      </w:r>
      <w:r w:rsidRPr="00610C4A">
        <w:rPr>
          <w:rFonts w:eastAsia="Times New Roman" w:cs="Arial"/>
          <w:sz w:val="20"/>
          <w:szCs w:val="20"/>
          <w:lang w:eastAsia="sl-SI"/>
        </w:rPr>
        <w:t>Banka Slovenije zaradi učinkovitejšega izvajanja naložbene politike sredstva sklada</w:t>
      </w:r>
      <w:r>
        <w:rPr>
          <w:rFonts w:eastAsia="Times New Roman" w:cs="Arial"/>
          <w:sz w:val="20"/>
          <w:szCs w:val="20"/>
          <w:lang w:eastAsia="sl-SI"/>
        </w:rPr>
        <w:t xml:space="preserve"> za jamstvo vlog lahko </w:t>
      </w:r>
      <w:r w:rsidRPr="00610C4A">
        <w:rPr>
          <w:rFonts w:eastAsia="Times New Roman" w:cs="Arial"/>
          <w:sz w:val="20"/>
          <w:szCs w:val="20"/>
          <w:lang w:eastAsia="sl-SI"/>
        </w:rPr>
        <w:t>naloži v skupni</w:t>
      </w:r>
      <w:r>
        <w:rPr>
          <w:rFonts w:eastAsia="Times New Roman" w:cs="Arial"/>
          <w:sz w:val="20"/>
          <w:szCs w:val="20"/>
          <w:lang w:eastAsia="sl-SI"/>
        </w:rPr>
        <w:t xml:space="preserve"> </w:t>
      </w:r>
      <w:r w:rsidRPr="00610C4A">
        <w:rPr>
          <w:rFonts w:eastAsia="Times New Roman" w:cs="Arial"/>
          <w:sz w:val="20"/>
          <w:szCs w:val="20"/>
          <w:lang w:eastAsia="sl-SI"/>
        </w:rPr>
        <w:t>sklad v njenem upravljanju, ki sledi strateškim usmeritvam naložbene politike</w:t>
      </w:r>
      <w:r>
        <w:rPr>
          <w:rFonts w:eastAsia="Times New Roman" w:cs="Arial"/>
          <w:sz w:val="20"/>
          <w:szCs w:val="20"/>
          <w:lang w:eastAsia="sl-SI"/>
        </w:rPr>
        <w:t>, pri čemer s</w:t>
      </w:r>
      <w:r w:rsidRPr="00610C4A">
        <w:rPr>
          <w:rFonts w:eastAsia="Times New Roman" w:cs="Arial"/>
          <w:sz w:val="20"/>
          <w:szCs w:val="20"/>
          <w:lang w:eastAsia="sl-SI"/>
        </w:rPr>
        <w:t>kladu</w:t>
      </w:r>
      <w:r>
        <w:rPr>
          <w:rFonts w:eastAsia="Times New Roman" w:cs="Arial"/>
          <w:sz w:val="20"/>
          <w:szCs w:val="20"/>
          <w:lang w:eastAsia="sl-SI"/>
        </w:rPr>
        <w:t xml:space="preserve"> za jamstvo vlog </w:t>
      </w:r>
      <w:r w:rsidRPr="00610C4A">
        <w:rPr>
          <w:rFonts w:eastAsia="Times New Roman" w:cs="Arial"/>
          <w:sz w:val="20"/>
          <w:szCs w:val="20"/>
          <w:lang w:eastAsia="sl-SI"/>
        </w:rPr>
        <w:t>v skupnem skladu pripada delež,</w:t>
      </w:r>
      <w:r>
        <w:rPr>
          <w:rFonts w:eastAsia="Times New Roman" w:cs="Arial"/>
          <w:sz w:val="20"/>
          <w:szCs w:val="20"/>
          <w:lang w:eastAsia="sl-SI"/>
        </w:rPr>
        <w:t xml:space="preserve"> </w:t>
      </w:r>
      <w:r w:rsidRPr="00610C4A">
        <w:rPr>
          <w:rFonts w:eastAsia="Times New Roman" w:cs="Arial"/>
          <w:sz w:val="20"/>
          <w:szCs w:val="20"/>
          <w:lang w:eastAsia="sl-SI"/>
        </w:rPr>
        <w:t>sorazmeren višini sredstev sklada za jamstvo vlog. Ne glede na skupno upravljanje sredstev v okviru</w:t>
      </w:r>
      <w:r>
        <w:rPr>
          <w:rFonts w:eastAsia="Times New Roman" w:cs="Arial"/>
          <w:sz w:val="20"/>
          <w:szCs w:val="20"/>
          <w:lang w:eastAsia="sl-SI"/>
        </w:rPr>
        <w:t xml:space="preserve"> </w:t>
      </w:r>
      <w:r w:rsidRPr="00610C4A">
        <w:rPr>
          <w:rFonts w:eastAsia="Times New Roman" w:cs="Arial"/>
          <w:sz w:val="20"/>
          <w:szCs w:val="20"/>
          <w:lang w:eastAsia="sl-SI"/>
        </w:rPr>
        <w:t>skupnega sklada predstavlja sklad</w:t>
      </w:r>
      <w:r>
        <w:rPr>
          <w:rFonts w:eastAsia="Times New Roman" w:cs="Arial"/>
          <w:sz w:val="20"/>
          <w:szCs w:val="20"/>
          <w:lang w:eastAsia="sl-SI"/>
        </w:rPr>
        <w:t xml:space="preserve"> za jamstvo vlog,</w:t>
      </w:r>
      <w:r w:rsidRPr="00610C4A">
        <w:rPr>
          <w:rFonts w:eastAsia="Times New Roman" w:cs="Arial"/>
          <w:sz w:val="20"/>
          <w:szCs w:val="20"/>
          <w:lang w:eastAsia="sl-SI"/>
        </w:rPr>
        <w:t xml:space="preserve"> vključno s svojim deležem v skupnem skladu, premoženje, </w:t>
      </w:r>
      <w:r>
        <w:rPr>
          <w:rFonts w:eastAsia="Times New Roman" w:cs="Arial"/>
          <w:sz w:val="20"/>
          <w:szCs w:val="20"/>
          <w:lang w:eastAsia="sl-SI"/>
        </w:rPr>
        <w:t xml:space="preserve">ki je </w:t>
      </w:r>
      <w:r w:rsidRPr="00610C4A">
        <w:rPr>
          <w:rFonts w:eastAsia="Times New Roman" w:cs="Arial"/>
          <w:sz w:val="20"/>
          <w:szCs w:val="20"/>
          <w:lang w:eastAsia="sl-SI"/>
        </w:rPr>
        <w:t>ločeno</w:t>
      </w:r>
      <w:r>
        <w:rPr>
          <w:rFonts w:eastAsia="Times New Roman" w:cs="Arial"/>
          <w:sz w:val="20"/>
          <w:szCs w:val="20"/>
          <w:lang w:eastAsia="sl-SI"/>
        </w:rPr>
        <w:t xml:space="preserve"> </w:t>
      </w:r>
      <w:r w:rsidRPr="00610C4A">
        <w:rPr>
          <w:rFonts w:eastAsia="Times New Roman" w:cs="Arial"/>
          <w:sz w:val="20"/>
          <w:szCs w:val="20"/>
          <w:lang w:eastAsia="sl-SI"/>
        </w:rPr>
        <w:t>od drugega premoženja v skupnem skladu in drugega premoženja Banke Slovenije ali v upravljanju</w:t>
      </w:r>
      <w:r>
        <w:rPr>
          <w:rFonts w:eastAsia="Times New Roman" w:cs="Arial"/>
          <w:sz w:val="20"/>
          <w:szCs w:val="20"/>
          <w:lang w:eastAsia="sl-SI"/>
        </w:rPr>
        <w:t xml:space="preserve"> </w:t>
      </w:r>
      <w:r w:rsidRPr="00610C4A">
        <w:rPr>
          <w:rFonts w:eastAsia="Times New Roman" w:cs="Arial"/>
          <w:sz w:val="20"/>
          <w:szCs w:val="20"/>
          <w:lang w:eastAsia="sl-SI"/>
        </w:rPr>
        <w:t>Banke Slovenije</w:t>
      </w:r>
      <w:r>
        <w:rPr>
          <w:rFonts w:eastAsia="Times New Roman" w:cs="Arial"/>
          <w:sz w:val="20"/>
          <w:szCs w:val="20"/>
          <w:lang w:eastAsia="sl-SI"/>
        </w:rPr>
        <w:t>,</w:t>
      </w:r>
      <w:r w:rsidRPr="00610C4A">
        <w:rPr>
          <w:rFonts w:eastAsia="Times New Roman" w:cs="Arial"/>
          <w:sz w:val="20"/>
          <w:szCs w:val="20"/>
          <w:lang w:eastAsia="sl-SI"/>
        </w:rPr>
        <w:t xml:space="preserve"> in Banka Slovenije zagotavlja vodenje ločenih evidenc na ravni sklada</w:t>
      </w:r>
      <w:r>
        <w:rPr>
          <w:rFonts w:eastAsia="Times New Roman" w:cs="Arial"/>
          <w:sz w:val="20"/>
          <w:szCs w:val="20"/>
          <w:lang w:eastAsia="sl-SI"/>
        </w:rPr>
        <w:t xml:space="preserve"> za jamstvo vlog</w:t>
      </w:r>
      <w:r w:rsidRPr="00610C4A">
        <w:rPr>
          <w:rFonts w:eastAsia="Times New Roman" w:cs="Arial"/>
          <w:sz w:val="20"/>
          <w:szCs w:val="20"/>
          <w:lang w:eastAsia="sl-SI"/>
        </w:rPr>
        <w:t>.</w:t>
      </w:r>
    </w:p>
    <w:p w14:paraId="3EABCD36" w14:textId="77777777" w:rsidR="0085491B" w:rsidRPr="006C46C0" w:rsidRDefault="0085491B" w:rsidP="0085491B">
      <w:pPr>
        <w:spacing w:after="0" w:line="312" w:lineRule="auto"/>
        <w:rPr>
          <w:rFonts w:eastAsia="Times New Roman" w:cs="Arial"/>
          <w:sz w:val="20"/>
          <w:szCs w:val="20"/>
          <w:lang w:eastAsia="sl-SI"/>
        </w:rPr>
      </w:pPr>
    </w:p>
    <w:p w14:paraId="5FEC680F" w14:textId="77777777" w:rsidR="0085491B" w:rsidRDefault="0085491B" w:rsidP="0085491B">
      <w:pPr>
        <w:spacing w:after="0" w:line="312" w:lineRule="auto"/>
        <w:rPr>
          <w:rFonts w:eastAsia="Times New Roman" w:cs="Arial"/>
          <w:sz w:val="20"/>
          <w:szCs w:val="20"/>
          <w:lang w:eastAsia="sl-SI"/>
        </w:rPr>
      </w:pPr>
    </w:p>
    <w:p w14:paraId="0B60E051" w14:textId="77777777" w:rsidR="0085491B" w:rsidRDefault="0085491B" w:rsidP="0085491B">
      <w:pPr>
        <w:spacing w:after="0" w:line="312" w:lineRule="auto"/>
        <w:rPr>
          <w:rFonts w:eastAsia="Times New Roman" w:cs="Arial"/>
          <w:sz w:val="20"/>
          <w:szCs w:val="20"/>
          <w:lang w:eastAsia="sl-SI"/>
        </w:rPr>
      </w:pPr>
    </w:p>
    <w:p w14:paraId="1E8A473D" w14:textId="77777777" w:rsidR="0085491B" w:rsidRDefault="0085491B" w:rsidP="0085491B">
      <w:pPr>
        <w:spacing w:after="0" w:line="312" w:lineRule="auto"/>
        <w:rPr>
          <w:rFonts w:eastAsia="Times New Roman" w:cs="Arial"/>
          <w:sz w:val="20"/>
          <w:szCs w:val="20"/>
          <w:lang w:eastAsia="sl-SI"/>
        </w:rPr>
      </w:pPr>
    </w:p>
    <w:p w14:paraId="39DBB166" w14:textId="77777777" w:rsidR="0085491B" w:rsidRDefault="0085491B" w:rsidP="0085491B">
      <w:pPr>
        <w:spacing w:after="0" w:line="312" w:lineRule="auto"/>
        <w:rPr>
          <w:rFonts w:eastAsia="Times New Roman" w:cs="Arial"/>
          <w:sz w:val="20"/>
          <w:szCs w:val="20"/>
          <w:lang w:eastAsia="sl-SI"/>
        </w:rPr>
      </w:pPr>
    </w:p>
    <w:p w14:paraId="3C315F69" w14:textId="77777777" w:rsidR="0085491B" w:rsidRDefault="0085491B" w:rsidP="0085491B">
      <w:pPr>
        <w:spacing w:after="0" w:line="312" w:lineRule="auto"/>
        <w:rPr>
          <w:rFonts w:eastAsia="Times New Roman" w:cs="Arial"/>
          <w:sz w:val="20"/>
          <w:szCs w:val="20"/>
          <w:lang w:eastAsia="sl-SI"/>
        </w:rPr>
      </w:pPr>
    </w:p>
    <w:p w14:paraId="4D261251" w14:textId="77777777" w:rsidR="0085491B" w:rsidRPr="006C46C0" w:rsidRDefault="0085491B" w:rsidP="0085491B">
      <w:pPr>
        <w:spacing w:after="0" w:line="312" w:lineRule="auto"/>
        <w:rPr>
          <w:rFonts w:eastAsia="Times New Roman" w:cs="Arial"/>
          <w:sz w:val="20"/>
          <w:szCs w:val="20"/>
          <w:lang w:eastAsia="sl-SI"/>
        </w:rPr>
      </w:pPr>
    </w:p>
    <w:p w14:paraId="489978BB" w14:textId="77777777" w:rsidR="0085491B" w:rsidRPr="00FF5156" w:rsidRDefault="0085491B" w:rsidP="0085491B">
      <w:pPr>
        <w:numPr>
          <w:ilvl w:val="0"/>
          <w:numId w:val="14"/>
        </w:numPr>
        <w:spacing w:after="0" w:line="312" w:lineRule="auto"/>
        <w:jc w:val="left"/>
        <w:rPr>
          <w:rFonts w:eastAsia="Times New Roman" w:cs="Arial"/>
          <w:b/>
          <w:sz w:val="20"/>
          <w:szCs w:val="20"/>
          <w:lang w:eastAsia="sl-SI"/>
        </w:rPr>
      </w:pPr>
      <w:r w:rsidRPr="00FF5156">
        <w:rPr>
          <w:rFonts w:eastAsia="Times New Roman" w:cs="Arial"/>
          <w:b/>
          <w:sz w:val="20"/>
          <w:szCs w:val="20"/>
          <w:lang w:eastAsia="sl-SI"/>
        </w:rPr>
        <w:t>CILJI, NAČELA IN POGLAVITNE REŠITVE PREDLOGA ZAKONA</w:t>
      </w:r>
    </w:p>
    <w:p w14:paraId="42B96677" w14:textId="77777777" w:rsidR="0085491B" w:rsidRPr="00FF5156" w:rsidRDefault="0085491B" w:rsidP="0085491B">
      <w:pPr>
        <w:spacing w:after="0" w:line="312" w:lineRule="auto"/>
        <w:rPr>
          <w:rFonts w:eastAsia="Times New Roman" w:cs="Arial"/>
          <w:sz w:val="20"/>
          <w:szCs w:val="20"/>
          <w:lang w:eastAsia="sl-SI"/>
        </w:rPr>
      </w:pPr>
    </w:p>
    <w:p w14:paraId="5D9CB679" w14:textId="77777777" w:rsidR="0085491B" w:rsidRPr="00FF5156" w:rsidRDefault="0085491B" w:rsidP="0085491B">
      <w:pPr>
        <w:spacing w:after="0" w:line="312" w:lineRule="auto"/>
        <w:rPr>
          <w:rFonts w:eastAsia="Times New Roman" w:cs="Arial"/>
          <w:sz w:val="20"/>
          <w:szCs w:val="20"/>
          <w:lang w:eastAsia="sl-SI"/>
        </w:rPr>
      </w:pPr>
    </w:p>
    <w:p w14:paraId="60113897" w14:textId="77777777" w:rsidR="0085491B" w:rsidRPr="00FF5156" w:rsidRDefault="0085491B" w:rsidP="0085491B">
      <w:pPr>
        <w:spacing w:after="0" w:line="312" w:lineRule="auto"/>
        <w:rPr>
          <w:rFonts w:eastAsia="Times New Roman" w:cs="Arial"/>
          <w:b/>
          <w:sz w:val="20"/>
          <w:szCs w:val="20"/>
          <w:lang w:eastAsia="sl-SI"/>
        </w:rPr>
      </w:pPr>
      <w:r w:rsidRPr="00FF5156">
        <w:rPr>
          <w:rFonts w:eastAsia="Times New Roman" w:cs="Arial"/>
          <w:b/>
          <w:sz w:val="20"/>
          <w:szCs w:val="20"/>
          <w:lang w:eastAsia="sl-SI"/>
        </w:rPr>
        <w:t>2.1 Cilji</w:t>
      </w:r>
    </w:p>
    <w:p w14:paraId="0FB4E3A2" w14:textId="77777777" w:rsidR="0085491B" w:rsidRPr="00FF5156" w:rsidRDefault="0085491B" w:rsidP="0085491B">
      <w:pPr>
        <w:spacing w:after="0" w:line="312" w:lineRule="auto"/>
        <w:rPr>
          <w:rFonts w:eastAsia="Times New Roman" w:cs="Arial"/>
          <w:sz w:val="20"/>
          <w:szCs w:val="20"/>
          <w:lang w:eastAsia="sl-SI"/>
        </w:rPr>
      </w:pPr>
    </w:p>
    <w:p w14:paraId="298D6B1C" w14:textId="77777777" w:rsidR="0085491B" w:rsidRPr="00FF5156" w:rsidRDefault="0085491B" w:rsidP="0085491B">
      <w:pPr>
        <w:spacing w:after="0" w:line="312" w:lineRule="auto"/>
        <w:rPr>
          <w:rFonts w:eastAsia="Times New Roman" w:cs="Arial"/>
          <w:sz w:val="20"/>
          <w:szCs w:val="20"/>
          <w:lang w:eastAsia="sl-SI"/>
        </w:rPr>
      </w:pPr>
      <w:r>
        <w:rPr>
          <w:rFonts w:eastAsia="Times New Roman" w:cs="Arial"/>
          <w:sz w:val="20"/>
          <w:szCs w:val="20"/>
          <w:lang w:eastAsia="sl-SI"/>
        </w:rPr>
        <w:t>Cilj</w:t>
      </w:r>
      <w:r w:rsidRPr="00FF5156">
        <w:rPr>
          <w:rFonts w:eastAsia="Times New Roman" w:cs="Arial"/>
          <w:sz w:val="20"/>
          <w:szCs w:val="20"/>
          <w:lang w:eastAsia="sl-SI"/>
        </w:rPr>
        <w:t xml:space="preserve"> predloga zakona </w:t>
      </w:r>
      <w:r>
        <w:rPr>
          <w:rFonts w:eastAsia="Times New Roman" w:cs="Arial"/>
          <w:sz w:val="20"/>
          <w:szCs w:val="20"/>
          <w:lang w:eastAsia="sl-SI"/>
        </w:rPr>
        <w:t xml:space="preserve">je </w:t>
      </w:r>
      <w:r w:rsidRPr="00FF5156">
        <w:rPr>
          <w:rFonts w:eastAsia="Times New Roman" w:cs="Arial"/>
          <w:sz w:val="20"/>
          <w:szCs w:val="20"/>
          <w:lang w:eastAsia="sl-SI"/>
        </w:rPr>
        <w:t xml:space="preserve">odprava pomanjkljivosti pri prenosu </w:t>
      </w:r>
      <w:r>
        <w:rPr>
          <w:rFonts w:eastAsia="Times New Roman" w:cs="Arial"/>
          <w:sz w:val="20"/>
          <w:szCs w:val="20"/>
          <w:lang w:eastAsia="sl-SI"/>
        </w:rPr>
        <w:t>D</w:t>
      </w:r>
      <w:r w:rsidRPr="00FF5156">
        <w:rPr>
          <w:rFonts w:eastAsia="Times New Roman" w:cs="Arial"/>
          <w:sz w:val="20"/>
          <w:szCs w:val="20"/>
          <w:lang w:eastAsia="sl-SI"/>
        </w:rPr>
        <w:t>irektive 2014/</w:t>
      </w:r>
      <w:r>
        <w:rPr>
          <w:rFonts w:eastAsia="Times New Roman" w:cs="Arial"/>
          <w:sz w:val="20"/>
          <w:szCs w:val="20"/>
          <w:lang w:eastAsia="sl-SI"/>
        </w:rPr>
        <w:t>49/EU v domači pravni red.</w:t>
      </w:r>
    </w:p>
    <w:p w14:paraId="3152DFEC" w14:textId="77777777" w:rsidR="0085491B" w:rsidRPr="00FF5156" w:rsidRDefault="0085491B" w:rsidP="0085491B">
      <w:pPr>
        <w:spacing w:after="0" w:line="312" w:lineRule="auto"/>
        <w:rPr>
          <w:rFonts w:eastAsia="Times New Roman" w:cs="Arial"/>
          <w:sz w:val="20"/>
          <w:szCs w:val="20"/>
          <w:lang w:eastAsia="sl-SI"/>
        </w:rPr>
      </w:pPr>
    </w:p>
    <w:p w14:paraId="536536E7" w14:textId="77777777" w:rsidR="0085491B" w:rsidRPr="00FF5156" w:rsidRDefault="0085491B" w:rsidP="0085491B">
      <w:pPr>
        <w:spacing w:after="0" w:line="312" w:lineRule="auto"/>
        <w:rPr>
          <w:rFonts w:eastAsia="Times New Roman" w:cs="Arial"/>
          <w:sz w:val="20"/>
          <w:szCs w:val="20"/>
          <w:highlight w:val="yellow"/>
          <w:lang w:eastAsia="sl-SI"/>
        </w:rPr>
      </w:pPr>
    </w:p>
    <w:p w14:paraId="6CF81169" w14:textId="77777777" w:rsidR="0085491B" w:rsidRPr="00FF5156" w:rsidRDefault="0085491B" w:rsidP="0085491B">
      <w:pPr>
        <w:spacing w:after="0" w:line="312" w:lineRule="auto"/>
        <w:rPr>
          <w:rFonts w:eastAsia="Times New Roman" w:cs="Arial"/>
          <w:b/>
          <w:sz w:val="20"/>
          <w:szCs w:val="20"/>
          <w:lang w:eastAsia="sl-SI"/>
        </w:rPr>
      </w:pPr>
      <w:r w:rsidRPr="00FF5156">
        <w:rPr>
          <w:rFonts w:eastAsia="Times New Roman" w:cs="Arial"/>
          <w:b/>
          <w:sz w:val="20"/>
          <w:szCs w:val="20"/>
          <w:lang w:eastAsia="sl-SI"/>
        </w:rPr>
        <w:t>2.2 Načela</w:t>
      </w:r>
    </w:p>
    <w:p w14:paraId="03C0CCA7" w14:textId="77777777" w:rsidR="0085491B" w:rsidRPr="00FF5156" w:rsidRDefault="0085491B" w:rsidP="0085491B">
      <w:pPr>
        <w:spacing w:after="0" w:line="312" w:lineRule="auto"/>
        <w:rPr>
          <w:rFonts w:eastAsia="Times New Roman" w:cs="Arial"/>
          <w:sz w:val="20"/>
          <w:szCs w:val="20"/>
          <w:highlight w:val="yellow"/>
          <w:lang w:eastAsia="sl-SI"/>
        </w:rPr>
      </w:pPr>
    </w:p>
    <w:p w14:paraId="1677DE8A" w14:textId="77777777" w:rsidR="0085491B" w:rsidRDefault="0085491B" w:rsidP="0085491B">
      <w:pPr>
        <w:spacing w:after="0" w:line="312" w:lineRule="auto"/>
        <w:rPr>
          <w:rFonts w:eastAsia="Times New Roman" w:cs="Arial"/>
          <w:sz w:val="20"/>
          <w:szCs w:val="20"/>
          <w:lang w:eastAsia="en-US"/>
        </w:rPr>
      </w:pPr>
      <w:r>
        <w:rPr>
          <w:rFonts w:eastAsia="Times New Roman" w:cs="Arial"/>
          <w:sz w:val="20"/>
          <w:szCs w:val="20"/>
          <w:lang w:eastAsia="en-US"/>
        </w:rPr>
        <w:t xml:space="preserve">Pri pripravi predloga zakona je bilo upoštevano </w:t>
      </w:r>
      <w:r w:rsidRPr="00AF4F10">
        <w:rPr>
          <w:rFonts w:eastAsia="Times New Roman" w:cs="Arial"/>
          <w:b/>
          <w:sz w:val="20"/>
          <w:szCs w:val="20"/>
          <w:lang w:eastAsia="en-US"/>
        </w:rPr>
        <w:t>načelo zagotavljanja jasnosti in preglednosti pravne ureditve</w:t>
      </w:r>
      <w:r>
        <w:rPr>
          <w:rFonts w:eastAsia="Times New Roman" w:cs="Arial"/>
          <w:sz w:val="20"/>
          <w:szCs w:val="20"/>
          <w:lang w:eastAsia="en-US"/>
        </w:rPr>
        <w:t xml:space="preserve">. Ureditev jamstva za vloge v Republiki Sloveniji namreč v tem trenutku ni čisto v skladu z zakonodajo EU, čeprav ugotovljene pomanjkljivosti v ničemer ne vplivajo na zaščito vlog vlagateljev pri bankah in hranilnicah, ki so članice sistema jamstva za vloge, vzpostavljenega na podlagi določb ZSJV. </w:t>
      </w:r>
    </w:p>
    <w:p w14:paraId="0FA10CA2" w14:textId="77777777" w:rsidR="0085491B" w:rsidRDefault="0085491B" w:rsidP="0085491B">
      <w:pPr>
        <w:spacing w:after="0" w:line="312" w:lineRule="auto"/>
        <w:rPr>
          <w:rFonts w:eastAsia="Times New Roman" w:cs="Arial"/>
          <w:sz w:val="20"/>
          <w:szCs w:val="20"/>
          <w:lang w:eastAsia="en-US"/>
        </w:rPr>
      </w:pPr>
    </w:p>
    <w:p w14:paraId="306E54AE" w14:textId="77777777" w:rsidR="0085491B" w:rsidRPr="00FF5156" w:rsidRDefault="0085491B" w:rsidP="0085491B">
      <w:pPr>
        <w:spacing w:after="0" w:line="312" w:lineRule="auto"/>
        <w:rPr>
          <w:rFonts w:eastAsia="Times New Roman" w:cs="Arial"/>
          <w:sz w:val="20"/>
          <w:szCs w:val="20"/>
          <w:lang w:eastAsia="en-US"/>
        </w:rPr>
      </w:pPr>
      <w:r>
        <w:rPr>
          <w:rFonts w:eastAsia="Times New Roman" w:cs="Arial"/>
          <w:sz w:val="20"/>
          <w:szCs w:val="20"/>
          <w:lang w:eastAsia="en-US"/>
        </w:rPr>
        <w:t>N</w:t>
      </w:r>
      <w:r w:rsidRPr="00B94DC2">
        <w:rPr>
          <w:rFonts w:eastAsia="Times New Roman" w:cs="Arial"/>
          <w:sz w:val="20"/>
          <w:szCs w:val="20"/>
          <w:lang w:eastAsia="en-US"/>
        </w:rPr>
        <w:t>ačelo zagotavljanja jasnosti in preglednosti pravne ureditve</w:t>
      </w:r>
      <w:r>
        <w:rPr>
          <w:rFonts w:eastAsia="Times New Roman" w:cs="Arial"/>
          <w:sz w:val="20"/>
          <w:szCs w:val="20"/>
          <w:lang w:eastAsia="en-US"/>
        </w:rPr>
        <w:t xml:space="preserve"> se uresničuje tudi z določitvijo možnosti skupnega upravljanja sredstev sklada za jamstvo vlog in sklada za reševanje bank, saj je to možnost do zdaj izrecno določal le ZOSRB, Banka Slovenije pa je za učinkovitejše in donosnejše upravljanje sredstev, ki so ji zaupana v upravljanje, že vzpostavila tako upravljanje, da v največji možni meri zagotavlja gospodarno upravljanje sredstev. </w:t>
      </w:r>
    </w:p>
    <w:p w14:paraId="13B36909" w14:textId="77777777" w:rsidR="0085491B" w:rsidRPr="00FF5156" w:rsidRDefault="0085491B" w:rsidP="0085491B">
      <w:pPr>
        <w:spacing w:after="0" w:line="312" w:lineRule="auto"/>
        <w:rPr>
          <w:rFonts w:eastAsia="Times New Roman" w:cs="Arial"/>
          <w:sz w:val="20"/>
          <w:szCs w:val="20"/>
          <w:lang w:eastAsia="en-US"/>
        </w:rPr>
      </w:pPr>
    </w:p>
    <w:p w14:paraId="64D13F3B" w14:textId="77777777" w:rsidR="0085491B" w:rsidRPr="00FF5156" w:rsidRDefault="0085491B" w:rsidP="0085491B">
      <w:pPr>
        <w:spacing w:after="0" w:line="312" w:lineRule="auto"/>
        <w:rPr>
          <w:rFonts w:eastAsia="Calibri" w:cs="Arial"/>
          <w:sz w:val="20"/>
          <w:szCs w:val="20"/>
          <w:highlight w:val="yellow"/>
          <w:lang w:eastAsia="sl-SI"/>
        </w:rPr>
      </w:pPr>
    </w:p>
    <w:p w14:paraId="4A73A6C8" w14:textId="77777777" w:rsidR="0085491B" w:rsidRPr="00FF5156" w:rsidRDefault="0085491B" w:rsidP="0085491B">
      <w:pPr>
        <w:spacing w:after="0" w:line="312" w:lineRule="auto"/>
        <w:rPr>
          <w:rFonts w:eastAsia="Times New Roman" w:cs="Arial"/>
          <w:sz w:val="20"/>
          <w:szCs w:val="20"/>
          <w:lang w:eastAsia="en-US"/>
        </w:rPr>
      </w:pPr>
      <w:r w:rsidRPr="00FF5156">
        <w:rPr>
          <w:rFonts w:eastAsia="Times New Roman" w:cs="Arial"/>
          <w:b/>
          <w:sz w:val="20"/>
          <w:szCs w:val="20"/>
          <w:lang w:eastAsia="sl-SI"/>
        </w:rPr>
        <w:t>2.3 Poglavitne rešitve</w:t>
      </w:r>
    </w:p>
    <w:p w14:paraId="51D21328" w14:textId="77777777" w:rsidR="0085491B" w:rsidRPr="00B94DC2" w:rsidRDefault="0085491B" w:rsidP="0085491B">
      <w:pPr>
        <w:spacing w:after="0" w:line="312" w:lineRule="auto"/>
        <w:rPr>
          <w:rFonts w:eastAsia="Times New Roman" w:cs="Arial"/>
          <w:sz w:val="20"/>
          <w:szCs w:val="20"/>
          <w:lang w:eastAsia="en-US"/>
        </w:rPr>
      </w:pPr>
    </w:p>
    <w:p w14:paraId="030511BE" w14:textId="2782DD33" w:rsidR="00202DA5" w:rsidRDefault="0085491B" w:rsidP="00202DA5">
      <w:pPr>
        <w:spacing w:after="0" w:line="312" w:lineRule="auto"/>
        <w:rPr>
          <w:rFonts w:eastAsia="Times New Roman" w:cs="Arial"/>
          <w:sz w:val="20"/>
          <w:szCs w:val="20"/>
          <w:lang w:eastAsia="sl-SI"/>
        </w:rPr>
      </w:pPr>
      <w:r>
        <w:rPr>
          <w:rFonts w:eastAsia="Times New Roman" w:cs="Arial"/>
          <w:sz w:val="20"/>
          <w:szCs w:val="20"/>
          <w:lang w:eastAsia="en-US"/>
        </w:rPr>
        <w:t xml:space="preserve">Z dopolnitvijo 4. člena ZSJV se odpravi pomanjkljivost pri prenosu prvega odstavka 4. člena </w:t>
      </w:r>
      <w:r>
        <w:rPr>
          <w:rFonts w:eastAsia="Times New Roman" w:cs="Arial"/>
          <w:sz w:val="20"/>
          <w:szCs w:val="20"/>
          <w:lang w:eastAsia="sl-SI"/>
        </w:rPr>
        <w:t>D</w:t>
      </w:r>
      <w:r w:rsidRPr="00FF5156">
        <w:rPr>
          <w:rFonts w:eastAsia="Times New Roman" w:cs="Arial"/>
          <w:sz w:val="20"/>
          <w:szCs w:val="20"/>
          <w:lang w:eastAsia="sl-SI"/>
        </w:rPr>
        <w:t>irektive 2014/</w:t>
      </w:r>
      <w:r>
        <w:rPr>
          <w:rFonts w:eastAsia="Times New Roman" w:cs="Arial"/>
          <w:sz w:val="20"/>
          <w:szCs w:val="20"/>
          <w:lang w:eastAsia="sl-SI"/>
        </w:rPr>
        <w:t xml:space="preserve">49/EU. Dopolnitev omogoča, da bo kot </w:t>
      </w:r>
      <w:r w:rsidRPr="00B94DC2">
        <w:rPr>
          <w:rFonts w:eastAsia="Times New Roman" w:cs="Arial"/>
          <w:sz w:val="20"/>
          <w:szCs w:val="20"/>
          <w:lang w:eastAsia="sl-SI"/>
        </w:rPr>
        <w:t xml:space="preserve">sistem jamstva za vloge </w:t>
      </w:r>
      <w:r>
        <w:rPr>
          <w:rFonts w:eastAsia="Times New Roman" w:cs="Arial"/>
          <w:sz w:val="20"/>
          <w:szCs w:val="20"/>
          <w:lang w:eastAsia="sl-SI"/>
        </w:rPr>
        <w:t xml:space="preserve">priznan tudi </w:t>
      </w:r>
      <w:r w:rsidRPr="00B94DC2">
        <w:rPr>
          <w:rFonts w:eastAsia="Times New Roman" w:cs="Arial"/>
          <w:sz w:val="20"/>
          <w:szCs w:val="20"/>
          <w:lang w:eastAsia="sl-SI"/>
        </w:rPr>
        <w:t xml:space="preserve">sistem jamstva za vloge, ki </w:t>
      </w:r>
      <w:r>
        <w:rPr>
          <w:rFonts w:eastAsia="Times New Roman" w:cs="Arial"/>
          <w:sz w:val="20"/>
          <w:szCs w:val="20"/>
          <w:lang w:eastAsia="sl-SI"/>
        </w:rPr>
        <w:t xml:space="preserve">bi </w:t>
      </w:r>
      <w:r w:rsidRPr="00B94DC2">
        <w:rPr>
          <w:rFonts w:eastAsia="Times New Roman" w:cs="Arial"/>
          <w:sz w:val="20"/>
          <w:szCs w:val="20"/>
          <w:lang w:eastAsia="sl-SI"/>
        </w:rPr>
        <w:t>nasta</w:t>
      </w:r>
      <w:r>
        <w:rPr>
          <w:rFonts w:eastAsia="Times New Roman" w:cs="Arial"/>
          <w:sz w:val="20"/>
          <w:szCs w:val="20"/>
          <w:lang w:eastAsia="sl-SI"/>
        </w:rPr>
        <w:t>l</w:t>
      </w:r>
      <w:r w:rsidRPr="00B94DC2">
        <w:rPr>
          <w:rFonts w:eastAsia="Times New Roman" w:cs="Arial"/>
          <w:sz w:val="20"/>
          <w:szCs w:val="20"/>
          <w:lang w:eastAsia="sl-SI"/>
        </w:rPr>
        <w:t xml:space="preserve"> z združitvijo </w:t>
      </w:r>
      <w:r>
        <w:rPr>
          <w:rFonts w:eastAsia="Times New Roman" w:cs="Arial"/>
          <w:sz w:val="20"/>
          <w:szCs w:val="20"/>
          <w:lang w:eastAsia="sl-SI"/>
        </w:rPr>
        <w:t xml:space="preserve">sedanjega </w:t>
      </w:r>
      <w:r w:rsidRPr="00B94DC2">
        <w:rPr>
          <w:rFonts w:eastAsia="Times New Roman" w:cs="Arial"/>
          <w:sz w:val="20"/>
          <w:szCs w:val="20"/>
          <w:lang w:eastAsia="sl-SI"/>
        </w:rPr>
        <w:t xml:space="preserve">sistema jamstva za vloge </w:t>
      </w:r>
      <w:r>
        <w:rPr>
          <w:rFonts w:eastAsia="Times New Roman" w:cs="Arial"/>
          <w:sz w:val="20"/>
          <w:szCs w:val="20"/>
          <w:lang w:eastAsia="sl-SI"/>
        </w:rPr>
        <w:t xml:space="preserve">z enim ali več </w:t>
      </w:r>
      <w:r w:rsidRPr="00B94DC2">
        <w:rPr>
          <w:rFonts w:eastAsia="Times New Roman" w:cs="Arial"/>
          <w:sz w:val="20"/>
          <w:szCs w:val="20"/>
          <w:lang w:eastAsia="sl-SI"/>
        </w:rPr>
        <w:t>sistemi jamstva za vloge, ki so ustanovljeni v drugih državah članicah</w:t>
      </w:r>
      <w:r>
        <w:rPr>
          <w:rFonts w:eastAsia="Times New Roman" w:cs="Arial"/>
          <w:sz w:val="20"/>
          <w:szCs w:val="20"/>
          <w:lang w:eastAsia="sl-SI"/>
        </w:rPr>
        <w:t xml:space="preserve"> Evropske unije</w:t>
      </w:r>
      <w:r w:rsidRPr="00B94DC2">
        <w:rPr>
          <w:rFonts w:eastAsia="Times New Roman" w:cs="Arial"/>
          <w:sz w:val="20"/>
          <w:szCs w:val="20"/>
          <w:lang w:eastAsia="sl-SI"/>
        </w:rPr>
        <w:t xml:space="preserve"> in izpolnjujejo pogoje iz Direktive 2014/49/EU, ali </w:t>
      </w:r>
      <w:r>
        <w:rPr>
          <w:rFonts w:eastAsia="Times New Roman" w:cs="Arial"/>
          <w:sz w:val="20"/>
          <w:szCs w:val="20"/>
          <w:lang w:eastAsia="sl-SI"/>
        </w:rPr>
        <w:t xml:space="preserve">bi nastal </w:t>
      </w:r>
      <w:r w:rsidRPr="00B94DC2">
        <w:rPr>
          <w:rFonts w:eastAsia="Times New Roman" w:cs="Arial"/>
          <w:sz w:val="20"/>
          <w:szCs w:val="20"/>
          <w:lang w:eastAsia="sl-SI"/>
        </w:rPr>
        <w:t xml:space="preserve">z ustanovitvijo čezmejnega sistema jamstva za vloge, </w:t>
      </w:r>
      <w:r w:rsidR="00202DA5" w:rsidRPr="00202DA5">
        <w:rPr>
          <w:rFonts w:eastAsia="Times New Roman" w:cs="Arial"/>
          <w:sz w:val="20"/>
          <w:szCs w:val="20"/>
          <w:lang w:eastAsia="sl-SI"/>
        </w:rPr>
        <w:t xml:space="preserve">katerega člani bodo </w:t>
      </w:r>
      <w:r w:rsidR="00202DA5">
        <w:rPr>
          <w:rFonts w:eastAsia="Times New Roman" w:cs="Arial"/>
          <w:sz w:val="20"/>
          <w:szCs w:val="20"/>
          <w:lang w:eastAsia="sl-SI"/>
        </w:rPr>
        <w:t xml:space="preserve">tudi </w:t>
      </w:r>
      <w:r w:rsidR="00202DA5" w:rsidRPr="00202DA5">
        <w:rPr>
          <w:rFonts w:eastAsia="Times New Roman" w:cs="Arial"/>
          <w:sz w:val="20"/>
          <w:szCs w:val="20"/>
          <w:lang w:eastAsia="sl-SI"/>
        </w:rPr>
        <w:t>banke in hranilnice</w:t>
      </w:r>
      <w:r w:rsidR="00202DA5">
        <w:rPr>
          <w:rFonts w:eastAsia="Times New Roman" w:cs="Arial"/>
          <w:sz w:val="20"/>
          <w:szCs w:val="20"/>
          <w:lang w:eastAsia="sl-SI"/>
        </w:rPr>
        <w:t>, ki bi bile sicer obvezni člani nacionalnega sistema jamstva za vloge.</w:t>
      </w:r>
      <w:r w:rsidR="00202DA5" w:rsidRPr="00202DA5">
        <w:rPr>
          <w:rFonts w:eastAsia="Times New Roman" w:cs="Arial"/>
          <w:sz w:val="20"/>
          <w:szCs w:val="20"/>
          <w:lang w:eastAsia="sl-SI"/>
        </w:rPr>
        <w:t xml:space="preserve"> Predlog za združitev oziroma ustanovitev čezmejnega sistema jamstva za vloge bo podala Banka Slovenije, ki upravlja nacionalni sistem jamstva za vloge, s tem predlogom pa bo morala predhodno soglašati Vlada Republike Slovenije.</w:t>
      </w:r>
      <w:r w:rsidR="00DF17AF">
        <w:rPr>
          <w:rFonts w:eastAsia="Times New Roman" w:cs="Arial"/>
          <w:sz w:val="20"/>
          <w:szCs w:val="20"/>
          <w:lang w:eastAsia="sl-SI"/>
        </w:rPr>
        <w:t xml:space="preserve"> Banka Slovenije bo združitev sistemov jamstva za vloge oziroma ustanovitev čezmejnega sistema jamstva za vloge predlagala le v primeru, če bo ocenila, da je nadzor nad poslovanjem bank v drugih državah članicah Evropske unije, ki bodo vključene v združeni oziroma čezmejni sistem jamstva za vloge vsaj enakovreden bančnemu nadzoru, ki se izvaja v Republiki Sloveniji. </w:t>
      </w:r>
    </w:p>
    <w:p w14:paraId="4299330D" w14:textId="748663D6" w:rsidR="0085491B" w:rsidRDefault="0085491B" w:rsidP="0085491B">
      <w:pPr>
        <w:spacing w:after="0" w:line="312" w:lineRule="auto"/>
        <w:rPr>
          <w:rFonts w:eastAsia="Times New Roman" w:cs="Arial"/>
          <w:sz w:val="20"/>
          <w:szCs w:val="20"/>
          <w:lang w:eastAsia="sl-SI"/>
        </w:rPr>
      </w:pPr>
    </w:p>
    <w:p w14:paraId="0A4851FE" w14:textId="77777777" w:rsidR="0085491B" w:rsidRDefault="0085491B" w:rsidP="0085491B">
      <w:pPr>
        <w:spacing w:after="0" w:line="312" w:lineRule="auto"/>
        <w:rPr>
          <w:rFonts w:eastAsia="Times New Roman" w:cs="Arial"/>
          <w:sz w:val="20"/>
          <w:szCs w:val="20"/>
          <w:lang w:eastAsia="en-US"/>
        </w:rPr>
      </w:pPr>
      <w:r>
        <w:rPr>
          <w:rFonts w:eastAsia="Times New Roman" w:cs="Arial"/>
          <w:sz w:val="20"/>
          <w:szCs w:val="20"/>
          <w:lang w:eastAsia="en-US"/>
        </w:rPr>
        <w:t xml:space="preserve">S spremembo 12. člena ZSJV se </w:t>
      </w:r>
      <w:r w:rsidRPr="00014416">
        <w:rPr>
          <w:rFonts w:eastAsia="Times New Roman" w:cs="Arial"/>
          <w:sz w:val="20"/>
          <w:szCs w:val="20"/>
          <w:lang w:eastAsia="en-US"/>
        </w:rPr>
        <w:t xml:space="preserve">odpravi pomanjkljivost pri prenosu </w:t>
      </w:r>
      <w:r>
        <w:rPr>
          <w:rFonts w:eastAsia="Times New Roman" w:cs="Arial"/>
          <w:sz w:val="20"/>
          <w:szCs w:val="20"/>
          <w:lang w:eastAsia="en-US"/>
        </w:rPr>
        <w:t>petega</w:t>
      </w:r>
      <w:r w:rsidRPr="00014416">
        <w:rPr>
          <w:rFonts w:eastAsia="Times New Roman" w:cs="Arial"/>
          <w:sz w:val="20"/>
          <w:szCs w:val="20"/>
          <w:lang w:eastAsia="en-US"/>
        </w:rPr>
        <w:t xml:space="preserve"> odstavka </w:t>
      </w:r>
      <w:r>
        <w:rPr>
          <w:rFonts w:eastAsia="Times New Roman" w:cs="Arial"/>
          <w:sz w:val="20"/>
          <w:szCs w:val="20"/>
          <w:lang w:eastAsia="en-US"/>
        </w:rPr>
        <w:t>16</w:t>
      </w:r>
      <w:r w:rsidRPr="00014416">
        <w:rPr>
          <w:rFonts w:eastAsia="Times New Roman" w:cs="Arial"/>
          <w:sz w:val="20"/>
          <w:szCs w:val="20"/>
          <w:lang w:eastAsia="en-US"/>
        </w:rPr>
        <w:t>. člena Direktive 2014/49/EU</w:t>
      </w:r>
      <w:r>
        <w:rPr>
          <w:rFonts w:eastAsia="Times New Roman" w:cs="Arial"/>
          <w:sz w:val="20"/>
          <w:szCs w:val="20"/>
          <w:lang w:eastAsia="en-US"/>
        </w:rPr>
        <w:t xml:space="preserve">. Omejitve pri oglaševanju storitev banke, zlasti tistih, ki so povezane z jamstvom za vloge, </w:t>
      </w:r>
      <w:r>
        <w:rPr>
          <w:rFonts w:eastAsia="Times New Roman" w:cs="Arial"/>
          <w:sz w:val="20"/>
          <w:szCs w:val="20"/>
          <w:lang w:eastAsia="en-US"/>
        </w:rPr>
        <w:lastRenderedPageBreak/>
        <w:t>se bodo nanašale na vse banke in hranilnice v Republiki Sloveniji, ki so članice sistema jamstva za vloge, ustanovljenega na podlagi ZSJV, in ne le na oglaševanje storitev podružnice banke v tretji državi.</w:t>
      </w:r>
    </w:p>
    <w:p w14:paraId="137E46B5" w14:textId="77777777" w:rsidR="0085491B" w:rsidRDefault="0085491B" w:rsidP="0085491B">
      <w:pPr>
        <w:spacing w:after="0" w:line="312" w:lineRule="auto"/>
        <w:rPr>
          <w:rFonts w:eastAsia="Times New Roman" w:cs="Arial"/>
          <w:sz w:val="20"/>
          <w:szCs w:val="20"/>
          <w:lang w:eastAsia="en-US"/>
        </w:rPr>
      </w:pPr>
    </w:p>
    <w:p w14:paraId="6E6B4187" w14:textId="77777777" w:rsidR="0085491B" w:rsidRDefault="0085491B" w:rsidP="0085491B">
      <w:pPr>
        <w:spacing w:after="0" w:line="312" w:lineRule="auto"/>
        <w:rPr>
          <w:rFonts w:eastAsia="Times New Roman" w:cs="Arial"/>
          <w:sz w:val="20"/>
          <w:szCs w:val="20"/>
          <w:lang w:eastAsia="en-US"/>
        </w:rPr>
      </w:pPr>
      <w:r>
        <w:rPr>
          <w:rFonts w:eastAsia="Times New Roman" w:cs="Arial"/>
          <w:sz w:val="20"/>
          <w:szCs w:val="20"/>
          <w:lang w:eastAsia="en-US"/>
        </w:rPr>
        <w:t xml:space="preserve">Z dopolnitvijo 52. člena ZSJV se odpravi </w:t>
      </w:r>
      <w:r w:rsidRPr="00014416">
        <w:rPr>
          <w:rFonts w:eastAsia="Times New Roman" w:cs="Arial"/>
          <w:sz w:val="20"/>
          <w:szCs w:val="20"/>
          <w:lang w:eastAsia="en-US"/>
        </w:rPr>
        <w:t xml:space="preserve">pomanjkljivost pri prenosu </w:t>
      </w:r>
      <w:r>
        <w:rPr>
          <w:rFonts w:eastAsia="Times New Roman" w:cs="Arial"/>
          <w:sz w:val="20"/>
          <w:szCs w:val="20"/>
          <w:lang w:eastAsia="en-US"/>
        </w:rPr>
        <w:t>tretjega</w:t>
      </w:r>
      <w:r w:rsidRPr="00014416">
        <w:rPr>
          <w:rFonts w:eastAsia="Times New Roman" w:cs="Arial"/>
          <w:sz w:val="20"/>
          <w:szCs w:val="20"/>
          <w:lang w:eastAsia="en-US"/>
        </w:rPr>
        <w:t xml:space="preserve"> odstavka </w:t>
      </w:r>
      <w:r>
        <w:rPr>
          <w:rFonts w:eastAsia="Times New Roman" w:cs="Arial"/>
          <w:sz w:val="20"/>
          <w:szCs w:val="20"/>
          <w:lang w:eastAsia="en-US"/>
        </w:rPr>
        <w:t>14</w:t>
      </w:r>
      <w:r w:rsidRPr="00014416">
        <w:rPr>
          <w:rFonts w:eastAsia="Times New Roman" w:cs="Arial"/>
          <w:sz w:val="20"/>
          <w:szCs w:val="20"/>
          <w:lang w:eastAsia="en-US"/>
        </w:rPr>
        <w:t>. člena Direktive 2014/49/EU</w:t>
      </w:r>
      <w:r>
        <w:rPr>
          <w:rFonts w:eastAsia="Times New Roman" w:cs="Arial"/>
          <w:sz w:val="20"/>
          <w:szCs w:val="20"/>
          <w:lang w:eastAsia="en-US"/>
        </w:rPr>
        <w:t xml:space="preserve">. Navedeni člen ZSJV zdaj ureja le prenos prispevkov banke, vplačanih v sklad za jamstvo vlog, v primeru, ko se banka </w:t>
      </w:r>
      <w:r w:rsidRPr="0096752C">
        <w:rPr>
          <w:rFonts w:eastAsia="Times New Roman" w:cs="Arial"/>
          <w:sz w:val="20"/>
          <w:szCs w:val="20"/>
          <w:lang w:eastAsia="en-US"/>
        </w:rPr>
        <w:t>preoblikuje tako, da preneha biti član</w:t>
      </w:r>
      <w:r>
        <w:rPr>
          <w:rFonts w:eastAsia="Times New Roman" w:cs="Arial"/>
          <w:sz w:val="20"/>
          <w:szCs w:val="20"/>
          <w:lang w:eastAsia="en-US"/>
        </w:rPr>
        <w:t>ica</w:t>
      </w:r>
      <w:r w:rsidRPr="0096752C">
        <w:rPr>
          <w:rFonts w:eastAsia="Times New Roman" w:cs="Arial"/>
          <w:sz w:val="20"/>
          <w:szCs w:val="20"/>
          <w:lang w:eastAsia="en-US"/>
        </w:rPr>
        <w:t xml:space="preserve"> sistema jamstva za vloge in se vključi v sistem jamstva za vloge druge države članice</w:t>
      </w:r>
      <w:r>
        <w:rPr>
          <w:rFonts w:eastAsia="Times New Roman" w:cs="Arial"/>
          <w:sz w:val="20"/>
          <w:szCs w:val="20"/>
          <w:lang w:eastAsia="en-US"/>
        </w:rPr>
        <w:t xml:space="preserve"> Evropske unije. Z dopolnitvijo tega člena se uredi prenos teh prispevkov takrat, ko banka v </w:t>
      </w:r>
      <w:r w:rsidRPr="0096752C">
        <w:rPr>
          <w:rFonts w:eastAsia="Times New Roman" w:cs="Arial"/>
          <w:sz w:val="20"/>
          <w:szCs w:val="20"/>
          <w:lang w:eastAsia="en-US"/>
        </w:rPr>
        <w:t>druge države članice</w:t>
      </w:r>
      <w:r>
        <w:rPr>
          <w:rFonts w:eastAsia="Times New Roman" w:cs="Arial"/>
          <w:sz w:val="20"/>
          <w:szCs w:val="20"/>
          <w:lang w:eastAsia="en-US"/>
        </w:rPr>
        <w:t xml:space="preserve"> Evropske unije prenese opravljanje dela njenih storitev. V tem primeru se v drug sistem jamstva za vloge prenese le sorazmerni del vplačanih prispevkov v sklad za jamstvo vlog, </w:t>
      </w:r>
      <w:r w:rsidRPr="000455F0">
        <w:rPr>
          <w:rFonts w:eastAsia="Times New Roman" w:cs="Arial"/>
          <w:sz w:val="20"/>
          <w:szCs w:val="20"/>
          <w:lang w:eastAsia="en-US"/>
        </w:rPr>
        <w:t xml:space="preserve">glede na višino prenesenih </w:t>
      </w:r>
      <w:r>
        <w:rPr>
          <w:rFonts w:eastAsia="Times New Roman" w:cs="Arial"/>
          <w:sz w:val="20"/>
          <w:szCs w:val="20"/>
          <w:lang w:eastAsia="en-US"/>
        </w:rPr>
        <w:t xml:space="preserve">zajamčenih </w:t>
      </w:r>
      <w:r w:rsidRPr="000455F0">
        <w:rPr>
          <w:rFonts w:eastAsia="Times New Roman" w:cs="Arial"/>
          <w:sz w:val="20"/>
          <w:szCs w:val="20"/>
          <w:lang w:eastAsia="en-US"/>
        </w:rPr>
        <w:t>vlog</w:t>
      </w:r>
      <w:r>
        <w:rPr>
          <w:rFonts w:eastAsia="Times New Roman" w:cs="Arial"/>
          <w:sz w:val="20"/>
          <w:szCs w:val="20"/>
          <w:lang w:eastAsia="en-US"/>
        </w:rPr>
        <w:t>.</w:t>
      </w:r>
    </w:p>
    <w:p w14:paraId="23BDC597" w14:textId="77777777" w:rsidR="0085491B" w:rsidRDefault="0085491B" w:rsidP="0085491B">
      <w:pPr>
        <w:spacing w:after="0" w:line="312" w:lineRule="auto"/>
        <w:rPr>
          <w:rFonts w:eastAsia="Times New Roman" w:cs="Arial"/>
          <w:sz w:val="20"/>
          <w:szCs w:val="20"/>
          <w:lang w:eastAsia="en-US"/>
        </w:rPr>
      </w:pPr>
    </w:p>
    <w:p w14:paraId="4251FAE9" w14:textId="77777777" w:rsidR="0085491B" w:rsidRPr="00B94DC2" w:rsidRDefault="0085491B" w:rsidP="0085491B">
      <w:pPr>
        <w:spacing w:after="0" w:line="312" w:lineRule="auto"/>
        <w:rPr>
          <w:rFonts w:eastAsia="Times New Roman" w:cs="Arial"/>
          <w:sz w:val="20"/>
          <w:szCs w:val="20"/>
          <w:lang w:eastAsia="en-US"/>
        </w:rPr>
      </w:pPr>
      <w:r>
        <w:rPr>
          <w:rFonts w:eastAsia="Times New Roman" w:cs="Arial"/>
          <w:sz w:val="20"/>
          <w:szCs w:val="20"/>
          <w:lang w:eastAsia="en-US"/>
        </w:rPr>
        <w:t xml:space="preserve">S spremembo 26. in 27. člena ZSJV se nedvoumno določi, da lahko </w:t>
      </w:r>
      <w:r w:rsidRPr="0090491F">
        <w:rPr>
          <w:rFonts w:eastAsia="Times New Roman" w:cs="Arial"/>
          <w:sz w:val="20"/>
          <w:szCs w:val="20"/>
          <w:lang w:eastAsia="en-US"/>
        </w:rPr>
        <w:t>Banka Slovenije upravlja premoženje sklada</w:t>
      </w:r>
      <w:r>
        <w:rPr>
          <w:rFonts w:eastAsia="Times New Roman" w:cs="Arial"/>
          <w:sz w:val="20"/>
          <w:szCs w:val="20"/>
          <w:lang w:eastAsia="en-US"/>
        </w:rPr>
        <w:t xml:space="preserve"> za jamstvo vlog tudi</w:t>
      </w:r>
      <w:r w:rsidRPr="0090491F">
        <w:rPr>
          <w:rFonts w:eastAsia="Times New Roman" w:cs="Arial"/>
          <w:sz w:val="20"/>
          <w:szCs w:val="20"/>
          <w:lang w:eastAsia="en-US"/>
        </w:rPr>
        <w:t xml:space="preserve"> skupaj z drugim premoženjem Banke Slovenije ali drugim premoženjem v upravljanju Banke Slovenije, </w:t>
      </w:r>
      <w:r>
        <w:rPr>
          <w:rFonts w:eastAsia="Times New Roman" w:cs="Arial"/>
          <w:sz w:val="20"/>
          <w:szCs w:val="20"/>
          <w:lang w:eastAsia="en-US"/>
        </w:rPr>
        <w:t xml:space="preserve">pri čemer </w:t>
      </w:r>
      <w:r w:rsidRPr="0090491F">
        <w:rPr>
          <w:rFonts w:eastAsia="Times New Roman" w:cs="Arial"/>
          <w:sz w:val="20"/>
          <w:szCs w:val="20"/>
          <w:lang w:eastAsia="en-US"/>
        </w:rPr>
        <w:t>mora za sredstva in obveznosti sklada</w:t>
      </w:r>
      <w:r>
        <w:rPr>
          <w:rFonts w:eastAsia="Times New Roman" w:cs="Arial"/>
          <w:sz w:val="20"/>
          <w:szCs w:val="20"/>
          <w:lang w:eastAsia="en-US"/>
        </w:rPr>
        <w:t xml:space="preserve"> za jamstvo vlog</w:t>
      </w:r>
      <w:r w:rsidRPr="0090491F">
        <w:rPr>
          <w:rFonts w:eastAsia="Times New Roman" w:cs="Arial"/>
          <w:sz w:val="20"/>
          <w:szCs w:val="20"/>
          <w:lang w:eastAsia="en-US"/>
        </w:rPr>
        <w:t xml:space="preserve"> voditi ločeno knjigovodsko evidenco.</w:t>
      </w:r>
      <w:r>
        <w:rPr>
          <w:rFonts w:eastAsia="Times New Roman" w:cs="Arial"/>
          <w:sz w:val="20"/>
          <w:szCs w:val="20"/>
          <w:lang w:eastAsia="en-US"/>
        </w:rPr>
        <w:t xml:space="preserve"> Ta rešitev je povzeta po ureditvi upravljanja sredstev sklada za reševanje bank, ustanovljenega na podlagi ZOSRB.</w:t>
      </w:r>
    </w:p>
    <w:p w14:paraId="1DCC335F" w14:textId="3DDB8BAB" w:rsidR="001A3FE2" w:rsidRDefault="001A3FE2" w:rsidP="00FF5156">
      <w:pPr>
        <w:spacing w:after="0" w:line="312" w:lineRule="auto"/>
        <w:jc w:val="right"/>
        <w:rPr>
          <w:rFonts w:eastAsia="Times New Roman" w:cs="Arial"/>
          <w:sz w:val="20"/>
          <w:szCs w:val="20"/>
          <w:highlight w:val="yellow"/>
          <w:lang w:eastAsia="en-US"/>
        </w:rPr>
      </w:pPr>
    </w:p>
    <w:p w14:paraId="2A89F5E4" w14:textId="77777777" w:rsidR="001A3FE2" w:rsidRPr="00FF5156" w:rsidRDefault="001A3FE2" w:rsidP="00FF5156">
      <w:pPr>
        <w:spacing w:after="0" w:line="312" w:lineRule="auto"/>
        <w:jc w:val="right"/>
        <w:rPr>
          <w:rFonts w:eastAsia="Times New Roman" w:cs="Arial"/>
          <w:vanish/>
          <w:sz w:val="20"/>
          <w:szCs w:val="20"/>
          <w:highlight w:val="yellow"/>
          <w:lang w:eastAsia="en-US"/>
        </w:rPr>
      </w:pPr>
    </w:p>
    <w:p w14:paraId="0D4B6F85" w14:textId="77777777" w:rsidR="00FF5156" w:rsidRPr="00B94DC2" w:rsidRDefault="00FF5156" w:rsidP="00FF5156">
      <w:pPr>
        <w:spacing w:after="0" w:line="312" w:lineRule="auto"/>
        <w:rPr>
          <w:rFonts w:eastAsia="Times New Roman" w:cs="Arial"/>
          <w:sz w:val="20"/>
          <w:szCs w:val="20"/>
          <w:lang w:eastAsia="en-US"/>
        </w:rPr>
      </w:pPr>
    </w:p>
    <w:p w14:paraId="2201FF82" w14:textId="77777777" w:rsidR="00FF5156" w:rsidRPr="00B94DC2" w:rsidRDefault="00FF5156" w:rsidP="00FF5156">
      <w:pPr>
        <w:spacing w:after="0" w:line="312" w:lineRule="auto"/>
        <w:rPr>
          <w:rFonts w:eastAsia="Times New Roman" w:cs="Arial"/>
          <w:sz w:val="20"/>
          <w:szCs w:val="20"/>
          <w:lang w:eastAsia="en-US"/>
        </w:rPr>
      </w:pPr>
    </w:p>
    <w:p w14:paraId="41B3EEED" w14:textId="77777777" w:rsidR="00FF5156" w:rsidRPr="00FF5156" w:rsidRDefault="00FF5156" w:rsidP="00A96EA9">
      <w:pPr>
        <w:numPr>
          <w:ilvl w:val="0"/>
          <w:numId w:val="14"/>
        </w:numPr>
        <w:spacing w:after="0" w:line="312" w:lineRule="auto"/>
        <w:rPr>
          <w:rFonts w:eastAsia="Times New Roman" w:cs="Arial"/>
          <w:b/>
          <w:sz w:val="20"/>
          <w:szCs w:val="20"/>
          <w:lang w:eastAsia="sl-SI"/>
        </w:rPr>
      </w:pPr>
      <w:r w:rsidRPr="00FF5156">
        <w:rPr>
          <w:rFonts w:eastAsia="Times New Roman" w:cs="Arial"/>
          <w:b/>
          <w:sz w:val="20"/>
          <w:szCs w:val="20"/>
          <w:lang w:eastAsia="sl-SI"/>
        </w:rPr>
        <w:t>OCENA FINANČNIH POSLEDIC PREDLOGA ZAKONA ZA DRŽAVNI PRORAČUN IN DRUGA JAVNA FINANČNA SREDSTVA</w:t>
      </w:r>
    </w:p>
    <w:p w14:paraId="2EE1C5A0" w14:textId="77777777" w:rsidR="00FF5156" w:rsidRPr="00FF5156" w:rsidRDefault="00FF5156" w:rsidP="00FF5156">
      <w:pPr>
        <w:spacing w:after="0" w:line="312" w:lineRule="auto"/>
        <w:rPr>
          <w:rFonts w:eastAsia="Times New Roman" w:cs="Arial"/>
          <w:b/>
          <w:sz w:val="20"/>
          <w:szCs w:val="20"/>
          <w:lang w:eastAsia="sl-SI"/>
        </w:rPr>
      </w:pPr>
    </w:p>
    <w:p w14:paraId="26676890"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Predlog zakona nima finančnih posledic za državni proračun in druga javna finančna sredstva.</w:t>
      </w:r>
    </w:p>
    <w:p w14:paraId="68232331" w14:textId="77777777" w:rsidR="00FF5156" w:rsidRDefault="00FF5156" w:rsidP="00FF5156">
      <w:pPr>
        <w:spacing w:after="0" w:line="312" w:lineRule="auto"/>
        <w:rPr>
          <w:rFonts w:eastAsia="Times New Roman" w:cs="Arial"/>
          <w:sz w:val="20"/>
          <w:szCs w:val="20"/>
          <w:highlight w:val="yellow"/>
          <w:lang w:eastAsia="sl-SI"/>
        </w:rPr>
      </w:pPr>
    </w:p>
    <w:p w14:paraId="270A0890" w14:textId="77777777" w:rsidR="0019651F" w:rsidRPr="00FF5156" w:rsidRDefault="0019651F" w:rsidP="00FF5156">
      <w:pPr>
        <w:spacing w:after="0" w:line="312" w:lineRule="auto"/>
        <w:rPr>
          <w:rFonts w:eastAsia="Times New Roman" w:cs="Arial"/>
          <w:sz w:val="20"/>
          <w:szCs w:val="20"/>
          <w:highlight w:val="yellow"/>
          <w:lang w:eastAsia="sl-SI"/>
        </w:rPr>
      </w:pPr>
    </w:p>
    <w:p w14:paraId="46F73628" w14:textId="77777777" w:rsidR="00FF5156" w:rsidRPr="00FF5156" w:rsidRDefault="00FF5156" w:rsidP="00A96EA9">
      <w:pPr>
        <w:numPr>
          <w:ilvl w:val="0"/>
          <w:numId w:val="14"/>
        </w:numPr>
        <w:spacing w:after="0" w:line="312" w:lineRule="auto"/>
        <w:rPr>
          <w:rFonts w:eastAsia="Times New Roman" w:cs="Arial"/>
          <w:b/>
          <w:sz w:val="20"/>
          <w:szCs w:val="20"/>
          <w:lang w:eastAsia="sl-SI"/>
        </w:rPr>
      </w:pPr>
      <w:r w:rsidRPr="00FF5156">
        <w:rPr>
          <w:rFonts w:eastAsia="Times New Roman" w:cs="Arial"/>
          <w:b/>
          <w:sz w:val="20"/>
          <w:szCs w:val="20"/>
          <w:lang w:eastAsia="sl-SI"/>
        </w:rPr>
        <w:t>NAVEDBA, DA SO SREDSTVA ZA IZVAJANJE ZAKONA V DRŽAVNEM PRORAČUNU ZAGOTOVLJENA, ČE PREDLOG ZAKONA PREDVIDEVA PORABO PRORAČUNSKIH SREDSTEV V OBDOBJU, ZA KATEREGA JE BIL DRŽAVNI PRORAČUN ŽE SPREJET</w:t>
      </w:r>
    </w:p>
    <w:p w14:paraId="14E57F11" w14:textId="77777777" w:rsidR="00FF5156" w:rsidRPr="00FF5156" w:rsidRDefault="00FF5156" w:rsidP="00FF5156">
      <w:pPr>
        <w:spacing w:after="0" w:line="312" w:lineRule="auto"/>
        <w:rPr>
          <w:rFonts w:eastAsia="Times New Roman" w:cs="Arial"/>
          <w:sz w:val="20"/>
          <w:szCs w:val="20"/>
          <w:lang w:eastAsia="sl-SI"/>
        </w:rPr>
      </w:pPr>
    </w:p>
    <w:p w14:paraId="43485D2F"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Predlog zakona ne predvideva porabe proračunskih sredstev v obdobju, za katero je bil proračun že sprejet.</w:t>
      </w:r>
    </w:p>
    <w:p w14:paraId="4A2B9BC8" w14:textId="77777777" w:rsidR="00FF5156" w:rsidRPr="00FF5156" w:rsidRDefault="00FF5156" w:rsidP="00FF5156">
      <w:pPr>
        <w:spacing w:after="0" w:line="312" w:lineRule="auto"/>
        <w:rPr>
          <w:rFonts w:eastAsia="Times New Roman" w:cs="Arial"/>
          <w:sz w:val="20"/>
          <w:szCs w:val="20"/>
          <w:highlight w:val="yellow"/>
          <w:lang w:eastAsia="sl-SI"/>
        </w:rPr>
      </w:pPr>
    </w:p>
    <w:p w14:paraId="06041AFB" w14:textId="77777777" w:rsidR="00FF5156" w:rsidRPr="00FF5156" w:rsidRDefault="00FF5156" w:rsidP="00FF5156">
      <w:pPr>
        <w:spacing w:after="0" w:line="312" w:lineRule="auto"/>
        <w:rPr>
          <w:rFonts w:eastAsia="Times New Roman" w:cs="Arial"/>
          <w:sz w:val="20"/>
          <w:szCs w:val="20"/>
          <w:highlight w:val="yellow"/>
          <w:lang w:eastAsia="sl-SI"/>
        </w:rPr>
      </w:pPr>
    </w:p>
    <w:p w14:paraId="668BC20F" w14:textId="77777777" w:rsidR="00FF5156" w:rsidRPr="00FF5156" w:rsidRDefault="00FF5156" w:rsidP="00A96EA9">
      <w:pPr>
        <w:numPr>
          <w:ilvl w:val="0"/>
          <w:numId w:val="14"/>
        </w:numPr>
        <w:spacing w:after="0" w:line="312" w:lineRule="auto"/>
        <w:rPr>
          <w:rFonts w:eastAsia="Times New Roman" w:cs="Arial"/>
          <w:b/>
          <w:sz w:val="20"/>
          <w:szCs w:val="20"/>
          <w:lang w:eastAsia="sl-SI"/>
        </w:rPr>
      </w:pPr>
      <w:r w:rsidRPr="00FF5156">
        <w:rPr>
          <w:rFonts w:eastAsia="Times New Roman" w:cs="Arial"/>
          <w:b/>
          <w:sz w:val="20"/>
          <w:szCs w:val="20"/>
          <w:lang w:eastAsia="sl-SI"/>
        </w:rPr>
        <w:t>PRIKAZ UREDITVE V DRUGIH PRAVNIH SISTEMIH IN PRILAGOJENOSTI PREDLAGANE UREDITVE PRAVU EVROPSKE UNIJE</w:t>
      </w:r>
    </w:p>
    <w:p w14:paraId="1AA0A01B" w14:textId="77777777" w:rsidR="00FF5156" w:rsidRDefault="00FF5156" w:rsidP="00FF5156">
      <w:pPr>
        <w:spacing w:after="0" w:line="312" w:lineRule="auto"/>
        <w:rPr>
          <w:rFonts w:eastAsia="Times New Roman" w:cs="Arial"/>
          <w:sz w:val="20"/>
          <w:szCs w:val="20"/>
          <w:highlight w:val="yellow"/>
          <w:lang w:eastAsia="sl-SI"/>
        </w:rPr>
      </w:pPr>
    </w:p>
    <w:p w14:paraId="1F2AD971" w14:textId="77777777" w:rsidR="00A96EA9" w:rsidRPr="00FF5156" w:rsidRDefault="00A96EA9" w:rsidP="00FF5156">
      <w:pPr>
        <w:spacing w:after="0" w:line="312" w:lineRule="auto"/>
        <w:rPr>
          <w:rFonts w:eastAsia="Times New Roman" w:cs="Arial"/>
          <w:sz w:val="20"/>
          <w:szCs w:val="20"/>
          <w:highlight w:val="yellow"/>
          <w:lang w:eastAsia="sl-SI"/>
        </w:rPr>
      </w:pPr>
    </w:p>
    <w:p w14:paraId="49E48F47" w14:textId="40FD99D8"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Zakon je prilagojen pravu Evropske unije, saj </w:t>
      </w:r>
      <w:r w:rsidR="004C7DB0">
        <w:rPr>
          <w:rFonts w:eastAsia="Times New Roman" w:cs="Arial"/>
          <w:sz w:val="20"/>
          <w:szCs w:val="20"/>
          <w:lang w:eastAsia="sl-SI"/>
        </w:rPr>
        <w:t>odpravlja ugotovljene pomanjkljivosti pri prenosu Direktive 2014/49/EU v domači pravni red.</w:t>
      </w:r>
      <w:r w:rsidRPr="00FF5156">
        <w:rPr>
          <w:rFonts w:eastAsia="Times New Roman" w:cs="Arial"/>
          <w:sz w:val="20"/>
          <w:szCs w:val="20"/>
          <w:lang w:eastAsia="sl-SI"/>
        </w:rPr>
        <w:t xml:space="preserve"> </w:t>
      </w:r>
    </w:p>
    <w:p w14:paraId="60597EB8" w14:textId="77777777" w:rsidR="00FF5156" w:rsidRPr="00FF5156" w:rsidRDefault="00FF5156" w:rsidP="00FF5156">
      <w:pPr>
        <w:spacing w:after="0" w:line="312" w:lineRule="auto"/>
        <w:rPr>
          <w:rFonts w:eastAsia="Times New Roman" w:cs="Arial"/>
          <w:sz w:val="20"/>
          <w:szCs w:val="20"/>
          <w:lang w:eastAsia="sl-SI"/>
        </w:rPr>
      </w:pPr>
    </w:p>
    <w:p w14:paraId="13ADDBCF" w14:textId="77777777" w:rsidR="004C7DB0" w:rsidRPr="004C7DB0" w:rsidRDefault="004C7DB0" w:rsidP="004C7DB0">
      <w:pPr>
        <w:spacing w:after="0" w:line="312" w:lineRule="auto"/>
        <w:rPr>
          <w:rFonts w:eastAsia="Times New Roman" w:cs="Arial"/>
          <w:b/>
          <w:sz w:val="20"/>
          <w:szCs w:val="20"/>
          <w:lang w:eastAsia="sl-SI"/>
        </w:rPr>
      </w:pPr>
      <w:r w:rsidRPr="004C7DB0">
        <w:rPr>
          <w:rFonts w:eastAsia="Times New Roman" w:cs="Arial"/>
          <w:b/>
          <w:sz w:val="20"/>
          <w:szCs w:val="20"/>
          <w:lang w:eastAsia="sl-SI"/>
        </w:rPr>
        <w:t>Republika Avstrija</w:t>
      </w:r>
    </w:p>
    <w:p w14:paraId="0FD657F0" w14:textId="77777777" w:rsidR="004C7DB0" w:rsidRPr="004C7DB0" w:rsidRDefault="004C7DB0" w:rsidP="004C7DB0">
      <w:pPr>
        <w:spacing w:after="0" w:line="312" w:lineRule="auto"/>
        <w:rPr>
          <w:rFonts w:eastAsia="Times New Roman" w:cs="Arial"/>
          <w:sz w:val="20"/>
          <w:szCs w:val="20"/>
          <w:lang w:eastAsia="sl-SI"/>
        </w:rPr>
      </w:pPr>
    </w:p>
    <w:p w14:paraId="7E411E23" w14:textId="7FB80196" w:rsidR="00830C41" w:rsidRDefault="002D38D8" w:rsidP="004C7DB0">
      <w:pPr>
        <w:spacing w:after="0" w:line="312" w:lineRule="auto"/>
        <w:rPr>
          <w:rFonts w:eastAsia="Times New Roman" w:cs="Arial"/>
          <w:sz w:val="20"/>
          <w:szCs w:val="20"/>
          <w:lang w:eastAsia="sl-SI"/>
        </w:rPr>
      </w:pPr>
      <w:r>
        <w:rPr>
          <w:rFonts w:eastAsia="Times New Roman" w:cs="Arial"/>
          <w:sz w:val="20"/>
          <w:szCs w:val="20"/>
          <w:lang w:eastAsia="sl-SI"/>
        </w:rPr>
        <w:t xml:space="preserve">Republika </w:t>
      </w:r>
      <w:r w:rsidR="004C7DB0" w:rsidRPr="004C7DB0">
        <w:rPr>
          <w:rFonts w:eastAsia="Times New Roman" w:cs="Arial"/>
          <w:sz w:val="20"/>
          <w:szCs w:val="20"/>
          <w:lang w:eastAsia="sl-SI"/>
        </w:rPr>
        <w:t xml:space="preserve">Avstrija </w:t>
      </w:r>
      <w:r w:rsidR="00DB63B1">
        <w:rPr>
          <w:rFonts w:eastAsia="Times New Roman" w:cs="Arial"/>
          <w:sz w:val="20"/>
          <w:szCs w:val="20"/>
          <w:lang w:eastAsia="sl-SI"/>
        </w:rPr>
        <w:t xml:space="preserve">ima sistem jamstva za vloge urejen z </w:t>
      </w:r>
      <w:r w:rsidR="00CF28FF" w:rsidRPr="00CF28FF">
        <w:rPr>
          <w:rFonts w:eastAsia="Times New Roman" w:cs="Arial"/>
          <w:sz w:val="20"/>
          <w:szCs w:val="20"/>
          <w:lang w:eastAsia="sl-SI"/>
        </w:rPr>
        <w:t>Zakon</w:t>
      </w:r>
      <w:r w:rsidR="00CF28FF">
        <w:rPr>
          <w:rFonts w:eastAsia="Times New Roman" w:cs="Arial"/>
          <w:sz w:val="20"/>
          <w:szCs w:val="20"/>
          <w:lang w:eastAsia="sl-SI"/>
        </w:rPr>
        <w:t>om</w:t>
      </w:r>
      <w:r w:rsidR="00CF28FF" w:rsidRPr="00CF28FF">
        <w:rPr>
          <w:rFonts w:eastAsia="Times New Roman" w:cs="Arial"/>
          <w:sz w:val="20"/>
          <w:szCs w:val="20"/>
          <w:lang w:eastAsia="sl-SI"/>
        </w:rPr>
        <w:t xml:space="preserve"> o zaščiti vlog in odškodninah za vlagatelje pri kreditnih institucijah</w:t>
      </w:r>
      <w:r w:rsidR="00CF28FF">
        <w:rPr>
          <w:rFonts w:eastAsia="Times New Roman" w:cs="Arial"/>
          <w:sz w:val="20"/>
          <w:szCs w:val="20"/>
          <w:lang w:eastAsia="sl-SI"/>
        </w:rPr>
        <w:t xml:space="preserve"> (»</w:t>
      </w:r>
      <w:r w:rsidR="00CF28FF" w:rsidRPr="00CF28FF">
        <w:rPr>
          <w:rFonts w:eastAsia="Times New Roman" w:cs="Arial"/>
          <w:sz w:val="20"/>
          <w:szCs w:val="20"/>
          <w:lang w:eastAsia="sl-SI"/>
        </w:rPr>
        <w:t>Bundesgesetz</w:t>
      </w:r>
      <w:r w:rsidR="00CF28FF">
        <w:rPr>
          <w:rStyle w:val="Sprotnaopomba-sklic"/>
          <w:rFonts w:eastAsia="Times New Roman"/>
          <w:sz w:val="20"/>
          <w:szCs w:val="20"/>
          <w:lang w:eastAsia="sl-SI"/>
        </w:rPr>
        <w:footnoteReference w:id="1"/>
      </w:r>
      <w:r w:rsidR="00CF28FF" w:rsidRPr="00CF28FF">
        <w:rPr>
          <w:rFonts w:eastAsia="Times New Roman" w:cs="Arial"/>
          <w:sz w:val="20"/>
          <w:szCs w:val="20"/>
          <w:lang w:eastAsia="sl-SI"/>
        </w:rPr>
        <w:t xml:space="preserve"> über die Einlagensicherung und </w:t>
      </w:r>
      <w:r w:rsidR="00CF28FF" w:rsidRPr="00CF28FF">
        <w:rPr>
          <w:rFonts w:eastAsia="Times New Roman" w:cs="Arial"/>
          <w:sz w:val="20"/>
          <w:szCs w:val="20"/>
          <w:lang w:eastAsia="sl-SI"/>
        </w:rPr>
        <w:lastRenderedPageBreak/>
        <w:t>Anlegerentschädigung bei Kreditinstituten</w:t>
      </w:r>
      <w:r w:rsidR="00CF28FF">
        <w:rPr>
          <w:rFonts w:eastAsia="Times New Roman" w:cs="Arial"/>
          <w:sz w:val="20"/>
          <w:szCs w:val="20"/>
          <w:lang w:eastAsia="sl-SI"/>
        </w:rPr>
        <w:t>«)</w:t>
      </w:r>
      <w:r w:rsidR="00830C41">
        <w:rPr>
          <w:rFonts w:eastAsia="Times New Roman" w:cs="Arial"/>
          <w:sz w:val="20"/>
          <w:szCs w:val="20"/>
          <w:lang w:eastAsia="sl-SI"/>
        </w:rPr>
        <w:t>, s katerim je bil v domači pravni red prenesena Direktiva</w:t>
      </w:r>
      <w:r w:rsidR="004C7DB0" w:rsidRPr="004C7DB0">
        <w:rPr>
          <w:rFonts w:eastAsia="Times New Roman" w:cs="Arial"/>
          <w:sz w:val="20"/>
          <w:szCs w:val="20"/>
          <w:lang w:eastAsia="sl-SI"/>
        </w:rPr>
        <w:t xml:space="preserve"> 2014/49/EU</w:t>
      </w:r>
      <w:r w:rsidR="00830C41">
        <w:rPr>
          <w:rFonts w:eastAsia="Times New Roman" w:cs="Arial"/>
          <w:sz w:val="20"/>
          <w:szCs w:val="20"/>
          <w:lang w:eastAsia="sl-SI"/>
        </w:rPr>
        <w:t>.</w:t>
      </w:r>
      <w:r w:rsidR="004C7DB0" w:rsidRPr="004C7DB0">
        <w:rPr>
          <w:rFonts w:eastAsia="Times New Roman" w:cs="Arial"/>
          <w:sz w:val="20"/>
          <w:szCs w:val="20"/>
          <w:lang w:eastAsia="sl-SI"/>
        </w:rPr>
        <w:t xml:space="preserve"> V Avstriji </w:t>
      </w:r>
      <w:r w:rsidR="00830C41">
        <w:rPr>
          <w:rFonts w:eastAsia="Times New Roman" w:cs="Arial"/>
          <w:sz w:val="20"/>
          <w:szCs w:val="20"/>
          <w:lang w:eastAsia="sl-SI"/>
        </w:rPr>
        <w:t xml:space="preserve">sta trenutno v veljavi dva sistema jamstva za vloge: </w:t>
      </w:r>
      <w:r w:rsidR="00830C41" w:rsidRPr="00830C41">
        <w:rPr>
          <w:rFonts w:eastAsia="Times New Roman" w:cs="Arial"/>
          <w:i/>
          <w:iCs/>
          <w:sz w:val="20"/>
          <w:szCs w:val="20"/>
          <w:lang w:eastAsia="sl-SI"/>
        </w:rPr>
        <w:t>Einlagensicherung AUSTRIA Ges.m.b.H.</w:t>
      </w:r>
      <w:r w:rsidR="00830C41">
        <w:rPr>
          <w:rFonts w:eastAsia="Times New Roman" w:cs="Arial"/>
          <w:sz w:val="20"/>
          <w:szCs w:val="20"/>
          <w:lang w:eastAsia="sl-SI"/>
        </w:rPr>
        <w:t xml:space="preserve"> in </w:t>
      </w:r>
      <w:r w:rsidR="00830C41" w:rsidRPr="00830C41">
        <w:rPr>
          <w:rFonts w:eastAsia="Times New Roman" w:cs="Arial"/>
          <w:i/>
          <w:iCs/>
          <w:sz w:val="20"/>
          <w:szCs w:val="20"/>
          <w:lang w:eastAsia="sl-SI"/>
        </w:rPr>
        <w:t>Sparkassen-Haftungs GmbH</w:t>
      </w:r>
      <w:r w:rsidR="00830C41">
        <w:rPr>
          <w:rFonts w:eastAsia="Times New Roman" w:cs="Arial"/>
          <w:sz w:val="20"/>
          <w:szCs w:val="20"/>
          <w:lang w:eastAsia="sl-SI"/>
        </w:rPr>
        <w:t xml:space="preserve">. </w:t>
      </w:r>
    </w:p>
    <w:p w14:paraId="21863350" w14:textId="346B3C8F" w:rsidR="000C62FF" w:rsidRDefault="000C62FF" w:rsidP="004C7DB0">
      <w:pPr>
        <w:spacing w:after="0" w:line="312" w:lineRule="auto"/>
        <w:rPr>
          <w:rFonts w:eastAsia="Times New Roman" w:cs="Arial"/>
          <w:sz w:val="20"/>
          <w:szCs w:val="20"/>
          <w:lang w:eastAsia="sl-SI"/>
        </w:rPr>
      </w:pPr>
    </w:p>
    <w:p w14:paraId="6BDED994" w14:textId="53CA857E" w:rsidR="000C62FF" w:rsidRPr="000C62FF" w:rsidRDefault="000C62FF" w:rsidP="000C62FF">
      <w:pPr>
        <w:spacing w:after="0" w:line="312" w:lineRule="auto"/>
        <w:rPr>
          <w:rFonts w:eastAsia="Times New Roman" w:cs="Arial"/>
          <w:sz w:val="20"/>
          <w:szCs w:val="20"/>
          <w:lang w:eastAsia="sl-SI"/>
        </w:rPr>
      </w:pPr>
      <w:r w:rsidRPr="000C62FF">
        <w:rPr>
          <w:rFonts w:eastAsia="Times New Roman" w:cs="Arial"/>
          <w:sz w:val="20"/>
          <w:szCs w:val="20"/>
          <w:lang w:eastAsia="sl-SI"/>
        </w:rPr>
        <w:t xml:space="preserve">Einlagensicherung AVSTRIJA Ges.m.b.H (DGS AUSTRIA) je sistem zajamčenih vlog za vse avstrijske kreditne institucije. Izjema so </w:t>
      </w:r>
      <w:r>
        <w:rPr>
          <w:rFonts w:eastAsia="Times New Roman" w:cs="Arial"/>
          <w:sz w:val="20"/>
          <w:szCs w:val="20"/>
          <w:lang w:eastAsia="sl-SI"/>
        </w:rPr>
        <w:t xml:space="preserve">le </w:t>
      </w:r>
      <w:r w:rsidRPr="000C62FF">
        <w:rPr>
          <w:rFonts w:eastAsia="Times New Roman" w:cs="Arial"/>
          <w:sz w:val="20"/>
          <w:szCs w:val="20"/>
          <w:lang w:eastAsia="sl-SI"/>
        </w:rPr>
        <w:t xml:space="preserve">člani institucionalnega </w:t>
      </w:r>
      <w:r>
        <w:rPr>
          <w:rFonts w:eastAsia="Times New Roman" w:cs="Arial"/>
          <w:sz w:val="20"/>
          <w:szCs w:val="20"/>
          <w:lang w:eastAsia="sl-SI"/>
        </w:rPr>
        <w:t>jamstvenega</w:t>
      </w:r>
      <w:r w:rsidRPr="000C62FF">
        <w:rPr>
          <w:rFonts w:eastAsia="Times New Roman" w:cs="Arial"/>
          <w:sz w:val="20"/>
          <w:szCs w:val="20"/>
          <w:lang w:eastAsia="sl-SI"/>
        </w:rPr>
        <w:t xml:space="preserve"> sistema banke ERSTE in hranilnice. </w:t>
      </w:r>
      <w:r>
        <w:rPr>
          <w:rFonts w:eastAsia="Times New Roman" w:cs="Arial"/>
          <w:sz w:val="20"/>
          <w:szCs w:val="20"/>
          <w:lang w:eastAsia="sl-SI"/>
        </w:rPr>
        <w:t>Depoziti vlagateljev t</w:t>
      </w:r>
      <w:r w:rsidRPr="000C62FF">
        <w:rPr>
          <w:rFonts w:eastAsia="Times New Roman" w:cs="Arial"/>
          <w:sz w:val="20"/>
          <w:szCs w:val="20"/>
          <w:lang w:eastAsia="sl-SI"/>
        </w:rPr>
        <w:t xml:space="preserve">e banke </w:t>
      </w:r>
      <w:r>
        <w:rPr>
          <w:rFonts w:eastAsia="Times New Roman" w:cs="Arial"/>
          <w:sz w:val="20"/>
          <w:szCs w:val="20"/>
          <w:lang w:eastAsia="sl-SI"/>
        </w:rPr>
        <w:t xml:space="preserve">in hranilnic so zavarovani v okviru </w:t>
      </w:r>
      <w:r w:rsidRPr="000C62FF">
        <w:rPr>
          <w:rFonts w:eastAsia="Times New Roman" w:cs="Arial"/>
          <w:sz w:val="20"/>
          <w:szCs w:val="20"/>
          <w:lang w:eastAsia="sl-SI"/>
        </w:rPr>
        <w:t>družb</w:t>
      </w:r>
      <w:r>
        <w:rPr>
          <w:rFonts w:eastAsia="Times New Roman" w:cs="Arial"/>
          <w:sz w:val="20"/>
          <w:szCs w:val="20"/>
          <w:lang w:eastAsia="sl-SI"/>
        </w:rPr>
        <w:t>e</w:t>
      </w:r>
      <w:r w:rsidRPr="000C62FF">
        <w:rPr>
          <w:rFonts w:eastAsia="Times New Roman" w:cs="Arial"/>
          <w:sz w:val="20"/>
          <w:szCs w:val="20"/>
          <w:lang w:eastAsia="sl-SI"/>
        </w:rPr>
        <w:t xml:space="preserve"> </w:t>
      </w:r>
      <w:r w:rsidRPr="00830C41">
        <w:rPr>
          <w:rFonts w:eastAsia="Times New Roman" w:cs="Arial"/>
          <w:i/>
          <w:iCs/>
          <w:sz w:val="20"/>
          <w:szCs w:val="20"/>
          <w:lang w:eastAsia="sl-SI"/>
        </w:rPr>
        <w:t>Sparkassen</w:t>
      </w:r>
      <w:r w:rsidRPr="000C62FF">
        <w:rPr>
          <w:rFonts w:eastAsia="Times New Roman" w:cs="Arial"/>
          <w:sz w:val="20"/>
          <w:szCs w:val="20"/>
          <w:lang w:eastAsia="sl-SI"/>
        </w:rPr>
        <w:t xml:space="preserve"> -Haftungs GmbH.</w:t>
      </w:r>
    </w:p>
    <w:p w14:paraId="5F4E02AB" w14:textId="77777777" w:rsidR="000C62FF" w:rsidRPr="000C62FF" w:rsidRDefault="000C62FF" w:rsidP="000C62FF">
      <w:pPr>
        <w:spacing w:after="0" w:line="312" w:lineRule="auto"/>
        <w:rPr>
          <w:rFonts w:eastAsia="Times New Roman" w:cs="Arial"/>
          <w:sz w:val="20"/>
          <w:szCs w:val="20"/>
          <w:lang w:eastAsia="sl-SI"/>
        </w:rPr>
      </w:pPr>
    </w:p>
    <w:p w14:paraId="4EC9365B" w14:textId="5E82B692" w:rsidR="000C62FF" w:rsidRPr="000C62FF" w:rsidRDefault="000C62FF" w:rsidP="000C62FF">
      <w:pPr>
        <w:spacing w:after="0" w:line="312" w:lineRule="auto"/>
        <w:rPr>
          <w:rFonts w:eastAsia="Times New Roman" w:cs="Arial"/>
          <w:sz w:val="20"/>
          <w:szCs w:val="20"/>
          <w:lang w:eastAsia="sl-SI"/>
        </w:rPr>
      </w:pPr>
      <w:r w:rsidRPr="000C62FF">
        <w:rPr>
          <w:rFonts w:eastAsia="Times New Roman" w:cs="Arial"/>
          <w:sz w:val="20"/>
          <w:szCs w:val="20"/>
          <w:lang w:eastAsia="sl-SI"/>
        </w:rPr>
        <w:t xml:space="preserve">Vsaka avstrijska kreditna institucija, ki od strank sprejema depozite, </w:t>
      </w:r>
      <w:r w:rsidR="00957E52">
        <w:rPr>
          <w:rFonts w:eastAsia="Times New Roman" w:cs="Arial"/>
          <w:sz w:val="20"/>
          <w:szCs w:val="20"/>
          <w:lang w:eastAsia="sl-SI"/>
        </w:rPr>
        <w:t xml:space="preserve">se </w:t>
      </w:r>
      <w:r w:rsidRPr="000C62FF">
        <w:rPr>
          <w:rFonts w:eastAsia="Times New Roman" w:cs="Arial"/>
          <w:sz w:val="20"/>
          <w:szCs w:val="20"/>
          <w:lang w:eastAsia="sl-SI"/>
        </w:rPr>
        <w:t xml:space="preserve">mora </w:t>
      </w:r>
      <w:r w:rsidR="00957E52">
        <w:rPr>
          <w:rFonts w:eastAsia="Times New Roman" w:cs="Arial"/>
          <w:sz w:val="20"/>
          <w:szCs w:val="20"/>
          <w:lang w:eastAsia="sl-SI"/>
        </w:rPr>
        <w:t xml:space="preserve">včlaniti v eno </w:t>
      </w:r>
      <w:r w:rsidRPr="000C62FF">
        <w:rPr>
          <w:rFonts w:eastAsia="Times New Roman" w:cs="Arial"/>
          <w:sz w:val="20"/>
          <w:szCs w:val="20"/>
          <w:lang w:eastAsia="sl-SI"/>
        </w:rPr>
        <w:t xml:space="preserve">od </w:t>
      </w:r>
      <w:r w:rsidR="00957E52">
        <w:rPr>
          <w:rFonts w:eastAsia="Times New Roman" w:cs="Arial"/>
          <w:sz w:val="20"/>
          <w:szCs w:val="20"/>
          <w:lang w:eastAsia="sl-SI"/>
        </w:rPr>
        <w:t>navedenih</w:t>
      </w:r>
      <w:r w:rsidRPr="000C62FF">
        <w:rPr>
          <w:rFonts w:eastAsia="Times New Roman" w:cs="Arial"/>
          <w:sz w:val="20"/>
          <w:szCs w:val="20"/>
          <w:lang w:eastAsia="sl-SI"/>
        </w:rPr>
        <w:t xml:space="preserve"> zaščitnih shem, sicer </w:t>
      </w:r>
      <w:r w:rsidR="00957E52">
        <w:rPr>
          <w:rFonts w:eastAsia="Times New Roman" w:cs="Arial"/>
          <w:sz w:val="20"/>
          <w:szCs w:val="20"/>
          <w:lang w:eastAsia="sl-SI"/>
        </w:rPr>
        <w:t>ji li</w:t>
      </w:r>
      <w:r w:rsidRPr="000C62FF">
        <w:rPr>
          <w:rFonts w:eastAsia="Times New Roman" w:cs="Arial"/>
          <w:sz w:val="20"/>
          <w:szCs w:val="20"/>
          <w:lang w:eastAsia="sl-SI"/>
        </w:rPr>
        <w:t xml:space="preserve">cenca za sprejemanje depozitov poteče. </w:t>
      </w:r>
    </w:p>
    <w:p w14:paraId="54794C08" w14:textId="77777777" w:rsidR="000065FB" w:rsidRDefault="000065FB" w:rsidP="004C7DB0">
      <w:pPr>
        <w:spacing w:after="0" w:line="312" w:lineRule="auto"/>
        <w:rPr>
          <w:rFonts w:eastAsia="Times New Roman" w:cs="Arial"/>
          <w:b/>
          <w:sz w:val="20"/>
          <w:szCs w:val="20"/>
          <w:lang w:eastAsia="sl-SI"/>
        </w:rPr>
      </w:pPr>
    </w:p>
    <w:p w14:paraId="6791FD02" w14:textId="74E01B04" w:rsidR="004C7DB0" w:rsidRPr="004C7DB0" w:rsidRDefault="004C7DB0" w:rsidP="004C7DB0">
      <w:pPr>
        <w:spacing w:after="0" w:line="312" w:lineRule="auto"/>
        <w:rPr>
          <w:rFonts w:eastAsia="Times New Roman" w:cs="Arial"/>
          <w:b/>
          <w:sz w:val="20"/>
          <w:szCs w:val="20"/>
          <w:lang w:eastAsia="sl-SI"/>
        </w:rPr>
      </w:pPr>
      <w:r w:rsidRPr="0037060E">
        <w:rPr>
          <w:rFonts w:eastAsia="Times New Roman" w:cs="Arial"/>
          <w:b/>
          <w:sz w:val="20"/>
          <w:szCs w:val="20"/>
          <w:lang w:eastAsia="sl-SI"/>
        </w:rPr>
        <w:t>Zvezna republika Nemčija</w:t>
      </w:r>
    </w:p>
    <w:p w14:paraId="66A412DC" w14:textId="02D639CC" w:rsidR="004C7DB0" w:rsidRDefault="004C7DB0" w:rsidP="004C7DB0">
      <w:pPr>
        <w:spacing w:after="0" w:line="312" w:lineRule="auto"/>
        <w:rPr>
          <w:rFonts w:eastAsia="Times New Roman" w:cs="Arial"/>
          <w:sz w:val="20"/>
          <w:szCs w:val="20"/>
          <w:lang w:eastAsia="sl-SI"/>
        </w:rPr>
      </w:pPr>
    </w:p>
    <w:p w14:paraId="1D83DE43" w14:textId="65A65896" w:rsidR="002D38D8" w:rsidRPr="002D38D8" w:rsidRDefault="002D38D8" w:rsidP="002D38D8">
      <w:pPr>
        <w:spacing w:after="0" w:line="312" w:lineRule="auto"/>
        <w:rPr>
          <w:rFonts w:eastAsia="Times New Roman" w:cs="Arial"/>
          <w:sz w:val="20"/>
          <w:szCs w:val="20"/>
          <w:lang w:eastAsia="sl-SI"/>
        </w:rPr>
      </w:pPr>
      <w:r w:rsidRPr="002D38D8">
        <w:rPr>
          <w:rFonts w:eastAsia="Times New Roman" w:cs="Arial"/>
          <w:sz w:val="20"/>
          <w:szCs w:val="20"/>
          <w:lang w:eastAsia="sl-SI"/>
        </w:rPr>
        <w:t xml:space="preserve">V </w:t>
      </w:r>
      <w:r>
        <w:rPr>
          <w:rFonts w:eastAsia="Times New Roman" w:cs="Arial"/>
          <w:sz w:val="20"/>
          <w:szCs w:val="20"/>
          <w:lang w:eastAsia="sl-SI"/>
        </w:rPr>
        <w:t xml:space="preserve">Zvezni republiki </w:t>
      </w:r>
      <w:r w:rsidRPr="002D38D8">
        <w:rPr>
          <w:rFonts w:eastAsia="Times New Roman" w:cs="Arial"/>
          <w:sz w:val="20"/>
          <w:szCs w:val="20"/>
          <w:lang w:eastAsia="sl-SI"/>
        </w:rPr>
        <w:t xml:space="preserve">Nemčiji </w:t>
      </w:r>
      <w:r>
        <w:rPr>
          <w:rFonts w:eastAsia="Times New Roman" w:cs="Arial"/>
          <w:sz w:val="20"/>
          <w:szCs w:val="20"/>
          <w:lang w:eastAsia="sl-SI"/>
        </w:rPr>
        <w:t xml:space="preserve">kreditne </w:t>
      </w:r>
      <w:r w:rsidRPr="002D38D8">
        <w:rPr>
          <w:rFonts w:eastAsia="Times New Roman" w:cs="Arial"/>
          <w:sz w:val="20"/>
          <w:szCs w:val="20"/>
          <w:lang w:eastAsia="sl-SI"/>
        </w:rPr>
        <w:t>institucije zagotavljajo zaščito vlog glede na bančno kategorijo (</w:t>
      </w:r>
      <w:r>
        <w:rPr>
          <w:rFonts w:eastAsia="Times New Roman" w:cs="Arial"/>
          <w:sz w:val="20"/>
          <w:szCs w:val="20"/>
          <w:lang w:eastAsia="sl-SI"/>
        </w:rPr>
        <w:t>z</w:t>
      </w:r>
      <w:r w:rsidRPr="002D38D8">
        <w:rPr>
          <w:rFonts w:eastAsia="Times New Roman" w:cs="Arial"/>
          <w:sz w:val="20"/>
          <w:szCs w:val="20"/>
          <w:lang w:eastAsia="sl-SI"/>
        </w:rPr>
        <w:t>asebn</w:t>
      </w:r>
      <w:r>
        <w:rPr>
          <w:rFonts w:eastAsia="Times New Roman" w:cs="Arial"/>
          <w:sz w:val="20"/>
          <w:szCs w:val="20"/>
          <w:lang w:eastAsia="sl-SI"/>
        </w:rPr>
        <w:t>a</w:t>
      </w:r>
      <w:r w:rsidRPr="002D38D8">
        <w:rPr>
          <w:rFonts w:eastAsia="Times New Roman" w:cs="Arial"/>
          <w:sz w:val="20"/>
          <w:szCs w:val="20"/>
          <w:lang w:eastAsia="sl-SI"/>
        </w:rPr>
        <w:t xml:space="preserve"> bank</w:t>
      </w:r>
      <w:r>
        <w:rPr>
          <w:rFonts w:eastAsia="Times New Roman" w:cs="Arial"/>
          <w:sz w:val="20"/>
          <w:szCs w:val="20"/>
          <w:lang w:eastAsia="sl-SI"/>
        </w:rPr>
        <w:t>a</w:t>
      </w:r>
      <w:r w:rsidRPr="002D38D8">
        <w:rPr>
          <w:rFonts w:eastAsia="Times New Roman" w:cs="Arial"/>
          <w:sz w:val="20"/>
          <w:szCs w:val="20"/>
          <w:lang w:eastAsia="sl-SI"/>
        </w:rPr>
        <w:t>, bank</w:t>
      </w:r>
      <w:r>
        <w:rPr>
          <w:rFonts w:eastAsia="Times New Roman" w:cs="Arial"/>
          <w:sz w:val="20"/>
          <w:szCs w:val="20"/>
          <w:lang w:eastAsia="sl-SI"/>
        </w:rPr>
        <w:t>a</w:t>
      </w:r>
      <w:r w:rsidRPr="002D38D8">
        <w:rPr>
          <w:rFonts w:eastAsia="Times New Roman" w:cs="Arial"/>
          <w:sz w:val="20"/>
          <w:szCs w:val="20"/>
          <w:lang w:eastAsia="sl-SI"/>
        </w:rPr>
        <w:t xml:space="preserve"> v javnem sektorju, hranilnic</w:t>
      </w:r>
      <w:r>
        <w:rPr>
          <w:rFonts w:eastAsia="Times New Roman" w:cs="Arial"/>
          <w:sz w:val="20"/>
          <w:szCs w:val="20"/>
          <w:lang w:eastAsia="sl-SI"/>
        </w:rPr>
        <w:t>a</w:t>
      </w:r>
      <w:r w:rsidRPr="002D38D8">
        <w:rPr>
          <w:rFonts w:eastAsia="Times New Roman" w:cs="Arial"/>
          <w:sz w:val="20"/>
          <w:szCs w:val="20"/>
          <w:lang w:eastAsia="sl-SI"/>
        </w:rPr>
        <w:t xml:space="preserve"> ali kreditn</w:t>
      </w:r>
      <w:r>
        <w:rPr>
          <w:rFonts w:eastAsia="Times New Roman" w:cs="Arial"/>
          <w:sz w:val="20"/>
          <w:szCs w:val="20"/>
          <w:lang w:eastAsia="sl-SI"/>
        </w:rPr>
        <w:t>a</w:t>
      </w:r>
      <w:r w:rsidRPr="002D38D8">
        <w:rPr>
          <w:rFonts w:eastAsia="Times New Roman" w:cs="Arial"/>
          <w:sz w:val="20"/>
          <w:szCs w:val="20"/>
          <w:lang w:eastAsia="sl-SI"/>
        </w:rPr>
        <w:t xml:space="preserve"> zadrug</w:t>
      </w:r>
      <w:r>
        <w:rPr>
          <w:rFonts w:eastAsia="Times New Roman" w:cs="Arial"/>
          <w:sz w:val="20"/>
          <w:szCs w:val="20"/>
          <w:lang w:eastAsia="sl-SI"/>
        </w:rPr>
        <w:t>a</w:t>
      </w:r>
      <w:r w:rsidRPr="002D38D8">
        <w:rPr>
          <w:rFonts w:eastAsia="Times New Roman" w:cs="Arial"/>
          <w:sz w:val="20"/>
          <w:szCs w:val="20"/>
          <w:lang w:eastAsia="sl-SI"/>
        </w:rPr>
        <w:t xml:space="preserve">) z zakonskimi in prostovoljnimi </w:t>
      </w:r>
      <w:r>
        <w:rPr>
          <w:rFonts w:eastAsia="Times New Roman" w:cs="Arial"/>
          <w:sz w:val="20"/>
          <w:szCs w:val="20"/>
          <w:lang w:eastAsia="sl-SI"/>
        </w:rPr>
        <w:t xml:space="preserve">jamstvenimi </w:t>
      </w:r>
      <w:r w:rsidRPr="002D38D8">
        <w:rPr>
          <w:rFonts w:eastAsia="Times New Roman" w:cs="Arial"/>
          <w:sz w:val="20"/>
          <w:szCs w:val="20"/>
          <w:lang w:eastAsia="sl-SI"/>
        </w:rPr>
        <w:t>shemami, ki jih vzpostavijo bančna združenja</w:t>
      </w:r>
      <w:r>
        <w:rPr>
          <w:rFonts w:eastAsia="Times New Roman" w:cs="Arial"/>
          <w:sz w:val="20"/>
          <w:szCs w:val="20"/>
          <w:lang w:eastAsia="sl-SI"/>
        </w:rPr>
        <w:t xml:space="preserve">. </w:t>
      </w:r>
      <w:r w:rsidRPr="002D38D8">
        <w:rPr>
          <w:rFonts w:eastAsia="Times New Roman" w:cs="Arial"/>
          <w:sz w:val="20"/>
          <w:szCs w:val="20"/>
          <w:lang w:eastAsia="sl-SI"/>
        </w:rPr>
        <w:t xml:space="preserve">Zakonsko zaščito vlagateljev </w:t>
      </w:r>
      <w:r>
        <w:rPr>
          <w:rFonts w:eastAsia="Times New Roman" w:cs="Arial"/>
          <w:sz w:val="20"/>
          <w:szCs w:val="20"/>
          <w:lang w:eastAsia="sl-SI"/>
        </w:rPr>
        <w:t xml:space="preserve">sicer </w:t>
      </w:r>
      <w:r w:rsidRPr="002D38D8">
        <w:rPr>
          <w:rFonts w:eastAsia="Times New Roman" w:cs="Arial"/>
          <w:sz w:val="20"/>
          <w:szCs w:val="20"/>
          <w:lang w:eastAsia="sl-SI"/>
        </w:rPr>
        <w:t xml:space="preserve">ureja </w:t>
      </w:r>
      <w:r>
        <w:rPr>
          <w:rFonts w:eastAsia="Times New Roman" w:cs="Arial"/>
          <w:sz w:val="20"/>
          <w:szCs w:val="20"/>
          <w:lang w:eastAsia="sl-SI"/>
        </w:rPr>
        <w:t>Z</w:t>
      </w:r>
      <w:r w:rsidRPr="002D38D8">
        <w:rPr>
          <w:rFonts w:eastAsia="Times New Roman" w:cs="Arial"/>
          <w:sz w:val="20"/>
          <w:szCs w:val="20"/>
          <w:lang w:eastAsia="sl-SI"/>
        </w:rPr>
        <w:t>akon o zajamčenih vlogah</w:t>
      </w:r>
      <w:r w:rsidR="00B1007F">
        <w:rPr>
          <w:rStyle w:val="Sprotnaopomba-sklic"/>
          <w:rFonts w:eastAsia="Times New Roman"/>
          <w:sz w:val="20"/>
          <w:szCs w:val="20"/>
          <w:lang w:eastAsia="sl-SI"/>
        </w:rPr>
        <w:footnoteReference w:id="2"/>
      </w:r>
      <w:r w:rsidRPr="002D38D8">
        <w:rPr>
          <w:rFonts w:eastAsia="Times New Roman" w:cs="Arial"/>
          <w:sz w:val="20"/>
          <w:szCs w:val="20"/>
          <w:lang w:eastAsia="sl-SI"/>
        </w:rPr>
        <w:t xml:space="preserve"> </w:t>
      </w:r>
      <w:r w:rsidRPr="002D38D8">
        <w:rPr>
          <w:rFonts w:eastAsia="Times New Roman" w:cs="Arial"/>
          <w:i/>
          <w:iCs/>
          <w:sz w:val="20"/>
          <w:szCs w:val="20"/>
          <w:lang w:eastAsia="sl-SI"/>
        </w:rPr>
        <w:t>(»Einlagensicherungsgesetz« ali »EinSiG«</w:t>
      </w:r>
      <w:r w:rsidRPr="002D38D8">
        <w:rPr>
          <w:rFonts w:eastAsia="Times New Roman" w:cs="Arial"/>
          <w:sz w:val="20"/>
          <w:szCs w:val="20"/>
          <w:lang w:eastAsia="sl-SI"/>
        </w:rPr>
        <w:t xml:space="preserve">), ki je v nemško zakonodajo prenesel </w:t>
      </w:r>
      <w:r>
        <w:rPr>
          <w:rFonts w:eastAsia="Times New Roman" w:cs="Arial"/>
          <w:sz w:val="20"/>
          <w:szCs w:val="20"/>
          <w:lang w:eastAsia="sl-SI"/>
        </w:rPr>
        <w:t>Direktivo 2014/49/EU.</w:t>
      </w:r>
      <w:r w:rsidRPr="002D38D8">
        <w:rPr>
          <w:rFonts w:eastAsia="Times New Roman" w:cs="Arial"/>
          <w:sz w:val="20"/>
          <w:szCs w:val="20"/>
          <w:lang w:eastAsia="sl-SI"/>
        </w:rPr>
        <w:t xml:space="preserve"> V skladu z zakonom </w:t>
      </w:r>
      <w:r>
        <w:rPr>
          <w:rFonts w:eastAsia="Times New Roman" w:cs="Arial"/>
          <w:sz w:val="20"/>
          <w:szCs w:val="20"/>
          <w:lang w:eastAsia="sl-SI"/>
        </w:rPr>
        <w:t xml:space="preserve">se </w:t>
      </w:r>
      <w:r w:rsidRPr="002D38D8">
        <w:rPr>
          <w:rFonts w:eastAsia="Times New Roman" w:cs="Arial"/>
          <w:sz w:val="20"/>
          <w:szCs w:val="20"/>
          <w:lang w:eastAsia="sl-SI"/>
        </w:rPr>
        <w:t xml:space="preserve">morajo vse kreditne institucije, ki </w:t>
      </w:r>
      <w:r>
        <w:rPr>
          <w:rFonts w:eastAsia="Times New Roman" w:cs="Arial"/>
          <w:sz w:val="20"/>
          <w:szCs w:val="20"/>
          <w:lang w:eastAsia="sl-SI"/>
        </w:rPr>
        <w:t>sprejemajo depozite</w:t>
      </w:r>
      <w:r w:rsidRPr="002D38D8">
        <w:rPr>
          <w:rFonts w:eastAsia="Times New Roman" w:cs="Arial"/>
          <w:sz w:val="20"/>
          <w:szCs w:val="20"/>
          <w:lang w:eastAsia="sl-SI"/>
        </w:rPr>
        <w:t xml:space="preserve">, vključiti v zakonsko določeno shemo </w:t>
      </w:r>
      <w:r>
        <w:rPr>
          <w:rFonts w:eastAsia="Times New Roman" w:cs="Arial"/>
          <w:sz w:val="20"/>
          <w:szCs w:val="20"/>
          <w:lang w:eastAsia="sl-SI"/>
        </w:rPr>
        <w:t>za jamstvo vlog.</w:t>
      </w:r>
    </w:p>
    <w:p w14:paraId="66F2634A" w14:textId="77777777" w:rsidR="002D38D8" w:rsidRPr="002D38D8" w:rsidRDefault="002D38D8" w:rsidP="002D38D8">
      <w:pPr>
        <w:spacing w:after="0" w:line="312" w:lineRule="auto"/>
        <w:rPr>
          <w:rFonts w:eastAsia="Times New Roman" w:cs="Arial"/>
          <w:sz w:val="20"/>
          <w:szCs w:val="20"/>
          <w:lang w:eastAsia="sl-SI"/>
        </w:rPr>
      </w:pPr>
    </w:p>
    <w:p w14:paraId="7BD7FB80" w14:textId="54DEFA80" w:rsidR="002D38D8" w:rsidRPr="002D38D8" w:rsidRDefault="002D38D8" w:rsidP="002D38D8">
      <w:pPr>
        <w:spacing w:after="0" w:line="312" w:lineRule="auto"/>
        <w:rPr>
          <w:rFonts w:eastAsia="Times New Roman" w:cs="Arial"/>
          <w:sz w:val="20"/>
          <w:szCs w:val="20"/>
          <w:lang w:eastAsia="sl-SI"/>
        </w:rPr>
      </w:pPr>
      <w:r w:rsidRPr="002D38D8">
        <w:rPr>
          <w:rFonts w:eastAsia="Times New Roman" w:cs="Arial"/>
          <w:sz w:val="20"/>
          <w:szCs w:val="20"/>
          <w:lang w:eastAsia="sl-SI"/>
        </w:rPr>
        <w:t xml:space="preserve">Za zasebne in javne kreditne institucije obstajajo ločene </w:t>
      </w:r>
      <w:r w:rsidR="008C0108">
        <w:rPr>
          <w:rFonts w:eastAsia="Times New Roman" w:cs="Arial"/>
          <w:sz w:val="20"/>
          <w:szCs w:val="20"/>
          <w:lang w:eastAsia="sl-SI"/>
        </w:rPr>
        <w:t>jamstvene</w:t>
      </w:r>
      <w:r w:rsidRPr="002D38D8">
        <w:rPr>
          <w:rFonts w:eastAsia="Times New Roman" w:cs="Arial"/>
          <w:sz w:val="20"/>
          <w:szCs w:val="20"/>
          <w:lang w:eastAsia="sl-SI"/>
        </w:rPr>
        <w:t xml:space="preserve"> sheme, in sicer </w:t>
      </w:r>
      <w:r w:rsidR="008C0108">
        <w:rPr>
          <w:rFonts w:eastAsia="Times New Roman" w:cs="Arial"/>
          <w:sz w:val="20"/>
          <w:szCs w:val="20"/>
          <w:lang w:eastAsia="sl-SI"/>
        </w:rPr>
        <w:t xml:space="preserve">jamstvene </w:t>
      </w:r>
      <w:r w:rsidRPr="002D38D8">
        <w:rPr>
          <w:rFonts w:eastAsia="Times New Roman" w:cs="Arial"/>
          <w:sz w:val="20"/>
          <w:szCs w:val="20"/>
          <w:lang w:eastAsia="sl-SI"/>
        </w:rPr>
        <w:t>sheme Združenja nemških bank (</w:t>
      </w:r>
      <w:r w:rsidR="00372117">
        <w:rPr>
          <w:rFonts w:eastAsia="Times New Roman" w:cs="Arial"/>
          <w:sz w:val="20"/>
          <w:szCs w:val="20"/>
          <w:lang w:eastAsia="sl-SI"/>
        </w:rPr>
        <w:t>»</w:t>
      </w:r>
      <w:r w:rsidRPr="002D38D8">
        <w:rPr>
          <w:rFonts w:eastAsia="Times New Roman" w:cs="Arial"/>
          <w:sz w:val="20"/>
          <w:szCs w:val="20"/>
          <w:lang w:eastAsia="sl-SI"/>
        </w:rPr>
        <w:t>EdB</w:t>
      </w:r>
      <w:r w:rsidR="00372117">
        <w:rPr>
          <w:rFonts w:eastAsia="Times New Roman" w:cs="Arial"/>
          <w:sz w:val="20"/>
          <w:szCs w:val="20"/>
          <w:lang w:eastAsia="sl-SI"/>
        </w:rPr>
        <w:t>«</w:t>
      </w:r>
      <w:r w:rsidRPr="002D38D8">
        <w:rPr>
          <w:rFonts w:eastAsia="Times New Roman" w:cs="Arial"/>
          <w:sz w:val="20"/>
          <w:szCs w:val="20"/>
          <w:lang w:eastAsia="sl-SI"/>
        </w:rPr>
        <w:t xml:space="preserve">) in </w:t>
      </w:r>
      <w:r w:rsidR="008C0108">
        <w:rPr>
          <w:rFonts w:eastAsia="Times New Roman" w:cs="Arial"/>
          <w:sz w:val="20"/>
          <w:szCs w:val="20"/>
          <w:lang w:eastAsia="sl-SI"/>
        </w:rPr>
        <w:t xml:space="preserve">jamstvene </w:t>
      </w:r>
      <w:r w:rsidR="008C0108" w:rsidRPr="002D38D8">
        <w:rPr>
          <w:rFonts w:eastAsia="Times New Roman" w:cs="Arial"/>
          <w:sz w:val="20"/>
          <w:szCs w:val="20"/>
          <w:lang w:eastAsia="sl-SI"/>
        </w:rPr>
        <w:t xml:space="preserve">sheme </w:t>
      </w:r>
      <w:r w:rsidRPr="002D38D8">
        <w:rPr>
          <w:rFonts w:eastAsia="Times New Roman" w:cs="Arial"/>
          <w:sz w:val="20"/>
          <w:szCs w:val="20"/>
          <w:lang w:eastAsia="sl-SI"/>
        </w:rPr>
        <w:t>nemških javnih bank (</w:t>
      </w:r>
      <w:r w:rsidR="00372117">
        <w:rPr>
          <w:rFonts w:eastAsia="Times New Roman" w:cs="Arial"/>
          <w:sz w:val="20"/>
          <w:szCs w:val="20"/>
          <w:lang w:eastAsia="sl-SI"/>
        </w:rPr>
        <w:t>»</w:t>
      </w:r>
      <w:r w:rsidRPr="002D38D8">
        <w:rPr>
          <w:rFonts w:eastAsia="Times New Roman" w:cs="Arial"/>
          <w:sz w:val="20"/>
          <w:szCs w:val="20"/>
          <w:lang w:eastAsia="sl-SI"/>
        </w:rPr>
        <w:t>EdÖ</w:t>
      </w:r>
      <w:r w:rsidR="00372117">
        <w:rPr>
          <w:rFonts w:eastAsia="Times New Roman" w:cs="Arial"/>
          <w:sz w:val="20"/>
          <w:szCs w:val="20"/>
          <w:lang w:eastAsia="sl-SI"/>
        </w:rPr>
        <w:t>«</w:t>
      </w:r>
      <w:r w:rsidRPr="002D38D8">
        <w:rPr>
          <w:rFonts w:eastAsia="Times New Roman" w:cs="Arial"/>
          <w:sz w:val="20"/>
          <w:szCs w:val="20"/>
          <w:lang w:eastAsia="sl-SI"/>
        </w:rPr>
        <w:t xml:space="preserve">). </w:t>
      </w:r>
      <w:r w:rsidR="008C0108">
        <w:rPr>
          <w:rFonts w:eastAsia="Times New Roman" w:cs="Arial"/>
          <w:sz w:val="20"/>
          <w:szCs w:val="20"/>
          <w:lang w:eastAsia="sl-SI"/>
        </w:rPr>
        <w:t xml:space="preserve">Obstajajo tudi institucionalne jamstvene sheme, s katerimi upravljata Združenje </w:t>
      </w:r>
      <w:r w:rsidRPr="002D38D8">
        <w:rPr>
          <w:rFonts w:eastAsia="Times New Roman" w:cs="Arial"/>
          <w:sz w:val="20"/>
          <w:szCs w:val="20"/>
          <w:lang w:eastAsia="sl-SI"/>
        </w:rPr>
        <w:t>nemški</w:t>
      </w:r>
      <w:r w:rsidR="008C0108">
        <w:rPr>
          <w:rFonts w:eastAsia="Times New Roman" w:cs="Arial"/>
          <w:sz w:val="20"/>
          <w:szCs w:val="20"/>
          <w:lang w:eastAsia="sl-SI"/>
        </w:rPr>
        <w:t>h</w:t>
      </w:r>
      <w:r w:rsidRPr="002D38D8">
        <w:rPr>
          <w:rFonts w:eastAsia="Times New Roman" w:cs="Arial"/>
          <w:sz w:val="20"/>
          <w:szCs w:val="20"/>
          <w:lang w:eastAsia="sl-SI"/>
        </w:rPr>
        <w:t xml:space="preserve"> hranilnic (</w:t>
      </w:r>
      <w:r w:rsidR="00372117">
        <w:rPr>
          <w:rFonts w:eastAsia="Times New Roman" w:cs="Arial"/>
          <w:sz w:val="20"/>
          <w:szCs w:val="20"/>
          <w:lang w:eastAsia="sl-SI"/>
        </w:rPr>
        <w:t>»</w:t>
      </w:r>
      <w:r w:rsidRPr="002D38D8">
        <w:rPr>
          <w:rFonts w:eastAsia="Times New Roman" w:cs="Arial"/>
          <w:sz w:val="20"/>
          <w:szCs w:val="20"/>
          <w:lang w:eastAsia="sl-SI"/>
        </w:rPr>
        <w:t>DSGV</w:t>
      </w:r>
      <w:r w:rsidR="00372117">
        <w:rPr>
          <w:rFonts w:eastAsia="Times New Roman" w:cs="Arial"/>
          <w:sz w:val="20"/>
          <w:szCs w:val="20"/>
          <w:lang w:eastAsia="sl-SI"/>
        </w:rPr>
        <w:t>«</w:t>
      </w:r>
      <w:r w:rsidRPr="002D38D8">
        <w:rPr>
          <w:rFonts w:eastAsia="Times New Roman" w:cs="Arial"/>
          <w:sz w:val="20"/>
          <w:szCs w:val="20"/>
          <w:lang w:eastAsia="sl-SI"/>
        </w:rPr>
        <w:t>) in Nacionalno združenje nemških zadružnih bank (</w:t>
      </w:r>
      <w:r w:rsidR="00372117">
        <w:rPr>
          <w:rFonts w:eastAsia="Times New Roman" w:cs="Arial"/>
          <w:sz w:val="20"/>
          <w:szCs w:val="20"/>
          <w:lang w:eastAsia="sl-SI"/>
        </w:rPr>
        <w:t>»</w:t>
      </w:r>
      <w:r w:rsidRPr="002D38D8">
        <w:rPr>
          <w:rFonts w:eastAsia="Times New Roman" w:cs="Arial"/>
          <w:sz w:val="20"/>
          <w:szCs w:val="20"/>
          <w:lang w:eastAsia="sl-SI"/>
        </w:rPr>
        <w:t>BVR</w:t>
      </w:r>
      <w:r w:rsidR="00372117">
        <w:rPr>
          <w:rFonts w:eastAsia="Times New Roman" w:cs="Arial"/>
          <w:sz w:val="20"/>
          <w:szCs w:val="20"/>
          <w:lang w:eastAsia="sl-SI"/>
        </w:rPr>
        <w:t>«</w:t>
      </w:r>
      <w:r w:rsidRPr="002D38D8">
        <w:rPr>
          <w:rFonts w:eastAsia="Times New Roman" w:cs="Arial"/>
          <w:sz w:val="20"/>
          <w:szCs w:val="20"/>
          <w:lang w:eastAsia="sl-SI"/>
        </w:rPr>
        <w:t xml:space="preserve">), </w:t>
      </w:r>
      <w:r w:rsidR="008C0108">
        <w:rPr>
          <w:rFonts w:eastAsia="Times New Roman" w:cs="Arial"/>
          <w:sz w:val="20"/>
          <w:szCs w:val="20"/>
          <w:lang w:eastAsia="sl-SI"/>
        </w:rPr>
        <w:t xml:space="preserve">ki pa so </w:t>
      </w:r>
      <w:r w:rsidRPr="002D38D8">
        <w:rPr>
          <w:rFonts w:eastAsia="Times New Roman" w:cs="Arial"/>
          <w:sz w:val="20"/>
          <w:szCs w:val="20"/>
          <w:lang w:eastAsia="sl-SI"/>
        </w:rPr>
        <w:t>osredotočen</w:t>
      </w:r>
      <w:r w:rsidR="008C0108">
        <w:rPr>
          <w:rFonts w:eastAsia="Times New Roman" w:cs="Arial"/>
          <w:sz w:val="20"/>
          <w:szCs w:val="20"/>
          <w:lang w:eastAsia="sl-SI"/>
        </w:rPr>
        <w:t>e</w:t>
      </w:r>
      <w:r w:rsidRPr="002D38D8">
        <w:rPr>
          <w:rFonts w:eastAsia="Times New Roman" w:cs="Arial"/>
          <w:sz w:val="20"/>
          <w:szCs w:val="20"/>
          <w:lang w:eastAsia="sl-SI"/>
        </w:rPr>
        <w:t xml:space="preserve"> predvsem na zaščito samih </w:t>
      </w:r>
      <w:r w:rsidR="008C0108">
        <w:rPr>
          <w:rFonts w:eastAsia="Times New Roman" w:cs="Arial"/>
          <w:sz w:val="20"/>
          <w:szCs w:val="20"/>
          <w:lang w:eastAsia="sl-SI"/>
        </w:rPr>
        <w:t xml:space="preserve">kreditnih </w:t>
      </w:r>
      <w:r w:rsidRPr="002D38D8">
        <w:rPr>
          <w:rFonts w:eastAsia="Times New Roman" w:cs="Arial"/>
          <w:sz w:val="20"/>
          <w:szCs w:val="20"/>
          <w:lang w:eastAsia="sl-SI"/>
        </w:rPr>
        <w:t>institucij.</w:t>
      </w:r>
    </w:p>
    <w:p w14:paraId="27D853BD" w14:textId="77777777" w:rsidR="002D38D8" w:rsidRPr="002D38D8" w:rsidRDefault="002D38D8" w:rsidP="002D38D8">
      <w:pPr>
        <w:spacing w:after="0" w:line="312" w:lineRule="auto"/>
        <w:rPr>
          <w:rFonts w:eastAsia="Times New Roman" w:cs="Arial"/>
          <w:sz w:val="20"/>
          <w:szCs w:val="20"/>
          <w:lang w:eastAsia="sl-SI"/>
        </w:rPr>
      </w:pPr>
    </w:p>
    <w:p w14:paraId="6F74084B" w14:textId="14746021" w:rsidR="002D38D8" w:rsidRDefault="002D38D8" w:rsidP="002D38D8">
      <w:pPr>
        <w:spacing w:after="0" w:line="312" w:lineRule="auto"/>
        <w:rPr>
          <w:rFonts w:eastAsia="Times New Roman" w:cs="Arial"/>
          <w:sz w:val="20"/>
          <w:szCs w:val="20"/>
          <w:lang w:eastAsia="sl-SI"/>
        </w:rPr>
      </w:pPr>
      <w:r w:rsidRPr="002D38D8">
        <w:rPr>
          <w:rFonts w:eastAsia="Times New Roman" w:cs="Arial"/>
          <w:sz w:val="20"/>
          <w:szCs w:val="20"/>
          <w:lang w:eastAsia="sl-SI"/>
        </w:rPr>
        <w:t>V</w:t>
      </w:r>
      <w:r w:rsidR="00372117">
        <w:rPr>
          <w:rFonts w:eastAsia="Times New Roman" w:cs="Arial"/>
          <w:sz w:val="20"/>
          <w:szCs w:val="20"/>
          <w:lang w:eastAsia="sl-SI"/>
        </w:rPr>
        <w:t>se navedene jamstvene sheme so v okviru zakona (</w:t>
      </w:r>
      <w:r w:rsidRPr="002D38D8">
        <w:rPr>
          <w:rFonts w:eastAsia="Times New Roman" w:cs="Arial"/>
          <w:sz w:val="20"/>
          <w:szCs w:val="20"/>
          <w:lang w:eastAsia="sl-SI"/>
        </w:rPr>
        <w:t>EinSiG</w:t>
      </w:r>
      <w:r w:rsidR="00372117">
        <w:rPr>
          <w:rFonts w:eastAsia="Times New Roman" w:cs="Arial"/>
          <w:sz w:val="20"/>
          <w:szCs w:val="20"/>
          <w:lang w:eastAsia="sl-SI"/>
        </w:rPr>
        <w:t xml:space="preserve">) </w:t>
      </w:r>
      <w:r w:rsidRPr="002D38D8">
        <w:rPr>
          <w:rFonts w:eastAsia="Times New Roman" w:cs="Arial"/>
          <w:sz w:val="20"/>
          <w:szCs w:val="20"/>
          <w:lang w:eastAsia="sl-SI"/>
        </w:rPr>
        <w:t xml:space="preserve">priznane kot obvezne </w:t>
      </w:r>
      <w:r w:rsidR="00372117">
        <w:rPr>
          <w:rFonts w:eastAsia="Times New Roman" w:cs="Arial"/>
          <w:sz w:val="20"/>
          <w:szCs w:val="20"/>
          <w:lang w:eastAsia="sl-SI"/>
        </w:rPr>
        <w:t xml:space="preserve">jamstvene </w:t>
      </w:r>
      <w:r w:rsidRPr="002D38D8">
        <w:rPr>
          <w:rFonts w:eastAsia="Times New Roman" w:cs="Arial"/>
          <w:sz w:val="20"/>
          <w:szCs w:val="20"/>
          <w:lang w:eastAsia="sl-SI"/>
        </w:rPr>
        <w:t>sheme</w:t>
      </w:r>
      <w:r w:rsidR="00372117">
        <w:rPr>
          <w:rFonts w:eastAsia="Times New Roman" w:cs="Arial"/>
          <w:sz w:val="20"/>
          <w:szCs w:val="20"/>
          <w:lang w:eastAsia="sl-SI"/>
        </w:rPr>
        <w:t xml:space="preserve"> za zaščito vlog. Sistem obveznega jamstva za vloge pa dopolnjuje še </w:t>
      </w:r>
      <w:r w:rsidRPr="002D38D8">
        <w:rPr>
          <w:rFonts w:eastAsia="Times New Roman" w:cs="Arial"/>
          <w:sz w:val="20"/>
          <w:szCs w:val="20"/>
          <w:lang w:eastAsia="sl-SI"/>
        </w:rPr>
        <w:t>sistem prostovoljnega zavarovanja vlog, ki sta ga ustanovila Zvezno združenje nemških bank (</w:t>
      </w:r>
      <w:r w:rsidR="00372117">
        <w:rPr>
          <w:rFonts w:eastAsia="Times New Roman" w:cs="Arial"/>
          <w:sz w:val="20"/>
          <w:szCs w:val="20"/>
          <w:lang w:eastAsia="sl-SI"/>
        </w:rPr>
        <w:t>»</w:t>
      </w:r>
      <w:r w:rsidRPr="002D38D8">
        <w:rPr>
          <w:rFonts w:eastAsia="Times New Roman" w:cs="Arial"/>
          <w:sz w:val="20"/>
          <w:szCs w:val="20"/>
          <w:lang w:eastAsia="sl-SI"/>
        </w:rPr>
        <w:t>BdB</w:t>
      </w:r>
      <w:r w:rsidR="00372117">
        <w:rPr>
          <w:rFonts w:eastAsia="Times New Roman" w:cs="Arial"/>
          <w:sz w:val="20"/>
          <w:szCs w:val="20"/>
          <w:lang w:eastAsia="sl-SI"/>
        </w:rPr>
        <w:t>«</w:t>
      </w:r>
      <w:r w:rsidRPr="002D38D8">
        <w:rPr>
          <w:rFonts w:eastAsia="Times New Roman" w:cs="Arial"/>
          <w:sz w:val="20"/>
          <w:szCs w:val="20"/>
          <w:lang w:eastAsia="sl-SI"/>
        </w:rPr>
        <w:t>) in Združenje nemških bank javnega sektorja (</w:t>
      </w:r>
      <w:r w:rsidR="00372117">
        <w:rPr>
          <w:rFonts w:eastAsia="Times New Roman" w:cs="Arial"/>
          <w:sz w:val="20"/>
          <w:szCs w:val="20"/>
          <w:lang w:eastAsia="sl-SI"/>
        </w:rPr>
        <w:t>»</w:t>
      </w:r>
      <w:r w:rsidRPr="002D38D8">
        <w:rPr>
          <w:rFonts w:eastAsia="Times New Roman" w:cs="Arial"/>
          <w:sz w:val="20"/>
          <w:szCs w:val="20"/>
          <w:lang w:eastAsia="sl-SI"/>
        </w:rPr>
        <w:t>VÖB</w:t>
      </w:r>
      <w:r w:rsidR="00372117">
        <w:rPr>
          <w:rFonts w:eastAsia="Times New Roman" w:cs="Arial"/>
          <w:sz w:val="20"/>
          <w:szCs w:val="20"/>
          <w:lang w:eastAsia="sl-SI"/>
        </w:rPr>
        <w:t>«</w:t>
      </w:r>
      <w:r w:rsidRPr="002D38D8">
        <w:rPr>
          <w:rFonts w:eastAsia="Times New Roman" w:cs="Arial"/>
          <w:sz w:val="20"/>
          <w:szCs w:val="20"/>
          <w:lang w:eastAsia="sl-SI"/>
        </w:rPr>
        <w:t xml:space="preserve">), ki upravljata </w:t>
      </w:r>
      <w:r w:rsidR="00372117">
        <w:rPr>
          <w:rFonts w:eastAsia="Times New Roman" w:cs="Arial"/>
          <w:sz w:val="20"/>
          <w:szCs w:val="20"/>
          <w:lang w:eastAsia="sl-SI"/>
        </w:rPr>
        <w:t xml:space="preserve">s </w:t>
      </w:r>
      <w:r w:rsidRPr="002D38D8">
        <w:rPr>
          <w:rFonts w:eastAsia="Times New Roman" w:cs="Arial"/>
          <w:sz w:val="20"/>
          <w:szCs w:val="20"/>
          <w:lang w:eastAsia="sl-SI"/>
        </w:rPr>
        <w:t>prostovoljni</w:t>
      </w:r>
      <w:r w:rsidR="00372117">
        <w:rPr>
          <w:rFonts w:eastAsia="Times New Roman" w:cs="Arial"/>
          <w:sz w:val="20"/>
          <w:szCs w:val="20"/>
          <w:lang w:eastAsia="sl-SI"/>
        </w:rPr>
        <w:t>m</w:t>
      </w:r>
      <w:r w:rsidRPr="002D38D8">
        <w:rPr>
          <w:rFonts w:eastAsia="Times New Roman" w:cs="Arial"/>
          <w:sz w:val="20"/>
          <w:szCs w:val="20"/>
          <w:lang w:eastAsia="sl-SI"/>
        </w:rPr>
        <w:t xml:space="preserve"> sklad</w:t>
      </w:r>
      <w:r w:rsidR="00372117">
        <w:rPr>
          <w:rFonts w:eastAsia="Times New Roman" w:cs="Arial"/>
          <w:sz w:val="20"/>
          <w:szCs w:val="20"/>
          <w:lang w:eastAsia="sl-SI"/>
        </w:rPr>
        <w:t>om za jamstvo vlog. Zaščitene so tiste vloge, ki jih obvezni sistemi jamstva za vloge ne krijejo. Tako p</w:t>
      </w:r>
      <w:r w:rsidRPr="002D38D8">
        <w:rPr>
          <w:rFonts w:eastAsia="Times New Roman" w:cs="Arial"/>
          <w:sz w:val="20"/>
          <w:szCs w:val="20"/>
          <w:lang w:eastAsia="sl-SI"/>
        </w:rPr>
        <w:t xml:space="preserve">rostovoljni sklad </w:t>
      </w:r>
      <w:r w:rsidR="00372117">
        <w:rPr>
          <w:rFonts w:eastAsia="Times New Roman" w:cs="Arial"/>
          <w:sz w:val="20"/>
          <w:szCs w:val="20"/>
          <w:lang w:eastAsia="sl-SI"/>
        </w:rPr>
        <w:t>za jamstvo vlog , s katerim upr</w:t>
      </w:r>
      <w:r w:rsidRPr="002D38D8">
        <w:rPr>
          <w:rFonts w:eastAsia="Times New Roman" w:cs="Arial"/>
          <w:sz w:val="20"/>
          <w:szCs w:val="20"/>
          <w:lang w:eastAsia="sl-SI"/>
        </w:rPr>
        <w:t>avlja BdB, ščiti vse vloge zasebnikov, zasebnih partnerstev in fundacij</w:t>
      </w:r>
      <w:r w:rsidR="00372117">
        <w:rPr>
          <w:rFonts w:eastAsia="Times New Roman" w:cs="Arial"/>
          <w:sz w:val="20"/>
          <w:szCs w:val="20"/>
          <w:lang w:eastAsia="sl-SI"/>
        </w:rPr>
        <w:t xml:space="preserve">. </w:t>
      </w:r>
      <w:r w:rsidRPr="002D38D8">
        <w:rPr>
          <w:rFonts w:eastAsia="Times New Roman" w:cs="Arial"/>
          <w:sz w:val="20"/>
          <w:szCs w:val="20"/>
          <w:lang w:eastAsia="sl-SI"/>
        </w:rPr>
        <w:t xml:space="preserve">Od 1. januarja 2020 je </w:t>
      </w:r>
      <w:r w:rsidR="00372117">
        <w:rPr>
          <w:rFonts w:eastAsia="Times New Roman" w:cs="Arial"/>
          <w:sz w:val="20"/>
          <w:szCs w:val="20"/>
          <w:lang w:eastAsia="sl-SI"/>
        </w:rPr>
        <w:t xml:space="preserve">mejni znesek </w:t>
      </w:r>
      <w:r w:rsidRPr="002D38D8">
        <w:rPr>
          <w:rFonts w:eastAsia="Times New Roman" w:cs="Arial"/>
          <w:sz w:val="20"/>
          <w:szCs w:val="20"/>
          <w:lang w:eastAsia="sl-SI"/>
        </w:rPr>
        <w:t>kritja določen</w:t>
      </w:r>
      <w:r w:rsidR="00372117">
        <w:rPr>
          <w:rFonts w:eastAsia="Times New Roman" w:cs="Arial"/>
          <w:sz w:val="20"/>
          <w:szCs w:val="20"/>
          <w:lang w:eastAsia="sl-SI"/>
        </w:rPr>
        <w:t xml:space="preserve"> v višini 1</w:t>
      </w:r>
      <w:r w:rsidRPr="002D38D8">
        <w:rPr>
          <w:rFonts w:eastAsia="Times New Roman" w:cs="Arial"/>
          <w:sz w:val="20"/>
          <w:szCs w:val="20"/>
          <w:lang w:eastAsia="sl-SI"/>
        </w:rPr>
        <w:t>5</w:t>
      </w:r>
      <w:r w:rsidR="00372117">
        <w:rPr>
          <w:rFonts w:eastAsia="Times New Roman" w:cs="Arial"/>
          <w:sz w:val="20"/>
          <w:szCs w:val="20"/>
          <w:lang w:eastAsia="sl-SI"/>
        </w:rPr>
        <w:t xml:space="preserve"> </w:t>
      </w:r>
      <w:r w:rsidRPr="002D38D8">
        <w:rPr>
          <w:rFonts w:eastAsia="Times New Roman" w:cs="Arial"/>
          <w:sz w:val="20"/>
          <w:szCs w:val="20"/>
          <w:lang w:eastAsia="sl-SI"/>
        </w:rPr>
        <w:t xml:space="preserve">% </w:t>
      </w:r>
      <w:r w:rsidR="00372117">
        <w:rPr>
          <w:rFonts w:eastAsia="Times New Roman" w:cs="Arial"/>
          <w:sz w:val="20"/>
          <w:szCs w:val="20"/>
          <w:lang w:eastAsia="sl-SI"/>
        </w:rPr>
        <w:t xml:space="preserve">kapitala </w:t>
      </w:r>
      <w:r w:rsidRPr="002D38D8">
        <w:rPr>
          <w:rFonts w:eastAsia="Times New Roman" w:cs="Arial"/>
          <w:sz w:val="20"/>
          <w:szCs w:val="20"/>
          <w:lang w:eastAsia="sl-SI"/>
        </w:rPr>
        <w:t xml:space="preserve">banke članice. Prostovoljni sklad zajamčenih vlog, </w:t>
      </w:r>
      <w:r w:rsidR="00372117">
        <w:rPr>
          <w:rFonts w:eastAsia="Times New Roman" w:cs="Arial"/>
          <w:sz w:val="20"/>
          <w:szCs w:val="20"/>
          <w:lang w:eastAsia="sl-SI"/>
        </w:rPr>
        <w:t>s katerim</w:t>
      </w:r>
      <w:r w:rsidRPr="002D38D8">
        <w:rPr>
          <w:rFonts w:eastAsia="Times New Roman" w:cs="Arial"/>
          <w:sz w:val="20"/>
          <w:szCs w:val="20"/>
          <w:lang w:eastAsia="sl-SI"/>
        </w:rPr>
        <w:t xml:space="preserve"> upravlja VÖB, ščiti nebančne vloge </w:t>
      </w:r>
      <w:r w:rsidR="00372117">
        <w:rPr>
          <w:rFonts w:eastAsia="Times New Roman" w:cs="Arial"/>
          <w:sz w:val="20"/>
          <w:szCs w:val="20"/>
          <w:lang w:eastAsia="sl-SI"/>
        </w:rPr>
        <w:t xml:space="preserve">v višini, ki </w:t>
      </w:r>
      <w:r w:rsidRPr="002D38D8">
        <w:rPr>
          <w:rFonts w:eastAsia="Times New Roman" w:cs="Arial"/>
          <w:sz w:val="20"/>
          <w:szCs w:val="20"/>
          <w:lang w:eastAsia="sl-SI"/>
        </w:rPr>
        <w:t xml:space="preserve">presega zakonsko zagotovljeno </w:t>
      </w:r>
      <w:r w:rsidR="00372117">
        <w:rPr>
          <w:rFonts w:eastAsia="Times New Roman" w:cs="Arial"/>
          <w:sz w:val="20"/>
          <w:szCs w:val="20"/>
          <w:lang w:eastAsia="sl-SI"/>
        </w:rPr>
        <w:t>jamstvo (</w:t>
      </w:r>
      <w:r w:rsidRPr="002D38D8">
        <w:rPr>
          <w:rFonts w:eastAsia="Times New Roman" w:cs="Arial"/>
          <w:sz w:val="20"/>
          <w:szCs w:val="20"/>
          <w:lang w:eastAsia="sl-SI"/>
        </w:rPr>
        <w:t>100.000 EUR</w:t>
      </w:r>
      <w:r w:rsidR="00372117">
        <w:rPr>
          <w:rFonts w:eastAsia="Times New Roman" w:cs="Arial"/>
          <w:sz w:val="20"/>
          <w:szCs w:val="20"/>
          <w:lang w:eastAsia="sl-SI"/>
        </w:rPr>
        <w:t>)</w:t>
      </w:r>
      <w:r w:rsidRPr="002D38D8">
        <w:rPr>
          <w:rFonts w:eastAsia="Times New Roman" w:cs="Arial"/>
          <w:sz w:val="20"/>
          <w:szCs w:val="20"/>
          <w:lang w:eastAsia="sl-SI"/>
        </w:rPr>
        <w:t>.</w:t>
      </w:r>
    </w:p>
    <w:p w14:paraId="726C05E8" w14:textId="77777777" w:rsidR="004C7DB0" w:rsidRPr="004C7DB0" w:rsidRDefault="004C7DB0" w:rsidP="004C7DB0">
      <w:pPr>
        <w:spacing w:after="0" w:line="312" w:lineRule="auto"/>
        <w:rPr>
          <w:rFonts w:eastAsia="Times New Roman" w:cs="Arial"/>
          <w:sz w:val="20"/>
          <w:szCs w:val="20"/>
          <w:lang w:eastAsia="sl-SI"/>
        </w:rPr>
      </w:pPr>
    </w:p>
    <w:p w14:paraId="352B9A5B" w14:textId="77777777" w:rsidR="004C7DB0" w:rsidRPr="004C7DB0" w:rsidRDefault="004C7DB0" w:rsidP="004C7DB0">
      <w:pPr>
        <w:spacing w:after="0" w:line="312" w:lineRule="auto"/>
        <w:rPr>
          <w:rFonts w:eastAsia="Times New Roman" w:cs="Arial"/>
          <w:sz w:val="20"/>
          <w:szCs w:val="20"/>
          <w:lang w:eastAsia="sl-SI"/>
        </w:rPr>
      </w:pPr>
      <w:r w:rsidRPr="004C7DB0">
        <w:rPr>
          <w:rFonts w:eastAsia="Times New Roman" w:cs="Arial"/>
          <w:b/>
          <w:sz w:val="20"/>
          <w:szCs w:val="20"/>
          <w:lang w:eastAsia="sl-SI"/>
        </w:rPr>
        <w:t>Republika Irska</w:t>
      </w:r>
    </w:p>
    <w:p w14:paraId="64CD5F50" w14:textId="77777777" w:rsidR="004C7DB0" w:rsidRPr="004C7DB0" w:rsidRDefault="004C7DB0" w:rsidP="004C7DB0">
      <w:pPr>
        <w:spacing w:after="0" w:line="312" w:lineRule="auto"/>
        <w:rPr>
          <w:rFonts w:eastAsia="Times New Roman" w:cs="Arial"/>
          <w:sz w:val="20"/>
          <w:szCs w:val="20"/>
          <w:lang w:eastAsia="sl-SI"/>
        </w:rPr>
      </w:pPr>
    </w:p>
    <w:p w14:paraId="35CE5A21" w14:textId="4D60CF3C" w:rsidR="004C7DB0" w:rsidRPr="004C7DB0" w:rsidRDefault="000E4404" w:rsidP="004C7DB0">
      <w:pPr>
        <w:spacing w:after="0" w:line="312" w:lineRule="auto"/>
        <w:rPr>
          <w:rFonts w:eastAsia="Times New Roman" w:cs="Arial"/>
          <w:sz w:val="20"/>
          <w:szCs w:val="20"/>
          <w:lang w:eastAsia="sl-SI"/>
        </w:rPr>
      </w:pPr>
      <w:r>
        <w:rPr>
          <w:rFonts w:eastAsia="Times New Roman" w:cs="Arial"/>
          <w:sz w:val="20"/>
          <w:szCs w:val="20"/>
          <w:lang w:eastAsia="sl-SI"/>
        </w:rPr>
        <w:t xml:space="preserve">Republika </w:t>
      </w:r>
      <w:r w:rsidR="004C7DB0" w:rsidRPr="004C7DB0">
        <w:rPr>
          <w:rFonts w:eastAsia="Times New Roman" w:cs="Arial"/>
          <w:sz w:val="20"/>
          <w:szCs w:val="20"/>
          <w:lang w:eastAsia="sl-SI"/>
        </w:rPr>
        <w:t>Irska je Direktivo 2014/49/EU v svoj pravni red prenesla z »</w:t>
      </w:r>
      <w:r w:rsidR="004C7DB0" w:rsidRPr="00592561">
        <w:rPr>
          <w:rFonts w:eastAsia="Times New Roman" w:cs="Arial"/>
          <w:i/>
          <w:sz w:val="20"/>
          <w:szCs w:val="20"/>
          <w:lang w:eastAsia="sl-SI"/>
        </w:rPr>
        <w:t>European Union (Deposit Guarantees Schemes) Regulations 2015</w:t>
      </w:r>
      <w:r w:rsidR="004C7DB0" w:rsidRPr="004C7DB0">
        <w:rPr>
          <w:rFonts w:eastAsia="Times New Roman" w:cs="Arial"/>
          <w:sz w:val="20"/>
          <w:szCs w:val="20"/>
          <w:lang w:eastAsia="sl-SI"/>
        </w:rPr>
        <w:t>«</w:t>
      </w:r>
      <w:r w:rsidR="004C7DB0" w:rsidRPr="004C7DB0">
        <w:rPr>
          <w:rFonts w:eastAsia="Times New Roman" w:cs="Arial"/>
          <w:iCs/>
          <w:sz w:val="20"/>
          <w:szCs w:val="20"/>
          <w:lang w:eastAsia="sl-SI"/>
        </w:rPr>
        <w:t>.</w:t>
      </w:r>
      <w:r w:rsidR="004C7DB0" w:rsidRPr="004C7DB0">
        <w:rPr>
          <w:rFonts w:eastAsia="Times New Roman" w:cs="Arial"/>
          <w:iCs/>
          <w:sz w:val="20"/>
          <w:szCs w:val="20"/>
          <w:vertAlign w:val="superscript"/>
          <w:lang w:eastAsia="sl-SI"/>
        </w:rPr>
        <w:footnoteReference w:id="3"/>
      </w:r>
      <w:r w:rsidR="004C7DB0" w:rsidRPr="004C7DB0">
        <w:rPr>
          <w:rFonts w:eastAsia="Times New Roman" w:cs="Arial"/>
          <w:iCs/>
          <w:sz w:val="20"/>
          <w:szCs w:val="20"/>
          <w:lang w:eastAsia="sl-SI"/>
        </w:rPr>
        <w:t xml:space="preserve"> Sistem jamstva za vloge pri bankah je na Irskem urejen v okviru</w:t>
      </w:r>
      <w:r>
        <w:rPr>
          <w:rFonts w:eastAsia="Times New Roman" w:cs="Arial"/>
          <w:iCs/>
          <w:sz w:val="20"/>
          <w:szCs w:val="20"/>
          <w:lang w:eastAsia="sl-SI"/>
        </w:rPr>
        <w:t xml:space="preserve"> enotnega nacionalnega sistema jamstva za vloge</w:t>
      </w:r>
      <w:r w:rsidR="004C7DB0" w:rsidRPr="004C7DB0">
        <w:rPr>
          <w:rFonts w:eastAsia="Times New Roman" w:cs="Arial"/>
          <w:iCs/>
          <w:sz w:val="20"/>
          <w:szCs w:val="20"/>
          <w:lang w:eastAsia="sl-SI"/>
        </w:rPr>
        <w:t xml:space="preserve"> </w:t>
      </w:r>
      <w:r>
        <w:rPr>
          <w:rFonts w:eastAsia="Times New Roman" w:cs="Arial"/>
          <w:iCs/>
          <w:sz w:val="20"/>
          <w:szCs w:val="20"/>
          <w:lang w:eastAsia="sl-SI"/>
        </w:rPr>
        <w:t>(</w:t>
      </w:r>
      <w:r w:rsidR="004C7DB0" w:rsidRPr="000E4404">
        <w:rPr>
          <w:rFonts w:eastAsia="Times New Roman" w:cs="Arial"/>
          <w:bCs/>
          <w:i/>
          <w:iCs/>
          <w:sz w:val="20"/>
          <w:szCs w:val="20"/>
          <w:lang w:eastAsia="sl-SI"/>
        </w:rPr>
        <w:t>Deposit Guarantee Scheme</w:t>
      </w:r>
      <w:r>
        <w:rPr>
          <w:rFonts w:eastAsia="Times New Roman" w:cs="Arial"/>
          <w:bCs/>
          <w:sz w:val="20"/>
          <w:szCs w:val="20"/>
          <w:lang w:eastAsia="sl-SI"/>
        </w:rPr>
        <w:t>)</w:t>
      </w:r>
      <w:r w:rsidR="004C7DB0" w:rsidRPr="004C7DB0">
        <w:rPr>
          <w:rFonts w:eastAsia="Times New Roman" w:cs="Arial"/>
          <w:bCs/>
          <w:sz w:val="20"/>
          <w:szCs w:val="20"/>
          <w:vertAlign w:val="superscript"/>
          <w:lang w:eastAsia="sl-SI"/>
        </w:rPr>
        <w:footnoteReference w:id="4"/>
      </w:r>
      <w:r w:rsidR="00D83433">
        <w:rPr>
          <w:rFonts w:eastAsia="Times New Roman" w:cs="Arial"/>
          <w:bCs/>
          <w:sz w:val="20"/>
          <w:szCs w:val="20"/>
          <w:lang w:eastAsia="sl-SI"/>
        </w:rPr>
        <w:t xml:space="preserve">, s katerim </w:t>
      </w:r>
      <w:r w:rsidR="004C7DB0" w:rsidRPr="004C7DB0">
        <w:rPr>
          <w:rFonts w:eastAsia="Times New Roman" w:cs="Arial"/>
          <w:bCs/>
          <w:sz w:val="20"/>
          <w:szCs w:val="20"/>
          <w:lang w:eastAsia="sl-SI"/>
        </w:rPr>
        <w:t>upravlja irska centralna banka.</w:t>
      </w:r>
    </w:p>
    <w:p w14:paraId="46711857"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  </w:t>
      </w:r>
    </w:p>
    <w:p w14:paraId="7BBFAE66" w14:textId="574B990A" w:rsidR="00FF5156" w:rsidRDefault="00FF5156" w:rsidP="00FF5156">
      <w:pPr>
        <w:spacing w:after="0" w:line="312" w:lineRule="auto"/>
        <w:rPr>
          <w:rFonts w:eastAsia="Times New Roman" w:cs="Arial"/>
          <w:sz w:val="20"/>
          <w:szCs w:val="20"/>
          <w:highlight w:val="yellow"/>
          <w:lang w:eastAsia="sl-SI"/>
        </w:rPr>
      </w:pPr>
    </w:p>
    <w:p w14:paraId="0A3B03D4" w14:textId="77777777" w:rsidR="00293C31" w:rsidRPr="00FF5156" w:rsidRDefault="00293C31" w:rsidP="00FF5156">
      <w:pPr>
        <w:spacing w:after="0" w:line="312" w:lineRule="auto"/>
        <w:rPr>
          <w:rFonts w:eastAsia="Times New Roman" w:cs="Arial"/>
          <w:sz w:val="20"/>
          <w:szCs w:val="20"/>
          <w:highlight w:val="yellow"/>
          <w:lang w:eastAsia="sl-SI"/>
        </w:rPr>
      </w:pPr>
    </w:p>
    <w:p w14:paraId="0392755F" w14:textId="77777777" w:rsidR="00FF5156" w:rsidRPr="00FF5156" w:rsidRDefault="00FF5156" w:rsidP="00FF5156">
      <w:pPr>
        <w:numPr>
          <w:ilvl w:val="0"/>
          <w:numId w:val="14"/>
        </w:numPr>
        <w:spacing w:after="0" w:line="312" w:lineRule="auto"/>
        <w:jc w:val="left"/>
        <w:rPr>
          <w:rFonts w:eastAsia="Times New Roman" w:cs="Arial"/>
          <w:b/>
          <w:sz w:val="20"/>
          <w:szCs w:val="20"/>
          <w:lang w:eastAsia="sl-SI"/>
        </w:rPr>
      </w:pPr>
      <w:r w:rsidRPr="00FF5156">
        <w:rPr>
          <w:rFonts w:eastAsia="Times New Roman" w:cs="Arial"/>
          <w:b/>
          <w:sz w:val="20"/>
          <w:szCs w:val="20"/>
          <w:lang w:eastAsia="sl-SI"/>
        </w:rPr>
        <w:t>PRESOJA POSLEDIC, KI JIH BO IMEL SPREJEM ZAKONA</w:t>
      </w:r>
    </w:p>
    <w:p w14:paraId="24AD69CC" w14:textId="150EA4C6" w:rsidR="00FF5156" w:rsidRDefault="00FF5156" w:rsidP="00FF5156">
      <w:pPr>
        <w:spacing w:after="0" w:line="312" w:lineRule="auto"/>
        <w:rPr>
          <w:rFonts w:eastAsia="Times New Roman" w:cs="Arial"/>
          <w:sz w:val="20"/>
          <w:szCs w:val="20"/>
          <w:lang w:eastAsia="sl-SI"/>
        </w:rPr>
      </w:pPr>
    </w:p>
    <w:p w14:paraId="6DD401B7" w14:textId="77777777" w:rsidR="00293C31" w:rsidRPr="00FF5156" w:rsidRDefault="00293C31" w:rsidP="00FF5156">
      <w:pPr>
        <w:spacing w:after="0" w:line="312" w:lineRule="auto"/>
        <w:rPr>
          <w:rFonts w:eastAsia="Times New Roman" w:cs="Arial"/>
          <w:sz w:val="20"/>
          <w:szCs w:val="20"/>
          <w:lang w:eastAsia="sl-SI"/>
        </w:rPr>
      </w:pPr>
    </w:p>
    <w:p w14:paraId="2BC07800"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6.1 Presoja administrativnih posledic</w:t>
      </w:r>
    </w:p>
    <w:p w14:paraId="11C85705" w14:textId="77777777" w:rsidR="00FF5156" w:rsidRPr="00FF5156" w:rsidRDefault="00FF5156" w:rsidP="00FF5156">
      <w:pPr>
        <w:spacing w:after="0" w:line="312" w:lineRule="auto"/>
        <w:rPr>
          <w:rFonts w:eastAsia="Times New Roman" w:cs="Arial"/>
          <w:sz w:val="20"/>
          <w:szCs w:val="20"/>
          <w:lang w:eastAsia="sl-SI"/>
        </w:rPr>
      </w:pPr>
    </w:p>
    <w:p w14:paraId="4DBF0513"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a) v postopkih oziroma poslovanju javne uprave ali pravosodnih organov:</w:t>
      </w:r>
    </w:p>
    <w:p w14:paraId="343294D3" w14:textId="77777777" w:rsidR="00FF5156" w:rsidRPr="00FF5156" w:rsidRDefault="00FF5156" w:rsidP="00FF5156">
      <w:pPr>
        <w:spacing w:after="0" w:line="312" w:lineRule="auto"/>
        <w:rPr>
          <w:rFonts w:eastAsia="Times New Roman" w:cs="Arial"/>
          <w:sz w:val="20"/>
          <w:szCs w:val="20"/>
          <w:lang w:eastAsia="sl-SI"/>
        </w:rPr>
      </w:pPr>
    </w:p>
    <w:p w14:paraId="13844436" w14:textId="77777777" w:rsidR="00FF5156" w:rsidRPr="00FF5156" w:rsidRDefault="00FF5156" w:rsidP="00FF5156">
      <w:pPr>
        <w:numPr>
          <w:ilvl w:val="0"/>
          <w:numId w:val="15"/>
        </w:numPr>
        <w:spacing w:after="0" w:line="312" w:lineRule="auto"/>
        <w:jc w:val="left"/>
        <w:rPr>
          <w:rFonts w:eastAsia="Times New Roman" w:cs="Arial"/>
          <w:sz w:val="20"/>
          <w:szCs w:val="20"/>
          <w:lang w:eastAsia="sl-SI"/>
        </w:rPr>
      </w:pPr>
      <w:r w:rsidRPr="00FF5156">
        <w:rPr>
          <w:rFonts w:eastAsia="Times New Roman" w:cs="Arial"/>
          <w:sz w:val="20"/>
          <w:szCs w:val="20"/>
          <w:lang w:eastAsia="sl-SI"/>
        </w:rPr>
        <w:t>ni administrativnih posledic.</w:t>
      </w:r>
    </w:p>
    <w:p w14:paraId="54399220" w14:textId="77777777" w:rsidR="00FF5156" w:rsidRPr="00FF5156" w:rsidRDefault="00FF5156" w:rsidP="00FF5156">
      <w:pPr>
        <w:spacing w:after="0" w:line="312" w:lineRule="auto"/>
        <w:rPr>
          <w:rFonts w:eastAsia="Times New Roman" w:cs="Arial"/>
          <w:sz w:val="20"/>
          <w:szCs w:val="20"/>
          <w:lang w:eastAsia="sl-SI"/>
        </w:rPr>
      </w:pPr>
    </w:p>
    <w:p w14:paraId="3FA7AC8B"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b) pri obveznostih strank do javne uprave ali pravosodnih organov:</w:t>
      </w:r>
    </w:p>
    <w:p w14:paraId="1E931EF3" w14:textId="77777777" w:rsidR="00FF5156" w:rsidRPr="00FF5156" w:rsidRDefault="00FF5156" w:rsidP="00FF5156">
      <w:pPr>
        <w:spacing w:after="0" w:line="312" w:lineRule="auto"/>
        <w:rPr>
          <w:rFonts w:eastAsia="Times New Roman" w:cs="Arial"/>
          <w:sz w:val="20"/>
          <w:szCs w:val="20"/>
          <w:lang w:eastAsia="sl-SI"/>
        </w:rPr>
      </w:pPr>
    </w:p>
    <w:p w14:paraId="0D170A93" w14:textId="77777777" w:rsidR="00FF5156" w:rsidRPr="00FF5156" w:rsidRDefault="00FF5156" w:rsidP="00FF5156">
      <w:pPr>
        <w:numPr>
          <w:ilvl w:val="0"/>
          <w:numId w:val="15"/>
        </w:numPr>
        <w:spacing w:after="0" w:line="312" w:lineRule="auto"/>
        <w:jc w:val="left"/>
        <w:rPr>
          <w:rFonts w:eastAsia="Times New Roman" w:cs="Arial"/>
          <w:sz w:val="20"/>
          <w:szCs w:val="20"/>
          <w:lang w:eastAsia="sl-SI"/>
        </w:rPr>
      </w:pPr>
      <w:r w:rsidRPr="00FF5156">
        <w:rPr>
          <w:rFonts w:eastAsia="Times New Roman" w:cs="Arial"/>
          <w:sz w:val="20"/>
          <w:szCs w:val="20"/>
          <w:lang w:eastAsia="sl-SI"/>
        </w:rPr>
        <w:t>ni administrativnih posledic.</w:t>
      </w:r>
    </w:p>
    <w:p w14:paraId="47FD6904" w14:textId="4B425D40" w:rsidR="00FF5156" w:rsidRDefault="00FF5156" w:rsidP="00FF5156">
      <w:pPr>
        <w:spacing w:after="0" w:line="312" w:lineRule="auto"/>
        <w:rPr>
          <w:rFonts w:eastAsia="Times New Roman" w:cs="Arial"/>
          <w:sz w:val="20"/>
          <w:szCs w:val="20"/>
          <w:lang w:eastAsia="sl-SI"/>
        </w:rPr>
      </w:pPr>
    </w:p>
    <w:p w14:paraId="4C00464D" w14:textId="77777777" w:rsidR="00A372E1" w:rsidRPr="00FF5156" w:rsidRDefault="00A372E1" w:rsidP="00FF5156">
      <w:pPr>
        <w:spacing w:after="0" w:line="312" w:lineRule="auto"/>
        <w:rPr>
          <w:rFonts w:eastAsia="Times New Roman" w:cs="Arial"/>
          <w:sz w:val="20"/>
          <w:szCs w:val="20"/>
          <w:lang w:eastAsia="sl-SI"/>
        </w:rPr>
      </w:pPr>
    </w:p>
    <w:p w14:paraId="5FB2A075"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6.2 Presoja posledic za okolje, vključno s prostorskimi in varstvenimi vidiki</w:t>
      </w:r>
    </w:p>
    <w:p w14:paraId="62C298D2" w14:textId="77777777" w:rsidR="00FF5156" w:rsidRPr="00FF5156" w:rsidRDefault="00FF5156" w:rsidP="00FF5156">
      <w:pPr>
        <w:spacing w:after="0" w:line="312" w:lineRule="auto"/>
        <w:rPr>
          <w:rFonts w:eastAsia="Times New Roman" w:cs="Arial"/>
          <w:sz w:val="20"/>
          <w:szCs w:val="20"/>
          <w:lang w:eastAsia="sl-SI"/>
        </w:rPr>
      </w:pPr>
    </w:p>
    <w:p w14:paraId="5E6D94D7"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Sprejetje zakona ne bo imelo posledic za okolje.</w:t>
      </w:r>
    </w:p>
    <w:p w14:paraId="20200D33" w14:textId="4195E0F3" w:rsidR="007B2AB5" w:rsidRDefault="007B2AB5" w:rsidP="00FF5156">
      <w:pPr>
        <w:spacing w:after="0" w:line="312" w:lineRule="auto"/>
        <w:rPr>
          <w:rFonts w:eastAsia="Times New Roman" w:cs="Arial"/>
          <w:sz w:val="20"/>
          <w:szCs w:val="20"/>
          <w:highlight w:val="yellow"/>
          <w:lang w:eastAsia="sl-SI"/>
        </w:rPr>
      </w:pPr>
    </w:p>
    <w:p w14:paraId="2DE3901D" w14:textId="77777777" w:rsidR="00A372E1" w:rsidRPr="00FF5156" w:rsidRDefault="00A372E1" w:rsidP="00FF5156">
      <w:pPr>
        <w:spacing w:after="0" w:line="312" w:lineRule="auto"/>
        <w:rPr>
          <w:rFonts w:eastAsia="Times New Roman" w:cs="Arial"/>
          <w:sz w:val="20"/>
          <w:szCs w:val="20"/>
          <w:highlight w:val="yellow"/>
          <w:lang w:eastAsia="sl-SI"/>
        </w:rPr>
      </w:pPr>
    </w:p>
    <w:p w14:paraId="25C48427"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6.3 Presoja posledic za gospodarstvo</w:t>
      </w:r>
    </w:p>
    <w:p w14:paraId="7F0E833D" w14:textId="77777777" w:rsidR="00FF5156" w:rsidRDefault="00FF5156" w:rsidP="00FF5156">
      <w:pPr>
        <w:spacing w:after="0" w:line="312" w:lineRule="auto"/>
        <w:rPr>
          <w:rFonts w:eastAsia="Times New Roman" w:cs="Arial"/>
          <w:sz w:val="20"/>
          <w:szCs w:val="20"/>
          <w:highlight w:val="yellow"/>
          <w:lang w:eastAsia="sl-SI"/>
        </w:rPr>
      </w:pPr>
    </w:p>
    <w:p w14:paraId="5116AD02" w14:textId="3D0CAF54" w:rsidR="00C517CA" w:rsidRPr="00C517CA" w:rsidRDefault="00CF2A88" w:rsidP="00FF5156">
      <w:pPr>
        <w:spacing w:after="0" w:line="312" w:lineRule="auto"/>
        <w:rPr>
          <w:rFonts w:eastAsia="Times New Roman" w:cs="Arial"/>
          <w:sz w:val="20"/>
          <w:szCs w:val="20"/>
          <w:lang w:eastAsia="sl-SI"/>
        </w:rPr>
      </w:pPr>
      <w:r w:rsidRPr="00CF2A88">
        <w:rPr>
          <w:rFonts w:eastAsia="Times New Roman" w:cs="Arial"/>
          <w:sz w:val="20"/>
          <w:szCs w:val="20"/>
          <w:lang w:eastAsia="sl-SI"/>
        </w:rPr>
        <w:t>Z izboljšanjem pravne ureditve področja jamstva za vloge se krepi zaščita in pravna varnost vlagateljev ter s tem tudi njihovo zaupanje v bančni sistem. Zaupanje (zlasti nepoučenih) vlagateljev v bančni sistem pa je zelo pomembno za ohranjanje finančne stabilnosti v nacionalnem gospodarstvu. Sistem jamstva za vloge pozitivno vpliva tudi na varčevanje in s tem na potencial bank za dajanje posojil, med drugim tudi gospodarstvu. Stabilnost kreditiranja gospodarstva pa je še posebej pomembna v obdobju ekonomskih in drugih, n</w:t>
      </w:r>
      <w:r w:rsidR="00293C31">
        <w:rPr>
          <w:rFonts w:eastAsia="Times New Roman" w:cs="Arial"/>
          <w:sz w:val="20"/>
          <w:szCs w:val="20"/>
          <w:lang w:eastAsia="sl-SI"/>
        </w:rPr>
        <w:t>a primer</w:t>
      </w:r>
      <w:r w:rsidRPr="00CF2A88">
        <w:rPr>
          <w:rFonts w:eastAsia="Times New Roman" w:cs="Arial"/>
          <w:sz w:val="20"/>
          <w:szCs w:val="20"/>
          <w:lang w:eastAsia="sl-SI"/>
        </w:rPr>
        <w:t xml:space="preserve"> zdravstvenih kriz.</w:t>
      </w:r>
    </w:p>
    <w:p w14:paraId="6EC27153" w14:textId="0E1C671B" w:rsidR="00FF5156" w:rsidRDefault="00FF5156" w:rsidP="00FF5156">
      <w:pPr>
        <w:spacing w:after="0" w:line="312" w:lineRule="auto"/>
        <w:rPr>
          <w:rFonts w:eastAsia="Times New Roman" w:cs="Arial"/>
          <w:b/>
          <w:sz w:val="20"/>
          <w:szCs w:val="20"/>
          <w:highlight w:val="yellow"/>
          <w:lang w:eastAsia="sl-SI"/>
        </w:rPr>
      </w:pPr>
    </w:p>
    <w:p w14:paraId="72AC1D9E" w14:textId="77777777" w:rsidR="00A372E1" w:rsidRPr="00FF5156" w:rsidRDefault="00A372E1" w:rsidP="00FF5156">
      <w:pPr>
        <w:spacing w:after="0" w:line="312" w:lineRule="auto"/>
        <w:rPr>
          <w:rFonts w:eastAsia="Times New Roman" w:cs="Arial"/>
          <w:b/>
          <w:sz w:val="20"/>
          <w:szCs w:val="20"/>
          <w:highlight w:val="yellow"/>
          <w:lang w:eastAsia="sl-SI"/>
        </w:rPr>
      </w:pPr>
    </w:p>
    <w:p w14:paraId="34826B5F"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6.4 Presoja posledic za socialno področje</w:t>
      </w:r>
    </w:p>
    <w:p w14:paraId="0A5DFCD9" w14:textId="77777777" w:rsidR="00FF5156" w:rsidRPr="00FF5156" w:rsidRDefault="00FF5156" w:rsidP="00FF5156">
      <w:pPr>
        <w:spacing w:after="0" w:line="312" w:lineRule="auto"/>
        <w:rPr>
          <w:rFonts w:eastAsia="Times New Roman" w:cs="Arial"/>
          <w:sz w:val="20"/>
          <w:szCs w:val="20"/>
          <w:lang w:eastAsia="sl-SI"/>
        </w:rPr>
      </w:pPr>
    </w:p>
    <w:p w14:paraId="52B9C26F"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Sprejetje zakona ne bo imelo posledic za socialno področje.</w:t>
      </w:r>
    </w:p>
    <w:p w14:paraId="3B64FF9B" w14:textId="4FF93A0C" w:rsidR="00FF5156" w:rsidRDefault="00FF5156" w:rsidP="00FF5156">
      <w:pPr>
        <w:spacing w:after="0" w:line="312" w:lineRule="auto"/>
        <w:rPr>
          <w:rFonts w:eastAsia="Times New Roman" w:cs="Arial"/>
          <w:sz w:val="20"/>
          <w:szCs w:val="20"/>
          <w:lang w:eastAsia="sl-SI"/>
        </w:rPr>
      </w:pPr>
    </w:p>
    <w:p w14:paraId="2734BDBF" w14:textId="77777777" w:rsidR="00A372E1" w:rsidRPr="00FF5156" w:rsidRDefault="00A372E1" w:rsidP="00FF5156">
      <w:pPr>
        <w:spacing w:after="0" w:line="312" w:lineRule="auto"/>
        <w:rPr>
          <w:rFonts w:eastAsia="Times New Roman" w:cs="Arial"/>
          <w:sz w:val="20"/>
          <w:szCs w:val="20"/>
          <w:lang w:eastAsia="sl-SI"/>
        </w:rPr>
      </w:pPr>
    </w:p>
    <w:p w14:paraId="2CAEAAA3"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6.5 Presoja posledic za dokumente razvojnega načrtovanja</w:t>
      </w:r>
    </w:p>
    <w:p w14:paraId="43D4F413" w14:textId="77777777" w:rsidR="00FF5156" w:rsidRPr="00FF5156" w:rsidRDefault="00FF5156" w:rsidP="00FF5156">
      <w:pPr>
        <w:spacing w:after="0" w:line="312" w:lineRule="auto"/>
        <w:rPr>
          <w:rFonts w:eastAsia="Times New Roman" w:cs="Arial"/>
          <w:sz w:val="20"/>
          <w:szCs w:val="20"/>
          <w:lang w:eastAsia="sl-SI"/>
        </w:rPr>
      </w:pPr>
    </w:p>
    <w:p w14:paraId="5BA453F8"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Sprejetje zakona ne bo imelo posledic za dokumente razvojnega načrtovanja.</w:t>
      </w:r>
    </w:p>
    <w:p w14:paraId="4A362D7B" w14:textId="2D6004A1" w:rsidR="00FF5156" w:rsidRDefault="00FF5156" w:rsidP="00FF5156">
      <w:pPr>
        <w:spacing w:after="0" w:line="312" w:lineRule="auto"/>
        <w:rPr>
          <w:rFonts w:eastAsia="Times New Roman" w:cs="Arial"/>
          <w:b/>
          <w:sz w:val="20"/>
          <w:szCs w:val="20"/>
          <w:lang w:eastAsia="sl-SI"/>
        </w:rPr>
      </w:pPr>
    </w:p>
    <w:p w14:paraId="579E6FD3" w14:textId="77777777" w:rsidR="00A372E1" w:rsidRPr="00FF5156" w:rsidRDefault="00A372E1" w:rsidP="00FF5156">
      <w:pPr>
        <w:spacing w:after="0" w:line="312" w:lineRule="auto"/>
        <w:rPr>
          <w:rFonts w:eastAsia="Times New Roman" w:cs="Arial"/>
          <w:b/>
          <w:sz w:val="20"/>
          <w:szCs w:val="20"/>
          <w:lang w:eastAsia="sl-SI"/>
        </w:rPr>
      </w:pPr>
    </w:p>
    <w:p w14:paraId="1B7BA01A"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6.6 Presoja posledic za druga področja</w:t>
      </w:r>
    </w:p>
    <w:p w14:paraId="70B9C5CE" w14:textId="77777777" w:rsidR="00FF5156" w:rsidRPr="00FF5156" w:rsidRDefault="00FF5156" w:rsidP="00FF5156">
      <w:pPr>
        <w:spacing w:after="0" w:line="312" w:lineRule="auto"/>
        <w:rPr>
          <w:rFonts w:eastAsia="Times New Roman" w:cs="Arial"/>
          <w:b/>
          <w:sz w:val="20"/>
          <w:szCs w:val="20"/>
          <w:lang w:eastAsia="sl-SI"/>
        </w:rPr>
      </w:pPr>
    </w:p>
    <w:p w14:paraId="21E6712A"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Sprejetje zakona ne bo imelo posledic za druga področja.</w:t>
      </w:r>
    </w:p>
    <w:p w14:paraId="20901F84" w14:textId="2AAEF6D8" w:rsidR="00FF5156" w:rsidRDefault="00FF5156" w:rsidP="00FF5156">
      <w:pPr>
        <w:spacing w:after="0" w:line="312" w:lineRule="auto"/>
        <w:rPr>
          <w:rFonts w:eastAsia="Times New Roman" w:cs="Arial"/>
          <w:b/>
          <w:sz w:val="20"/>
          <w:szCs w:val="20"/>
          <w:lang w:eastAsia="sl-SI"/>
        </w:rPr>
      </w:pPr>
    </w:p>
    <w:p w14:paraId="2AD976A4" w14:textId="77777777" w:rsidR="00A372E1" w:rsidRPr="00FF5156" w:rsidRDefault="00A372E1" w:rsidP="00FF5156">
      <w:pPr>
        <w:spacing w:after="0" w:line="312" w:lineRule="auto"/>
        <w:rPr>
          <w:rFonts w:eastAsia="Times New Roman" w:cs="Arial"/>
          <w:b/>
          <w:sz w:val="20"/>
          <w:szCs w:val="20"/>
          <w:lang w:eastAsia="sl-SI"/>
        </w:rPr>
      </w:pPr>
    </w:p>
    <w:p w14:paraId="5415DAD3"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6.7 Izvajanje sprejetega predpisa</w:t>
      </w:r>
    </w:p>
    <w:p w14:paraId="6578C29E" w14:textId="77777777" w:rsidR="00FF5156" w:rsidRPr="00FF5156" w:rsidRDefault="00FF5156" w:rsidP="00FF5156">
      <w:pPr>
        <w:spacing w:after="0" w:line="312" w:lineRule="auto"/>
        <w:rPr>
          <w:rFonts w:eastAsia="Times New Roman" w:cs="Arial"/>
          <w:sz w:val="20"/>
          <w:szCs w:val="20"/>
          <w:highlight w:val="yellow"/>
          <w:lang w:eastAsia="sl-SI"/>
        </w:rPr>
      </w:pPr>
    </w:p>
    <w:p w14:paraId="64CF0BCD"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Sprejeti zakon bo objavljen na spletni strani Ministrstva za finance.</w:t>
      </w:r>
    </w:p>
    <w:p w14:paraId="7604A098" w14:textId="77777777" w:rsidR="00FF5156" w:rsidRPr="00FF5156" w:rsidRDefault="00FF5156" w:rsidP="00FF5156">
      <w:pPr>
        <w:spacing w:after="0" w:line="312" w:lineRule="auto"/>
        <w:rPr>
          <w:rFonts w:eastAsia="Times New Roman" w:cs="Arial"/>
          <w:sz w:val="20"/>
          <w:szCs w:val="20"/>
          <w:lang w:eastAsia="sl-SI"/>
        </w:rPr>
      </w:pPr>
    </w:p>
    <w:p w14:paraId="2A91E15A" w14:textId="40BB543C"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 xml:space="preserve">Zakon bo izvajala in nadzirala Banka Slovenije, ki </w:t>
      </w:r>
      <w:r w:rsidR="00C517CA">
        <w:rPr>
          <w:rFonts w:eastAsia="Times New Roman" w:cs="Arial"/>
          <w:sz w:val="20"/>
          <w:szCs w:val="20"/>
          <w:lang w:eastAsia="sl-SI"/>
        </w:rPr>
        <w:t>upravlja nacionalni sistem jamstva za vloge</w:t>
      </w:r>
      <w:r w:rsidRPr="00FF5156">
        <w:rPr>
          <w:rFonts w:eastAsia="Times New Roman" w:cs="Arial"/>
          <w:sz w:val="20"/>
          <w:szCs w:val="20"/>
          <w:lang w:eastAsia="sl-SI"/>
        </w:rPr>
        <w:t>.</w:t>
      </w:r>
    </w:p>
    <w:p w14:paraId="397F1688" w14:textId="73A9475E" w:rsidR="00FF5156" w:rsidRDefault="00FF5156" w:rsidP="00FF5156">
      <w:pPr>
        <w:spacing w:after="0" w:line="312" w:lineRule="auto"/>
        <w:rPr>
          <w:rFonts w:eastAsia="Times New Roman" w:cs="Arial"/>
          <w:b/>
          <w:sz w:val="20"/>
          <w:szCs w:val="20"/>
          <w:highlight w:val="yellow"/>
          <w:lang w:eastAsia="sl-SI"/>
        </w:rPr>
      </w:pPr>
    </w:p>
    <w:p w14:paraId="6CA13E1D" w14:textId="68294AF4" w:rsidR="00A372E1" w:rsidRDefault="00A372E1" w:rsidP="00FF5156">
      <w:pPr>
        <w:spacing w:after="0" w:line="312" w:lineRule="auto"/>
        <w:rPr>
          <w:rFonts w:eastAsia="Times New Roman" w:cs="Arial"/>
          <w:b/>
          <w:sz w:val="20"/>
          <w:szCs w:val="20"/>
          <w:highlight w:val="yellow"/>
          <w:lang w:eastAsia="sl-SI"/>
        </w:rPr>
      </w:pPr>
    </w:p>
    <w:p w14:paraId="132D73F8" w14:textId="51C6B833" w:rsidR="0086078D" w:rsidRDefault="0086078D" w:rsidP="00FF5156">
      <w:pPr>
        <w:spacing w:after="0" w:line="312" w:lineRule="auto"/>
        <w:rPr>
          <w:rFonts w:eastAsia="Times New Roman" w:cs="Arial"/>
          <w:b/>
          <w:sz w:val="20"/>
          <w:szCs w:val="20"/>
          <w:highlight w:val="yellow"/>
          <w:lang w:eastAsia="sl-SI"/>
        </w:rPr>
      </w:pPr>
    </w:p>
    <w:p w14:paraId="4F9564D4" w14:textId="77777777" w:rsidR="0086078D" w:rsidRPr="00FF5156" w:rsidRDefault="0086078D" w:rsidP="00FF5156">
      <w:pPr>
        <w:spacing w:after="0" w:line="312" w:lineRule="auto"/>
        <w:rPr>
          <w:rFonts w:eastAsia="Times New Roman" w:cs="Arial"/>
          <w:b/>
          <w:sz w:val="20"/>
          <w:szCs w:val="20"/>
          <w:highlight w:val="yellow"/>
          <w:lang w:eastAsia="sl-SI"/>
        </w:rPr>
      </w:pPr>
    </w:p>
    <w:p w14:paraId="5B903B44" w14:textId="77777777" w:rsidR="00FF5156" w:rsidRPr="00FF5156" w:rsidRDefault="00FF5156" w:rsidP="00FF5156">
      <w:pPr>
        <w:spacing w:after="0" w:line="312" w:lineRule="auto"/>
        <w:rPr>
          <w:rFonts w:eastAsia="Times New Roman" w:cs="Arial"/>
          <w:b/>
          <w:sz w:val="20"/>
          <w:szCs w:val="20"/>
          <w:lang w:eastAsia="sl-SI"/>
        </w:rPr>
      </w:pPr>
      <w:r w:rsidRPr="00FF5156">
        <w:rPr>
          <w:rFonts w:eastAsia="Times New Roman" w:cs="Arial"/>
          <w:b/>
          <w:sz w:val="20"/>
          <w:szCs w:val="20"/>
          <w:lang w:eastAsia="sl-SI"/>
        </w:rPr>
        <w:t>6.8 Druge pomembne okoliščine v zvezi z vprašanji, ki jih ureja predlog zakona</w:t>
      </w:r>
    </w:p>
    <w:p w14:paraId="473E9411" w14:textId="77777777" w:rsidR="00FF5156" w:rsidRPr="00FF5156" w:rsidRDefault="00FF5156" w:rsidP="00FF5156">
      <w:pPr>
        <w:spacing w:after="0" w:line="312" w:lineRule="auto"/>
        <w:rPr>
          <w:rFonts w:eastAsia="Times New Roman" w:cs="Arial"/>
          <w:sz w:val="20"/>
          <w:szCs w:val="20"/>
          <w:highlight w:val="yellow"/>
          <w:lang w:eastAsia="sl-SI"/>
        </w:rPr>
      </w:pPr>
    </w:p>
    <w:p w14:paraId="46C32D63" w14:textId="77777777" w:rsidR="00FF5156" w:rsidRPr="00FF5156" w:rsidRDefault="00FF5156" w:rsidP="00FF5156">
      <w:pPr>
        <w:spacing w:after="0" w:line="312" w:lineRule="auto"/>
        <w:rPr>
          <w:rFonts w:eastAsia="Times New Roman" w:cs="Arial"/>
          <w:sz w:val="20"/>
          <w:szCs w:val="20"/>
          <w:lang w:eastAsia="sl-SI"/>
        </w:rPr>
      </w:pPr>
      <w:r w:rsidRPr="00FF5156">
        <w:rPr>
          <w:rFonts w:eastAsia="Times New Roman" w:cs="Arial"/>
          <w:sz w:val="20"/>
          <w:szCs w:val="20"/>
          <w:lang w:eastAsia="sl-SI"/>
        </w:rPr>
        <w:t>V zvezi z vprašanji, ki jih ureja predlog zakona, ni drugih pomembnih okoliščin.</w:t>
      </w:r>
    </w:p>
    <w:p w14:paraId="48B1074E" w14:textId="77777777" w:rsidR="00FF5156" w:rsidRPr="00FF5156" w:rsidRDefault="00FF5156" w:rsidP="00FF5156">
      <w:pPr>
        <w:spacing w:after="0" w:line="312" w:lineRule="auto"/>
        <w:rPr>
          <w:rFonts w:eastAsia="Times New Roman" w:cs="Arial"/>
          <w:sz w:val="20"/>
          <w:szCs w:val="20"/>
          <w:lang w:eastAsia="sl-SI"/>
        </w:rPr>
      </w:pPr>
    </w:p>
    <w:p w14:paraId="38571392" w14:textId="77777777" w:rsidR="00192966" w:rsidRPr="00FF5156" w:rsidRDefault="00192966" w:rsidP="00FF5156">
      <w:pPr>
        <w:spacing w:after="0" w:line="312" w:lineRule="auto"/>
        <w:rPr>
          <w:rFonts w:eastAsia="Times New Roman" w:cs="Arial"/>
          <w:sz w:val="20"/>
          <w:szCs w:val="20"/>
          <w:highlight w:val="yellow"/>
          <w:lang w:eastAsia="sl-SI"/>
        </w:rPr>
      </w:pPr>
    </w:p>
    <w:p w14:paraId="7F968D7E" w14:textId="77777777" w:rsidR="00FF5156" w:rsidRPr="00FF5156" w:rsidRDefault="00FF5156" w:rsidP="00FF5156">
      <w:pPr>
        <w:numPr>
          <w:ilvl w:val="0"/>
          <w:numId w:val="14"/>
        </w:numPr>
        <w:spacing w:after="0" w:line="312" w:lineRule="auto"/>
        <w:jc w:val="left"/>
        <w:rPr>
          <w:rFonts w:eastAsia="Times New Roman" w:cs="Arial"/>
          <w:b/>
          <w:sz w:val="20"/>
          <w:szCs w:val="20"/>
          <w:lang w:eastAsia="sl-SI"/>
        </w:rPr>
      </w:pPr>
      <w:r w:rsidRPr="00FF5156">
        <w:rPr>
          <w:rFonts w:eastAsia="Times New Roman" w:cs="Arial"/>
          <w:b/>
          <w:sz w:val="20"/>
          <w:szCs w:val="20"/>
          <w:lang w:eastAsia="sl-SI"/>
        </w:rPr>
        <w:t>PRIKAZ SODELOVANJA JAVNOSTI PRI PRIPRAVI PREDLOGA ZAKONA</w:t>
      </w:r>
    </w:p>
    <w:p w14:paraId="4DBF2996" w14:textId="77777777" w:rsidR="00FF5156" w:rsidRPr="00FF5156" w:rsidRDefault="00FF5156" w:rsidP="00FF5156">
      <w:pPr>
        <w:spacing w:after="0" w:line="312" w:lineRule="auto"/>
        <w:rPr>
          <w:rFonts w:eastAsia="Times New Roman" w:cs="Arial"/>
          <w:sz w:val="20"/>
          <w:szCs w:val="20"/>
          <w:lang w:eastAsia="sl-SI"/>
        </w:rPr>
      </w:pPr>
    </w:p>
    <w:p w14:paraId="39AB416D" w14:textId="579D1362" w:rsidR="00D952D9" w:rsidRDefault="00192966" w:rsidP="00FF5156">
      <w:pPr>
        <w:spacing w:after="0" w:line="312" w:lineRule="auto"/>
        <w:rPr>
          <w:rFonts w:eastAsia="Times New Roman" w:cs="Arial"/>
          <w:sz w:val="20"/>
          <w:szCs w:val="20"/>
          <w:lang w:eastAsia="sl-SI"/>
        </w:rPr>
      </w:pPr>
      <w:r>
        <w:rPr>
          <w:rFonts w:eastAsia="Times New Roman" w:cs="Arial"/>
          <w:sz w:val="20"/>
          <w:szCs w:val="20"/>
          <w:lang w:eastAsia="sl-SI"/>
        </w:rPr>
        <w:t>P</w:t>
      </w:r>
      <w:r w:rsidR="00FF5156" w:rsidRPr="00FF5156">
        <w:rPr>
          <w:rFonts w:eastAsia="Times New Roman" w:cs="Arial"/>
          <w:sz w:val="20"/>
          <w:szCs w:val="20"/>
          <w:lang w:eastAsia="sl-SI"/>
        </w:rPr>
        <w:t xml:space="preserve">redlog zakona </w:t>
      </w:r>
      <w:r>
        <w:rPr>
          <w:rFonts w:eastAsia="Times New Roman" w:cs="Arial"/>
          <w:sz w:val="20"/>
          <w:szCs w:val="20"/>
          <w:lang w:eastAsia="sl-SI"/>
        </w:rPr>
        <w:t xml:space="preserve">je bil </w:t>
      </w:r>
      <w:r w:rsidR="00E03F41">
        <w:rPr>
          <w:rFonts w:eastAsia="Times New Roman" w:cs="Arial"/>
          <w:sz w:val="20"/>
          <w:szCs w:val="20"/>
          <w:lang w:eastAsia="sl-SI"/>
        </w:rPr>
        <w:t>2</w:t>
      </w:r>
      <w:r w:rsidR="00783FCA">
        <w:rPr>
          <w:rFonts w:eastAsia="Times New Roman" w:cs="Arial"/>
          <w:sz w:val="20"/>
          <w:szCs w:val="20"/>
          <w:lang w:eastAsia="sl-SI"/>
        </w:rPr>
        <w:t>4</w:t>
      </w:r>
      <w:r w:rsidR="00E03F41">
        <w:rPr>
          <w:rFonts w:eastAsia="Times New Roman" w:cs="Arial"/>
          <w:sz w:val="20"/>
          <w:szCs w:val="20"/>
          <w:lang w:eastAsia="sl-SI"/>
        </w:rPr>
        <w:t>. 2. 2021</w:t>
      </w:r>
      <w:r>
        <w:rPr>
          <w:rFonts w:eastAsia="Times New Roman" w:cs="Arial"/>
          <w:sz w:val="20"/>
          <w:szCs w:val="20"/>
          <w:lang w:eastAsia="sl-SI"/>
        </w:rPr>
        <w:t xml:space="preserve"> </w:t>
      </w:r>
      <w:r w:rsidR="00FF5156" w:rsidRPr="00FF5156">
        <w:rPr>
          <w:rFonts w:eastAsia="Times New Roman" w:cs="Arial"/>
          <w:sz w:val="20"/>
          <w:szCs w:val="20"/>
          <w:lang w:eastAsia="sl-SI"/>
        </w:rPr>
        <w:t>objavljen na spletnem portalu E-demokracija</w:t>
      </w:r>
      <w:r w:rsidR="007B2AB5">
        <w:rPr>
          <w:rFonts w:eastAsia="Times New Roman" w:cs="Arial"/>
          <w:sz w:val="20"/>
          <w:szCs w:val="20"/>
          <w:lang w:eastAsia="sl-SI"/>
        </w:rPr>
        <w:t xml:space="preserve">, s čemer je bilo zainteresirani javnosti omogočeno, da </w:t>
      </w:r>
      <w:r w:rsidR="00783FCA">
        <w:rPr>
          <w:rFonts w:eastAsia="Times New Roman" w:cs="Arial"/>
          <w:sz w:val="20"/>
          <w:szCs w:val="20"/>
          <w:lang w:eastAsia="sl-SI"/>
        </w:rPr>
        <w:t xml:space="preserve">v roku 30 dni lahko </w:t>
      </w:r>
      <w:r w:rsidR="007B2AB5">
        <w:rPr>
          <w:rFonts w:eastAsia="Times New Roman" w:cs="Arial"/>
          <w:sz w:val="20"/>
          <w:szCs w:val="20"/>
          <w:lang w:eastAsia="sl-SI"/>
        </w:rPr>
        <w:t>poda pripombe</w:t>
      </w:r>
      <w:r w:rsidR="00D952D9">
        <w:rPr>
          <w:rFonts w:eastAsia="Times New Roman" w:cs="Arial"/>
          <w:sz w:val="20"/>
          <w:szCs w:val="20"/>
          <w:lang w:eastAsia="sl-SI"/>
        </w:rPr>
        <w:t xml:space="preserve">. </w:t>
      </w:r>
    </w:p>
    <w:p w14:paraId="79F9B595" w14:textId="77777777" w:rsidR="00D952D9" w:rsidRDefault="00D952D9" w:rsidP="00FF5156">
      <w:pPr>
        <w:spacing w:after="0" w:line="312" w:lineRule="auto"/>
        <w:rPr>
          <w:rFonts w:eastAsia="Times New Roman" w:cs="Arial"/>
          <w:sz w:val="20"/>
          <w:szCs w:val="20"/>
          <w:lang w:eastAsia="sl-SI"/>
        </w:rPr>
      </w:pPr>
    </w:p>
    <w:p w14:paraId="5C90983C" w14:textId="6EDD35A2" w:rsidR="00FF5156" w:rsidRDefault="00293C31" w:rsidP="00FF5156">
      <w:pPr>
        <w:spacing w:after="0" w:line="312" w:lineRule="auto"/>
        <w:rPr>
          <w:rFonts w:eastAsia="Times New Roman" w:cs="Arial"/>
          <w:sz w:val="20"/>
          <w:szCs w:val="20"/>
          <w:lang w:eastAsia="sl-SI"/>
        </w:rPr>
      </w:pPr>
      <w:r>
        <w:rPr>
          <w:rFonts w:eastAsia="Times New Roman" w:cs="Arial"/>
          <w:sz w:val="20"/>
          <w:szCs w:val="20"/>
          <w:lang w:eastAsia="sl-SI"/>
        </w:rPr>
        <w:t>Prejete pripombe, ki sta jih podali Banka Slovenije in Agencija za zavarovalni nazor, so v gradivu v največji možni meri upoštevane.</w:t>
      </w:r>
    </w:p>
    <w:p w14:paraId="1645CEF1" w14:textId="77777777" w:rsidR="00E03F41" w:rsidRDefault="00E03F41" w:rsidP="00FF5156">
      <w:pPr>
        <w:spacing w:after="0" w:line="312" w:lineRule="auto"/>
        <w:rPr>
          <w:rFonts w:eastAsia="Times New Roman" w:cs="Arial"/>
          <w:sz w:val="20"/>
          <w:szCs w:val="20"/>
          <w:lang w:eastAsia="sl-SI"/>
        </w:rPr>
      </w:pPr>
    </w:p>
    <w:p w14:paraId="322D0BE4" w14:textId="77777777" w:rsidR="00FF5156" w:rsidRPr="00FF5156" w:rsidRDefault="00FF5156" w:rsidP="00FF5156">
      <w:pPr>
        <w:spacing w:after="0" w:line="312" w:lineRule="auto"/>
        <w:rPr>
          <w:rFonts w:eastAsia="Times New Roman" w:cs="Arial"/>
          <w:sz w:val="20"/>
          <w:szCs w:val="20"/>
          <w:highlight w:val="yellow"/>
          <w:lang w:eastAsia="sl-SI"/>
        </w:rPr>
      </w:pPr>
    </w:p>
    <w:p w14:paraId="052DF85B" w14:textId="77777777" w:rsidR="00FF5156" w:rsidRPr="00FF5156" w:rsidRDefault="00FF5156" w:rsidP="00A96EA9">
      <w:pPr>
        <w:numPr>
          <w:ilvl w:val="0"/>
          <w:numId w:val="14"/>
        </w:numPr>
        <w:spacing w:after="0" w:line="312" w:lineRule="auto"/>
        <w:rPr>
          <w:rFonts w:eastAsia="Times New Roman" w:cs="Arial"/>
          <w:b/>
          <w:sz w:val="20"/>
          <w:szCs w:val="20"/>
          <w:lang w:eastAsia="sl-SI"/>
        </w:rPr>
      </w:pPr>
      <w:r w:rsidRPr="00FF5156">
        <w:rPr>
          <w:rFonts w:eastAsia="Times New Roman" w:cs="Arial"/>
          <w:b/>
          <w:sz w:val="20"/>
          <w:szCs w:val="20"/>
          <w:lang w:eastAsia="sl-SI"/>
        </w:rPr>
        <w:t>PODATEK O ZUNANJEM STROKOVNJAKU OZIROMA PRAVNI OSEBI, KI JE SODELOVALA PRI PRIPRAVI PREDLOGA ZAKONA (OSEBNO IME IN NAZIV FIZIČNE OSEBE ALI FIRMA IN NASLOV PRAVNE OSEBE)</w:t>
      </w:r>
    </w:p>
    <w:p w14:paraId="4F9D7C52" w14:textId="77777777" w:rsidR="00FF5156" w:rsidRPr="00FF5156" w:rsidRDefault="00FF5156" w:rsidP="00FF5156">
      <w:pPr>
        <w:tabs>
          <w:tab w:val="left" w:pos="426"/>
        </w:tabs>
        <w:spacing w:after="0" w:line="312" w:lineRule="auto"/>
        <w:ind w:left="360"/>
        <w:rPr>
          <w:rFonts w:eastAsia="Times New Roman" w:cs="Arial"/>
          <w:sz w:val="20"/>
          <w:szCs w:val="20"/>
          <w:lang w:eastAsia="sl-SI"/>
        </w:rPr>
      </w:pPr>
    </w:p>
    <w:p w14:paraId="67B737A5" w14:textId="241D7B6D" w:rsidR="00FF5156" w:rsidRPr="00FF5156" w:rsidRDefault="006B74CA" w:rsidP="00293C31">
      <w:pPr>
        <w:tabs>
          <w:tab w:val="left" w:pos="426"/>
        </w:tabs>
        <w:spacing w:after="0" w:line="312" w:lineRule="auto"/>
        <w:rPr>
          <w:rFonts w:eastAsia="Times New Roman" w:cs="Arial"/>
          <w:sz w:val="20"/>
          <w:szCs w:val="20"/>
          <w:lang w:eastAsia="sl-SI"/>
        </w:rPr>
      </w:pPr>
      <w:r>
        <w:rPr>
          <w:rFonts w:eastAsia="Times New Roman" w:cs="Arial"/>
          <w:sz w:val="20"/>
          <w:szCs w:val="20"/>
          <w:lang w:eastAsia="sl-SI"/>
        </w:rPr>
        <w:t xml:space="preserve">Pri pripravi predloga zakona </w:t>
      </w:r>
      <w:r w:rsidR="00A60B23">
        <w:rPr>
          <w:rFonts w:eastAsia="Times New Roman" w:cs="Arial"/>
          <w:sz w:val="20"/>
          <w:szCs w:val="20"/>
          <w:lang w:eastAsia="sl-SI"/>
        </w:rPr>
        <w:t>zunanji strokovnjak oziroma pravna oseba nista sodelovala.</w:t>
      </w:r>
    </w:p>
    <w:p w14:paraId="7ADE9752" w14:textId="77777777" w:rsidR="00FF5156" w:rsidRDefault="00FF5156" w:rsidP="00FF5156">
      <w:pPr>
        <w:spacing w:after="0" w:line="312" w:lineRule="auto"/>
        <w:rPr>
          <w:rFonts w:eastAsia="Times New Roman" w:cs="Arial"/>
          <w:sz w:val="20"/>
          <w:szCs w:val="20"/>
          <w:highlight w:val="yellow"/>
          <w:lang w:eastAsia="sl-SI"/>
        </w:rPr>
      </w:pPr>
    </w:p>
    <w:p w14:paraId="48601196" w14:textId="77777777" w:rsidR="006F2667" w:rsidRPr="00FF5156" w:rsidRDefault="006F2667" w:rsidP="00FF5156">
      <w:pPr>
        <w:spacing w:after="0" w:line="312" w:lineRule="auto"/>
        <w:rPr>
          <w:rFonts w:eastAsia="Times New Roman" w:cs="Arial"/>
          <w:sz w:val="20"/>
          <w:szCs w:val="20"/>
          <w:highlight w:val="yellow"/>
          <w:lang w:eastAsia="sl-SI"/>
        </w:rPr>
      </w:pPr>
    </w:p>
    <w:p w14:paraId="288F7771" w14:textId="77777777" w:rsidR="00FF5156" w:rsidRPr="00FF5156" w:rsidRDefault="00FF5156" w:rsidP="00FF5156">
      <w:pPr>
        <w:numPr>
          <w:ilvl w:val="0"/>
          <w:numId w:val="14"/>
        </w:numPr>
        <w:spacing w:after="0" w:line="312" w:lineRule="auto"/>
        <w:jc w:val="left"/>
        <w:rPr>
          <w:rFonts w:eastAsia="Times New Roman" w:cs="Arial"/>
          <w:b/>
          <w:sz w:val="20"/>
          <w:szCs w:val="20"/>
          <w:lang w:eastAsia="sl-SI"/>
        </w:rPr>
      </w:pPr>
      <w:r w:rsidRPr="00FF5156">
        <w:rPr>
          <w:rFonts w:eastAsia="Times New Roman" w:cs="Arial"/>
          <w:b/>
          <w:sz w:val="20"/>
          <w:szCs w:val="20"/>
          <w:lang w:eastAsia="sl-SI"/>
        </w:rPr>
        <w:t>ZNESEK PLAČILA, KI GA JE OSEBA IZ PREJŠNJE ALINEJE V TA NAMEN PREJELA</w:t>
      </w:r>
    </w:p>
    <w:p w14:paraId="22E5FCA0" w14:textId="77777777" w:rsidR="00FF5156" w:rsidRPr="00FF5156" w:rsidRDefault="00FF5156" w:rsidP="00FF5156">
      <w:pPr>
        <w:tabs>
          <w:tab w:val="left" w:pos="426"/>
        </w:tabs>
        <w:spacing w:after="0" w:line="312" w:lineRule="auto"/>
        <w:ind w:left="360"/>
        <w:rPr>
          <w:rFonts w:eastAsia="Times New Roman" w:cs="Arial"/>
          <w:sz w:val="20"/>
          <w:szCs w:val="20"/>
          <w:lang w:eastAsia="sl-SI"/>
        </w:rPr>
      </w:pPr>
    </w:p>
    <w:p w14:paraId="62E5B0E6" w14:textId="77777777" w:rsidR="00A60B23" w:rsidRPr="00FF5156" w:rsidRDefault="00A60B23" w:rsidP="00293C31">
      <w:pPr>
        <w:tabs>
          <w:tab w:val="left" w:pos="426"/>
        </w:tabs>
        <w:spacing w:after="0" w:line="312" w:lineRule="auto"/>
        <w:rPr>
          <w:rFonts w:eastAsia="Times New Roman" w:cs="Arial"/>
          <w:sz w:val="20"/>
          <w:szCs w:val="20"/>
          <w:lang w:eastAsia="sl-SI"/>
        </w:rPr>
      </w:pPr>
      <w:r>
        <w:rPr>
          <w:rFonts w:eastAsia="Times New Roman" w:cs="Arial"/>
          <w:sz w:val="20"/>
          <w:szCs w:val="20"/>
          <w:lang w:eastAsia="sl-SI"/>
        </w:rPr>
        <w:t>Pri pripravi predloga zakona zunanji strokovnjak oziroma pravna oseba nista sodelovala.</w:t>
      </w:r>
    </w:p>
    <w:p w14:paraId="6C19400B" w14:textId="20C05BC5" w:rsidR="00FF5156" w:rsidRDefault="00FF5156" w:rsidP="000A135E">
      <w:pPr>
        <w:tabs>
          <w:tab w:val="left" w:pos="426"/>
        </w:tabs>
        <w:spacing w:after="0" w:line="312" w:lineRule="auto"/>
        <w:ind w:left="360"/>
        <w:rPr>
          <w:rFonts w:eastAsia="Times New Roman" w:cs="Arial"/>
          <w:sz w:val="20"/>
          <w:szCs w:val="20"/>
          <w:lang w:eastAsia="sl-SI"/>
        </w:rPr>
      </w:pPr>
    </w:p>
    <w:p w14:paraId="5CB70B62" w14:textId="77777777" w:rsidR="006F2667" w:rsidRPr="00FF5156" w:rsidRDefault="006F2667" w:rsidP="00FF5156">
      <w:pPr>
        <w:spacing w:after="0" w:line="312" w:lineRule="auto"/>
        <w:rPr>
          <w:rFonts w:eastAsia="Times New Roman" w:cs="Arial"/>
          <w:sz w:val="20"/>
          <w:szCs w:val="20"/>
          <w:highlight w:val="yellow"/>
          <w:lang w:eastAsia="sl-SI"/>
        </w:rPr>
      </w:pPr>
    </w:p>
    <w:p w14:paraId="753C9D0B" w14:textId="77777777" w:rsidR="00FF5156" w:rsidRPr="00FF5156" w:rsidRDefault="00FF5156" w:rsidP="00A96EA9">
      <w:pPr>
        <w:numPr>
          <w:ilvl w:val="0"/>
          <w:numId w:val="14"/>
        </w:numPr>
        <w:spacing w:after="0" w:line="312" w:lineRule="auto"/>
        <w:rPr>
          <w:rFonts w:eastAsia="Times New Roman" w:cs="Arial"/>
          <w:b/>
          <w:sz w:val="20"/>
          <w:szCs w:val="20"/>
          <w:lang w:eastAsia="sl-SI"/>
        </w:rPr>
      </w:pPr>
      <w:r w:rsidRPr="00FF5156">
        <w:rPr>
          <w:rFonts w:eastAsia="Times New Roman" w:cs="Arial"/>
          <w:b/>
          <w:sz w:val="20"/>
          <w:szCs w:val="20"/>
          <w:lang w:eastAsia="sl-SI"/>
        </w:rPr>
        <w:t xml:space="preserve">NAVEDBA, KATERI PREDSTAVNIKI PREDLAGATELJA BODO SODELOVALI PRI DELU DRŽAVNEGA ZBORA IN DELOVNIH TELES </w:t>
      </w:r>
    </w:p>
    <w:p w14:paraId="3161A529" w14:textId="77777777" w:rsidR="00FF5156" w:rsidRPr="00FF5156" w:rsidRDefault="00FF5156" w:rsidP="00FF5156">
      <w:pPr>
        <w:spacing w:after="0" w:line="312" w:lineRule="auto"/>
        <w:rPr>
          <w:rFonts w:eastAsia="Times New Roman" w:cs="Arial"/>
          <w:sz w:val="20"/>
          <w:szCs w:val="20"/>
          <w:lang w:eastAsia="sl-SI"/>
        </w:rPr>
      </w:pPr>
    </w:p>
    <w:p w14:paraId="777854C9" w14:textId="77777777" w:rsidR="00A328B5" w:rsidRPr="0033077D" w:rsidRDefault="00A328B5" w:rsidP="00A328B5">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33077D">
        <w:rPr>
          <w:rFonts w:cs="Arial"/>
          <w:bCs/>
          <w:sz w:val="20"/>
          <w:szCs w:val="20"/>
          <w:lang w:eastAsia="sl-SI"/>
        </w:rPr>
        <w:t>mag. Andrej Šircelj, minister</w:t>
      </w:r>
    </w:p>
    <w:p w14:paraId="5E599E6D" w14:textId="77777777" w:rsidR="00A328B5" w:rsidRPr="0033077D" w:rsidRDefault="00A328B5" w:rsidP="00A328B5">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33077D">
        <w:rPr>
          <w:rFonts w:cs="Arial"/>
          <w:bCs/>
          <w:sz w:val="20"/>
          <w:szCs w:val="20"/>
          <w:lang w:eastAsia="sl-SI"/>
        </w:rPr>
        <w:t>mag. Kristina Šteblaj, državna sekretarka</w:t>
      </w:r>
    </w:p>
    <w:p w14:paraId="2F1F9BBB" w14:textId="77777777" w:rsidR="00A328B5" w:rsidRDefault="00A328B5" w:rsidP="00A328B5">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227618">
        <w:rPr>
          <w:rFonts w:cs="Arial"/>
          <w:bCs/>
          <w:sz w:val="20"/>
          <w:szCs w:val="20"/>
          <w:lang w:eastAsia="sl-SI"/>
        </w:rPr>
        <w:t>dr. Katja Lautar</w:t>
      </w:r>
      <w:r>
        <w:rPr>
          <w:rFonts w:cs="Arial"/>
          <w:bCs/>
          <w:sz w:val="20"/>
          <w:szCs w:val="20"/>
          <w:lang w:eastAsia="sl-SI"/>
        </w:rPr>
        <w:t xml:space="preserve">, </w:t>
      </w:r>
      <w:r w:rsidRPr="0033077D">
        <w:rPr>
          <w:rFonts w:cs="Arial"/>
          <w:bCs/>
          <w:sz w:val="20"/>
          <w:szCs w:val="20"/>
          <w:lang w:eastAsia="sl-SI"/>
        </w:rPr>
        <w:t>državna sekretarka</w:t>
      </w:r>
    </w:p>
    <w:p w14:paraId="6AA6307E" w14:textId="77777777" w:rsidR="00A328B5" w:rsidRDefault="00A328B5" w:rsidP="00A328B5">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227618">
        <w:rPr>
          <w:rFonts w:cs="Arial"/>
          <w:bCs/>
          <w:sz w:val="20"/>
          <w:szCs w:val="20"/>
          <w:lang w:eastAsia="sl-SI"/>
        </w:rPr>
        <w:t>mag. Maja Hostnik Kališek</w:t>
      </w:r>
      <w:r>
        <w:rPr>
          <w:rFonts w:cs="Arial"/>
          <w:bCs/>
          <w:sz w:val="20"/>
          <w:szCs w:val="20"/>
          <w:lang w:eastAsia="sl-SI"/>
        </w:rPr>
        <w:t xml:space="preserve">, </w:t>
      </w:r>
      <w:r w:rsidRPr="0033077D">
        <w:rPr>
          <w:rFonts w:cs="Arial"/>
          <w:bCs/>
          <w:sz w:val="20"/>
          <w:szCs w:val="20"/>
          <w:lang w:eastAsia="sl-SI"/>
        </w:rPr>
        <w:t>državna sekretarka</w:t>
      </w:r>
    </w:p>
    <w:p w14:paraId="049F50A2" w14:textId="77777777" w:rsidR="00A328B5" w:rsidRPr="0036390C" w:rsidRDefault="00A328B5" w:rsidP="00A328B5">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Pr>
          <w:rFonts w:cs="Arial"/>
          <w:bCs/>
          <w:sz w:val="20"/>
          <w:szCs w:val="20"/>
          <w:lang w:eastAsia="sl-SI"/>
        </w:rPr>
        <w:t>mag. Marjan Divjak, generalni direktor Direktorata za zakladništvo</w:t>
      </w:r>
    </w:p>
    <w:p w14:paraId="6EE4F7D1" w14:textId="77777777" w:rsidR="00A328B5" w:rsidRPr="0033077D" w:rsidRDefault="00A328B5" w:rsidP="00A328B5">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33077D">
        <w:rPr>
          <w:rFonts w:cs="Arial"/>
          <w:bCs/>
          <w:sz w:val="20"/>
          <w:szCs w:val="20"/>
          <w:lang w:eastAsia="sl-SI"/>
        </w:rPr>
        <w:t>Urška Cvelbar, generalna direktorica Direktorata za finančni sistem</w:t>
      </w:r>
    </w:p>
    <w:p w14:paraId="61040A21" w14:textId="70DA881C" w:rsidR="00A328B5" w:rsidRDefault="00A328B5" w:rsidP="00A328B5">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Pr>
          <w:rFonts w:cs="Arial"/>
          <w:bCs/>
          <w:sz w:val="20"/>
          <w:szCs w:val="20"/>
          <w:lang w:eastAsia="sl-SI"/>
        </w:rPr>
        <w:t>Miha Pogačar</w:t>
      </w:r>
      <w:r w:rsidRPr="0031613F">
        <w:rPr>
          <w:rFonts w:cs="Arial"/>
          <w:bCs/>
          <w:sz w:val="20"/>
          <w:szCs w:val="20"/>
          <w:lang w:eastAsia="sl-SI"/>
        </w:rPr>
        <w:t xml:space="preserve">, </w:t>
      </w:r>
      <w:r>
        <w:rPr>
          <w:rFonts w:cs="Arial"/>
          <w:bCs/>
          <w:sz w:val="20"/>
          <w:szCs w:val="20"/>
          <w:lang w:eastAsia="sl-SI"/>
        </w:rPr>
        <w:t xml:space="preserve">vodja </w:t>
      </w:r>
      <w:r w:rsidRPr="0031613F">
        <w:rPr>
          <w:rFonts w:cs="Arial"/>
          <w:bCs/>
          <w:sz w:val="20"/>
          <w:szCs w:val="20"/>
          <w:lang w:eastAsia="sl-SI"/>
        </w:rPr>
        <w:t>Sektorj</w:t>
      </w:r>
      <w:r>
        <w:rPr>
          <w:rFonts w:cs="Arial"/>
          <w:bCs/>
          <w:sz w:val="20"/>
          <w:szCs w:val="20"/>
          <w:lang w:eastAsia="sl-SI"/>
        </w:rPr>
        <w:t>a za bančništvo</w:t>
      </w:r>
    </w:p>
    <w:p w14:paraId="0AA49056" w14:textId="2C3A112B" w:rsidR="0085491B" w:rsidRPr="0031613F" w:rsidRDefault="0085491B" w:rsidP="00A328B5">
      <w:pPr>
        <w:numPr>
          <w:ilvl w:val="0"/>
          <w:numId w:val="5"/>
        </w:numPr>
        <w:overflowPunct w:val="0"/>
        <w:autoSpaceDE w:val="0"/>
        <w:autoSpaceDN w:val="0"/>
        <w:adjustRightInd w:val="0"/>
        <w:spacing w:after="0" w:line="288" w:lineRule="auto"/>
        <w:jc w:val="left"/>
        <w:textAlignment w:val="baseline"/>
        <w:rPr>
          <w:rFonts w:cs="Arial"/>
          <w:bCs/>
          <w:sz w:val="20"/>
          <w:szCs w:val="20"/>
          <w:lang w:eastAsia="sl-SI"/>
        </w:rPr>
      </w:pPr>
      <w:r w:rsidRPr="00A328B5">
        <w:rPr>
          <w:rFonts w:cs="Arial"/>
          <w:bCs/>
          <w:sz w:val="20"/>
          <w:szCs w:val="20"/>
          <w:lang w:eastAsia="sl-SI"/>
        </w:rPr>
        <w:t>mag. Robert Petek, sekretar</w:t>
      </w:r>
    </w:p>
    <w:p w14:paraId="1C898D53" w14:textId="577E8826" w:rsidR="00FF5156" w:rsidRPr="00FF5156" w:rsidRDefault="00FF5156" w:rsidP="0085491B">
      <w:pPr>
        <w:pStyle w:val="Odstavekseznama"/>
        <w:spacing w:after="160" w:line="312" w:lineRule="auto"/>
        <w:ind w:left="360"/>
        <w:jc w:val="left"/>
        <w:rPr>
          <w:rFonts w:eastAsia="Times New Roman" w:cs="Arial"/>
          <w:sz w:val="20"/>
          <w:szCs w:val="20"/>
          <w:highlight w:val="yellow"/>
          <w:lang w:eastAsia="sl-SI"/>
        </w:rPr>
      </w:pPr>
      <w:r w:rsidRPr="00A328B5">
        <w:rPr>
          <w:rFonts w:ascii="Calibri" w:eastAsia="Calibri" w:hAnsi="Calibri" w:cs="Arial"/>
          <w:sz w:val="20"/>
          <w:szCs w:val="20"/>
          <w:lang w:eastAsia="sl-SI"/>
        </w:rPr>
        <w:br w:type="page"/>
      </w:r>
    </w:p>
    <w:p w14:paraId="1FB9AF39" w14:textId="77777777" w:rsidR="0085491B" w:rsidRPr="00523BB4" w:rsidRDefault="0085491B" w:rsidP="0085491B">
      <w:pPr>
        <w:spacing w:after="160" w:line="312" w:lineRule="auto"/>
        <w:jc w:val="left"/>
        <w:rPr>
          <w:rFonts w:eastAsia="Times New Roman" w:cs="Arial"/>
          <w:b/>
          <w:sz w:val="20"/>
          <w:szCs w:val="20"/>
          <w:lang w:eastAsia="sl-SI"/>
        </w:rPr>
      </w:pPr>
      <w:r w:rsidRPr="00523BB4">
        <w:rPr>
          <w:rFonts w:eastAsia="Times New Roman" w:cs="Arial"/>
          <w:b/>
          <w:sz w:val="20"/>
          <w:szCs w:val="20"/>
          <w:lang w:eastAsia="sl-SI"/>
        </w:rPr>
        <w:lastRenderedPageBreak/>
        <w:t>II. BESEDILO ČLENOV</w:t>
      </w:r>
    </w:p>
    <w:p w14:paraId="3183F29A" w14:textId="77777777" w:rsidR="0085491B" w:rsidRPr="00FF5156"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DFED011" w14:textId="77777777" w:rsidR="0085491B" w:rsidRDefault="0085491B" w:rsidP="0085491B">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2380F904" w14:textId="77777777" w:rsidR="0085491B" w:rsidRPr="00FF5156" w:rsidRDefault="0085491B" w:rsidP="0085491B">
      <w:pPr>
        <w:overflowPunct w:val="0"/>
        <w:autoSpaceDE w:val="0"/>
        <w:autoSpaceDN w:val="0"/>
        <w:adjustRightInd w:val="0"/>
        <w:spacing w:after="0" w:line="312" w:lineRule="auto"/>
        <w:ind w:left="284"/>
        <w:contextualSpacing/>
        <w:textAlignment w:val="baseline"/>
        <w:rPr>
          <w:rFonts w:eastAsia="Calibri" w:cs="Arial"/>
          <w:b/>
          <w:color w:val="000000"/>
          <w:sz w:val="20"/>
          <w:szCs w:val="20"/>
          <w:lang w:eastAsia="en-US"/>
        </w:rPr>
      </w:pPr>
    </w:p>
    <w:p w14:paraId="25DDC3F4" w14:textId="729DF355" w:rsidR="0085491B" w:rsidRPr="00FF5156"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V </w:t>
      </w:r>
      <w:r w:rsidRPr="001300E1">
        <w:rPr>
          <w:rFonts w:eastAsia="Calibri" w:cs="Arial"/>
          <w:color w:val="000000"/>
          <w:sz w:val="20"/>
          <w:szCs w:val="20"/>
          <w:lang w:eastAsia="en-US"/>
        </w:rPr>
        <w:t>Zakon</w:t>
      </w:r>
      <w:r>
        <w:rPr>
          <w:rFonts w:eastAsia="Calibri" w:cs="Arial"/>
          <w:color w:val="000000"/>
          <w:sz w:val="20"/>
          <w:szCs w:val="20"/>
          <w:lang w:eastAsia="en-US"/>
        </w:rPr>
        <w:t>u</w:t>
      </w:r>
      <w:r w:rsidRPr="001300E1">
        <w:rPr>
          <w:rFonts w:eastAsia="Calibri" w:cs="Arial"/>
          <w:color w:val="000000"/>
          <w:sz w:val="20"/>
          <w:szCs w:val="20"/>
          <w:lang w:eastAsia="en-US"/>
        </w:rPr>
        <w:t xml:space="preserve"> o sistemu jamstva za vloge (Uradni list RS, št. 27/16) </w:t>
      </w:r>
      <w:r>
        <w:rPr>
          <w:rFonts w:eastAsia="Calibri" w:cs="Arial"/>
          <w:color w:val="000000"/>
          <w:sz w:val="20"/>
          <w:szCs w:val="20"/>
          <w:lang w:eastAsia="en-US"/>
        </w:rPr>
        <w:t xml:space="preserve">se v 2. členu </w:t>
      </w:r>
      <w:r w:rsidR="00C60DAB">
        <w:rPr>
          <w:rFonts w:eastAsia="Calibri" w:cs="Arial"/>
          <w:color w:val="000000"/>
          <w:sz w:val="20"/>
          <w:szCs w:val="20"/>
          <w:lang w:eastAsia="en-US"/>
        </w:rPr>
        <w:t>besedilo »</w:t>
      </w:r>
      <w:r w:rsidR="00A33734" w:rsidRPr="00A33734">
        <w:rPr>
          <w:sz w:val="20"/>
          <w:szCs w:val="20"/>
        </w:rPr>
        <w:t>Direktiva 2014/49/EU Evropskega parlamenta in Sveta z dne 16. aprila 2014 o sistemih jamstva za vloge (UL L št. 173 z dne 12. junija 2014, str. 149, v nadaljnjem besedilu: Direktiva 2014/49/EU)</w:t>
      </w:r>
      <w:r w:rsidR="00A33734">
        <w:rPr>
          <w:sz w:val="20"/>
          <w:szCs w:val="20"/>
        </w:rPr>
        <w:t>«</w:t>
      </w:r>
      <w:r w:rsidR="00A33734">
        <w:t xml:space="preserve"> </w:t>
      </w:r>
      <w:r w:rsidR="00C60DAB">
        <w:rPr>
          <w:rFonts w:eastAsia="Calibri" w:cs="Arial"/>
          <w:color w:val="000000"/>
          <w:sz w:val="20"/>
          <w:szCs w:val="20"/>
          <w:lang w:eastAsia="en-US"/>
        </w:rPr>
        <w:t xml:space="preserve">nadomesti z besedilom »Direktiva 2014/49/EU Evropskega parlamenta in Sveta z dne 16. aprila 2014 o sistemih jamstva za vloge (UL </w:t>
      </w:r>
      <w:r w:rsidR="00A73537">
        <w:rPr>
          <w:rFonts w:eastAsia="Calibri" w:cs="Arial"/>
          <w:color w:val="000000"/>
          <w:sz w:val="20"/>
          <w:szCs w:val="20"/>
          <w:lang w:eastAsia="en-US"/>
        </w:rPr>
        <w:t>L</w:t>
      </w:r>
      <w:r w:rsidR="00C60DAB">
        <w:rPr>
          <w:rFonts w:eastAsia="Calibri" w:cs="Arial"/>
          <w:color w:val="000000"/>
          <w:sz w:val="20"/>
          <w:szCs w:val="20"/>
          <w:lang w:eastAsia="en-US"/>
        </w:rPr>
        <w:t xml:space="preserve"> št. 173 z dne 12. junija 2014</w:t>
      </w:r>
      <w:r w:rsidR="00A73537">
        <w:rPr>
          <w:rFonts w:eastAsia="Calibri" w:cs="Arial"/>
          <w:color w:val="000000"/>
          <w:sz w:val="20"/>
          <w:szCs w:val="20"/>
          <w:lang w:eastAsia="en-US"/>
        </w:rPr>
        <w:t>, str. 149</w:t>
      </w:r>
      <w:r w:rsidR="00C60DAB">
        <w:rPr>
          <w:rFonts w:eastAsia="Calibri" w:cs="Arial"/>
          <w:color w:val="000000"/>
          <w:sz w:val="20"/>
          <w:szCs w:val="20"/>
          <w:lang w:eastAsia="en-US"/>
        </w:rPr>
        <w:t>), zadnjič popravljena s Popravkom (UL L št. 309 z dne 30. oktobra 2014, str. 37), (v nadaljnjem besedilu: Direktiva 2014/49/EU)«.</w:t>
      </w:r>
    </w:p>
    <w:p w14:paraId="47B335A4" w14:textId="3D98A729"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bookmarkStart w:id="1" w:name="_Hlk56872852"/>
    </w:p>
    <w:p w14:paraId="245192F6" w14:textId="77777777" w:rsidR="00BA256C" w:rsidRDefault="00BA256C"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11DB1CA" w14:textId="77777777" w:rsidR="0085491B" w:rsidRDefault="0085491B" w:rsidP="0085491B">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24CC0DF" w14:textId="64AB1783" w:rsidR="00B83C7C" w:rsidRDefault="00C60DA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 </w:t>
      </w:r>
      <w:r w:rsidR="00BF61D9">
        <w:rPr>
          <w:rFonts w:eastAsia="Calibri" w:cs="Arial"/>
          <w:color w:val="000000"/>
          <w:sz w:val="20"/>
          <w:szCs w:val="20"/>
          <w:lang w:eastAsia="en-US"/>
        </w:rPr>
        <w:t xml:space="preserve"> </w:t>
      </w:r>
    </w:p>
    <w:p w14:paraId="03C67A26" w14:textId="12B1E6EB" w:rsidR="00B83C7C" w:rsidRDefault="00B83C7C"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 3. členu se v prvem odstavku 5. točka spremeni tako, da se glasi:</w:t>
      </w:r>
    </w:p>
    <w:p w14:paraId="4DF46F2E" w14:textId="77777777" w:rsidR="007616DB" w:rsidRDefault="007616D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3A3A4B9" w14:textId="318AA8CF" w:rsidR="0085491B" w:rsidRDefault="00B83C7C"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»5. »organ za reševanje« je organ države članice, ki je pooblaščen in odgovoren za uporabo instrumentov za reševanje in izvajanje pooblastil za reševanje tako kot je določeno v </w:t>
      </w:r>
      <w:r w:rsidRPr="00C60DAB">
        <w:rPr>
          <w:sz w:val="20"/>
          <w:szCs w:val="20"/>
        </w:rPr>
        <w:t>Direktivi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junija 2014, str. 190</w:t>
      </w:r>
      <w:r>
        <w:rPr>
          <w:sz w:val="20"/>
          <w:szCs w:val="20"/>
        </w:rPr>
        <w:t>)</w:t>
      </w:r>
      <w:r w:rsidRPr="00C60DAB">
        <w:rPr>
          <w:sz w:val="20"/>
          <w:szCs w:val="20"/>
        </w:rPr>
        <w:t xml:space="preserve">, </w:t>
      </w:r>
      <w:r>
        <w:rPr>
          <w:sz w:val="20"/>
          <w:szCs w:val="20"/>
        </w:rPr>
        <w:t>zadnjič spremenjeni z Direktivo 2019/2162/EU Evropskega parlamenta in Sveta z dne 27. novembra 2019 o izdajanju kritih obveznic in javnem nadzoru kritih obveznic ter o spremembi direktiv 2009/65/ES in 2014/59/EU (UL L št. 328 z dne 18. decembra 2019, str. 29), zadnjič popravljen</w:t>
      </w:r>
      <w:r w:rsidR="007616DB">
        <w:rPr>
          <w:sz w:val="20"/>
          <w:szCs w:val="20"/>
        </w:rPr>
        <w:t>i</w:t>
      </w:r>
      <w:r>
        <w:rPr>
          <w:sz w:val="20"/>
          <w:szCs w:val="20"/>
        </w:rPr>
        <w:t xml:space="preserve"> s Popravkom (UL L št. 283 z dne z dne 31. avgusta 2020, str. 2), (v nadaljnjem besedilu: Direktiva 2014/59/EU) in </w:t>
      </w:r>
      <w:r w:rsidR="00896BB5">
        <w:rPr>
          <w:rFonts w:eastAsia="Calibri" w:cs="Arial"/>
          <w:color w:val="000000"/>
          <w:sz w:val="20"/>
          <w:szCs w:val="20"/>
          <w:lang w:eastAsia="en-US"/>
        </w:rPr>
        <w:t>Uredbi (EU) št. 806/2014 Evropskega parlamenta in Sveta z dne 15. ju</w:t>
      </w:r>
      <w:r w:rsidR="006A5B36">
        <w:rPr>
          <w:rFonts w:eastAsia="Calibri" w:cs="Arial"/>
          <w:color w:val="000000"/>
          <w:sz w:val="20"/>
          <w:szCs w:val="20"/>
          <w:lang w:eastAsia="en-US"/>
        </w:rPr>
        <w:t>l</w:t>
      </w:r>
      <w:r w:rsidR="00896BB5">
        <w:rPr>
          <w:rFonts w:eastAsia="Calibri" w:cs="Arial"/>
          <w:color w:val="000000"/>
          <w:sz w:val="20"/>
          <w:szCs w:val="20"/>
          <w:lang w:eastAsia="en-US"/>
        </w:rPr>
        <w:t>ija 2014 o določitvi enotnih pravil in enotnega postopka za reševanje kreditnih institucij in določenih investicijskih podjetij v okviru enotnega mehanizma za reševanje in enotnega sklada za reševanje ter spremembi Uredbe (EU) št. 1093/2010 (</w:t>
      </w:r>
      <w:r w:rsidR="00F65D0A">
        <w:rPr>
          <w:rFonts w:eastAsia="Calibri" w:cs="Arial"/>
          <w:color w:val="000000"/>
          <w:sz w:val="20"/>
          <w:szCs w:val="20"/>
          <w:lang w:eastAsia="en-US"/>
        </w:rPr>
        <w:t xml:space="preserve">UL L </w:t>
      </w:r>
      <w:r w:rsidR="00896BB5">
        <w:rPr>
          <w:rFonts w:eastAsia="Calibri" w:cs="Arial"/>
          <w:color w:val="000000"/>
          <w:sz w:val="20"/>
          <w:szCs w:val="20"/>
          <w:lang w:eastAsia="en-US"/>
        </w:rPr>
        <w:t xml:space="preserve">št. 225 z dne 30. julija 2014, str.1), </w:t>
      </w:r>
      <w:r w:rsidR="00D01463">
        <w:rPr>
          <w:rFonts w:eastAsia="Calibri" w:cs="Arial"/>
          <w:color w:val="000000"/>
          <w:sz w:val="20"/>
          <w:szCs w:val="20"/>
          <w:lang w:eastAsia="en-US"/>
        </w:rPr>
        <w:t xml:space="preserve">zadnjič </w:t>
      </w:r>
      <w:r w:rsidR="00896BB5">
        <w:rPr>
          <w:rFonts w:eastAsia="Calibri" w:cs="Arial"/>
          <w:color w:val="000000"/>
          <w:sz w:val="20"/>
          <w:szCs w:val="20"/>
          <w:lang w:eastAsia="en-US"/>
        </w:rPr>
        <w:t>popravljen</w:t>
      </w:r>
      <w:r w:rsidR="00D01463">
        <w:rPr>
          <w:rFonts w:eastAsia="Calibri" w:cs="Arial"/>
          <w:color w:val="000000"/>
          <w:sz w:val="20"/>
          <w:szCs w:val="20"/>
          <w:lang w:eastAsia="en-US"/>
        </w:rPr>
        <w:t>i</w:t>
      </w:r>
      <w:r w:rsidR="00896BB5">
        <w:rPr>
          <w:rFonts w:eastAsia="Calibri" w:cs="Arial"/>
          <w:color w:val="000000"/>
          <w:sz w:val="20"/>
          <w:szCs w:val="20"/>
          <w:lang w:eastAsia="en-US"/>
        </w:rPr>
        <w:t xml:space="preserve"> s Popravkom (U</w:t>
      </w:r>
      <w:r w:rsidR="00D01845">
        <w:rPr>
          <w:rFonts w:eastAsia="Calibri" w:cs="Arial"/>
          <w:color w:val="000000"/>
          <w:sz w:val="20"/>
          <w:szCs w:val="20"/>
          <w:lang w:eastAsia="en-US"/>
        </w:rPr>
        <w:t xml:space="preserve">L </w:t>
      </w:r>
      <w:r w:rsidR="00896BB5">
        <w:rPr>
          <w:rFonts w:eastAsia="Calibri" w:cs="Arial"/>
          <w:color w:val="000000"/>
          <w:sz w:val="20"/>
          <w:szCs w:val="20"/>
          <w:lang w:eastAsia="en-US"/>
        </w:rPr>
        <w:t>L št. 154 z dne 12. junija 2019, str.</w:t>
      </w:r>
      <w:r w:rsidR="007753EA">
        <w:rPr>
          <w:rFonts w:eastAsia="Calibri" w:cs="Arial"/>
          <w:color w:val="000000"/>
          <w:sz w:val="20"/>
          <w:szCs w:val="20"/>
          <w:lang w:eastAsia="en-US"/>
        </w:rPr>
        <w:t xml:space="preserve"> </w:t>
      </w:r>
      <w:r w:rsidR="00896BB5">
        <w:rPr>
          <w:rFonts w:eastAsia="Calibri" w:cs="Arial"/>
          <w:color w:val="000000"/>
          <w:sz w:val="20"/>
          <w:szCs w:val="20"/>
          <w:lang w:eastAsia="en-US"/>
        </w:rPr>
        <w:t>48)</w:t>
      </w:r>
      <w:r>
        <w:rPr>
          <w:rFonts w:eastAsia="Calibri" w:cs="Arial"/>
          <w:color w:val="000000"/>
          <w:sz w:val="20"/>
          <w:szCs w:val="20"/>
          <w:lang w:eastAsia="en-US"/>
        </w:rPr>
        <w:t xml:space="preserve">, </w:t>
      </w:r>
      <w:r w:rsidR="0058635D" w:rsidRPr="0058635D">
        <w:rPr>
          <w:rFonts w:eastAsia="Calibri" w:cs="Arial"/>
          <w:color w:val="000000"/>
          <w:sz w:val="20"/>
          <w:szCs w:val="20"/>
          <w:lang w:eastAsia="en-US"/>
        </w:rPr>
        <w:t>vključno z enotnim odborom za reševanje, kadar izvaja pristojnosti in naloge organa za reševanje, ter v Republiki Sloveniji pomeni Banko Slovenije, kadar izvaja pristojnosti in naloge v zvezi z reševanjem na podlagi predpisov, ki v pravni red Republike Slovenije prenašajo Direktivo 2014/59/EU</w:t>
      </w:r>
      <w:r>
        <w:rPr>
          <w:rFonts w:eastAsia="Calibri" w:cs="Arial"/>
          <w:color w:val="000000"/>
          <w:sz w:val="20"/>
          <w:szCs w:val="20"/>
          <w:lang w:eastAsia="en-US"/>
        </w:rPr>
        <w:t>;«</w:t>
      </w:r>
      <w:r w:rsidR="00896BB5">
        <w:rPr>
          <w:rFonts w:eastAsia="Calibri" w:cs="Arial"/>
          <w:color w:val="000000"/>
          <w:sz w:val="20"/>
          <w:szCs w:val="20"/>
          <w:lang w:eastAsia="en-US"/>
        </w:rPr>
        <w:t>.</w:t>
      </w:r>
      <w:r w:rsidR="00BF61D9">
        <w:rPr>
          <w:rFonts w:eastAsia="Calibri" w:cs="Arial"/>
          <w:color w:val="000000"/>
          <w:sz w:val="20"/>
          <w:szCs w:val="20"/>
          <w:lang w:eastAsia="en-US"/>
        </w:rPr>
        <w:t xml:space="preserve"> </w:t>
      </w:r>
    </w:p>
    <w:p w14:paraId="47719A23" w14:textId="77777777" w:rsidR="00BF61D9" w:rsidRDefault="00BF61D9"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89A5B99" w14:textId="48A69F23" w:rsidR="00BA256C" w:rsidRDefault="00BA256C"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 6. točki se besedilo »</w:t>
      </w:r>
      <w:r w:rsidRPr="00BA256C">
        <w:rPr>
          <w:rFonts w:eastAsia="Calibri" w:cs="Arial"/>
          <w:color w:val="000000"/>
          <w:sz w:val="20"/>
          <w:szCs w:val="20"/>
          <w:lang w:eastAsia="en-US"/>
        </w:rPr>
        <w:t>storitve in sisteme</w:t>
      </w:r>
      <w:r>
        <w:rPr>
          <w:rFonts w:eastAsia="Calibri" w:cs="Arial"/>
          <w:color w:val="000000"/>
          <w:sz w:val="20"/>
          <w:szCs w:val="20"/>
          <w:lang w:eastAsia="en-US"/>
        </w:rPr>
        <w:t>« nadomesti z besedilom »</w:t>
      </w:r>
      <w:r w:rsidRPr="00BA256C">
        <w:rPr>
          <w:rFonts w:eastAsia="Calibri" w:cs="Arial"/>
          <w:color w:val="000000"/>
          <w:sz w:val="20"/>
          <w:szCs w:val="20"/>
          <w:lang w:eastAsia="en-US"/>
        </w:rPr>
        <w:t>storitve, storitve izdajanja elektronskega denarja in plačilne sisteme</w:t>
      </w:r>
      <w:r w:rsidR="00800EE3">
        <w:rPr>
          <w:rFonts w:eastAsia="Calibri" w:cs="Arial"/>
          <w:color w:val="000000"/>
          <w:sz w:val="20"/>
          <w:szCs w:val="20"/>
          <w:lang w:eastAsia="en-US"/>
        </w:rPr>
        <w:t>«.</w:t>
      </w:r>
    </w:p>
    <w:p w14:paraId="3B33EDB0" w14:textId="77777777" w:rsidR="008B3028" w:rsidRDefault="008B3028"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7F3318A" w14:textId="3E574CDF"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V drugem odstavku se </w:t>
      </w:r>
      <w:r w:rsidR="00DB19F8">
        <w:rPr>
          <w:rFonts w:eastAsia="Calibri" w:cs="Arial"/>
          <w:color w:val="000000"/>
          <w:sz w:val="20"/>
          <w:szCs w:val="20"/>
          <w:lang w:eastAsia="en-US"/>
        </w:rPr>
        <w:t>b</w:t>
      </w:r>
      <w:r w:rsidR="00896BB5">
        <w:rPr>
          <w:rFonts w:eastAsia="Calibri" w:cs="Arial"/>
          <w:color w:val="000000"/>
          <w:sz w:val="20"/>
          <w:szCs w:val="20"/>
          <w:lang w:eastAsia="en-US"/>
        </w:rPr>
        <w:t>esedilo »Uredbi</w:t>
      </w:r>
      <w:r w:rsidR="00DB19F8">
        <w:rPr>
          <w:rFonts w:eastAsia="Calibri" w:cs="Arial"/>
          <w:color w:val="000000"/>
          <w:sz w:val="20"/>
          <w:szCs w:val="20"/>
          <w:lang w:eastAsia="en-US"/>
        </w:rPr>
        <w:t xml:space="preserve"> (EU) št. 575/2013 Evropskega parlamenta in Sveta z dne 26. junij</w:t>
      </w:r>
      <w:r w:rsidR="00FA4EA8">
        <w:rPr>
          <w:rFonts w:eastAsia="Calibri" w:cs="Arial"/>
          <w:color w:val="000000"/>
          <w:sz w:val="20"/>
          <w:szCs w:val="20"/>
          <w:lang w:eastAsia="en-US"/>
        </w:rPr>
        <w:t>a</w:t>
      </w:r>
      <w:r w:rsidR="00DB19F8">
        <w:rPr>
          <w:rFonts w:eastAsia="Calibri" w:cs="Arial"/>
          <w:color w:val="000000"/>
          <w:sz w:val="20"/>
          <w:szCs w:val="20"/>
          <w:lang w:eastAsia="en-US"/>
        </w:rPr>
        <w:t xml:space="preserve"> 2013 o bonitetnih zahtevah za kreditne institucije in investicijska podjetja ter o spremembi Uredbe (EU) št. 648/2012 (UL L št. 176 </w:t>
      </w:r>
      <w:r w:rsidR="006C6BA6">
        <w:rPr>
          <w:rFonts w:eastAsia="Calibri" w:cs="Arial"/>
          <w:color w:val="000000"/>
          <w:sz w:val="20"/>
          <w:szCs w:val="20"/>
          <w:lang w:eastAsia="en-US"/>
        </w:rPr>
        <w:t xml:space="preserve">z </w:t>
      </w:r>
      <w:r w:rsidR="00DB19F8">
        <w:rPr>
          <w:rFonts w:eastAsia="Calibri" w:cs="Arial"/>
          <w:color w:val="000000"/>
          <w:sz w:val="20"/>
          <w:szCs w:val="20"/>
          <w:lang w:eastAsia="en-US"/>
        </w:rPr>
        <w:t xml:space="preserve">dne 27. junija 2013, str. 1, </w:t>
      </w:r>
      <w:r w:rsidR="006C6BA6">
        <w:rPr>
          <w:rFonts w:eastAsia="Calibri" w:cs="Arial"/>
          <w:color w:val="000000"/>
          <w:sz w:val="20"/>
          <w:szCs w:val="20"/>
          <w:lang w:eastAsia="en-US"/>
        </w:rPr>
        <w:t xml:space="preserve">v  </w:t>
      </w:r>
      <w:r w:rsidR="00DB19F8">
        <w:rPr>
          <w:rFonts w:eastAsia="Calibri" w:cs="Arial"/>
          <w:color w:val="000000"/>
          <w:sz w:val="20"/>
          <w:szCs w:val="20"/>
          <w:lang w:eastAsia="en-US"/>
        </w:rPr>
        <w:t>na</w:t>
      </w:r>
      <w:r w:rsidR="00FB39ED">
        <w:rPr>
          <w:rFonts w:eastAsia="Calibri" w:cs="Arial"/>
          <w:color w:val="000000"/>
          <w:sz w:val="20"/>
          <w:szCs w:val="20"/>
          <w:lang w:eastAsia="en-US"/>
        </w:rPr>
        <w:t>da</w:t>
      </w:r>
      <w:r w:rsidR="00DB19F8">
        <w:rPr>
          <w:rFonts w:eastAsia="Calibri" w:cs="Arial"/>
          <w:color w:val="000000"/>
          <w:sz w:val="20"/>
          <w:szCs w:val="20"/>
          <w:lang w:eastAsia="en-US"/>
        </w:rPr>
        <w:t>ljnjem besedilu</w:t>
      </w:r>
      <w:r w:rsidR="00847547">
        <w:rPr>
          <w:rFonts w:eastAsia="Calibri" w:cs="Arial"/>
          <w:color w:val="000000"/>
          <w:sz w:val="20"/>
          <w:szCs w:val="20"/>
          <w:lang w:eastAsia="en-US"/>
        </w:rPr>
        <w:t>:</w:t>
      </w:r>
      <w:r w:rsidR="00DB19F8">
        <w:rPr>
          <w:rFonts w:eastAsia="Calibri" w:cs="Arial"/>
          <w:color w:val="000000"/>
          <w:sz w:val="20"/>
          <w:szCs w:val="20"/>
          <w:lang w:eastAsia="en-US"/>
        </w:rPr>
        <w:t xml:space="preserve"> Uredba (EU) št. 575/2013</w:t>
      </w:r>
      <w:r w:rsidR="00FB39ED">
        <w:rPr>
          <w:rFonts w:eastAsia="Calibri" w:cs="Arial"/>
          <w:color w:val="000000"/>
          <w:sz w:val="20"/>
          <w:szCs w:val="20"/>
          <w:lang w:eastAsia="en-US"/>
        </w:rPr>
        <w:t>)« nadomesti z besedilom »</w:t>
      </w:r>
      <w:r w:rsidR="008B3028" w:rsidRPr="008B3028">
        <w:rPr>
          <w:rFonts w:eastAsia="Calibri" w:cs="Arial"/>
          <w:color w:val="000000"/>
          <w:sz w:val="20"/>
          <w:szCs w:val="20"/>
          <w:lang w:eastAsia="en-US"/>
        </w:rPr>
        <w:t xml:space="preserve">Uredbi (EU) št. 575/2013 Evropskega parlamenta in Sveta z dne 26. junija 2013 o bonitetnih zahtevah za kreditne institucije in investicijska podjetja ter o spremembi Uredbe (EU) št. 648/2012 (UL L št. 176 z dne 27. junija 2013, str. 1), zadnjič spremenjeni z Izvedbeno uredbo Komisije (EU) 2021/1043 z dne 24. junija 2021 o podaljšanju prehodnih določb iz Uredbe (EU) št. 575/2013 Evropskega parlamenta in Sveta v zvezi s kapitalskimi zahtevami za izpostavljenosti do </w:t>
      </w:r>
      <w:r w:rsidR="008B3028" w:rsidRPr="008B3028">
        <w:rPr>
          <w:rFonts w:eastAsia="Calibri" w:cs="Arial"/>
          <w:color w:val="000000"/>
          <w:sz w:val="20"/>
          <w:szCs w:val="20"/>
          <w:lang w:eastAsia="en-US"/>
        </w:rPr>
        <w:lastRenderedPageBreak/>
        <w:t>centralnih nasprotnih strank (UL L št. 225 z dne 25. junija 2021, str. 52), zadnjič popravljeni s Popravkom Uredbe (EU) 2017/2401 Evropskega parlamenta in Sveta z dne 12. decembra 2017 o spremembi Uredbe (EU) št. 575/2013 o bonitetnih zahtevah za kreditne institucije in investicijska podjetja (UL L št. 406 z dne 3. decembr</w:t>
      </w:r>
      <w:r w:rsidR="00EF5F06">
        <w:rPr>
          <w:rFonts w:eastAsia="Calibri" w:cs="Arial"/>
          <w:color w:val="000000"/>
          <w:sz w:val="20"/>
          <w:szCs w:val="20"/>
          <w:lang w:eastAsia="en-US"/>
        </w:rPr>
        <w:t>a</w:t>
      </w:r>
      <w:r w:rsidR="008B3028" w:rsidRPr="008B3028">
        <w:rPr>
          <w:rFonts w:eastAsia="Calibri" w:cs="Arial"/>
          <w:color w:val="000000"/>
          <w:sz w:val="20"/>
          <w:szCs w:val="20"/>
          <w:lang w:eastAsia="en-US"/>
        </w:rPr>
        <w:t xml:space="preserve"> 2020, str. 67), (v nadaljnjem besedilu: Uredba (EU) št. 575/2013)</w:t>
      </w:r>
      <w:r w:rsidR="001142BE">
        <w:rPr>
          <w:rFonts w:eastAsia="Calibri" w:cs="Arial"/>
          <w:color w:val="000000"/>
          <w:sz w:val="20"/>
          <w:szCs w:val="20"/>
          <w:lang w:eastAsia="en-US"/>
        </w:rPr>
        <w:t>«.</w:t>
      </w:r>
    </w:p>
    <w:p w14:paraId="67C036EC" w14:textId="0B387C5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106C4D0" w14:textId="77777777" w:rsidR="00BA256C" w:rsidRDefault="00BA256C"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407F9FD" w14:textId="77777777" w:rsidR="0085491B" w:rsidRDefault="0085491B" w:rsidP="0085491B">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510E3B39"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A02CB28" w14:textId="51A97EE3"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 4. členu se za drugim odstavkom doda</w:t>
      </w:r>
      <w:r w:rsidR="006D7DAB">
        <w:rPr>
          <w:rFonts w:eastAsia="Calibri" w:cs="Arial"/>
          <w:color w:val="000000"/>
          <w:sz w:val="20"/>
          <w:szCs w:val="20"/>
          <w:lang w:eastAsia="en-US"/>
        </w:rPr>
        <w:t>ta</w:t>
      </w:r>
      <w:r>
        <w:rPr>
          <w:rFonts w:eastAsia="Calibri" w:cs="Arial"/>
          <w:color w:val="000000"/>
          <w:sz w:val="20"/>
          <w:szCs w:val="20"/>
          <w:lang w:eastAsia="en-US"/>
        </w:rPr>
        <w:t xml:space="preserve"> nov tretji</w:t>
      </w:r>
      <w:r w:rsidR="006D7DAB">
        <w:rPr>
          <w:rFonts w:eastAsia="Calibri" w:cs="Arial"/>
          <w:color w:val="000000"/>
          <w:sz w:val="20"/>
          <w:szCs w:val="20"/>
          <w:lang w:eastAsia="en-US"/>
        </w:rPr>
        <w:t xml:space="preserve"> in </w:t>
      </w:r>
      <w:r>
        <w:rPr>
          <w:rFonts w:eastAsia="Calibri" w:cs="Arial"/>
          <w:color w:val="000000"/>
          <w:sz w:val="20"/>
          <w:szCs w:val="20"/>
          <w:lang w:eastAsia="en-US"/>
        </w:rPr>
        <w:t>četrti odstavek, ki se glasi</w:t>
      </w:r>
      <w:r w:rsidR="006D7DAB">
        <w:rPr>
          <w:rFonts w:eastAsia="Calibri" w:cs="Arial"/>
          <w:color w:val="000000"/>
          <w:sz w:val="20"/>
          <w:szCs w:val="20"/>
          <w:lang w:eastAsia="en-US"/>
        </w:rPr>
        <w:t>ta</w:t>
      </w:r>
      <w:r>
        <w:rPr>
          <w:rFonts w:eastAsia="Calibri" w:cs="Arial"/>
          <w:color w:val="000000"/>
          <w:sz w:val="20"/>
          <w:szCs w:val="20"/>
          <w:lang w:eastAsia="en-US"/>
        </w:rPr>
        <w:t>:</w:t>
      </w:r>
    </w:p>
    <w:p w14:paraId="48388204"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AE0AE0B" w14:textId="2C71F8ED" w:rsidR="0085491B" w:rsidRPr="006307DA"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»(3) </w:t>
      </w:r>
      <w:r w:rsidR="006D7DAB" w:rsidRPr="006D7DAB">
        <w:rPr>
          <w:rFonts w:eastAsia="Calibri" w:cs="Arial"/>
          <w:color w:val="000000"/>
          <w:sz w:val="20"/>
          <w:szCs w:val="20"/>
          <w:lang w:eastAsia="en-US"/>
        </w:rPr>
        <w:t>Ne glede na prvi odstavek tega člena je sistem jamstva za vloge po tem zakonu tudi sistem jamstva za vloge, ki nastane z združitvijo sistema jamstva za vloge iz prvega odstavka tega člena s sistemi jamstva za vloge, ki so ustanovljeni v drugih državah članicah</w:t>
      </w:r>
      <w:r w:rsidR="00183135">
        <w:rPr>
          <w:rFonts w:eastAsia="Calibri" w:cs="Arial"/>
          <w:color w:val="000000"/>
          <w:sz w:val="20"/>
          <w:szCs w:val="20"/>
          <w:lang w:eastAsia="en-US"/>
        </w:rPr>
        <w:t xml:space="preserve"> </w:t>
      </w:r>
      <w:bookmarkStart w:id="2" w:name="_Hlk83637310"/>
      <w:r w:rsidR="00183135">
        <w:rPr>
          <w:rFonts w:eastAsia="Calibri" w:cs="Arial"/>
          <w:color w:val="000000"/>
          <w:sz w:val="20"/>
          <w:szCs w:val="20"/>
          <w:lang w:eastAsia="en-US"/>
        </w:rPr>
        <w:t>in izpolnjujejo pogoje iz Direktive 2014/49/EU</w:t>
      </w:r>
      <w:bookmarkEnd w:id="2"/>
      <w:r w:rsidR="006D7DAB" w:rsidRPr="006D7DAB">
        <w:rPr>
          <w:rFonts w:eastAsia="Calibri" w:cs="Arial"/>
          <w:color w:val="000000"/>
          <w:sz w:val="20"/>
          <w:szCs w:val="20"/>
          <w:lang w:eastAsia="en-US"/>
        </w:rPr>
        <w:t>, ali z ustanovitvijo čezmejnega sistema jamstva za vloge</w:t>
      </w:r>
      <w:r w:rsidRPr="006307DA">
        <w:rPr>
          <w:rFonts w:eastAsia="Calibri" w:cs="Arial"/>
          <w:color w:val="000000"/>
          <w:sz w:val="20"/>
          <w:szCs w:val="20"/>
          <w:lang w:eastAsia="en-US"/>
        </w:rPr>
        <w:t>.</w:t>
      </w:r>
    </w:p>
    <w:p w14:paraId="5881A6A0" w14:textId="77777777" w:rsidR="0085491B" w:rsidRPr="006307DA"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0A35F9F" w14:textId="01573534" w:rsidR="0085491B" w:rsidRPr="006307DA"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sidRPr="006307DA">
        <w:rPr>
          <w:rFonts w:eastAsia="Calibri" w:cs="Arial"/>
          <w:color w:val="000000"/>
          <w:sz w:val="20"/>
          <w:szCs w:val="20"/>
          <w:lang w:eastAsia="en-US"/>
        </w:rPr>
        <w:t xml:space="preserve">(4) </w:t>
      </w:r>
      <w:r w:rsidR="006D7DAB" w:rsidRPr="006D7DAB">
        <w:rPr>
          <w:rFonts w:eastAsia="Calibri" w:cs="Arial"/>
          <w:color w:val="000000"/>
          <w:sz w:val="20"/>
          <w:szCs w:val="20"/>
          <w:lang w:eastAsia="en-US"/>
        </w:rPr>
        <w:t>Določbe tega zakona, ki se nanašajo na aktivnosti Banke Slovenije kot upravljavca sistema jamstva za vloge</w:t>
      </w:r>
      <w:r w:rsidR="00C079AF">
        <w:rPr>
          <w:rFonts w:eastAsia="Calibri" w:cs="Arial"/>
          <w:color w:val="000000"/>
          <w:sz w:val="20"/>
          <w:szCs w:val="20"/>
          <w:lang w:eastAsia="en-US"/>
        </w:rPr>
        <w:t xml:space="preserve"> v Republiki Sloveniji</w:t>
      </w:r>
      <w:r w:rsidR="006D7DAB" w:rsidRPr="006D7DAB">
        <w:rPr>
          <w:rFonts w:eastAsia="Calibri" w:cs="Arial"/>
          <w:color w:val="000000"/>
          <w:sz w:val="20"/>
          <w:szCs w:val="20"/>
          <w:lang w:eastAsia="en-US"/>
        </w:rPr>
        <w:t>, se smiselno uporabljajo tudi za združene ali čezmejne sisteme jamstva za vloge, če se ti ustanovijo v skladu s prejšnjim odstavkom in drugim odstavkom 21. člena tega zakona</w:t>
      </w:r>
      <w:r w:rsidRPr="006307DA">
        <w:rPr>
          <w:rFonts w:eastAsia="Calibri" w:cs="Arial"/>
          <w:color w:val="000000"/>
          <w:sz w:val="20"/>
          <w:szCs w:val="20"/>
          <w:lang w:eastAsia="en-US"/>
        </w:rPr>
        <w:t>.</w:t>
      </w:r>
      <w:r>
        <w:rPr>
          <w:rFonts w:eastAsia="Calibri" w:cs="Arial"/>
          <w:color w:val="000000"/>
          <w:sz w:val="20"/>
          <w:szCs w:val="20"/>
          <w:lang w:eastAsia="en-US"/>
        </w:rPr>
        <w:t>«.</w:t>
      </w:r>
    </w:p>
    <w:p w14:paraId="0698201F"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514F212"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F9767D7" w14:textId="77777777" w:rsidR="0085491B" w:rsidRDefault="0085491B" w:rsidP="0085491B">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4E779200"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C28DD3E"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12. člen se spremeni tako, da se glasi:</w:t>
      </w:r>
    </w:p>
    <w:p w14:paraId="26BC8C29"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A59C54E" w14:textId="77777777" w:rsidR="0085491B" w:rsidRPr="00514DF8" w:rsidRDefault="0085491B" w:rsidP="0085491B">
      <w:pPr>
        <w:overflowPunct w:val="0"/>
        <w:autoSpaceDE w:val="0"/>
        <w:autoSpaceDN w:val="0"/>
        <w:adjustRightInd w:val="0"/>
        <w:spacing w:after="0" w:line="312" w:lineRule="auto"/>
        <w:jc w:val="center"/>
        <w:textAlignment w:val="baseline"/>
        <w:rPr>
          <w:rFonts w:eastAsia="Calibri" w:cs="Arial"/>
          <w:b/>
          <w:bCs/>
          <w:color w:val="000000"/>
          <w:sz w:val="20"/>
          <w:szCs w:val="20"/>
          <w:lang w:eastAsia="en-US"/>
        </w:rPr>
      </w:pPr>
      <w:r>
        <w:rPr>
          <w:rFonts w:eastAsia="Calibri" w:cs="Arial"/>
          <w:b/>
          <w:bCs/>
          <w:color w:val="000000"/>
          <w:sz w:val="20"/>
          <w:szCs w:val="20"/>
          <w:lang w:eastAsia="en-US"/>
        </w:rPr>
        <w:t>»</w:t>
      </w:r>
      <w:r w:rsidRPr="00514DF8">
        <w:rPr>
          <w:rFonts w:eastAsia="Calibri" w:cs="Arial"/>
          <w:b/>
          <w:bCs/>
          <w:color w:val="000000"/>
          <w:sz w:val="20"/>
          <w:szCs w:val="20"/>
          <w:lang w:eastAsia="en-US"/>
        </w:rPr>
        <w:t>12. člen</w:t>
      </w:r>
    </w:p>
    <w:p w14:paraId="50F314F5" w14:textId="77777777" w:rsidR="0085491B" w:rsidRDefault="0085491B" w:rsidP="0085491B">
      <w:pPr>
        <w:overflowPunct w:val="0"/>
        <w:autoSpaceDE w:val="0"/>
        <w:autoSpaceDN w:val="0"/>
        <w:adjustRightInd w:val="0"/>
        <w:spacing w:after="0" w:line="312" w:lineRule="auto"/>
        <w:jc w:val="center"/>
        <w:textAlignment w:val="baseline"/>
        <w:rPr>
          <w:rFonts w:eastAsia="Calibri" w:cs="Arial"/>
          <w:b/>
          <w:bCs/>
          <w:color w:val="000000"/>
          <w:sz w:val="20"/>
          <w:szCs w:val="20"/>
          <w:lang w:eastAsia="en-US"/>
        </w:rPr>
      </w:pPr>
      <w:r w:rsidRPr="00514DF8">
        <w:rPr>
          <w:rFonts w:eastAsia="Calibri" w:cs="Arial"/>
          <w:b/>
          <w:bCs/>
          <w:color w:val="000000"/>
          <w:sz w:val="20"/>
          <w:szCs w:val="20"/>
          <w:lang w:eastAsia="en-US"/>
        </w:rPr>
        <w:t>(posebni pogoji oglaševanja)</w:t>
      </w:r>
    </w:p>
    <w:p w14:paraId="1877C9C2" w14:textId="77777777" w:rsidR="0085491B" w:rsidRPr="00514DF8" w:rsidRDefault="0085491B" w:rsidP="0085491B">
      <w:pPr>
        <w:overflowPunct w:val="0"/>
        <w:autoSpaceDE w:val="0"/>
        <w:autoSpaceDN w:val="0"/>
        <w:adjustRightInd w:val="0"/>
        <w:spacing w:after="0" w:line="312" w:lineRule="auto"/>
        <w:jc w:val="center"/>
        <w:textAlignment w:val="baseline"/>
        <w:rPr>
          <w:rFonts w:eastAsia="Calibri" w:cs="Arial"/>
          <w:b/>
          <w:bCs/>
          <w:color w:val="000000"/>
          <w:sz w:val="20"/>
          <w:szCs w:val="20"/>
          <w:lang w:eastAsia="en-US"/>
        </w:rPr>
      </w:pPr>
    </w:p>
    <w:p w14:paraId="17901DCB" w14:textId="598ABFEF" w:rsidR="002F72A3" w:rsidRPr="002F72A3" w:rsidRDefault="002F72A3" w:rsidP="002F72A3">
      <w:pPr>
        <w:overflowPunct w:val="0"/>
        <w:autoSpaceDE w:val="0"/>
        <w:autoSpaceDN w:val="0"/>
        <w:adjustRightInd w:val="0"/>
        <w:spacing w:after="0" w:line="312" w:lineRule="auto"/>
        <w:textAlignment w:val="baseline"/>
        <w:rPr>
          <w:rFonts w:eastAsia="Calibri" w:cs="Arial"/>
          <w:color w:val="000000"/>
          <w:sz w:val="20"/>
          <w:szCs w:val="20"/>
          <w:lang w:eastAsia="en-US"/>
        </w:rPr>
      </w:pPr>
      <w:r w:rsidRPr="002F72A3">
        <w:rPr>
          <w:rFonts w:eastAsia="Calibri" w:cs="Arial"/>
          <w:color w:val="000000"/>
          <w:sz w:val="20"/>
          <w:szCs w:val="20"/>
          <w:lang w:eastAsia="en-US"/>
        </w:rPr>
        <w:t xml:space="preserve">(1) Pri oglaševanju </w:t>
      </w:r>
      <w:r w:rsidR="00964713">
        <w:rPr>
          <w:rFonts w:eastAsia="Calibri" w:cs="Arial"/>
          <w:color w:val="000000"/>
          <w:sz w:val="20"/>
          <w:szCs w:val="20"/>
          <w:lang w:eastAsia="en-US"/>
        </w:rPr>
        <w:t xml:space="preserve">svojih </w:t>
      </w:r>
      <w:r w:rsidRPr="002F72A3">
        <w:rPr>
          <w:rFonts w:eastAsia="Calibri" w:cs="Arial"/>
          <w:color w:val="000000"/>
          <w:sz w:val="20"/>
          <w:szCs w:val="20"/>
          <w:lang w:eastAsia="en-US"/>
        </w:rPr>
        <w:t xml:space="preserve">storitev lahko banka vključi le tiste informacije iz prvega odstavka prejšnjega člena v zvezi s članstvom v sistemu jamstva za vloge, ki so omejene na poimenovanje sistema jamstva za vloge, ki jamči za posamezen produkt, ter na tiste dodatne informacije, ki se zahtevajo v skladu s tem zakonom in podzakonskim </w:t>
      </w:r>
      <w:r w:rsidR="005762D4">
        <w:rPr>
          <w:rFonts w:eastAsia="Calibri" w:cs="Arial"/>
          <w:color w:val="000000"/>
          <w:sz w:val="20"/>
          <w:szCs w:val="20"/>
          <w:lang w:eastAsia="en-US"/>
        </w:rPr>
        <w:t>predpisom</w:t>
      </w:r>
      <w:r w:rsidRPr="002F72A3">
        <w:rPr>
          <w:rFonts w:eastAsia="Calibri" w:cs="Arial"/>
          <w:color w:val="000000"/>
          <w:sz w:val="20"/>
          <w:szCs w:val="20"/>
          <w:lang w:eastAsia="en-US"/>
        </w:rPr>
        <w:t xml:space="preserve"> Banke Slovenije iz prvega odstavka prejšnjega člena.</w:t>
      </w:r>
    </w:p>
    <w:p w14:paraId="112ECA51" w14:textId="77777777" w:rsidR="002F72A3" w:rsidRDefault="002F72A3" w:rsidP="002F72A3">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683C748" w14:textId="4B144B2F" w:rsidR="0085491B" w:rsidRDefault="002F72A3" w:rsidP="002F72A3">
      <w:pPr>
        <w:overflowPunct w:val="0"/>
        <w:autoSpaceDE w:val="0"/>
        <w:autoSpaceDN w:val="0"/>
        <w:adjustRightInd w:val="0"/>
        <w:spacing w:after="0" w:line="312" w:lineRule="auto"/>
        <w:textAlignment w:val="baseline"/>
        <w:rPr>
          <w:rFonts w:eastAsia="Calibri" w:cs="Arial"/>
          <w:color w:val="000000"/>
          <w:sz w:val="20"/>
          <w:szCs w:val="20"/>
          <w:lang w:eastAsia="en-US"/>
        </w:rPr>
      </w:pPr>
      <w:r w:rsidRPr="002F72A3">
        <w:rPr>
          <w:rFonts w:eastAsia="Calibri" w:cs="Arial"/>
          <w:color w:val="000000"/>
          <w:sz w:val="20"/>
          <w:szCs w:val="20"/>
          <w:lang w:eastAsia="en-US"/>
        </w:rPr>
        <w:t>(2) Dodatne informacije iz prejšnjega odstavka lahko vsebujejo dejanski opis delovanja sistema jamstva za vloge, ne smejo pa vsebovati sklicevanja na morebitno neomejeno kritje vlog.</w:t>
      </w:r>
      <w:r w:rsidR="0085491B">
        <w:rPr>
          <w:rFonts w:eastAsia="Calibri" w:cs="Arial"/>
          <w:color w:val="000000"/>
          <w:sz w:val="20"/>
          <w:szCs w:val="20"/>
          <w:lang w:eastAsia="en-US"/>
        </w:rPr>
        <w:t>«.</w:t>
      </w:r>
    </w:p>
    <w:p w14:paraId="4880EAA6" w14:textId="64952808"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92DB291" w14:textId="77777777" w:rsidR="002F72A3" w:rsidRDefault="002F72A3"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4B6C5D0" w14:textId="7F79C62D" w:rsidR="0085491B" w:rsidRDefault="0085491B" w:rsidP="0085491B">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DB4B922" w14:textId="192F593F" w:rsidR="005762D4" w:rsidRDefault="005762D4" w:rsidP="005762D4">
      <w:pPr>
        <w:overflowPunct w:val="0"/>
        <w:autoSpaceDE w:val="0"/>
        <w:autoSpaceDN w:val="0"/>
        <w:adjustRightInd w:val="0"/>
        <w:spacing w:after="0" w:line="312" w:lineRule="auto"/>
        <w:contextualSpacing/>
        <w:textAlignment w:val="baseline"/>
        <w:rPr>
          <w:rFonts w:eastAsia="Calibri" w:cs="Arial"/>
          <w:b/>
          <w:color w:val="000000"/>
          <w:sz w:val="20"/>
          <w:szCs w:val="20"/>
          <w:lang w:eastAsia="en-US"/>
        </w:rPr>
      </w:pPr>
    </w:p>
    <w:p w14:paraId="7D463B13" w14:textId="77777777" w:rsidR="00F60278" w:rsidRDefault="005762D4" w:rsidP="005762D4">
      <w:pPr>
        <w:overflowPunct w:val="0"/>
        <w:autoSpaceDE w:val="0"/>
        <w:autoSpaceDN w:val="0"/>
        <w:adjustRightInd w:val="0"/>
        <w:spacing w:after="0" w:line="312" w:lineRule="auto"/>
        <w:contextualSpacing/>
        <w:textAlignment w:val="baseline"/>
        <w:rPr>
          <w:rFonts w:eastAsia="Calibri" w:cs="Arial"/>
          <w:bCs/>
          <w:color w:val="000000"/>
          <w:sz w:val="20"/>
          <w:szCs w:val="20"/>
          <w:lang w:eastAsia="en-US"/>
        </w:rPr>
      </w:pPr>
      <w:r w:rsidRPr="005762D4">
        <w:rPr>
          <w:rFonts w:eastAsia="Calibri" w:cs="Arial"/>
          <w:bCs/>
          <w:color w:val="000000"/>
          <w:sz w:val="20"/>
          <w:szCs w:val="20"/>
          <w:lang w:eastAsia="en-US"/>
        </w:rPr>
        <w:t xml:space="preserve">V </w:t>
      </w:r>
      <w:r>
        <w:rPr>
          <w:rFonts w:eastAsia="Calibri" w:cs="Arial"/>
          <w:bCs/>
          <w:color w:val="000000"/>
          <w:sz w:val="20"/>
          <w:szCs w:val="20"/>
          <w:lang w:eastAsia="en-US"/>
        </w:rPr>
        <w:t>21. členu se v drugem odstavku na koncu 5. točke pika nadomesti s podpičjem</w:t>
      </w:r>
      <w:r w:rsidR="00F60278">
        <w:rPr>
          <w:rFonts w:eastAsia="Calibri" w:cs="Arial"/>
          <w:bCs/>
          <w:color w:val="000000"/>
          <w:sz w:val="20"/>
          <w:szCs w:val="20"/>
          <w:lang w:eastAsia="en-US"/>
        </w:rPr>
        <w:t>.</w:t>
      </w:r>
    </w:p>
    <w:p w14:paraId="05431F8E" w14:textId="77777777" w:rsidR="00F60278" w:rsidRDefault="00F60278" w:rsidP="005762D4">
      <w:pPr>
        <w:overflowPunct w:val="0"/>
        <w:autoSpaceDE w:val="0"/>
        <w:autoSpaceDN w:val="0"/>
        <w:adjustRightInd w:val="0"/>
        <w:spacing w:after="0" w:line="312" w:lineRule="auto"/>
        <w:contextualSpacing/>
        <w:textAlignment w:val="baseline"/>
        <w:rPr>
          <w:rFonts w:eastAsia="Calibri" w:cs="Arial"/>
          <w:bCs/>
          <w:color w:val="000000"/>
          <w:sz w:val="20"/>
          <w:szCs w:val="20"/>
          <w:lang w:eastAsia="en-US"/>
        </w:rPr>
      </w:pPr>
    </w:p>
    <w:p w14:paraId="487F7E28" w14:textId="0AF3317D" w:rsidR="005762D4" w:rsidRDefault="00F60278" w:rsidP="005762D4">
      <w:pPr>
        <w:overflowPunct w:val="0"/>
        <w:autoSpaceDE w:val="0"/>
        <w:autoSpaceDN w:val="0"/>
        <w:adjustRightInd w:val="0"/>
        <w:spacing w:after="0" w:line="312" w:lineRule="auto"/>
        <w:contextualSpacing/>
        <w:textAlignment w:val="baseline"/>
        <w:rPr>
          <w:rFonts w:eastAsia="Calibri" w:cs="Arial"/>
          <w:bCs/>
          <w:color w:val="000000"/>
          <w:sz w:val="20"/>
          <w:szCs w:val="20"/>
          <w:lang w:eastAsia="en-US"/>
        </w:rPr>
      </w:pPr>
      <w:r>
        <w:rPr>
          <w:rFonts w:eastAsia="Calibri" w:cs="Arial"/>
          <w:bCs/>
          <w:color w:val="000000"/>
          <w:sz w:val="20"/>
          <w:szCs w:val="20"/>
          <w:lang w:eastAsia="en-US"/>
        </w:rPr>
        <w:t xml:space="preserve">Za 5. točko </w:t>
      </w:r>
      <w:r w:rsidR="005762D4">
        <w:rPr>
          <w:rFonts w:eastAsia="Calibri" w:cs="Arial"/>
          <w:bCs/>
          <w:color w:val="000000"/>
          <w:sz w:val="20"/>
          <w:szCs w:val="20"/>
          <w:lang w:eastAsia="en-US"/>
        </w:rPr>
        <w:t>se doda nova 6. točka, ki se glasi:</w:t>
      </w:r>
    </w:p>
    <w:p w14:paraId="26ADCDF7" w14:textId="74C34AA7" w:rsidR="005762D4" w:rsidRDefault="005762D4" w:rsidP="005762D4">
      <w:pPr>
        <w:overflowPunct w:val="0"/>
        <w:autoSpaceDE w:val="0"/>
        <w:autoSpaceDN w:val="0"/>
        <w:adjustRightInd w:val="0"/>
        <w:spacing w:after="0" w:line="312" w:lineRule="auto"/>
        <w:contextualSpacing/>
        <w:textAlignment w:val="baseline"/>
        <w:rPr>
          <w:rFonts w:eastAsia="Calibri" w:cs="Arial"/>
          <w:bCs/>
          <w:color w:val="000000"/>
          <w:sz w:val="20"/>
          <w:szCs w:val="20"/>
          <w:lang w:eastAsia="en-US"/>
        </w:rPr>
      </w:pPr>
    </w:p>
    <w:p w14:paraId="0313E547" w14:textId="42302C86" w:rsidR="005762D4" w:rsidRPr="005762D4" w:rsidRDefault="005762D4" w:rsidP="005762D4">
      <w:pPr>
        <w:overflowPunct w:val="0"/>
        <w:autoSpaceDE w:val="0"/>
        <w:autoSpaceDN w:val="0"/>
        <w:adjustRightInd w:val="0"/>
        <w:spacing w:after="0" w:line="312" w:lineRule="auto"/>
        <w:contextualSpacing/>
        <w:textAlignment w:val="baseline"/>
        <w:rPr>
          <w:rFonts w:eastAsia="Calibri" w:cs="Arial"/>
          <w:bCs/>
          <w:color w:val="000000"/>
          <w:sz w:val="20"/>
          <w:szCs w:val="20"/>
          <w:lang w:eastAsia="en-US"/>
        </w:rPr>
      </w:pPr>
      <w:r>
        <w:rPr>
          <w:rFonts w:eastAsia="Calibri" w:cs="Arial"/>
          <w:bCs/>
          <w:color w:val="000000"/>
          <w:sz w:val="20"/>
          <w:szCs w:val="20"/>
          <w:lang w:eastAsia="en-US"/>
        </w:rPr>
        <w:t>»</w:t>
      </w:r>
      <w:r w:rsidRPr="005762D4">
        <w:rPr>
          <w:rFonts w:eastAsia="Calibri" w:cs="Arial"/>
          <w:bCs/>
          <w:color w:val="000000"/>
          <w:sz w:val="20"/>
          <w:szCs w:val="20"/>
          <w:lang w:eastAsia="en-US"/>
        </w:rPr>
        <w:t>6.</w:t>
      </w:r>
      <w:r>
        <w:rPr>
          <w:rFonts w:eastAsia="Calibri" w:cs="Arial"/>
          <w:bCs/>
          <w:color w:val="000000"/>
          <w:sz w:val="20"/>
          <w:szCs w:val="20"/>
          <w:lang w:eastAsia="en-US"/>
        </w:rPr>
        <w:t xml:space="preserve"> </w:t>
      </w:r>
      <w:r w:rsidRPr="005762D4">
        <w:rPr>
          <w:rFonts w:eastAsia="Calibri" w:cs="Arial"/>
          <w:bCs/>
          <w:color w:val="000000"/>
          <w:sz w:val="20"/>
          <w:szCs w:val="20"/>
          <w:lang w:eastAsia="en-US"/>
        </w:rPr>
        <w:t xml:space="preserve">izvedbo postopkov za združitev sistema jamstva za vloge iz prvega odstavka 4. člena </w:t>
      </w:r>
      <w:r w:rsidR="00F60278">
        <w:rPr>
          <w:rFonts w:eastAsia="Calibri" w:cs="Arial"/>
          <w:bCs/>
          <w:color w:val="000000"/>
          <w:sz w:val="20"/>
          <w:szCs w:val="20"/>
          <w:lang w:eastAsia="en-US"/>
        </w:rPr>
        <w:t xml:space="preserve">tega zakona </w:t>
      </w:r>
      <w:r w:rsidRPr="005762D4">
        <w:rPr>
          <w:rFonts w:eastAsia="Calibri" w:cs="Arial"/>
          <w:bCs/>
          <w:color w:val="000000"/>
          <w:sz w:val="20"/>
          <w:szCs w:val="20"/>
          <w:lang w:eastAsia="en-US"/>
        </w:rPr>
        <w:t>s sistemi jamstva za vloge, ki so ustanovljeni v drugih državah članicah, in izvedbo postopkov za ustanovitev čezmejnega sistema jamstva za vloge, pri čemer pred izvedbo postopkov Banka Slovenije pridobi soglasje Vlade Republike Slovenije.</w:t>
      </w:r>
      <w:r>
        <w:rPr>
          <w:rFonts w:eastAsia="Calibri" w:cs="Arial"/>
          <w:bCs/>
          <w:color w:val="000000"/>
          <w:sz w:val="20"/>
          <w:szCs w:val="20"/>
          <w:lang w:eastAsia="en-US"/>
        </w:rPr>
        <w:t>«.</w:t>
      </w:r>
    </w:p>
    <w:p w14:paraId="4D81F8E5" w14:textId="77777777" w:rsidR="005762D4" w:rsidRDefault="005762D4" w:rsidP="005762D4">
      <w:pPr>
        <w:overflowPunct w:val="0"/>
        <w:autoSpaceDE w:val="0"/>
        <w:autoSpaceDN w:val="0"/>
        <w:adjustRightInd w:val="0"/>
        <w:spacing w:after="0" w:line="312" w:lineRule="auto"/>
        <w:contextualSpacing/>
        <w:textAlignment w:val="baseline"/>
        <w:rPr>
          <w:rFonts w:eastAsia="Calibri" w:cs="Arial"/>
          <w:b/>
          <w:color w:val="000000"/>
          <w:sz w:val="20"/>
          <w:szCs w:val="20"/>
          <w:lang w:eastAsia="en-US"/>
        </w:rPr>
      </w:pPr>
    </w:p>
    <w:p w14:paraId="639FAE6B" w14:textId="7AF40BE8" w:rsidR="005762D4" w:rsidRDefault="005762D4" w:rsidP="0085491B">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Pr>
          <w:rFonts w:eastAsia="Calibri" w:cs="Arial"/>
          <w:b/>
          <w:color w:val="000000"/>
          <w:sz w:val="20"/>
          <w:szCs w:val="20"/>
          <w:lang w:eastAsia="en-US"/>
        </w:rPr>
        <w:t>člen</w:t>
      </w:r>
    </w:p>
    <w:p w14:paraId="42CF786E"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C4BF2D2"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 26. členu se prvi odstavek spremeni tako, da se glasi:</w:t>
      </w:r>
    </w:p>
    <w:p w14:paraId="78AF3A7A"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5635281"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w:t>
      </w:r>
      <w:r w:rsidRPr="00514DF8">
        <w:rPr>
          <w:rFonts w:eastAsia="Calibri" w:cs="Arial"/>
          <w:color w:val="000000"/>
          <w:sz w:val="20"/>
          <w:szCs w:val="20"/>
          <w:lang w:eastAsia="en-US"/>
        </w:rPr>
        <w:t>(1) Banka Slovenije v okviru upravljanja sistema jamstva za vloge vzpostavi sklad za jamstvo vlog (v nadaljnjem besedilu: sklad). Premoženje sklada je ločeno od drugega premoženja Banke Slovenije in od drugega premoženja v upravljanju Banke Slovenije.</w:t>
      </w:r>
      <w:r>
        <w:rPr>
          <w:rFonts w:eastAsia="Calibri" w:cs="Arial"/>
          <w:color w:val="000000"/>
          <w:sz w:val="20"/>
          <w:szCs w:val="20"/>
          <w:lang w:eastAsia="en-US"/>
        </w:rPr>
        <w:t xml:space="preserve">«. </w:t>
      </w:r>
    </w:p>
    <w:p w14:paraId="00A9C484" w14:textId="77777777" w:rsidR="00293C31" w:rsidRDefault="00293C31"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B374BDB"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3660A78" w14:textId="77777777" w:rsidR="0085491B" w:rsidRDefault="0085491B" w:rsidP="0085491B">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3CAC6573"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CBCCE09" w14:textId="1909C941"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 27. členu se na koncu četrtega odstavka doda nov stavek, ki se glasi: »</w:t>
      </w:r>
      <w:r w:rsidRPr="00864464">
        <w:rPr>
          <w:rFonts w:eastAsia="Calibri" w:cs="Arial"/>
          <w:color w:val="000000"/>
          <w:sz w:val="20"/>
          <w:szCs w:val="20"/>
          <w:lang w:eastAsia="en-US"/>
        </w:rPr>
        <w:t>Če Banka Slovenije upravlja premoženje sklada skupaj z drugim premoženjem Banke Slovenije ali drugim premoženjem v upravljanju Banke Slovenije, za sredstva in obveznosti sklada vodi ločeno knjigovodsko evidenco.</w:t>
      </w:r>
      <w:r>
        <w:rPr>
          <w:rFonts w:eastAsia="Calibri" w:cs="Arial"/>
          <w:color w:val="000000"/>
          <w:sz w:val="20"/>
          <w:szCs w:val="20"/>
          <w:lang w:eastAsia="en-US"/>
        </w:rPr>
        <w:t>«.</w:t>
      </w:r>
    </w:p>
    <w:p w14:paraId="32390045"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FCC181B" w14:textId="77777777" w:rsidR="0085491B" w:rsidRDefault="0085491B" w:rsidP="0085491B">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63C590C2"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bookmarkEnd w:id="1"/>
    <w:p w14:paraId="2D4F5139"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 52. členu se v tretjem odstavku na koncu prvega stavka doda besedilo »</w:t>
      </w:r>
      <w:r w:rsidRPr="00C536CC">
        <w:rPr>
          <w:rFonts w:eastAsia="Calibri" w:cs="Arial"/>
          <w:color w:val="000000"/>
          <w:sz w:val="20"/>
          <w:szCs w:val="20"/>
          <w:lang w:eastAsia="en-US"/>
        </w:rPr>
        <w:t>v Republiki Sloveniji</w:t>
      </w:r>
      <w:r>
        <w:rPr>
          <w:rFonts w:eastAsia="Calibri" w:cs="Arial"/>
          <w:color w:val="000000"/>
          <w:sz w:val="20"/>
          <w:szCs w:val="20"/>
          <w:lang w:eastAsia="en-US"/>
        </w:rPr>
        <w:t xml:space="preserve">«. </w:t>
      </w:r>
    </w:p>
    <w:p w14:paraId="56EBBD04"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2CBF1CF8"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Za tretjim odstavkom se doda nov četrti odstavek, ki se glasi:</w:t>
      </w:r>
    </w:p>
    <w:p w14:paraId="3AC719C1"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333DBC8"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w:t>
      </w:r>
      <w:r w:rsidRPr="004C0589">
        <w:rPr>
          <w:rFonts w:eastAsia="Calibri" w:cs="Arial"/>
          <w:color w:val="000000"/>
          <w:sz w:val="20"/>
          <w:szCs w:val="20"/>
          <w:lang w:eastAsia="en-US"/>
        </w:rPr>
        <w:t>(4) Če se banka preoblikuje tako, da opravljanje dela storitev prenese v drugo državo članico</w:t>
      </w:r>
      <w:r>
        <w:rPr>
          <w:rFonts w:eastAsia="Calibri" w:cs="Arial"/>
          <w:color w:val="000000"/>
          <w:sz w:val="20"/>
          <w:szCs w:val="20"/>
          <w:lang w:eastAsia="en-US"/>
        </w:rPr>
        <w:t>,</w:t>
      </w:r>
      <w:r w:rsidRPr="004C0589">
        <w:rPr>
          <w:rFonts w:eastAsia="Calibri" w:cs="Arial"/>
          <w:color w:val="000000"/>
          <w:sz w:val="20"/>
          <w:szCs w:val="20"/>
          <w:lang w:eastAsia="en-US"/>
        </w:rPr>
        <w:t xml:space="preserve"> in se tako vključi v sistem jamstva za vloge druge države članice, se prispevki te banke, ki so bili plačani v sistem jamstva za vloge v 12 mesecih pred prenosom storitev, razen izrednih prispevkov, prenesejo v sistem jamstva za vloge, v katerega se vključi, v sorazmerni višini glede na višino prenesenih </w:t>
      </w:r>
      <w:r>
        <w:rPr>
          <w:rFonts w:eastAsia="Calibri" w:cs="Arial"/>
          <w:color w:val="000000"/>
          <w:sz w:val="20"/>
          <w:szCs w:val="20"/>
          <w:lang w:eastAsia="en-US"/>
        </w:rPr>
        <w:t xml:space="preserve">zajamčenih </w:t>
      </w:r>
      <w:r w:rsidRPr="004C0589">
        <w:rPr>
          <w:rFonts w:eastAsia="Calibri" w:cs="Arial"/>
          <w:color w:val="000000"/>
          <w:sz w:val="20"/>
          <w:szCs w:val="20"/>
          <w:lang w:eastAsia="en-US"/>
        </w:rPr>
        <w:t>vlog.</w:t>
      </w:r>
      <w:r>
        <w:rPr>
          <w:rFonts w:eastAsia="Calibri" w:cs="Arial"/>
          <w:color w:val="000000"/>
          <w:sz w:val="20"/>
          <w:szCs w:val="20"/>
          <w:lang w:eastAsia="en-US"/>
        </w:rPr>
        <w:t>«.</w:t>
      </w:r>
    </w:p>
    <w:p w14:paraId="778332E3"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F442740"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Dosedanja četrti in peti odstavek postaneta peti in šesti odstavek.</w:t>
      </w:r>
    </w:p>
    <w:p w14:paraId="74A2ABAC"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FA0D534"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81FFF22" w14:textId="77777777" w:rsidR="0085491B" w:rsidRDefault="0085491B" w:rsidP="0085491B">
      <w:pPr>
        <w:numPr>
          <w:ilvl w:val="0"/>
          <w:numId w:val="20"/>
        </w:numPr>
        <w:overflowPunct w:val="0"/>
        <w:autoSpaceDE w:val="0"/>
        <w:autoSpaceDN w:val="0"/>
        <w:adjustRightInd w:val="0"/>
        <w:spacing w:after="0" w:line="312" w:lineRule="auto"/>
        <w:ind w:left="284" w:hanging="284"/>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7E8BB3FC"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084B578"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V 56. členu se v prvem odstavku v 12. točki beseda »peti« nadomesti z besedo »šesti«.</w:t>
      </w:r>
    </w:p>
    <w:p w14:paraId="0E329E3B" w14:textId="71CFE848" w:rsidR="0085491B" w:rsidRDefault="0085491B" w:rsidP="00FB39ED">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p>
    <w:p w14:paraId="500F09D1" w14:textId="6BF873E9" w:rsidR="00964713" w:rsidRDefault="00964713" w:rsidP="00FB39ED">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p>
    <w:p w14:paraId="35839B72" w14:textId="77777777" w:rsidR="00964713" w:rsidRDefault="00964713" w:rsidP="00FB39ED">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p>
    <w:p w14:paraId="1541D042" w14:textId="73CFA876" w:rsidR="00FB39ED" w:rsidRDefault="00FB39ED" w:rsidP="00964713">
      <w:pPr>
        <w:overflowPunct w:val="0"/>
        <w:autoSpaceDE w:val="0"/>
        <w:autoSpaceDN w:val="0"/>
        <w:adjustRightInd w:val="0"/>
        <w:spacing w:after="0" w:line="312" w:lineRule="auto"/>
        <w:jc w:val="center"/>
        <w:textAlignment w:val="baseline"/>
        <w:rPr>
          <w:rFonts w:eastAsia="Calibri" w:cs="Arial"/>
          <w:color w:val="000000"/>
          <w:sz w:val="20"/>
          <w:szCs w:val="20"/>
          <w:lang w:eastAsia="en-US"/>
        </w:rPr>
      </w:pPr>
      <w:r>
        <w:rPr>
          <w:rFonts w:eastAsia="Calibri" w:cs="Arial"/>
          <w:color w:val="000000"/>
          <w:sz w:val="20"/>
          <w:szCs w:val="20"/>
          <w:lang w:eastAsia="en-US"/>
        </w:rPr>
        <w:t>KONČNA DOLOČBA</w:t>
      </w:r>
    </w:p>
    <w:p w14:paraId="46ECE48C" w14:textId="14EF2A2D"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3631B7F2" w14:textId="77777777" w:rsidR="00964713" w:rsidRPr="00FF5156" w:rsidRDefault="00964713"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908A1A9" w14:textId="77777777" w:rsidR="0085491B" w:rsidRPr="00FF5156" w:rsidRDefault="0085491B" w:rsidP="0085491B">
      <w:pPr>
        <w:numPr>
          <w:ilvl w:val="0"/>
          <w:numId w:val="20"/>
        </w:numPr>
        <w:overflowPunct w:val="0"/>
        <w:autoSpaceDE w:val="0"/>
        <w:autoSpaceDN w:val="0"/>
        <w:adjustRightInd w:val="0"/>
        <w:spacing w:after="0" w:line="312" w:lineRule="auto"/>
        <w:ind w:left="426"/>
        <w:contextualSpacing/>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člen</w:t>
      </w:r>
    </w:p>
    <w:p w14:paraId="2B2E78DB" w14:textId="77777777" w:rsidR="0085491B" w:rsidRPr="00FF5156" w:rsidRDefault="0085491B" w:rsidP="0085491B">
      <w:pPr>
        <w:overflowPunct w:val="0"/>
        <w:autoSpaceDE w:val="0"/>
        <w:autoSpaceDN w:val="0"/>
        <w:adjustRightInd w:val="0"/>
        <w:spacing w:after="0" w:line="312" w:lineRule="auto"/>
        <w:jc w:val="center"/>
        <w:textAlignment w:val="baseline"/>
        <w:rPr>
          <w:rFonts w:eastAsia="Calibri" w:cs="Arial"/>
          <w:b/>
          <w:color w:val="000000"/>
          <w:sz w:val="20"/>
          <w:szCs w:val="20"/>
          <w:lang w:eastAsia="en-US"/>
        </w:rPr>
      </w:pPr>
      <w:r w:rsidRPr="00FF5156">
        <w:rPr>
          <w:rFonts w:eastAsia="Calibri" w:cs="Arial"/>
          <w:b/>
          <w:color w:val="000000"/>
          <w:sz w:val="20"/>
          <w:szCs w:val="20"/>
          <w:lang w:eastAsia="en-US"/>
        </w:rPr>
        <w:t>(začetek veljavnosti)</w:t>
      </w:r>
    </w:p>
    <w:p w14:paraId="30DF46B2" w14:textId="77777777" w:rsidR="0085491B" w:rsidRPr="00FF5156"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0A7EC0A" w14:textId="77777777" w:rsidR="0085491B" w:rsidRPr="00FF5156"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Ta zakon začne veljati petnajsti dan po objavi v Uradnem listu Republike Slovenije.</w:t>
      </w:r>
    </w:p>
    <w:p w14:paraId="4516F926" w14:textId="77777777" w:rsidR="0085491B" w:rsidRPr="00FF5156"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D610585" w14:textId="77777777" w:rsidR="0085491B" w:rsidRPr="00FF5156" w:rsidRDefault="0085491B" w:rsidP="0085491B">
      <w:pPr>
        <w:overflowPunct w:val="0"/>
        <w:autoSpaceDE w:val="0"/>
        <w:autoSpaceDN w:val="0"/>
        <w:adjustRightInd w:val="0"/>
        <w:spacing w:after="0" w:line="312" w:lineRule="auto"/>
        <w:textAlignment w:val="baseline"/>
        <w:rPr>
          <w:rFonts w:eastAsia="Times New Roman" w:cs="Arial"/>
          <w:sz w:val="20"/>
          <w:szCs w:val="20"/>
          <w:highlight w:val="yellow"/>
          <w:lang w:eastAsia="sl-SI"/>
        </w:rPr>
      </w:pPr>
    </w:p>
    <w:p w14:paraId="3A2B8E88" w14:textId="2C6A9036" w:rsidR="0085491B" w:rsidRPr="00FF5156" w:rsidRDefault="0085491B" w:rsidP="00964713">
      <w:pPr>
        <w:spacing w:after="0" w:line="240" w:lineRule="auto"/>
        <w:jc w:val="left"/>
        <w:rPr>
          <w:rFonts w:eastAsia="Times New Roman" w:cs="Arial"/>
          <w:b/>
          <w:sz w:val="20"/>
          <w:szCs w:val="20"/>
          <w:lang w:eastAsia="sl-SI"/>
        </w:rPr>
      </w:pPr>
      <w:r>
        <w:rPr>
          <w:rFonts w:eastAsia="Times New Roman" w:cs="Arial"/>
          <w:b/>
          <w:sz w:val="20"/>
          <w:szCs w:val="20"/>
          <w:lang w:eastAsia="sl-SI"/>
        </w:rPr>
        <w:br w:type="page"/>
      </w:r>
      <w:bookmarkStart w:id="3" w:name="_Hlk82611071"/>
      <w:r w:rsidRPr="00FF5156">
        <w:rPr>
          <w:rFonts w:eastAsia="Times New Roman" w:cs="Arial"/>
          <w:b/>
          <w:sz w:val="20"/>
          <w:szCs w:val="20"/>
          <w:lang w:eastAsia="sl-SI"/>
        </w:rPr>
        <w:lastRenderedPageBreak/>
        <w:t>III. OBRAZLOŽITEV ČLENOV</w:t>
      </w:r>
    </w:p>
    <w:p w14:paraId="3407CD46" w14:textId="77777777" w:rsidR="0085491B" w:rsidRPr="00FF5156" w:rsidRDefault="0085491B" w:rsidP="0085491B">
      <w:pPr>
        <w:overflowPunct w:val="0"/>
        <w:autoSpaceDE w:val="0"/>
        <w:autoSpaceDN w:val="0"/>
        <w:adjustRightInd w:val="0"/>
        <w:spacing w:after="0" w:line="312" w:lineRule="auto"/>
        <w:jc w:val="left"/>
        <w:textAlignment w:val="baseline"/>
        <w:rPr>
          <w:rFonts w:eastAsia="Times New Roman" w:cs="Arial"/>
          <w:sz w:val="20"/>
          <w:szCs w:val="20"/>
          <w:highlight w:val="yellow"/>
          <w:lang w:eastAsia="sl-SI"/>
        </w:rPr>
      </w:pPr>
    </w:p>
    <w:p w14:paraId="2A5AD66A" w14:textId="77777777" w:rsidR="0085491B" w:rsidRPr="00FF5156" w:rsidRDefault="0085491B" w:rsidP="0085491B">
      <w:pPr>
        <w:overflowPunct w:val="0"/>
        <w:autoSpaceDE w:val="0"/>
        <w:autoSpaceDN w:val="0"/>
        <w:adjustRightInd w:val="0"/>
        <w:spacing w:after="0" w:line="312" w:lineRule="auto"/>
        <w:jc w:val="left"/>
        <w:textAlignment w:val="baseline"/>
        <w:rPr>
          <w:rFonts w:eastAsia="Times New Roman" w:cs="Arial"/>
          <w:sz w:val="20"/>
          <w:szCs w:val="20"/>
          <w:highlight w:val="yellow"/>
          <w:lang w:eastAsia="sl-SI"/>
        </w:rPr>
      </w:pPr>
    </w:p>
    <w:p w14:paraId="79E06E21" w14:textId="77777777" w:rsidR="0085491B" w:rsidRPr="00FF5156" w:rsidRDefault="0085491B" w:rsidP="0085491B">
      <w:pPr>
        <w:overflowPunct w:val="0"/>
        <w:autoSpaceDE w:val="0"/>
        <w:autoSpaceDN w:val="0"/>
        <w:adjustRightInd w:val="0"/>
        <w:spacing w:after="0" w:line="312" w:lineRule="auto"/>
        <w:jc w:val="left"/>
        <w:textAlignment w:val="baseline"/>
        <w:rPr>
          <w:rFonts w:eastAsia="Times New Roman" w:cs="Arial"/>
          <w:b/>
          <w:sz w:val="20"/>
          <w:szCs w:val="20"/>
          <w:lang w:eastAsia="sl-SI"/>
        </w:rPr>
      </w:pPr>
      <w:r w:rsidRPr="00FF5156">
        <w:rPr>
          <w:rFonts w:eastAsia="Times New Roman" w:cs="Arial"/>
          <w:b/>
          <w:sz w:val="20"/>
          <w:szCs w:val="20"/>
          <w:lang w:eastAsia="sl-SI"/>
        </w:rPr>
        <w:t>K 1. členu</w:t>
      </w:r>
    </w:p>
    <w:p w14:paraId="31EDEF16"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Dopolnitev 2. člena </w:t>
      </w:r>
      <w:r w:rsidRPr="003528A1">
        <w:rPr>
          <w:rFonts w:eastAsia="Calibri" w:cs="Arial"/>
          <w:color w:val="000000"/>
          <w:sz w:val="20"/>
          <w:szCs w:val="20"/>
          <w:lang w:eastAsia="en-US"/>
        </w:rPr>
        <w:t>Zakon</w:t>
      </w:r>
      <w:r>
        <w:rPr>
          <w:rFonts w:eastAsia="Calibri" w:cs="Arial"/>
          <w:color w:val="000000"/>
          <w:sz w:val="20"/>
          <w:szCs w:val="20"/>
          <w:lang w:eastAsia="en-US"/>
        </w:rPr>
        <w:t>a</w:t>
      </w:r>
      <w:r w:rsidRPr="003528A1">
        <w:rPr>
          <w:rFonts w:eastAsia="Calibri" w:cs="Arial"/>
          <w:color w:val="000000"/>
          <w:sz w:val="20"/>
          <w:szCs w:val="20"/>
          <w:lang w:eastAsia="en-US"/>
        </w:rPr>
        <w:t xml:space="preserve"> o sistemu jamstva za vloge (Uradni list RS, št. 27/16</w:t>
      </w:r>
      <w:r>
        <w:rPr>
          <w:rFonts w:eastAsia="Calibri" w:cs="Arial"/>
          <w:color w:val="000000"/>
          <w:sz w:val="20"/>
          <w:szCs w:val="20"/>
          <w:lang w:eastAsia="en-US"/>
        </w:rPr>
        <w:t>; v nadaljnjem besedilu: ZSJV</w:t>
      </w:r>
      <w:r w:rsidRPr="003528A1">
        <w:rPr>
          <w:rFonts w:eastAsia="Calibri" w:cs="Arial"/>
          <w:color w:val="000000"/>
          <w:sz w:val="20"/>
          <w:szCs w:val="20"/>
          <w:lang w:eastAsia="en-US"/>
        </w:rPr>
        <w:t>)</w:t>
      </w:r>
      <w:r>
        <w:rPr>
          <w:rFonts w:eastAsia="Calibri" w:cs="Arial"/>
          <w:color w:val="000000"/>
          <w:sz w:val="20"/>
          <w:szCs w:val="20"/>
          <w:lang w:eastAsia="en-US"/>
        </w:rPr>
        <w:t xml:space="preserve"> je redakcijske narave. Direktiva </w:t>
      </w:r>
      <w:r w:rsidRPr="00582467">
        <w:rPr>
          <w:rFonts w:eastAsia="Calibri" w:cs="Arial"/>
          <w:color w:val="000000"/>
          <w:sz w:val="20"/>
          <w:szCs w:val="20"/>
          <w:lang w:eastAsia="en-US"/>
        </w:rPr>
        <w:t>2014/49/EU Evropskega parlamenta in Sveta z dne 16. aprila 2014 o sistemih jamstva za vloge (UL L št. 173 z dne 12. junija 2014, str. 149</w:t>
      </w:r>
      <w:r>
        <w:rPr>
          <w:rFonts w:eastAsia="Calibri" w:cs="Arial"/>
          <w:color w:val="000000"/>
          <w:sz w:val="20"/>
          <w:szCs w:val="20"/>
          <w:lang w:eastAsia="en-US"/>
        </w:rPr>
        <w:t xml:space="preserve">; v nadaljnjem besedilu: Direktiva </w:t>
      </w:r>
      <w:r w:rsidRPr="00582467">
        <w:rPr>
          <w:rFonts w:eastAsia="Calibri" w:cs="Arial"/>
          <w:color w:val="000000"/>
          <w:sz w:val="20"/>
          <w:szCs w:val="20"/>
          <w:lang w:eastAsia="en-US"/>
        </w:rPr>
        <w:t>2014/49/EU</w:t>
      </w:r>
      <w:r>
        <w:rPr>
          <w:rFonts w:eastAsia="Calibri" w:cs="Arial"/>
          <w:color w:val="000000"/>
          <w:sz w:val="20"/>
          <w:szCs w:val="20"/>
          <w:lang w:eastAsia="en-US"/>
        </w:rPr>
        <w:t>) se je namreč po uveljavitvi ZSJV spremenila, pri čemer je navedba tega predpisa</w:t>
      </w:r>
      <w:r w:rsidRPr="00B11F71">
        <w:rPr>
          <w:rFonts w:eastAsia="Calibri" w:cs="Arial"/>
          <w:color w:val="000000"/>
          <w:sz w:val="20"/>
          <w:szCs w:val="20"/>
          <w:lang w:eastAsia="en-US"/>
        </w:rPr>
        <w:t xml:space="preserve"> </w:t>
      </w:r>
      <w:r>
        <w:rPr>
          <w:rFonts w:eastAsia="Calibri" w:cs="Arial"/>
          <w:color w:val="000000"/>
          <w:sz w:val="20"/>
          <w:szCs w:val="20"/>
          <w:lang w:eastAsia="en-US"/>
        </w:rPr>
        <w:t>EU dopolnjena z zadnjim popravkom.</w:t>
      </w:r>
    </w:p>
    <w:p w14:paraId="0FF9E5A7"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00EBF62A"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b/>
          <w:color w:val="000000"/>
          <w:sz w:val="20"/>
          <w:szCs w:val="20"/>
          <w:lang w:eastAsia="en-US"/>
        </w:rPr>
        <w:t>K 2. členu</w:t>
      </w:r>
    </w:p>
    <w:p w14:paraId="774F4919" w14:textId="09B1D74E"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Dopolnitev 3. člena ZSJV je redakcijske narave. Po uveljavitvi ZSJV so se predpisi</w:t>
      </w:r>
      <w:r w:rsidRPr="00B11F71">
        <w:rPr>
          <w:rFonts w:eastAsia="Calibri" w:cs="Arial"/>
          <w:color w:val="000000"/>
          <w:sz w:val="20"/>
          <w:szCs w:val="20"/>
          <w:lang w:eastAsia="en-US"/>
        </w:rPr>
        <w:t xml:space="preserve"> </w:t>
      </w:r>
      <w:r>
        <w:rPr>
          <w:rFonts w:eastAsia="Calibri" w:cs="Arial"/>
          <w:color w:val="000000"/>
          <w:sz w:val="20"/>
          <w:szCs w:val="20"/>
          <w:lang w:eastAsia="en-US"/>
        </w:rPr>
        <w:t>EU, ki so navedeni v tem členu, spremenili, zato se navedbe teh predpisov dopolnijo z zadnjo spremembo oziroma zadnjim popravkom.</w:t>
      </w:r>
      <w:r w:rsidR="00E07BA9">
        <w:rPr>
          <w:rFonts w:eastAsia="Calibri" w:cs="Arial"/>
          <w:color w:val="000000"/>
          <w:sz w:val="20"/>
          <w:szCs w:val="20"/>
          <w:lang w:eastAsia="en-US"/>
        </w:rPr>
        <w:t xml:space="preserve"> Prav tako se je medtem spremenil naziv predpisa, ki opredeljuje pojem »plačilni račun«, kar se ustrezno upošteva s spremembo 6. točke prvega odstavka 3. člena ZSJV.</w:t>
      </w:r>
    </w:p>
    <w:p w14:paraId="37B44BDB"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ACED4AC"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b/>
          <w:color w:val="000000"/>
          <w:sz w:val="20"/>
          <w:szCs w:val="20"/>
          <w:lang w:eastAsia="en-US"/>
        </w:rPr>
        <w:t>K 3. členu</w:t>
      </w:r>
    </w:p>
    <w:p w14:paraId="0BC1823C" w14:textId="6D2A1F21"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Z dopolnitvijo 4. člena ZSJV se odpravijo pomanjkljivosti pri prenosu prvega odstavka 4. člena Direktive </w:t>
      </w:r>
      <w:r w:rsidRPr="00582467">
        <w:rPr>
          <w:rFonts w:eastAsia="Calibri" w:cs="Arial"/>
          <w:color w:val="000000"/>
          <w:sz w:val="20"/>
          <w:szCs w:val="20"/>
          <w:lang w:eastAsia="en-US"/>
        </w:rPr>
        <w:t>2014/49/EU</w:t>
      </w:r>
      <w:r>
        <w:rPr>
          <w:rFonts w:eastAsia="Calibri" w:cs="Arial"/>
          <w:color w:val="000000"/>
          <w:sz w:val="20"/>
          <w:szCs w:val="20"/>
          <w:lang w:eastAsia="en-US"/>
        </w:rPr>
        <w:t xml:space="preserve">. V skladu s predlagano dopolnitvijo se bo lahko nacionalni sistem jamstva za vloge združil z enim ali več drugimi nacionalnimi sistemi jamstva za vloge držav članic Evropske unije </w:t>
      </w:r>
      <w:bookmarkStart w:id="4" w:name="_Hlk83636499"/>
      <w:r>
        <w:rPr>
          <w:rFonts w:eastAsia="Calibri" w:cs="Arial"/>
          <w:color w:val="000000"/>
          <w:sz w:val="20"/>
          <w:szCs w:val="20"/>
          <w:lang w:eastAsia="en-US"/>
        </w:rPr>
        <w:t xml:space="preserve">ali pa bo </w:t>
      </w:r>
      <w:r w:rsidR="00E07BA9">
        <w:rPr>
          <w:rFonts w:eastAsia="Calibri" w:cs="Arial"/>
          <w:color w:val="000000"/>
          <w:sz w:val="20"/>
          <w:szCs w:val="20"/>
          <w:lang w:eastAsia="en-US"/>
        </w:rPr>
        <w:t xml:space="preserve">prišlo do ustanovitve </w:t>
      </w:r>
      <w:r>
        <w:rPr>
          <w:rFonts w:eastAsia="Calibri" w:cs="Arial"/>
          <w:color w:val="000000"/>
          <w:sz w:val="20"/>
          <w:szCs w:val="20"/>
          <w:lang w:eastAsia="en-US"/>
        </w:rPr>
        <w:t xml:space="preserve">čezmejnega sistema jamstva za vloge, </w:t>
      </w:r>
      <w:r w:rsidR="00E07BA9">
        <w:rPr>
          <w:rFonts w:eastAsia="Calibri" w:cs="Arial"/>
          <w:color w:val="000000"/>
          <w:sz w:val="20"/>
          <w:szCs w:val="20"/>
          <w:lang w:eastAsia="en-US"/>
        </w:rPr>
        <w:t xml:space="preserve">katerega člani bodo banke in hranilnice iz prvega odstavka 6. člena ZSJV. </w:t>
      </w:r>
      <w:r>
        <w:rPr>
          <w:rFonts w:eastAsia="Calibri" w:cs="Arial"/>
          <w:color w:val="000000"/>
          <w:sz w:val="20"/>
          <w:szCs w:val="20"/>
          <w:lang w:eastAsia="en-US"/>
        </w:rPr>
        <w:t xml:space="preserve">Predlog za združitev oziroma ustanovitev čezmejnega sistema jamstva za vloge bo podala Banka Slovenije, ki upravlja nacionalni sistem jamstva za vloge, s tem predlogom pa bo morala </w:t>
      </w:r>
      <w:r w:rsidR="00E07BA9">
        <w:rPr>
          <w:rFonts w:eastAsia="Calibri" w:cs="Arial"/>
          <w:color w:val="000000"/>
          <w:sz w:val="20"/>
          <w:szCs w:val="20"/>
          <w:lang w:eastAsia="en-US"/>
        </w:rPr>
        <w:t xml:space="preserve">predhodno </w:t>
      </w:r>
      <w:r>
        <w:rPr>
          <w:rFonts w:eastAsia="Calibri" w:cs="Arial"/>
          <w:color w:val="000000"/>
          <w:sz w:val="20"/>
          <w:szCs w:val="20"/>
          <w:lang w:eastAsia="en-US"/>
        </w:rPr>
        <w:t>soglašati Vlada Republike Slovenije</w:t>
      </w:r>
      <w:r w:rsidR="00E07BA9">
        <w:rPr>
          <w:rFonts w:eastAsia="Calibri" w:cs="Arial"/>
          <w:color w:val="000000"/>
          <w:sz w:val="20"/>
          <w:szCs w:val="20"/>
          <w:lang w:eastAsia="en-US"/>
        </w:rPr>
        <w:t>, kot to določa nova 6. točka drugega odstavka 21. člena ZSJV</w:t>
      </w:r>
      <w:r>
        <w:rPr>
          <w:rFonts w:eastAsia="Calibri" w:cs="Arial"/>
          <w:color w:val="000000"/>
          <w:sz w:val="20"/>
          <w:szCs w:val="20"/>
          <w:lang w:eastAsia="en-US"/>
        </w:rPr>
        <w:t>.</w:t>
      </w:r>
      <w:r w:rsidR="009721B2">
        <w:rPr>
          <w:rFonts w:eastAsia="Calibri" w:cs="Arial"/>
          <w:color w:val="000000"/>
          <w:sz w:val="20"/>
          <w:szCs w:val="20"/>
          <w:lang w:eastAsia="en-US"/>
        </w:rPr>
        <w:t xml:space="preserve"> </w:t>
      </w:r>
      <w:r w:rsidR="009721B2" w:rsidRPr="009721B2">
        <w:rPr>
          <w:rFonts w:eastAsia="Calibri" w:cs="Arial"/>
          <w:color w:val="000000"/>
          <w:sz w:val="20"/>
          <w:szCs w:val="20"/>
          <w:lang w:eastAsia="en-US"/>
        </w:rPr>
        <w:t>Banka Slovenije bo združitev sistemov jamstva za vloge oziroma ustanovitev čezmejnega sistema jamstva za vloge predlagala le v primeru, če bo ocenila, da je nadzor nad poslovanjem bank v drugih državah članicah Evropske unije, ki bodo vključene v združeni oziroma čezmejni sistem jamstva za vloge vsaj enakovreden bančnemu nadzoru, ki se izvaja v Republiki Sloveniji.</w:t>
      </w:r>
    </w:p>
    <w:bookmarkEnd w:id="4"/>
    <w:p w14:paraId="19ADF0AC"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40F6A4CA"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Zaradi posebnosti nacionalne ureditve jamstva za vloge, po kateri se na območju Republike Slovenije ustanovi le en (obvezni) sistem jamstva za vloge, ki ga upravlja Banka Slovenije, bo ob morebitni združitvi oziroma ustanovitvi čezmejnega sistema jamstva za vloge potrebna smiselna uporaba določb ZSJV, saj bo Banka Slovenije še naprej izvajala naloge na tem področju v razmerju do bank in hranilnic </w:t>
      </w:r>
      <w:r w:rsidRPr="005F5EB7">
        <w:rPr>
          <w:rFonts w:eastAsia="Calibri" w:cs="Arial"/>
          <w:color w:val="000000"/>
          <w:sz w:val="20"/>
          <w:szCs w:val="20"/>
          <w:lang w:eastAsia="en-US"/>
        </w:rPr>
        <w:t>s sedežem v Republiki Sloveniji</w:t>
      </w:r>
      <w:r>
        <w:rPr>
          <w:rFonts w:eastAsia="Calibri" w:cs="Arial"/>
          <w:color w:val="000000"/>
          <w:sz w:val="20"/>
          <w:szCs w:val="20"/>
          <w:lang w:eastAsia="en-US"/>
        </w:rPr>
        <w:t xml:space="preserve"> in </w:t>
      </w:r>
      <w:r w:rsidRPr="005F5EB7">
        <w:rPr>
          <w:rFonts w:eastAsia="Calibri" w:cs="Arial"/>
          <w:color w:val="000000"/>
          <w:sz w:val="20"/>
          <w:szCs w:val="20"/>
          <w:lang w:eastAsia="en-US"/>
        </w:rPr>
        <w:t>bank tretj</w:t>
      </w:r>
      <w:r>
        <w:rPr>
          <w:rFonts w:eastAsia="Calibri" w:cs="Arial"/>
          <w:color w:val="000000"/>
          <w:sz w:val="20"/>
          <w:szCs w:val="20"/>
          <w:lang w:eastAsia="en-US"/>
        </w:rPr>
        <w:t>ih</w:t>
      </w:r>
      <w:r w:rsidRPr="005F5EB7">
        <w:rPr>
          <w:rFonts w:eastAsia="Calibri" w:cs="Arial"/>
          <w:color w:val="000000"/>
          <w:sz w:val="20"/>
          <w:szCs w:val="20"/>
          <w:lang w:eastAsia="en-US"/>
        </w:rPr>
        <w:t xml:space="preserve"> držav, ki so v skladu z zakonom, ki ureja bančništvo, pridobile dovoljenje za ustanovitev podružnice</w:t>
      </w:r>
      <w:r w:rsidRPr="00B11F71">
        <w:rPr>
          <w:rFonts w:eastAsia="Calibri" w:cs="Arial"/>
          <w:color w:val="000000"/>
          <w:sz w:val="20"/>
          <w:szCs w:val="20"/>
          <w:lang w:eastAsia="en-US"/>
        </w:rPr>
        <w:t xml:space="preserve"> </w:t>
      </w:r>
      <w:r w:rsidRPr="005F5EB7">
        <w:rPr>
          <w:rFonts w:eastAsia="Calibri" w:cs="Arial"/>
          <w:color w:val="000000"/>
          <w:sz w:val="20"/>
          <w:szCs w:val="20"/>
          <w:lang w:eastAsia="en-US"/>
        </w:rPr>
        <w:t xml:space="preserve">EU v Republiki Sloveniji, kadar </w:t>
      </w:r>
      <w:r>
        <w:rPr>
          <w:rFonts w:eastAsia="Calibri" w:cs="Arial"/>
          <w:color w:val="000000"/>
          <w:sz w:val="20"/>
          <w:szCs w:val="20"/>
          <w:lang w:eastAsia="en-US"/>
        </w:rPr>
        <w:t>bo</w:t>
      </w:r>
      <w:r w:rsidRPr="005F5EB7">
        <w:rPr>
          <w:rFonts w:eastAsia="Calibri" w:cs="Arial"/>
          <w:color w:val="000000"/>
          <w:sz w:val="20"/>
          <w:szCs w:val="20"/>
          <w:lang w:eastAsia="en-US"/>
        </w:rPr>
        <w:t xml:space="preserve"> podružnica</w:t>
      </w:r>
      <w:r w:rsidRPr="00B11F71">
        <w:rPr>
          <w:rFonts w:eastAsia="Calibri" w:cs="Arial"/>
          <w:color w:val="000000"/>
          <w:sz w:val="20"/>
          <w:szCs w:val="20"/>
          <w:lang w:eastAsia="en-US"/>
        </w:rPr>
        <w:t xml:space="preserve"> </w:t>
      </w:r>
      <w:r w:rsidRPr="005F5EB7">
        <w:rPr>
          <w:rFonts w:eastAsia="Calibri" w:cs="Arial"/>
          <w:color w:val="000000"/>
          <w:sz w:val="20"/>
          <w:szCs w:val="20"/>
          <w:lang w:eastAsia="en-US"/>
        </w:rPr>
        <w:t xml:space="preserve">EU vključena v sistem jamstva za vloge po </w:t>
      </w:r>
      <w:r>
        <w:rPr>
          <w:rFonts w:eastAsia="Calibri" w:cs="Arial"/>
          <w:color w:val="000000"/>
          <w:sz w:val="20"/>
          <w:szCs w:val="20"/>
          <w:lang w:eastAsia="en-US"/>
        </w:rPr>
        <w:t>ZSJV.</w:t>
      </w:r>
      <w:r w:rsidRPr="003528A1">
        <w:rPr>
          <w:rFonts w:eastAsia="Calibri" w:cs="Arial"/>
          <w:color w:val="000000"/>
          <w:sz w:val="20"/>
          <w:szCs w:val="20"/>
          <w:lang w:eastAsia="en-US"/>
        </w:rPr>
        <w:t xml:space="preserve">   </w:t>
      </w:r>
    </w:p>
    <w:p w14:paraId="511CBCF6"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68A1291"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b/>
          <w:color w:val="000000"/>
          <w:sz w:val="20"/>
          <w:szCs w:val="20"/>
          <w:lang w:eastAsia="en-US"/>
        </w:rPr>
        <w:t>K 4. členu</w:t>
      </w:r>
    </w:p>
    <w:p w14:paraId="09F71F6B"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S spremembo 12. člena ZSJV se odpravijo pomanjkljivosti pri prenosu petega odstavka 16. člena Direktive </w:t>
      </w:r>
      <w:r w:rsidRPr="00582467">
        <w:rPr>
          <w:rFonts w:eastAsia="Calibri" w:cs="Arial"/>
          <w:color w:val="000000"/>
          <w:sz w:val="20"/>
          <w:szCs w:val="20"/>
          <w:lang w:eastAsia="en-US"/>
        </w:rPr>
        <w:t>2014/49/EU</w:t>
      </w:r>
      <w:r>
        <w:rPr>
          <w:rFonts w:eastAsia="Calibri" w:cs="Arial"/>
          <w:color w:val="000000"/>
          <w:sz w:val="20"/>
          <w:szCs w:val="20"/>
          <w:lang w:eastAsia="en-US"/>
        </w:rPr>
        <w:t xml:space="preserve">. Omejitve glede oglaševanja storitev banke se namreč nanašajo na vse banke in hranilnice in ne le na storitve podružnice banke v tretji državi. </w:t>
      </w:r>
    </w:p>
    <w:p w14:paraId="687CFE12"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E2BED34" w14:textId="77777777" w:rsidR="0085491B" w:rsidRPr="004966A0"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sidRPr="004966A0">
        <w:rPr>
          <w:rFonts w:eastAsia="Calibri" w:cs="Arial"/>
          <w:color w:val="000000"/>
          <w:sz w:val="20"/>
          <w:szCs w:val="20"/>
          <w:lang w:eastAsia="en-US"/>
        </w:rPr>
        <w:t>Pri oglaševanju svojih storitev</w:t>
      </w:r>
      <w:r>
        <w:rPr>
          <w:rFonts w:eastAsia="Calibri" w:cs="Arial"/>
          <w:color w:val="000000"/>
          <w:sz w:val="20"/>
          <w:szCs w:val="20"/>
          <w:lang w:eastAsia="en-US"/>
        </w:rPr>
        <w:t xml:space="preserve"> bo </w:t>
      </w:r>
      <w:r w:rsidRPr="004966A0">
        <w:rPr>
          <w:rFonts w:eastAsia="Calibri" w:cs="Arial"/>
          <w:color w:val="000000"/>
          <w:sz w:val="20"/>
          <w:szCs w:val="20"/>
          <w:lang w:eastAsia="en-US"/>
        </w:rPr>
        <w:t>lahko banka v zvezi z jamstvom za vloge vključi</w:t>
      </w:r>
      <w:r>
        <w:rPr>
          <w:rFonts w:eastAsia="Calibri" w:cs="Arial"/>
          <w:color w:val="000000"/>
          <w:sz w:val="20"/>
          <w:szCs w:val="20"/>
          <w:lang w:eastAsia="en-US"/>
        </w:rPr>
        <w:t>la</w:t>
      </w:r>
      <w:r w:rsidRPr="004966A0">
        <w:rPr>
          <w:rFonts w:eastAsia="Calibri" w:cs="Arial"/>
          <w:color w:val="000000"/>
          <w:sz w:val="20"/>
          <w:szCs w:val="20"/>
          <w:lang w:eastAsia="en-US"/>
        </w:rPr>
        <w:t xml:space="preserve"> le informacijo o tem, v kateri sistem jamstva za vloge je vključena</w:t>
      </w:r>
      <w:r>
        <w:rPr>
          <w:rFonts w:eastAsia="Calibri" w:cs="Arial"/>
          <w:color w:val="000000"/>
          <w:sz w:val="20"/>
          <w:szCs w:val="20"/>
          <w:lang w:eastAsia="en-US"/>
        </w:rPr>
        <w:t>,</w:t>
      </w:r>
      <w:r w:rsidRPr="004966A0">
        <w:rPr>
          <w:rFonts w:eastAsia="Calibri" w:cs="Arial"/>
          <w:color w:val="000000"/>
          <w:sz w:val="20"/>
          <w:szCs w:val="20"/>
          <w:lang w:eastAsia="en-US"/>
        </w:rPr>
        <w:t xml:space="preserve"> in o višini jamstva za vloge</w:t>
      </w:r>
      <w:r>
        <w:rPr>
          <w:rFonts w:eastAsia="Calibri" w:cs="Arial"/>
          <w:color w:val="000000"/>
          <w:sz w:val="20"/>
          <w:szCs w:val="20"/>
          <w:lang w:eastAsia="en-US"/>
        </w:rPr>
        <w:t xml:space="preserve">, ki na podlagi </w:t>
      </w:r>
      <w:r w:rsidRPr="004966A0">
        <w:rPr>
          <w:rFonts w:eastAsia="Calibri" w:cs="Arial"/>
          <w:color w:val="000000"/>
          <w:sz w:val="20"/>
          <w:szCs w:val="20"/>
          <w:lang w:eastAsia="en-US"/>
        </w:rPr>
        <w:t xml:space="preserve">prvega odstavka 10. člena </w:t>
      </w:r>
      <w:r>
        <w:rPr>
          <w:rFonts w:eastAsia="Calibri" w:cs="Arial"/>
          <w:color w:val="000000"/>
          <w:sz w:val="20"/>
          <w:szCs w:val="20"/>
          <w:lang w:eastAsia="en-US"/>
        </w:rPr>
        <w:t>ZSJV znaša do 100.000 evrov</w:t>
      </w:r>
      <w:r w:rsidRPr="004966A0">
        <w:rPr>
          <w:rFonts w:eastAsia="Calibri" w:cs="Arial"/>
          <w:color w:val="000000"/>
          <w:sz w:val="20"/>
          <w:szCs w:val="20"/>
          <w:lang w:eastAsia="en-US"/>
        </w:rPr>
        <w:t>.</w:t>
      </w:r>
    </w:p>
    <w:p w14:paraId="1637B69D" w14:textId="20866D9E"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02817C5" w14:textId="2352945F" w:rsidR="003C53A2" w:rsidRDefault="003C53A2"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b/>
          <w:bCs/>
          <w:color w:val="000000"/>
          <w:sz w:val="20"/>
          <w:szCs w:val="20"/>
          <w:lang w:eastAsia="en-US"/>
        </w:rPr>
        <w:lastRenderedPageBreak/>
        <w:t>K 5. členu</w:t>
      </w:r>
    </w:p>
    <w:p w14:paraId="74A86E4B" w14:textId="77777777" w:rsidR="00BB4C5D" w:rsidRDefault="003C53A2"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Z dopolnitvijo drugega odstavka 21. člena ZSJV se v skladu z dopolnitvijo 4. člena ZSJV med naloge, ki zajemajo upravljanje sistema jamstva za vloge, doda </w:t>
      </w:r>
      <w:r w:rsidRPr="003C53A2">
        <w:rPr>
          <w:rFonts w:eastAsia="Calibri" w:cs="Arial"/>
          <w:color w:val="000000"/>
          <w:sz w:val="20"/>
          <w:szCs w:val="20"/>
          <w:lang w:eastAsia="en-US"/>
        </w:rPr>
        <w:t>izvedb</w:t>
      </w:r>
      <w:r>
        <w:rPr>
          <w:rFonts w:eastAsia="Calibri" w:cs="Arial"/>
          <w:color w:val="000000"/>
          <w:sz w:val="20"/>
          <w:szCs w:val="20"/>
          <w:lang w:eastAsia="en-US"/>
        </w:rPr>
        <w:t>a</w:t>
      </w:r>
      <w:r w:rsidRPr="003C53A2">
        <w:rPr>
          <w:rFonts w:eastAsia="Calibri" w:cs="Arial"/>
          <w:color w:val="000000"/>
          <w:sz w:val="20"/>
          <w:szCs w:val="20"/>
          <w:lang w:eastAsia="en-US"/>
        </w:rPr>
        <w:t xml:space="preserve"> postopkov za združitev sistema jamstva za vloge s sistemi jamstva za vloge, ki so ustanovljeni v drugih državah članicah, in izvedbo postopkov za ustanovitev čezmejnega sistema jamstva za vloge</w:t>
      </w:r>
      <w:r>
        <w:rPr>
          <w:rFonts w:eastAsia="Calibri" w:cs="Arial"/>
          <w:color w:val="000000"/>
          <w:sz w:val="20"/>
          <w:szCs w:val="20"/>
          <w:lang w:eastAsia="en-US"/>
        </w:rPr>
        <w:t>.</w:t>
      </w:r>
    </w:p>
    <w:p w14:paraId="0B162680" w14:textId="77777777" w:rsidR="00BB4C5D" w:rsidRDefault="00BB4C5D"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110EE644" w14:textId="1C8398BF" w:rsidR="00F2112F" w:rsidRDefault="00BB4C5D"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P</w:t>
      </w:r>
      <w:r w:rsidR="003C53A2" w:rsidRPr="003C53A2">
        <w:rPr>
          <w:rFonts w:eastAsia="Calibri" w:cs="Arial"/>
          <w:color w:val="000000"/>
          <w:sz w:val="20"/>
          <w:szCs w:val="20"/>
          <w:lang w:eastAsia="en-US"/>
        </w:rPr>
        <w:t xml:space="preserve">red izvedbo </w:t>
      </w:r>
      <w:r>
        <w:rPr>
          <w:rFonts w:eastAsia="Calibri" w:cs="Arial"/>
          <w:color w:val="000000"/>
          <w:sz w:val="20"/>
          <w:szCs w:val="20"/>
          <w:lang w:eastAsia="en-US"/>
        </w:rPr>
        <w:t xml:space="preserve">navedenih </w:t>
      </w:r>
      <w:r w:rsidR="003C53A2" w:rsidRPr="003C53A2">
        <w:rPr>
          <w:rFonts w:eastAsia="Calibri" w:cs="Arial"/>
          <w:color w:val="000000"/>
          <w:sz w:val="20"/>
          <w:szCs w:val="20"/>
          <w:lang w:eastAsia="en-US"/>
        </w:rPr>
        <w:t xml:space="preserve">postopkov </w:t>
      </w:r>
      <w:r>
        <w:rPr>
          <w:rFonts w:eastAsia="Calibri" w:cs="Arial"/>
          <w:color w:val="000000"/>
          <w:sz w:val="20"/>
          <w:szCs w:val="20"/>
          <w:lang w:eastAsia="en-US"/>
        </w:rPr>
        <w:t xml:space="preserve">bo morala </w:t>
      </w:r>
      <w:r w:rsidR="003C53A2" w:rsidRPr="003C53A2">
        <w:rPr>
          <w:rFonts w:eastAsia="Calibri" w:cs="Arial"/>
          <w:color w:val="000000"/>
          <w:sz w:val="20"/>
          <w:szCs w:val="20"/>
          <w:lang w:eastAsia="en-US"/>
        </w:rPr>
        <w:t>Banka Slovenije pridobi</w:t>
      </w:r>
      <w:r>
        <w:rPr>
          <w:rFonts w:eastAsia="Calibri" w:cs="Arial"/>
          <w:color w:val="000000"/>
          <w:sz w:val="20"/>
          <w:szCs w:val="20"/>
          <w:lang w:eastAsia="en-US"/>
        </w:rPr>
        <w:t>ti</w:t>
      </w:r>
      <w:r w:rsidR="003C53A2" w:rsidRPr="003C53A2">
        <w:rPr>
          <w:rFonts w:eastAsia="Calibri" w:cs="Arial"/>
          <w:color w:val="000000"/>
          <w:sz w:val="20"/>
          <w:szCs w:val="20"/>
          <w:lang w:eastAsia="en-US"/>
        </w:rPr>
        <w:t xml:space="preserve"> soglasje Vlade Republike Slovenije</w:t>
      </w:r>
      <w:r>
        <w:rPr>
          <w:rFonts w:eastAsia="Calibri" w:cs="Arial"/>
          <w:color w:val="000000"/>
          <w:sz w:val="20"/>
          <w:szCs w:val="20"/>
          <w:lang w:eastAsia="en-US"/>
        </w:rPr>
        <w:t xml:space="preserve">. Glede na posebnost nacionalne pravne ureditve tega področja, kjer je predpisan le en (obvezni) sistem jamstva za vloge (Direktiva 2014/49/EU dopušča, da je na območju držav članic ustanovljenih več sistemov jamstva za vloge z različnim lastniškim statusom), bo v prvi vrsti Banka Slovenije presodila potrebnost in </w:t>
      </w:r>
      <w:r w:rsidR="00F2112F">
        <w:rPr>
          <w:rFonts w:eastAsia="Calibri" w:cs="Arial"/>
          <w:color w:val="000000"/>
          <w:sz w:val="20"/>
          <w:szCs w:val="20"/>
          <w:lang w:eastAsia="en-US"/>
        </w:rPr>
        <w:t xml:space="preserve">tveganost </w:t>
      </w:r>
      <w:r>
        <w:rPr>
          <w:rFonts w:eastAsia="Calibri" w:cs="Arial"/>
          <w:color w:val="000000"/>
          <w:sz w:val="20"/>
          <w:szCs w:val="20"/>
          <w:lang w:eastAsia="en-US"/>
        </w:rPr>
        <w:t xml:space="preserve">sprememb, ki jih prinaša ustanovitev </w:t>
      </w:r>
      <w:r w:rsidR="00F2112F">
        <w:rPr>
          <w:rFonts w:eastAsia="Calibri" w:cs="Arial"/>
          <w:color w:val="000000"/>
          <w:sz w:val="20"/>
          <w:szCs w:val="20"/>
          <w:lang w:eastAsia="en-US"/>
        </w:rPr>
        <w:t xml:space="preserve">takšnih sistemov jamstva za vloge. Do ustanovitve združenih ali čezmejnih sistemov jamstva za vloge bo prišlo s podpisom ustrezne pogodbe, pri čemer bo morala Banka Slovenije pred podpisom takšne pogodbe pridobiti </w:t>
      </w:r>
      <w:r w:rsidR="00F2112F" w:rsidRPr="003C53A2">
        <w:rPr>
          <w:rFonts w:eastAsia="Calibri" w:cs="Arial"/>
          <w:color w:val="000000"/>
          <w:sz w:val="20"/>
          <w:szCs w:val="20"/>
          <w:lang w:eastAsia="en-US"/>
        </w:rPr>
        <w:t>soglasje Vlade Republike Slovenije</w:t>
      </w:r>
      <w:r w:rsidR="00F2112F">
        <w:rPr>
          <w:rFonts w:eastAsia="Calibri" w:cs="Arial"/>
          <w:color w:val="000000"/>
          <w:sz w:val="20"/>
          <w:szCs w:val="20"/>
          <w:lang w:eastAsia="en-US"/>
        </w:rPr>
        <w:t xml:space="preserve">. </w:t>
      </w:r>
    </w:p>
    <w:p w14:paraId="06912821" w14:textId="77777777" w:rsidR="003C53A2" w:rsidRDefault="003C53A2"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72656CE3" w14:textId="52775CD5"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b/>
          <w:color w:val="000000"/>
          <w:sz w:val="20"/>
          <w:szCs w:val="20"/>
          <w:lang w:eastAsia="en-US"/>
        </w:rPr>
        <w:t xml:space="preserve">K </w:t>
      </w:r>
      <w:r w:rsidR="003C53A2">
        <w:rPr>
          <w:rFonts w:eastAsia="Calibri" w:cs="Arial"/>
          <w:b/>
          <w:color w:val="000000"/>
          <w:sz w:val="20"/>
          <w:szCs w:val="20"/>
          <w:lang w:eastAsia="en-US"/>
        </w:rPr>
        <w:t>6</w:t>
      </w:r>
      <w:r>
        <w:rPr>
          <w:rFonts w:eastAsia="Calibri" w:cs="Arial"/>
          <w:b/>
          <w:color w:val="000000"/>
          <w:sz w:val="20"/>
          <w:szCs w:val="20"/>
          <w:lang w:eastAsia="en-US"/>
        </w:rPr>
        <w:t xml:space="preserve">. in </w:t>
      </w:r>
      <w:r w:rsidR="003C53A2">
        <w:rPr>
          <w:rFonts w:eastAsia="Calibri" w:cs="Arial"/>
          <w:b/>
          <w:color w:val="000000"/>
          <w:sz w:val="20"/>
          <w:szCs w:val="20"/>
          <w:lang w:eastAsia="en-US"/>
        </w:rPr>
        <w:t>7</w:t>
      </w:r>
      <w:r>
        <w:rPr>
          <w:rFonts w:eastAsia="Calibri" w:cs="Arial"/>
          <w:b/>
          <w:color w:val="000000"/>
          <w:sz w:val="20"/>
          <w:szCs w:val="20"/>
          <w:lang w:eastAsia="en-US"/>
        </w:rPr>
        <w:t>. členu</w:t>
      </w:r>
    </w:p>
    <w:p w14:paraId="380F4816"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S spremembo in dopolnitvijo 26 in 27. člena ZSJV se Banki Slovenije omogoči, da </w:t>
      </w:r>
      <w:r w:rsidRPr="007C4204">
        <w:rPr>
          <w:rFonts w:eastAsia="Calibri" w:cs="Arial"/>
          <w:color w:val="000000"/>
          <w:sz w:val="20"/>
          <w:szCs w:val="20"/>
          <w:lang w:eastAsia="en-US"/>
        </w:rPr>
        <w:t xml:space="preserve">lahko upravlja premoženje sklada za jamstvo vlog tudi skupaj z drugim premoženjem Banke Slovenije ali drugim premoženjem v upravljanju Banke Slovenije, pri čemer mora za sredstva in obveznosti sklada za jamstvo vlog voditi ločeno knjigovodsko evidenco. </w:t>
      </w:r>
      <w:r>
        <w:rPr>
          <w:rFonts w:eastAsia="Calibri" w:cs="Arial"/>
          <w:color w:val="000000"/>
          <w:sz w:val="20"/>
          <w:szCs w:val="20"/>
          <w:lang w:eastAsia="en-US"/>
        </w:rPr>
        <w:t>Ta</w:t>
      </w:r>
      <w:r w:rsidRPr="007C4204">
        <w:rPr>
          <w:rFonts w:eastAsia="Calibri" w:cs="Arial"/>
          <w:color w:val="000000"/>
          <w:sz w:val="20"/>
          <w:szCs w:val="20"/>
          <w:lang w:eastAsia="en-US"/>
        </w:rPr>
        <w:t xml:space="preserve"> rešitev je </w:t>
      </w:r>
      <w:r>
        <w:rPr>
          <w:rFonts w:eastAsia="Calibri" w:cs="Arial"/>
          <w:color w:val="000000"/>
          <w:sz w:val="20"/>
          <w:szCs w:val="20"/>
          <w:lang w:eastAsia="en-US"/>
        </w:rPr>
        <w:t xml:space="preserve">že uveljavljena za </w:t>
      </w:r>
      <w:r w:rsidRPr="007C4204">
        <w:rPr>
          <w:rFonts w:eastAsia="Calibri" w:cs="Arial"/>
          <w:color w:val="000000"/>
          <w:sz w:val="20"/>
          <w:szCs w:val="20"/>
          <w:lang w:eastAsia="en-US"/>
        </w:rPr>
        <w:t>upravljanj</w:t>
      </w:r>
      <w:r>
        <w:rPr>
          <w:rFonts w:eastAsia="Calibri" w:cs="Arial"/>
          <w:color w:val="000000"/>
          <w:sz w:val="20"/>
          <w:szCs w:val="20"/>
          <w:lang w:eastAsia="en-US"/>
        </w:rPr>
        <w:t xml:space="preserve">e </w:t>
      </w:r>
      <w:r w:rsidRPr="007C4204">
        <w:rPr>
          <w:rFonts w:eastAsia="Calibri" w:cs="Arial"/>
          <w:color w:val="000000"/>
          <w:sz w:val="20"/>
          <w:szCs w:val="20"/>
          <w:lang w:eastAsia="en-US"/>
        </w:rPr>
        <w:t>sredst</w:t>
      </w:r>
      <w:r>
        <w:rPr>
          <w:rFonts w:eastAsia="Calibri" w:cs="Arial"/>
          <w:color w:val="000000"/>
          <w:sz w:val="20"/>
          <w:szCs w:val="20"/>
          <w:lang w:eastAsia="en-US"/>
        </w:rPr>
        <w:t>e</w:t>
      </w:r>
      <w:r w:rsidRPr="007C4204">
        <w:rPr>
          <w:rFonts w:eastAsia="Calibri" w:cs="Arial"/>
          <w:color w:val="000000"/>
          <w:sz w:val="20"/>
          <w:szCs w:val="20"/>
          <w:lang w:eastAsia="en-US"/>
        </w:rPr>
        <w:t>v sklada za reševanje bank, ustanovljenega na podlagi Zakon</w:t>
      </w:r>
      <w:r>
        <w:rPr>
          <w:rFonts w:eastAsia="Calibri" w:cs="Arial"/>
          <w:color w:val="000000"/>
          <w:sz w:val="20"/>
          <w:szCs w:val="20"/>
          <w:lang w:eastAsia="en-US"/>
        </w:rPr>
        <w:t>a</w:t>
      </w:r>
      <w:r w:rsidRPr="007C4204">
        <w:rPr>
          <w:rFonts w:eastAsia="Calibri" w:cs="Arial"/>
          <w:color w:val="000000"/>
          <w:sz w:val="20"/>
          <w:szCs w:val="20"/>
          <w:lang w:eastAsia="en-US"/>
        </w:rPr>
        <w:t xml:space="preserve"> o organu in skladu za reševanje bank (Uradni list RS, št. 97/14, 9</w:t>
      </w:r>
      <w:r>
        <w:rPr>
          <w:rFonts w:eastAsia="Calibri" w:cs="Arial"/>
          <w:color w:val="000000"/>
          <w:sz w:val="20"/>
          <w:szCs w:val="20"/>
          <w:lang w:eastAsia="en-US"/>
        </w:rPr>
        <w:t>1/15, 44/16 – ZRPPB in 27/17)</w:t>
      </w:r>
      <w:r w:rsidRPr="007C4204">
        <w:rPr>
          <w:rFonts w:eastAsia="Calibri" w:cs="Arial"/>
          <w:color w:val="000000"/>
          <w:sz w:val="20"/>
          <w:szCs w:val="20"/>
          <w:lang w:eastAsia="en-US"/>
        </w:rPr>
        <w:t>.</w:t>
      </w:r>
      <w:r>
        <w:rPr>
          <w:rFonts w:eastAsia="Calibri" w:cs="Arial"/>
          <w:color w:val="000000"/>
          <w:sz w:val="20"/>
          <w:szCs w:val="20"/>
          <w:lang w:eastAsia="en-US"/>
        </w:rPr>
        <w:t xml:space="preserve"> </w:t>
      </w:r>
      <w:r w:rsidRPr="00A618E0">
        <w:rPr>
          <w:rFonts w:eastAsia="Calibri" w:cs="Arial"/>
          <w:color w:val="000000"/>
          <w:sz w:val="20"/>
          <w:szCs w:val="20"/>
          <w:lang w:eastAsia="en-US"/>
        </w:rPr>
        <w:t>S</w:t>
      </w:r>
      <w:r>
        <w:rPr>
          <w:rFonts w:eastAsia="Calibri" w:cs="Arial"/>
          <w:color w:val="000000"/>
          <w:sz w:val="20"/>
          <w:szCs w:val="20"/>
          <w:lang w:eastAsia="en-US"/>
        </w:rPr>
        <w:t xml:space="preserve"> tem se zagotovi </w:t>
      </w:r>
      <w:r w:rsidRPr="00A618E0">
        <w:rPr>
          <w:rFonts w:eastAsia="Calibri" w:cs="Arial"/>
          <w:color w:val="000000"/>
          <w:sz w:val="20"/>
          <w:szCs w:val="20"/>
          <w:lang w:eastAsia="en-US"/>
        </w:rPr>
        <w:t>učinkovitejše izvajanj</w:t>
      </w:r>
      <w:r>
        <w:rPr>
          <w:rFonts w:eastAsia="Calibri" w:cs="Arial"/>
          <w:color w:val="000000"/>
          <w:sz w:val="20"/>
          <w:szCs w:val="20"/>
          <w:lang w:eastAsia="en-US"/>
        </w:rPr>
        <w:t>e</w:t>
      </w:r>
      <w:r w:rsidRPr="00A618E0">
        <w:rPr>
          <w:rFonts w:eastAsia="Calibri" w:cs="Arial"/>
          <w:color w:val="000000"/>
          <w:sz w:val="20"/>
          <w:szCs w:val="20"/>
          <w:lang w:eastAsia="en-US"/>
        </w:rPr>
        <w:t xml:space="preserve"> naložbene politike</w:t>
      </w:r>
      <w:r>
        <w:rPr>
          <w:rFonts w:eastAsia="Calibri" w:cs="Arial"/>
          <w:color w:val="000000"/>
          <w:sz w:val="20"/>
          <w:szCs w:val="20"/>
          <w:lang w:eastAsia="en-US"/>
        </w:rPr>
        <w:t xml:space="preserve"> Banke Slovenije, ki bo lahko </w:t>
      </w:r>
      <w:r w:rsidRPr="00A618E0">
        <w:rPr>
          <w:rFonts w:eastAsia="Calibri" w:cs="Arial"/>
          <w:color w:val="000000"/>
          <w:sz w:val="20"/>
          <w:szCs w:val="20"/>
          <w:lang w:eastAsia="en-US"/>
        </w:rPr>
        <w:t>sredstva sklada za jamstvo vlog naloži</w:t>
      </w:r>
      <w:r>
        <w:rPr>
          <w:rFonts w:eastAsia="Calibri" w:cs="Arial"/>
          <w:color w:val="000000"/>
          <w:sz w:val="20"/>
          <w:szCs w:val="20"/>
          <w:lang w:eastAsia="en-US"/>
        </w:rPr>
        <w:t>la</w:t>
      </w:r>
      <w:r w:rsidRPr="00A618E0">
        <w:rPr>
          <w:rFonts w:eastAsia="Calibri" w:cs="Arial"/>
          <w:color w:val="000000"/>
          <w:sz w:val="20"/>
          <w:szCs w:val="20"/>
          <w:lang w:eastAsia="en-US"/>
        </w:rPr>
        <w:t xml:space="preserve"> v skupni sklad, pri čemer </w:t>
      </w:r>
      <w:r>
        <w:rPr>
          <w:rFonts w:eastAsia="Calibri" w:cs="Arial"/>
          <w:color w:val="000000"/>
          <w:sz w:val="20"/>
          <w:szCs w:val="20"/>
          <w:lang w:eastAsia="en-US"/>
        </w:rPr>
        <w:t xml:space="preserve">bo </w:t>
      </w:r>
      <w:r w:rsidRPr="00A618E0">
        <w:rPr>
          <w:rFonts w:eastAsia="Calibri" w:cs="Arial"/>
          <w:color w:val="000000"/>
          <w:sz w:val="20"/>
          <w:szCs w:val="20"/>
          <w:lang w:eastAsia="en-US"/>
        </w:rPr>
        <w:t>skladu za jamstvo vlog v skupnem skladu pripada</w:t>
      </w:r>
      <w:r>
        <w:rPr>
          <w:rFonts w:eastAsia="Calibri" w:cs="Arial"/>
          <w:color w:val="000000"/>
          <w:sz w:val="20"/>
          <w:szCs w:val="20"/>
          <w:lang w:eastAsia="en-US"/>
        </w:rPr>
        <w:t>l</w:t>
      </w:r>
      <w:r w:rsidRPr="00A618E0">
        <w:rPr>
          <w:rFonts w:eastAsia="Calibri" w:cs="Arial"/>
          <w:color w:val="000000"/>
          <w:sz w:val="20"/>
          <w:szCs w:val="20"/>
          <w:lang w:eastAsia="en-US"/>
        </w:rPr>
        <w:t xml:space="preserve"> delež, sorazmeren višini sredstev sklada za jamstvo vlog.</w:t>
      </w:r>
    </w:p>
    <w:p w14:paraId="3D4D4524"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5862450D" w14:textId="22903F23"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b/>
          <w:color w:val="000000"/>
          <w:sz w:val="20"/>
          <w:szCs w:val="20"/>
          <w:lang w:eastAsia="en-US"/>
        </w:rPr>
        <w:t xml:space="preserve">K </w:t>
      </w:r>
      <w:r w:rsidR="003C53A2">
        <w:rPr>
          <w:rFonts w:eastAsia="Calibri" w:cs="Arial"/>
          <w:b/>
          <w:color w:val="000000"/>
          <w:sz w:val="20"/>
          <w:szCs w:val="20"/>
          <w:lang w:eastAsia="en-US"/>
        </w:rPr>
        <w:t>8</w:t>
      </w:r>
      <w:r>
        <w:rPr>
          <w:rFonts w:eastAsia="Calibri" w:cs="Arial"/>
          <w:b/>
          <w:color w:val="000000"/>
          <w:sz w:val="20"/>
          <w:szCs w:val="20"/>
          <w:lang w:eastAsia="en-US"/>
        </w:rPr>
        <w:t>. členu</w:t>
      </w:r>
    </w:p>
    <w:p w14:paraId="4CFFEECB"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Z dopolnitvijo 52. člena ZSJV se odpravi pomanjkljivost pri prenosu tretjega odstavka 14. člena Direktive </w:t>
      </w:r>
      <w:r w:rsidRPr="00582467">
        <w:rPr>
          <w:rFonts w:eastAsia="Calibri" w:cs="Arial"/>
          <w:color w:val="000000"/>
          <w:sz w:val="20"/>
          <w:szCs w:val="20"/>
          <w:lang w:eastAsia="en-US"/>
        </w:rPr>
        <w:t>2014/49/EU</w:t>
      </w:r>
      <w:r>
        <w:rPr>
          <w:rFonts w:eastAsia="Calibri" w:cs="Arial"/>
          <w:color w:val="000000"/>
          <w:sz w:val="20"/>
          <w:szCs w:val="20"/>
          <w:lang w:eastAsia="en-US"/>
        </w:rPr>
        <w:t xml:space="preserve">. Pomanjkljivost sedanje pravne ureditve glede </w:t>
      </w:r>
      <w:r w:rsidRPr="00BF178A">
        <w:rPr>
          <w:rFonts w:eastAsia="Calibri" w:cs="Arial"/>
          <w:color w:val="000000"/>
          <w:sz w:val="20"/>
          <w:szCs w:val="20"/>
          <w:lang w:eastAsia="en-US"/>
        </w:rPr>
        <w:t>prenos</w:t>
      </w:r>
      <w:r>
        <w:rPr>
          <w:rFonts w:eastAsia="Calibri" w:cs="Arial"/>
          <w:color w:val="000000"/>
          <w:sz w:val="20"/>
          <w:szCs w:val="20"/>
          <w:lang w:eastAsia="en-US"/>
        </w:rPr>
        <w:t>a</w:t>
      </w:r>
      <w:r w:rsidRPr="00BF178A">
        <w:rPr>
          <w:rFonts w:eastAsia="Calibri" w:cs="Arial"/>
          <w:color w:val="000000"/>
          <w:sz w:val="20"/>
          <w:szCs w:val="20"/>
          <w:lang w:eastAsia="en-US"/>
        </w:rPr>
        <w:t xml:space="preserve"> vplačanih prispevkov med sistemi jamstva za vloge</w:t>
      </w:r>
      <w:r>
        <w:rPr>
          <w:rFonts w:eastAsia="Calibri" w:cs="Arial"/>
          <w:color w:val="000000"/>
          <w:sz w:val="20"/>
          <w:szCs w:val="20"/>
          <w:lang w:eastAsia="en-US"/>
        </w:rPr>
        <w:t xml:space="preserve"> je bila v tem, da ni bil urejen prenos v primeru, če se </w:t>
      </w:r>
      <w:r w:rsidRPr="00BF178A">
        <w:rPr>
          <w:rFonts w:eastAsia="Calibri" w:cs="Arial"/>
          <w:color w:val="000000"/>
          <w:sz w:val="20"/>
          <w:szCs w:val="20"/>
          <w:lang w:eastAsia="en-US"/>
        </w:rPr>
        <w:t>banka preoblikuje tako, da opravljanje dela storitev prenese v drugo državo članico</w:t>
      </w:r>
      <w:r>
        <w:rPr>
          <w:rFonts w:eastAsia="Calibri" w:cs="Arial"/>
          <w:color w:val="000000"/>
          <w:sz w:val="20"/>
          <w:szCs w:val="20"/>
          <w:lang w:eastAsia="en-US"/>
        </w:rPr>
        <w:t>,</w:t>
      </w:r>
      <w:r w:rsidRPr="00BF178A">
        <w:rPr>
          <w:rFonts w:eastAsia="Calibri" w:cs="Arial"/>
          <w:color w:val="000000"/>
          <w:sz w:val="20"/>
          <w:szCs w:val="20"/>
          <w:lang w:eastAsia="en-US"/>
        </w:rPr>
        <w:t xml:space="preserve"> in se tako vključi v sistem jamstva za vloge druge države članice</w:t>
      </w:r>
      <w:r>
        <w:rPr>
          <w:rFonts w:eastAsia="Calibri" w:cs="Arial"/>
          <w:color w:val="000000"/>
          <w:sz w:val="20"/>
          <w:szCs w:val="20"/>
          <w:lang w:eastAsia="en-US"/>
        </w:rPr>
        <w:t xml:space="preserve">. S predlagano dopolnitvijo se določi, da se v tem primeru </w:t>
      </w:r>
      <w:r w:rsidRPr="00BF178A">
        <w:rPr>
          <w:rFonts w:eastAsia="Calibri" w:cs="Arial"/>
          <w:color w:val="000000"/>
          <w:sz w:val="20"/>
          <w:szCs w:val="20"/>
          <w:lang w:eastAsia="en-US"/>
        </w:rPr>
        <w:t>prispevki te banke, ki so bili plačani v sistem jamstva za vloge v 12 mesecih pred prenosom storitev, razen izrednih prispevkov, prenesejo v sistem jamstva za vloge, v katerega se vključi, v sorazmerni višini glede na vi</w:t>
      </w:r>
      <w:r>
        <w:rPr>
          <w:rFonts w:eastAsia="Calibri" w:cs="Arial"/>
          <w:color w:val="000000"/>
          <w:sz w:val="20"/>
          <w:szCs w:val="20"/>
          <w:lang w:eastAsia="en-US"/>
        </w:rPr>
        <w:t>šino prenesenih zajamčenih vlog</w:t>
      </w:r>
      <w:r w:rsidRPr="00BF178A">
        <w:rPr>
          <w:rFonts w:eastAsia="Calibri" w:cs="Arial"/>
          <w:color w:val="000000"/>
          <w:sz w:val="20"/>
          <w:szCs w:val="20"/>
          <w:lang w:eastAsia="en-US"/>
        </w:rPr>
        <w:t>.</w:t>
      </w:r>
      <w:r>
        <w:rPr>
          <w:rFonts w:eastAsia="Calibri" w:cs="Arial"/>
          <w:color w:val="000000"/>
          <w:sz w:val="20"/>
          <w:szCs w:val="20"/>
          <w:lang w:eastAsia="en-US"/>
        </w:rPr>
        <w:t xml:space="preserve"> </w:t>
      </w:r>
    </w:p>
    <w:p w14:paraId="1178D13E"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p>
    <w:p w14:paraId="62FFF5C9" w14:textId="41B057C7" w:rsidR="0085491B" w:rsidRPr="003F0BD3"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b/>
          <w:color w:val="000000"/>
          <w:sz w:val="20"/>
          <w:szCs w:val="20"/>
          <w:lang w:eastAsia="en-US"/>
        </w:rPr>
        <w:t xml:space="preserve">K </w:t>
      </w:r>
      <w:r w:rsidR="003C53A2">
        <w:rPr>
          <w:rFonts w:eastAsia="Calibri" w:cs="Arial"/>
          <w:b/>
          <w:color w:val="000000"/>
          <w:sz w:val="20"/>
          <w:szCs w:val="20"/>
          <w:lang w:eastAsia="en-US"/>
        </w:rPr>
        <w:t>9</w:t>
      </w:r>
      <w:r>
        <w:rPr>
          <w:rFonts w:eastAsia="Calibri" w:cs="Arial"/>
          <w:b/>
          <w:color w:val="000000"/>
          <w:sz w:val="20"/>
          <w:szCs w:val="20"/>
          <w:lang w:eastAsia="en-US"/>
        </w:rPr>
        <w:t>. členu</w:t>
      </w:r>
    </w:p>
    <w:p w14:paraId="10851E0D" w14:textId="77777777" w:rsidR="0085491B"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Sprememba 12. točke prvega odstavka 56. člena ZSJV je potrebna zaradi dopolnitve 52. člena ZSJV.</w:t>
      </w:r>
    </w:p>
    <w:p w14:paraId="5DDEA021" w14:textId="77777777" w:rsidR="0085491B" w:rsidRPr="00FF5156"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Pr>
          <w:rFonts w:eastAsia="Calibri" w:cs="Arial"/>
          <w:color w:val="000000"/>
          <w:sz w:val="20"/>
          <w:szCs w:val="20"/>
          <w:lang w:eastAsia="en-US"/>
        </w:rPr>
        <w:t xml:space="preserve"> </w:t>
      </w:r>
    </w:p>
    <w:p w14:paraId="40B1EFCC" w14:textId="4F24DB59" w:rsidR="0085491B" w:rsidRPr="00FF5156"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b/>
          <w:color w:val="000000"/>
          <w:sz w:val="20"/>
          <w:szCs w:val="20"/>
          <w:lang w:eastAsia="en-US"/>
        </w:rPr>
        <w:t>K</w:t>
      </w:r>
      <w:r>
        <w:rPr>
          <w:rFonts w:eastAsia="Calibri" w:cs="Arial"/>
          <w:b/>
          <w:color w:val="000000"/>
          <w:sz w:val="20"/>
          <w:szCs w:val="20"/>
          <w:lang w:eastAsia="en-US"/>
        </w:rPr>
        <w:t xml:space="preserve"> </w:t>
      </w:r>
      <w:r w:rsidR="003C53A2">
        <w:rPr>
          <w:rFonts w:eastAsia="Calibri" w:cs="Arial"/>
          <w:b/>
          <w:color w:val="000000"/>
          <w:sz w:val="20"/>
          <w:szCs w:val="20"/>
          <w:lang w:eastAsia="en-US"/>
        </w:rPr>
        <w:t>10</w:t>
      </w:r>
      <w:r w:rsidRPr="00FF5156">
        <w:rPr>
          <w:rFonts w:eastAsia="Calibri" w:cs="Arial"/>
          <w:b/>
          <w:color w:val="000000"/>
          <w:sz w:val="20"/>
          <w:szCs w:val="20"/>
          <w:lang w:eastAsia="en-US"/>
        </w:rPr>
        <w:t>. členu</w:t>
      </w:r>
    </w:p>
    <w:p w14:paraId="05494ED6" w14:textId="77777777" w:rsidR="0085491B" w:rsidRPr="00FF5156" w:rsidRDefault="0085491B" w:rsidP="0085491B">
      <w:pPr>
        <w:overflowPunct w:val="0"/>
        <w:autoSpaceDE w:val="0"/>
        <w:autoSpaceDN w:val="0"/>
        <w:adjustRightInd w:val="0"/>
        <w:spacing w:after="0" w:line="312" w:lineRule="auto"/>
        <w:textAlignment w:val="baseline"/>
        <w:rPr>
          <w:rFonts w:eastAsia="Calibri" w:cs="Arial"/>
          <w:color w:val="000000"/>
          <w:sz w:val="20"/>
          <w:szCs w:val="20"/>
          <w:lang w:eastAsia="en-US"/>
        </w:rPr>
      </w:pPr>
      <w:r w:rsidRPr="00FF5156">
        <w:rPr>
          <w:rFonts w:eastAsia="Calibri" w:cs="Arial"/>
          <w:color w:val="000000"/>
          <w:sz w:val="20"/>
          <w:szCs w:val="20"/>
          <w:lang w:eastAsia="en-US"/>
        </w:rPr>
        <w:t>Člen določa rok za uveljavitev tega zakona.</w:t>
      </w:r>
    </w:p>
    <w:bookmarkEnd w:id="3"/>
    <w:p w14:paraId="63FF7979" w14:textId="77777777" w:rsidR="00FF5156" w:rsidRPr="00FF5156" w:rsidRDefault="00FF5156" w:rsidP="00FF5156">
      <w:pPr>
        <w:spacing w:after="0" w:line="312" w:lineRule="auto"/>
        <w:rPr>
          <w:rFonts w:eastAsia="Calibri"/>
          <w:sz w:val="20"/>
          <w:szCs w:val="20"/>
          <w:lang w:eastAsia="en-US"/>
        </w:rPr>
      </w:pPr>
    </w:p>
    <w:p w14:paraId="79BB6430" w14:textId="44441AE0" w:rsidR="00FF5156" w:rsidRPr="00FF5156" w:rsidRDefault="00B07151" w:rsidP="00A6073D">
      <w:pPr>
        <w:spacing w:after="0" w:line="240" w:lineRule="auto"/>
        <w:jc w:val="left"/>
        <w:rPr>
          <w:rFonts w:eastAsia="Times New Roman" w:cs="Arial"/>
          <w:b/>
          <w:sz w:val="20"/>
          <w:szCs w:val="20"/>
          <w:lang w:eastAsia="sl-SI"/>
        </w:rPr>
      </w:pPr>
      <w:r>
        <w:rPr>
          <w:rFonts w:eastAsia="Times New Roman" w:cs="Arial"/>
          <w:b/>
          <w:sz w:val="20"/>
          <w:szCs w:val="20"/>
          <w:lang w:eastAsia="sl-SI"/>
        </w:rPr>
        <w:br w:type="page"/>
      </w:r>
      <w:r w:rsidR="00FF5156" w:rsidRPr="00FF5156">
        <w:rPr>
          <w:rFonts w:eastAsia="Times New Roman" w:cs="Arial"/>
          <w:b/>
          <w:sz w:val="20"/>
          <w:szCs w:val="20"/>
          <w:lang w:eastAsia="sl-SI"/>
        </w:rPr>
        <w:lastRenderedPageBreak/>
        <w:t>IV. BESEDILO ČLENOV, KI SE SPREMINJAJO</w:t>
      </w:r>
    </w:p>
    <w:p w14:paraId="24FF70D0" w14:textId="7B97F99F" w:rsidR="00FF5156" w:rsidRPr="00912A0E" w:rsidRDefault="00FF5156" w:rsidP="00FF5156">
      <w:pPr>
        <w:overflowPunct w:val="0"/>
        <w:autoSpaceDE w:val="0"/>
        <w:autoSpaceDN w:val="0"/>
        <w:adjustRightInd w:val="0"/>
        <w:spacing w:after="0" w:line="312" w:lineRule="auto"/>
        <w:textAlignment w:val="baseline"/>
        <w:rPr>
          <w:rFonts w:eastAsia="Times New Roman" w:cs="Arial"/>
          <w:b/>
          <w:sz w:val="20"/>
          <w:szCs w:val="20"/>
          <w:lang w:eastAsia="sl-SI"/>
        </w:rPr>
      </w:pPr>
    </w:p>
    <w:p w14:paraId="14156B05" w14:textId="77777777" w:rsidR="00912A0E" w:rsidRPr="00912A0E" w:rsidRDefault="00912A0E" w:rsidP="00912A0E">
      <w:pPr>
        <w:spacing w:before="480"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2. člen</w:t>
      </w:r>
    </w:p>
    <w:p w14:paraId="14B75ECF" w14:textId="77777777" w:rsidR="00912A0E" w:rsidRPr="00912A0E" w:rsidRDefault="00912A0E" w:rsidP="00912A0E">
      <w:pPr>
        <w:spacing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(prenos aktov Evropske unije)</w:t>
      </w:r>
    </w:p>
    <w:p w14:paraId="59BCE352"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S tem zakonom se v slovenski pravni red prenaša Direktiva 2014/49/EU Evropskega parlamenta in Sveta z dne 16. aprila 2014 o sistemih jamstva za vloge (UL L št. 173 z dne 12. junija 2014, str. 149, v nadaljnjem besedilu: Direktiva 2014/49/EU).</w:t>
      </w:r>
    </w:p>
    <w:p w14:paraId="3E699C80" w14:textId="77777777" w:rsidR="00912A0E" w:rsidRPr="00912A0E" w:rsidRDefault="00912A0E" w:rsidP="00912A0E">
      <w:pPr>
        <w:spacing w:before="480"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3. člen</w:t>
      </w:r>
    </w:p>
    <w:p w14:paraId="74A5C0ED" w14:textId="77777777" w:rsidR="00912A0E" w:rsidRPr="00912A0E" w:rsidRDefault="00912A0E" w:rsidP="00912A0E">
      <w:pPr>
        <w:spacing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(pojmi)</w:t>
      </w:r>
    </w:p>
    <w:p w14:paraId="15E7298E" w14:textId="77777777" w:rsid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(1) Pojmi, uporabljeni v tem zakonu, imajo naslednji pomen:</w:t>
      </w:r>
    </w:p>
    <w:p w14:paraId="6031DDF6" w14:textId="10AC356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    »banka« je banka ali hranilnica, kot je opredeljena v zakonu, ki ureja bančništvo;</w:t>
      </w:r>
    </w:p>
    <w:p w14:paraId="741D1B1A" w14:textId="69763B15"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2.    »EU podružnica« je podružnica, ki jo v skladu z zakonom, ki ureja bančništvo, v Republiki Sloveniji ustanovi banka tretje države;</w:t>
      </w:r>
    </w:p>
    <w:p w14:paraId="1BA5B480" w14:textId="173B3219"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3.     »kolektivni naložbeni podjem« je investicijski sklad, kot je opredeljen v zakonu, ki ureja investicijske sklade in družbe za upravljanje;</w:t>
      </w:r>
    </w:p>
    <w:p w14:paraId="3F0A564F" w14:textId="54FDB80E"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4.     »organ za jamstvo vlog« je subjekt javnega ali zasebnega prava, ki je v državi članici ali tretji državi pooblaščen in odgovoren za upravljanje sistema jamstva za vloge, ki je vzpostavljen v tej državi, ter za nadzor nad tem sistemom v skladu z nacionalno zakonodajo te države;</w:t>
      </w:r>
    </w:p>
    <w:p w14:paraId="0A9DFD4D" w14:textId="248ADC29"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5.     »organ za reševanje« je organ države članice, ki je pooblaščen in odgovoren za uporabo instrumentov za reševanje in izvajanje pooblastil za reševanje tako kot je določeno v Direktivi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junija 2014, str. 190, v nadaljnjem besedilu: Direktiva 2014/59/EU) in Uredbi (EU) št. 806/2014 Evropskega parlamenta in Sveta z dne 15. julija 2014 o določitvi enotnih pravil in enotnega postopka za reševanje kreditnih institucij in določenih investicijskih podjetij v okviru enotnega mehanizma za reševanje in enotnega sklada za reševanje ter o spremembi Uredbe (EU) št. 1093/2010 (UL L št. 225 z dne 30. julija 2014, str. 1), vključno z enotnim odborom za reševanje, kadar izvaja pristojnosti in naloge organa za reševanje, ter v Republiki Sloveniji pomeni Banko Slovenije, kadar izvaja pristojnosti in naloge v zvezi z reševanjem na podlagi predpisov, ki v pravni red Republike Slovenije prenašajo Direktivo 2014/59/EU;</w:t>
      </w:r>
    </w:p>
    <w:p w14:paraId="6A0B3C53" w14:textId="19B4FCD0"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6.     »plačilni račun« je račun, kot je opredeljen v zakonu, ki ureja plačilne storitve in sisteme;</w:t>
      </w:r>
    </w:p>
    <w:p w14:paraId="4C1635B0" w14:textId="4F5368F1"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7.     »pokojninska družba« je družba, kot je opredeljena v zakonu, ki ureja pokojninsko in invalidsko zavarovanje;</w:t>
      </w:r>
    </w:p>
    <w:p w14:paraId="0B166C3E" w14:textId="4DEDB3ED"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8.     »pokojninski sklad« je sklad, kot je opredeljen v zakonu, ki ureja pokojninsko in invalidsko zavarovanje;</w:t>
      </w:r>
    </w:p>
    <w:p w14:paraId="76434F0D" w14:textId="331C64CA"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9.     »pozavarovalnica« je pozavarovalnica, kot je opredeljena v zakonu, ki ureja zavarovalništvo;</w:t>
      </w:r>
    </w:p>
    <w:p w14:paraId="0F3C9F56" w14:textId="6FCE13E1"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10.  </w:t>
      </w:r>
      <w:r>
        <w:rPr>
          <w:rFonts w:eastAsia="Times New Roman" w:cs="Arial"/>
          <w:sz w:val="20"/>
          <w:szCs w:val="20"/>
          <w:lang w:eastAsia="sl-SI"/>
        </w:rPr>
        <w:t xml:space="preserve"> </w:t>
      </w:r>
      <w:r w:rsidRPr="00912A0E">
        <w:rPr>
          <w:rFonts w:eastAsia="Times New Roman" w:cs="Arial"/>
          <w:sz w:val="20"/>
          <w:szCs w:val="20"/>
          <w:lang w:eastAsia="sl-SI"/>
        </w:rPr>
        <w:t>»prisilno prenehanje« so ukrepi in postopki, ki jih v skladu s predpisi, ki urejajo prisilno prenehanje bank, izvede Banka Slovenije;</w:t>
      </w:r>
    </w:p>
    <w:p w14:paraId="23B9523A" w14:textId="4FDD97E6"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11. </w:t>
      </w:r>
      <w:r>
        <w:rPr>
          <w:rFonts w:eastAsia="Times New Roman" w:cs="Arial"/>
          <w:sz w:val="20"/>
          <w:szCs w:val="20"/>
          <w:lang w:eastAsia="sl-SI"/>
        </w:rPr>
        <w:t xml:space="preserve"> </w:t>
      </w:r>
      <w:r w:rsidRPr="00912A0E">
        <w:rPr>
          <w:rFonts w:eastAsia="Times New Roman" w:cs="Arial"/>
          <w:sz w:val="20"/>
          <w:szCs w:val="20"/>
          <w:lang w:eastAsia="sl-SI"/>
        </w:rPr>
        <w:t> »reševanje« je uporaba instrumentov in pooblastil za reševanje, ki jih v skladu s predpisi, ki v pravni red Republike Slovenije prenašajo Direktivo 2014/59/EU, v zvezi z banko izvede Banka Slovenije;</w:t>
      </w:r>
    </w:p>
    <w:p w14:paraId="17944673"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12.   »sistem jamstva za vloge« je sistem, ki ga država članica na svojem ozemlju ustanovi ali uradno priznava kot sistem za zagotavljanje jamstva zajamčenih vlog v skladu z Direktivo 2014/49/EU;</w:t>
      </w:r>
    </w:p>
    <w:p w14:paraId="2E5F7947"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13.   »skrbniški račun« je račun, ki ga odpre določena pooblaščena oseba za račun ene ali več oseb kot dejanskih upravičencev, pri čemer se sredstva na tem računu v skladu z zakonom obravnavajo ločeno od drugih sredstev pooblaščene osebe;</w:t>
      </w:r>
    </w:p>
    <w:p w14:paraId="1FBC67EB"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14.   »skupni račun« je račun, ki je odprt v imenu vsaj dveh oseb in na katerem s sredstvi lahko samostojno ali skupaj razpolagata vsaj dve osebi kot dejanska upravičenca;</w:t>
      </w:r>
    </w:p>
    <w:p w14:paraId="19EB7505"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15.   »tretja država« je država, ki ni država članica Evropske unije;</w:t>
      </w:r>
    </w:p>
    <w:p w14:paraId="78F501B3"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16.   »vlagatelj« je imetnik ali imetnica vloge, v primeru skupnega računa pa vsak od imetnikov vloge;</w:t>
      </w:r>
    </w:p>
    <w:p w14:paraId="6A4F3BC4"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17.   »zavarovalnica« je zavarovalnica, kot je opredeljena v zakonu, ki ureja zavarovalništvo;</w:t>
      </w:r>
    </w:p>
    <w:p w14:paraId="7CB4C543"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18.   »zavarovalni holding« je zavarovalni holding, kot je opredeljen v zakonu, ki ureja zavarovalništvo.</w:t>
      </w:r>
    </w:p>
    <w:p w14:paraId="3E008D3B"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lastRenderedPageBreak/>
        <w:t>(2) Drugi pojmi, uporabljeni v tem zakonu, imajo enak pomen kot v zakonu, ki ureja bančništvo, ali v Uredbi (EU) št. 575/2013 Evropskega parlamenta in Sveta z dne 26. junija 2013 o bonitetnih zahtevah za kreditne institucije in investicijska podjetja ter o spremembi Uredbe (EU) št. 648/2012 (UL L št. 176 z dne 27. junija 2013, str. 1, v nadaljnjem besedilu: Uredba (EU) št. 575/2013), razen če je v tem zakonu določeno drugače.</w:t>
      </w:r>
    </w:p>
    <w:p w14:paraId="3636EDDF" w14:textId="77777777" w:rsidR="00912A0E" w:rsidRPr="00912A0E" w:rsidRDefault="00912A0E" w:rsidP="00912A0E">
      <w:pPr>
        <w:spacing w:before="480"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4. člen</w:t>
      </w:r>
    </w:p>
    <w:p w14:paraId="74504AE4" w14:textId="77777777" w:rsidR="00912A0E" w:rsidRPr="00912A0E" w:rsidRDefault="00912A0E" w:rsidP="00912A0E">
      <w:pPr>
        <w:spacing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(sistem jamstva za vloge)</w:t>
      </w:r>
    </w:p>
    <w:p w14:paraId="47560696"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(1) Sistem jamstva za vloge je sistem, ki ga v skladu s tem zakonom vzpostavi in upravlja Banka Slovenije in ki zagotavlja jamstvo za vloge vlagatelja v primeru nerazpoložljivosti vlog pri banki z izplačilom kritja zajamčenih vlog vlagateljem ali z drugimi ukrepi, s katerimi se ohranja dostop vlagateljev do zajamčenih vlog v primeru reševanja ali prisilnega prenehanja banke.</w:t>
      </w:r>
    </w:p>
    <w:p w14:paraId="4A4788C6"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(2) Sistem jamstva za vloge vključuje:</w:t>
      </w:r>
    </w:p>
    <w:p w14:paraId="3556FD6E"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      vzpostavitev in upravljanje sklada za jamstvo vlog pri Banki Slovenije;</w:t>
      </w:r>
    </w:p>
    <w:p w14:paraId="65453535"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2.      postopke za izplačilo kritja zajamčenih vlog vlagateljem z uporabo sredstev sklada za jamstvo vlog;</w:t>
      </w:r>
    </w:p>
    <w:p w14:paraId="2B1720B3" w14:textId="77777777" w:rsidR="00912A0E" w:rsidRPr="00912A0E" w:rsidRDefault="00912A0E" w:rsidP="00912A0E">
      <w:pPr>
        <w:spacing w:after="100" w:line="240" w:lineRule="auto"/>
        <w:ind w:left="425" w:hanging="425"/>
        <w:rPr>
          <w:rFonts w:eastAsia="Times New Roman" w:cs="Arial"/>
          <w:sz w:val="20"/>
          <w:szCs w:val="20"/>
          <w:lang w:eastAsia="sl-SI"/>
        </w:rPr>
      </w:pPr>
      <w:r w:rsidRPr="00912A0E">
        <w:rPr>
          <w:rFonts w:eastAsia="Times New Roman" w:cs="Arial"/>
          <w:sz w:val="20"/>
          <w:szCs w:val="20"/>
          <w:lang w:eastAsia="sl-SI"/>
        </w:rPr>
        <w:t>3.      postopke pri financiranju ukrepov reševanja ali prisilnega prenehanja, ki se izvedejo v skladu s predpisi o reševanju in prisilnem prenehanju bank ter zagotavljajo vlagateljem ohranitev dostopa do zajamčenih vlog.</w:t>
      </w:r>
    </w:p>
    <w:p w14:paraId="34EA567A" w14:textId="77777777" w:rsidR="00912A0E" w:rsidRPr="00912A0E" w:rsidRDefault="00912A0E" w:rsidP="00912A0E">
      <w:pPr>
        <w:spacing w:before="480"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12. člen</w:t>
      </w:r>
    </w:p>
    <w:p w14:paraId="1D0449FC" w14:textId="77777777" w:rsidR="00912A0E" w:rsidRPr="00912A0E" w:rsidRDefault="00912A0E" w:rsidP="00912A0E">
      <w:pPr>
        <w:spacing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(posebni pogoji oglaševanja)</w:t>
      </w:r>
    </w:p>
    <w:p w14:paraId="4896FCD9"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(1) Pri oglaševanju storitev podružnice banke v tretji državi lahko banka vključi le tiste informacije iz prvega odstavka prejšnjega člena v zvezi s članstvom podružnice v sistemu jamstva za vloge v tretji državi, ki so omejene na poimenovanje sistema jamstva za vloge, ki jamči za posamezen produkt, ter na tiste dodatne informacije, ki se zahtevajo v skladu s predpisi, ki veljajo v tretji državi.</w:t>
      </w:r>
    </w:p>
    <w:p w14:paraId="636EE26D" w14:textId="20306F87" w:rsidR="00912A0E" w:rsidRDefault="00912A0E" w:rsidP="00912A0E">
      <w:pPr>
        <w:spacing w:before="240" w:after="100" w:line="240" w:lineRule="auto"/>
        <w:ind w:firstLine="1021"/>
        <w:rPr>
          <w:rFonts w:eastAsia="Times New Roman" w:cs="Arial"/>
          <w:sz w:val="20"/>
          <w:szCs w:val="20"/>
          <w:lang w:eastAsia="sl-SI"/>
        </w:rPr>
      </w:pPr>
      <w:r w:rsidRPr="00912A0E">
        <w:rPr>
          <w:rFonts w:eastAsia="Times New Roman" w:cs="Arial"/>
          <w:sz w:val="20"/>
          <w:szCs w:val="20"/>
          <w:lang w:eastAsia="sl-SI"/>
        </w:rPr>
        <w:t>(2) Dodatne informacije iz prejšnjega odstavka lahko vsebujejo dejanski opis delovanja sistema jamstva za vloge, ne smejo pa vsebovati sklicevanja na morebitno neomejeno kritje, ki se zagotavlja v sistemu jamstva za vloge iz tretje države.</w:t>
      </w:r>
    </w:p>
    <w:p w14:paraId="69EF1F55" w14:textId="77777777" w:rsidR="00AA4469" w:rsidRPr="00AA4469" w:rsidRDefault="00AA4469" w:rsidP="00AA4469">
      <w:pPr>
        <w:pStyle w:val="len0"/>
        <w:shd w:val="clear" w:color="auto" w:fill="FFFFFF"/>
        <w:spacing w:before="480" w:beforeAutospacing="0" w:after="0" w:afterAutospacing="0"/>
        <w:jc w:val="center"/>
        <w:rPr>
          <w:rFonts w:ascii="Arial" w:hAnsi="Arial" w:cs="Arial"/>
          <w:b/>
          <w:bCs/>
          <w:sz w:val="20"/>
          <w:szCs w:val="20"/>
        </w:rPr>
      </w:pPr>
      <w:r w:rsidRPr="00AA4469">
        <w:rPr>
          <w:rFonts w:ascii="Arial" w:hAnsi="Arial" w:cs="Arial"/>
          <w:b/>
          <w:bCs/>
          <w:sz w:val="20"/>
          <w:szCs w:val="20"/>
        </w:rPr>
        <w:t>21. člen</w:t>
      </w:r>
    </w:p>
    <w:p w14:paraId="1591EC4E" w14:textId="77777777" w:rsidR="00AA4469" w:rsidRPr="00AA4469" w:rsidRDefault="00AA4469" w:rsidP="00AA4469">
      <w:pPr>
        <w:pStyle w:val="lennaslov0"/>
        <w:shd w:val="clear" w:color="auto" w:fill="FFFFFF"/>
        <w:spacing w:before="0" w:beforeAutospacing="0" w:after="0" w:afterAutospacing="0"/>
        <w:jc w:val="center"/>
        <w:rPr>
          <w:rFonts w:ascii="Arial" w:hAnsi="Arial" w:cs="Arial"/>
          <w:b/>
          <w:bCs/>
          <w:sz w:val="20"/>
          <w:szCs w:val="20"/>
        </w:rPr>
      </w:pPr>
      <w:r w:rsidRPr="00AA4469">
        <w:rPr>
          <w:rFonts w:ascii="Arial" w:hAnsi="Arial" w:cs="Arial"/>
          <w:b/>
          <w:bCs/>
          <w:sz w:val="20"/>
          <w:szCs w:val="20"/>
        </w:rPr>
        <w:t>(upravljanje sistema jamstva za vloge)</w:t>
      </w:r>
    </w:p>
    <w:p w14:paraId="1A231972" w14:textId="77777777" w:rsidR="00AA4469" w:rsidRPr="00AA4469" w:rsidRDefault="00AA4469" w:rsidP="00AA4469">
      <w:pPr>
        <w:pStyle w:val="odstavek0"/>
        <w:shd w:val="clear" w:color="auto" w:fill="FFFFFF"/>
        <w:spacing w:before="240" w:beforeAutospacing="0" w:after="0" w:afterAutospacing="0"/>
        <w:ind w:firstLine="1021"/>
        <w:jc w:val="both"/>
        <w:rPr>
          <w:rFonts w:ascii="Arial" w:hAnsi="Arial" w:cs="Arial"/>
          <w:sz w:val="20"/>
          <w:szCs w:val="20"/>
        </w:rPr>
      </w:pPr>
      <w:r w:rsidRPr="00AA4469">
        <w:rPr>
          <w:rFonts w:ascii="Arial" w:hAnsi="Arial" w:cs="Arial"/>
          <w:sz w:val="20"/>
          <w:szCs w:val="20"/>
        </w:rPr>
        <w:t>(1) Banka Slovenije upravlja sistem jamstva za vloge v skladu s tem zakonom.</w:t>
      </w:r>
    </w:p>
    <w:p w14:paraId="4F93EB3A" w14:textId="77777777" w:rsidR="00AA4469" w:rsidRPr="00AA4469" w:rsidRDefault="00AA4469" w:rsidP="00AA4469">
      <w:pPr>
        <w:pStyle w:val="odstavek0"/>
        <w:shd w:val="clear" w:color="auto" w:fill="FFFFFF"/>
        <w:spacing w:before="240" w:beforeAutospacing="0" w:after="0" w:afterAutospacing="0"/>
        <w:ind w:firstLine="1021"/>
        <w:jc w:val="both"/>
        <w:rPr>
          <w:rFonts w:ascii="Arial" w:hAnsi="Arial" w:cs="Arial"/>
          <w:sz w:val="20"/>
          <w:szCs w:val="20"/>
        </w:rPr>
      </w:pPr>
      <w:r w:rsidRPr="00AA4469">
        <w:rPr>
          <w:rFonts w:ascii="Arial" w:hAnsi="Arial" w:cs="Arial"/>
          <w:sz w:val="20"/>
          <w:szCs w:val="20"/>
        </w:rPr>
        <w:t>(2) Upravljanje sistema jamstva za vloge vključuje:</w:t>
      </w:r>
    </w:p>
    <w:p w14:paraId="78B3EE7A" w14:textId="77777777" w:rsidR="00AA4469" w:rsidRPr="00AA4469" w:rsidRDefault="00AA4469" w:rsidP="00AA4469">
      <w:pPr>
        <w:pStyle w:val="tevilnatoka0"/>
        <w:shd w:val="clear" w:color="auto" w:fill="FFFFFF"/>
        <w:spacing w:before="0" w:beforeAutospacing="0" w:after="0" w:afterAutospacing="0"/>
        <w:ind w:left="425" w:hanging="425"/>
        <w:jc w:val="both"/>
        <w:rPr>
          <w:rFonts w:ascii="Arial" w:hAnsi="Arial" w:cs="Arial"/>
          <w:sz w:val="20"/>
          <w:szCs w:val="20"/>
        </w:rPr>
      </w:pPr>
      <w:r w:rsidRPr="00AA4469">
        <w:rPr>
          <w:rFonts w:ascii="Arial" w:hAnsi="Arial" w:cs="Arial"/>
          <w:sz w:val="20"/>
          <w:szCs w:val="20"/>
        </w:rPr>
        <w:t>1.</w:t>
      </w:r>
      <w:r w:rsidRPr="00AA4469">
        <w:rPr>
          <w:sz w:val="12"/>
          <w:szCs w:val="12"/>
        </w:rPr>
        <w:t>      </w:t>
      </w:r>
      <w:r w:rsidRPr="00AA4469">
        <w:rPr>
          <w:rFonts w:ascii="Arial" w:hAnsi="Arial" w:cs="Arial"/>
          <w:sz w:val="20"/>
          <w:szCs w:val="20"/>
        </w:rPr>
        <w:t>vzpostavitev in upravljanje sklada za jamstvo vlog, vključno z izvajanjem pooblastil za določanje ciljne ravni sklada za jamstvo vlog ter letnega nadomestila za upravljanje sistema jamstva za vloge;</w:t>
      </w:r>
    </w:p>
    <w:p w14:paraId="29D0B96E" w14:textId="77777777" w:rsidR="00AA4469" w:rsidRPr="00AA4469" w:rsidRDefault="00AA4469" w:rsidP="00AA4469">
      <w:pPr>
        <w:pStyle w:val="tevilnatoka0"/>
        <w:shd w:val="clear" w:color="auto" w:fill="FFFFFF"/>
        <w:spacing w:before="0" w:beforeAutospacing="0" w:after="0" w:afterAutospacing="0"/>
        <w:ind w:left="425" w:hanging="425"/>
        <w:jc w:val="both"/>
        <w:rPr>
          <w:rFonts w:ascii="Arial" w:hAnsi="Arial" w:cs="Arial"/>
          <w:sz w:val="20"/>
          <w:szCs w:val="20"/>
        </w:rPr>
      </w:pPr>
      <w:r w:rsidRPr="00AA4469">
        <w:rPr>
          <w:rFonts w:ascii="Arial" w:hAnsi="Arial" w:cs="Arial"/>
          <w:sz w:val="20"/>
          <w:szCs w:val="20"/>
        </w:rPr>
        <w:t>2.</w:t>
      </w:r>
      <w:r w:rsidRPr="00AA4469">
        <w:rPr>
          <w:sz w:val="12"/>
          <w:szCs w:val="12"/>
        </w:rPr>
        <w:t>      </w:t>
      </w:r>
      <w:r w:rsidRPr="00AA4469">
        <w:rPr>
          <w:rFonts w:ascii="Arial" w:hAnsi="Arial" w:cs="Arial"/>
          <w:sz w:val="20"/>
          <w:szCs w:val="20"/>
        </w:rPr>
        <w:t>izvajanje pooblastil za zbiranje rednih in izrednih prispevkov bank v sklad za jamstvo vlog ter za sklepanje dogovorov o drugih oblikah financiranja sklada za jamstvo vlog;</w:t>
      </w:r>
    </w:p>
    <w:p w14:paraId="47667538" w14:textId="77777777" w:rsidR="00AA4469" w:rsidRPr="00AA4469" w:rsidRDefault="00AA4469" w:rsidP="00AA4469">
      <w:pPr>
        <w:pStyle w:val="tevilnatoka0"/>
        <w:shd w:val="clear" w:color="auto" w:fill="FFFFFF"/>
        <w:spacing w:before="0" w:beforeAutospacing="0" w:after="0" w:afterAutospacing="0"/>
        <w:ind w:left="425" w:hanging="425"/>
        <w:jc w:val="both"/>
        <w:rPr>
          <w:rFonts w:ascii="Arial" w:hAnsi="Arial" w:cs="Arial"/>
          <w:sz w:val="20"/>
          <w:szCs w:val="20"/>
        </w:rPr>
      </w:pPr>
      <w:r w:rsidRPr="00AA4469">
        <w:rPr>
          <w:rFonts w:ascii="Arial" w:hAnsi="Arial" w:cs="Arial"/>
          <w:sz w:val="20"/>
          <w:szCs w:val="20"/>
        </w:rPr>
        <w:t>3.</w:t>
      </w:r>
      <w:r w:rsidRPr="00AA4469">
        <w:rPr>
          <w:sz w:val="12"/>
          <w:szCs w:val="12"/>
        </w:rPr>
        <w:t>      </w:t>
      </w:r>
      <w:r w:rsidRPr="00AA4469">
        <w:rPr>
          <w:rFonts w:ascii="Arial" w:hAnsi="Arial" w:cs="Arial"/>
          <w:sz w:val="20"/>
          <w:szCs w:val="20"/>
        </w:rPr>
        <w:t>vzpostavitev, preverjanje in posodabljanje postopkov in ureditev za izplačilo kritja zajamčenih vlog, vključno s stresnim testiranjem;</w:t>
      </w:r>
    </w:p>
    <w:p w14:paraId="40ABD164" w14:textId="77777777" w:rsidR="00AA4469" w:rsidRPr="00AA4469" w:rsidRDefault="00AA4469" w:rsidP="00AA4469">
      <w:pPr>
        <w:pStyle w:val="tevilnatoka0"/>
        <w:shd w:val="clear" w:color="auto" w:fill="FFFFFF"/>
        <w:spacing w:before="0" w:beforeAutospacing="0" w:after="0" w:afterAutospacing="0"/>
        <w:ind w:left="425" w:hanging="425"/>
        <w:jc w:val="both"/>
        <w:rPr>
          <w:rFonts w:ascii="Arial" w:hAnsi="Arial" w:cs="Arial"/>
          <w:sz w:val="20"/>
          <w:szCs w:val="20"/>
        </w:rPr>
      </w:pPr>
      <w:r w:rsidRPr="00AA4469">
        <w:rPr>
          <w:rFonts w:ascii="Arial" w:hAnsi="Arial" w:cs="Arial"/>
          <w:sz w:val="20"/>
          <w:szCs w:val="20"/>
        </w:rPr>
        <w:t>4.</w:t>
      </w:r>
      <w:r w:rsidRPr="00AA4469">
        <w:rPr>
          <w:sz w:val="12"/>
          <w:szCs w:val="12"/>
        </w:rPr>
        <w:t>      </w:t>
      </w:r>
      <w:r w:rsidRPr="00AA4469">
        <w:rPr>
          <w:rFonts w:ascii="Arial" w:hAnsi="Arial" w:cs="Arial"/>
          <w:sz w:val="20"/>
          <w:szCs w:val="20"/>
        </w:rPr>
        <w:t>aktivnosti za udeležbo sredstev sklada za jamstvo vlog pri financiranju ukrepov reševanja ali prisilnega prenehanja, ki se izvedejo v skladu s predpisi o reševanju in prisilnem prenehanju bank ter zagotavljajo vlagateljem ohranitev dostopa do zajamčenih vlog;</w:t>
      </w:r>
    </w:p>
    <w:p w14:paraId="1A8CC053" w14:textId="77777777" w:rsidR="00AA4469" w:rsidRPr="00AA4469" w:rsidRDefault="00AA4469" w:rsidP="00AA4469">
      <w:pPr>
        <w:pStyle w:val="tevilnatoka0"/>
        <w:shd w:val="clear" w:color="auto" w:fill="FFFFFF"/>
        <w:spacing w:before="0" w:beforeAutospacing="0" w:after="0" w:afterAutospacing="0"/>
        <w:ind w:left="425" w:hanging="425"/>
        <w:jc w:val="both"/>
        <w:rPr>
          <w:rFonts w:ascii="Arial" w:hAnsi="Arial" w:cs="Arial"/>
          <w:sz w:val="20"/>
          <w:szCs w:val="20"/>
        </w:rPr>
      </w:pPr>
      <w:r w:rsidRPr="00AA4469">
        <w:rPr>
          <w:rFonts w:ascii="Arial" w:hAnsi="Arial" w:cs="Arial"/>
          <w:sz w:val="20"/>
          <w:szCs w:val="20"/>
        </w:rPr>
        <w:t>5.</w:t>
      </w:r>
      <w:r w:rsidRPr="00AA4469">
        <w:rPr>
          <w:sz w:val="12"/>
          <w:szCs w:val="12"/>
        </w:rPr>
        <w:t>      </w:t>
      </w:r>
      <w:r w:rsidRPr="00AA4469">
        <w:rPr>
          <w:rFonts w:ascii="Arial" w:hAnsi="Arial" w:cs="Arial"/>
          <w:sz w:val="20"/>
          <w:szCs w:val="20"/>
        </w:rPr>
        <w:t>nadzor nad člani sistema jamstva za vloge glede izpolnjevanja obveznosti iz naslova članstva v sistemu jamstva za vloge.</w:t>
      </w:r>
    </w:p>
    <w:p w14:paraId="24BADF36" w14:textId="77777777" w:rsidR="00AA4469" w:rsidRPr="00AA4469" w:rsidRDefault="00AA4469" w:rsidP="00AA4469">
      <w:pPr>
        <w:pStyle w:val="odstavek0"/>
        <w:shd w:val="clear" w:color="auto" w:fill="FFFFFF"/>
        <w:spacing w:before="240" w:beforeAutospacing="0" w:after="0" w:afterAutospacing="0"/>
        <w:ind w:firstLine="1021"/>
        <w:jc w:val="both"/>
        <w:rPr>
          <w:rFonts w:ascii="Arial" w:hAnsi="Arial" w:cs="Arial"/>
          <w:sz w:val="20"/>
          <w:szCs w:val="20"/>
        </w:rPr>
      </w:pPr>
      <w:r w:rsidRPr="00AA4469">
        <w:rPr>
          <w:rFonts w:ascii="Arial" w:hAnsi="Arial" w:cs="Arial"/>
          <w:sz w:val="20"/>
          <w:szCs w:val="20"/>
        </w:rPr>
        <w:t>(3) Banka Slovenije na svoji spletni strani objavi vse pomembne informacije v zvezi s sistemom jamstva za vloge, ki velja v Republiki Sloveniji, zlasti informacije o postopku in pogojih za uveljavljanje jamstva za vloge.</w:t>
      </w:r>
    </w:p>
    <w:p w14:paraId="3011D0CB" w14:textId="77777777" w:rsidR="00AA4469" w:rsidRPr="00AA4469" w:rsidRDefault="00AA4469" w:rsidP="00AA4469">
      <w:pPr>
        <w:pStyle w:val="odstavek0"/>
        <w:shd w:val="clear" w:color="auto" w:fill="FFFFFF"/>
        <w:spacing w:before="240" w:beforeAutospacing="0" w:after="0" w:afterAutospacing="0"/>
        <w:ind w:firstLine="1021"/>
        <w:jc w:val="both"/>
        <w:rPr>
          <w:rFonts w:ascii="Arial" w:hAnsi="Arial" w:cs="Arial"/>
          <w:sz w:val="20"/>
          <w:szCs w:val="20"/>
        </w:rPr>
      </w:pPr>
      <w:r w:rsidRPr="00AA4469">
        <w:rPr>
          <w:rFonts w:ascii="Arial" w:hAnsi="Arial" w:cs="Arial"/>
          <w:sz w:val="20"/>
          <w:szCs w:val="20"/>
        </w:rPr>
        <w:lastRenderedPageBreak/>
        <w:t>(4) Banka Slovenije enkrat letno izdela poročilo o dejavnostih upravljanja sistema jamstva za vloge in ga objavi na svoji spletni strani.</w:t>
      </w:r>
    </w:p>
    <w:p w14:paraId="6F8B2956" w14:textId="77777777" w:rsidR="00912A0E" w:rsidRPr="00912A0E" w:rsidRDefault="00912A0E" w:rsidP="00912A0E">
      <w:pPr>
        <w:spacing w:before="480"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26. člen</w:t>
      </w:r>
    </w:p>
    <w:p w14:paraId="48BDAD3F" w14:textId="77777777" w:rsidR="00912A0E" w:rsidRPr="00912A0E" w:rsidRDefault="00912A0E" w:rsidP="00912A0E">
      <w:pPr>
        <w:spacing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(sklad za jamstvo vlog)</w:t>
      </w:r>
    </w:p>
    <w:p w14:paraId="2FAC1E08"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(1) Banka Slovenije v okviru upravljanja sistema jamstva za vloge vzpostavi sklad za jamstvo vlog (v nadaljnjem besedilu: sklad), ki ga upravlja ločeno od drugega premoženja Banke Slovenije in od drugega premoženja v upravljanju Banke Slovenije.</w:t>
      </w:r>
    </w:p>
    <w:p w14:paraId="7908F211"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(2) Premoženje sklada predstavljajo sredstva iz prvega odstavka 30. člena tega zakona ter druga sredstva, kadar ta ali drug zakon določa, da se določena sredstva štejejo kot premoženje sklada.</w:t>
      </w:r>
    </w:p>
    <w:p w14:paraId="673B7C38"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(3) Sklad nima pravne osebnosti, vendar je premoženje, ki predstavlja sklad, lahko samostojni nosilec pravic in obveznosti ter nastopa kot stranka v sodnem postopku.</w:t>
      </w:r>
    </w:p>
    <w:p w14:paraId="70196EE5"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(4) Sklad odgovarja za svoje obveznosti z vsem premoženjem, ki predstavlja sklad.</w:t>
      </w:r>
    </w:p>
    <w:p w14:paraId="1AC03F61"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(5) Sklad se vpiše v Poslovni register Slovenije.</w:t>
      </w:r>
    </w:p>
    <w:p w14:paraId="5C4C2D33" w14:textId="77777777" w:rsidR="00912A0E" w:rsidRPr="00912A0E" w:rsidRDefault="00912A0E" w:rsidP="00912A0E">
      <w:pPr>
        <w:spacing w:before="480"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27. člen</w:t>
      </w:r>
    </w:p>
    <w:p w14:paraId="716EE9DF" w14:textId="77777777" w:rsidR="00912A0E" w:rsidRPr="00912A0E" w:rsidRDefault="00912A0E" w:rsidP="00912A0E">
      <w:pPr>
        <w:spacing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(upravljanje sklada)</w:t>
      </w:r>
    </w:p>
    <w:p w14:paraId="470F02E0"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(1) Sklad upravlja Banka Slovenije tako, da odloča o delovanju sklada ter zastopa in predstavlja sklad v razmerju do tretjih oseb. Za odločanje Banke Slovenije o delovanju sklada ter za zastopanje in predstavljanje sklada se uporabljajo določbe zakona, ki ureja Banko Slovenije.</w:t>
      </w:r>
    </w:p>
    <w:p w14:paraId="25EE36C0"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(2) Banka Slovenije v zvezi z upravljanjem sklada zlasti:</w:t>
      </w:r>
    </w:p>
    <w:p w14:paraId="3EB72264"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      določa ciljno raven sklada ter določa in zbira redne prispevke in plačilne obveznosti bank za izpolnjevanje ciljne ravni sklada;</w:t>
      </w:r>
    </w:p>
    <w:p w14:paraId="12AF2A7A"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2.      določa in zbira izredne prispevke bank za izpolnjevanje obveznosti sklada;</w:t>
      </w:r>
    </w:p>
    <w:p w14:paraId="64FD3D1F"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3.      določa naložbeno politiko za sredstva sklada in nalaga sredstva sklada;</w:t>
      </w:r>
    </w:p>
    <w:p w14:paraId="621EADF2"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4.      sklepa dogovore o drugih oblikah financiranja sklada;</w:t>
      </w:r>
    </w:p>
    <w:p w14:paraId="4E03F507"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5.      sklepa dogovore o posojanju sredstev z drugimi sistemi jamstva za vloge držav članic.</w:t>
      </w:r>
    </w:p>
    <w:p w14:paraId="08DBFEC3"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(3) Sredstva sklada se lahko pod pogoji, določenimi v tem zakonu, uporabijo za naslednje namene:</w:t>
      </w:r>
    </w:p>
    <w:p w14:paraId="7AC943EC"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      izplačilo kritja zajamčenih vlog;</w:t>
      </w:r>
    </w:p>
    <w:p w14:paraId="163FA0B5"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2.      financiranje ukrepov reševanja ali prisilnega prenehanja, s katerimi se vlagateljem zagotavlja ohranitev dostopa do zajamčenih vlog, v skladu s predpisi, ki urejajo reševanje in prisilno prenehanje banke;</w:t>
      </w:r>
    </w:p>
    <w:p w14:paraId="22050FDB"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3.      kritje stroškov v zvezi z izplačilom kritja zajamčenih vlog;</w:t>
      </w:r>
    </w:p>
    <w:p w14:paraId="373DFEB4"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4.      kritje stroškov upravljanja sklada;</w:t>
      </w:r>
    </w:p>
    <w:p w14:paraId="6061176E"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5.      kritje stroškov zadolževanja iz 3. in 4. točke prvega odstavka 30. člena tega zakona.</w:t>
      </w:r>
    </w:p>
    <w:p w14:paraId="07CCC137"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(4) Banka Slovenije vodi sredstva sklada ločeno od drugega premoženja Banke Slovenije in od drugega premoženja, ki ga v skladu s predpisi upravlja Banka Slovenije za druge osebe. Banka Slovenije ne odgovarja za obveznosti sklada.</w:t>
      </w:r>
    </w:p>
    <w:p w14:paraId="551CFDD2" w14:textId="51AB2BF5" w:rsidR="00912A0E" w:rsidRDefault="00912A0E" w:rsidP="00912A0E">
      <w:pPr>
        <w:spacing w:before="240" w:after="100" w:line="240" w:lineRule="auto"/>
        <w:ind w:firstLine="1021"/>
        <w:rPr>
          <w:rFonts w:eastAsia="Times New Roman" w:cs="Arial"/>
          <w:sz w:val="20"/>
          <w:szCs w:val="20"/>
          <w:lang w:eastAsia="sl-SI"/>
        </w:rPr>
      </w:pPr>
      <w:r w:rsidRPr="00912A0E">
        <w:rPr>
          <w:rFonts w:eastAsia="Times New Roman" w:cs="Arial"/>
          <w:sz w:val="20"/>
          <w:szCs w:val="20"/>
          <w:lang w:eastAsia="sl-SI"/>
        </w:rPr>
        <w:t>(5) Stroški, ki nastanejo Banki Slovenije v zvezi z upravljanjem sklada, se krijejo iz sredstev sklada. Stroški upravljanja sklada, ki jih zaračuna Banka Slovenije, ne smejo presegati dejanskih stroškov upravljanja.</w:t>
      </w:r>
    </w:p>
    <w:p w14:paraId="2EC22F3F" w14:textId="6A9B442C" w:rsidR="00AF63CF" w:rsidRDefault="00AF63CF" w:rsidP="00912A0E">
      <w:pPr>
        <w:spacing w:before="240" w:after="100" w:line="240" w:lineRule="auto"/>
        <w:ind w:firstLine="1021"/>
        <w:rPr>
          <w:rFonts w:eastAsia="Times New Roman" w:cs="Arial"/>
          <w:sz w:val="20"/>
          <w:szCs w:val="20"/>
          <w:lang w:eastAsia="sl-SI"/>
        </w:rPr>
      </w:pPr>
    </w:p>
    <w:p w14:paraId="61934657" w14:textId="77777777" w:rsidR="00AF63CF" w:rsidRPr="00912A0E" w:rsidRDefault="00AF63CF" w:rsidP="00912A0E">
      <w:pPr>
        <w:spacing w:before="240" w:after="100" w:line="240" w:lineRule="auto"/>
        <w:ind w:firstLine="1021"/>
        <w:rPr>
          <w:rFonts w:eastAsia="Times New Roman" w:cs="Arial"/>
          <w:sz w:val="20"/>
          <w:szCs w:val="20"/>
          <w:lang w:eastAsia="sl-SI"/>
        </w:rPr>
      </w:pPr>
    </w:p>
    <w:p w14:paraId="49867FA3" w14:textId="77777777" w:rsidR="00912A0E" w:rsidRPr="00912A0E" w:rsidRDefault="00912A0E" w:rsidP="00912A0E">
      <w:pPr>
        <w:spacing w:before="480"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lastRenderedPageBreak/>
        <w:t>52. člen</w:t>
      </w:r>
    </w:p>
    <w:p w14:paraId="47DB7465" w14:textId="77777777" w:rsidR="00912A0E" w:rsidRPr="00912A0E" w:rsidRDefault="00912A0E" w:rsidP="00912A0E">
      <w:pPr>
        <w:spacing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(prenos vplačanih prispevkov med sistemi jamstva za vloge)</w:t>
      </w:r>
    </w:p>
    <w:p w14:paraId="490D1AE9"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(1) Če se banka preoblikuje tako, da preneha biti član sistema jamstva za vloge in se vključi v sistem jamstva za vloge druge države članice, se prispevki te banke, ki so bili plačani v sistem jamstva za vloge v 12 mesecih pred prenehanjem članstva, razen izrednih prispevkov, prenesejo v sistem jamstva za vloge, v katerega se vključi.</w:t>
      </w:r>
    </w:p>
    <w:p w14:paraId="16CE3CC8"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(2) Prejšnji odstavek se smiselno uporablja tudi pri preoblikovanju podružnice banke druge države članice v banko s sedežem v Republiki Sloveniji.</w:t>
      </w:r>
    </w:p>
    <w:p w14:paraId="00FE79DC"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(3) Če se banka države članice preoblikuje tako, da se vključi v sistem jamstva za vloge v Republiki Sloveniji, se prispevki, ki jih je vplačala banka države članice v sistem jamstva za vloge te države članice, prenesejo v sistem jamstva za vloge. Za prenos prispevkov se smiselno uporablja prvi odstavek tega člena.</w:t>
      </w:r>
    </w:p>
    <w:p w14:paraId="3D959F0D"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(4) Pri prenosu prispevkov med sistemi jamstva za vloge v skladu s tem členom so vse vloge, ki so bile vplačane pri banki ali podružnici pred preoblikovanjem, po prenosu prispevkov zajamčene v novem sistemu jamstva za vloge.</w:t>
      </w:r>
    </w:p>
    <w:p w14:paraId="30037D0F" w14:textId="77777777" w:rsidR="00912A0E" w:rsidRPr="00912A0E" w:rsidRDefault="00912A0E" w:rsidP="00912A0E">
      <w:pPr>
        <w:spacing w:before="240" w:after="100" w:line="240" w:lineRule="auto"/>
        <w:ind w:firstLine="1021"/>
        <w:rPr>
          <w:rFonts w:eastAsia="Times New Roman" w:cs="Arial"/>
          <w:sz w:val="20"/>
          <w:szCs w:val="20"/>
          <w:lang w:eastAsia="sl-SI"/>
        </w:rPr>
      </w:pPr>
      <w:r w:rsidRPr="00912A0E">
        <w:rPr>
          <w:rFonts w:eastAsia="Times New Roman" w:cs="Arial"/>
          <w:sz w:val="20"/>
          <w:szCs w:val="20"/>
          <w:lang w:eastAsia="sl-SI"/>
        </w:rPr>
        <w:t>(5) Banka obvesti svoje vlagatelje o nameravanem prestopu v drug sistem jamstva za vloge najmanj en mesec pred nameravanim prestopom.</w:t>
      </w:r>
    </w:p>
    <w:p w14:paraId="33EF65F3" w14:textId="77777777" w:rsidR="00912A0E" w:rsidRPr="00912A0E" w:rsidRDefault="00912A0E" w:rsidP="00912A0E">
      <w:pPr>
        <w:spacing w:before="480"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56. člen</w:t>
      </w:r>
    </w:p>
    <w:p w14:paraId="0226EE14" w14:textId="77777777" w:rsidR="00912A0E" w:rsidRPr="00912A0E" w:rsidRDefault="00912A0E" w:rsidP="00912A0E">
      <w:pPr>
        <w:spacing w:after="0" w:line="240" w:lineRule="auto"/>
        <w:jc w:val="center"/>
        <w:rPr>
          <w:rFonts w:eastAsia="Times New Roman" w:cs="Arial"/>
          <w:b/>
          <w:bCs/>
          <w:sz w:val="20"/>
          <w:szCs w:val="20"/>
          <w:lang w:eastAsia="sl-SI"/>
        </w:rPr>
      </w:pPr>
      <w:r w:rsidRPr="00912A0E">
        <w:rPr>
          <w:rFonts w:eastAsia="Times New Roman" w:cs="Arial"/>
          <w:b/>
          <w:bCs/>
          <w:sz w:val="20"/>
          <w:szCs w:val="20"/>
          <w:lang w:eastAsia="sl-SI"/>
        </w:rPr>
        <w:t>(globa za kršitev banke)</w:t>
      </w:r>
    </w:p>
    <w:p w14:paraId="2A881DBB" w14:textId="77777777" w:rsidR="00912A0E" w:rsidRPr="00912A0E" w:rsidRDefault="00912A0E" w:rsidP="00912A0E">
      <w:pPr>
        <w:spacing w:before="240" w:after="0" w:line="240" w:lineRule="auto"/>
        <w:ind w:firstLine="1021"/>
        <w:rPr>
          <w:rFonts w:eastAsia="Times New Roman" w:cs="Arial"/>
          <w:sz w:val="20"/>
          <w:szCs w:val="20"/>
          <w:lang w:eastAsia="sl-SI"/>
        </w:rPr>
      </w:pPr>
      <w:r w:rsidRPr="00912A0E">
        <w:rPr>
          <w:rFonts w:eastAsia="Times New Roman" w:cs="Arial"/>
          <w:sz w:val="20"/>
          <w:szCs w:val="20"/>
          <w:lang w:eastAsia="sl-SI"/>
        </w:rPr>
        <w:t>(1) Z globo od 25.000 do 250.000 eurov se za prekršek kaznuje banka ali EU podružnica, ki:</w:t>
      </w:r>
    </w:p>
    <w:p w14:paraId="42E945B5"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      ne obvesti vlagatelja, da je obveznost po pogodbi lahko predmet pobota s terjatvijo vlagatelja iz naslova izplačila kritja zajamčene vloge (peti odstavek 10. člena);</w:t>
      </w:r>
    </w:p>
    <w:p w14:paraId="0A241922"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2.      ne objavlja informacij o sistemu jamstva za vloge ali jih objavlja v nasprotju z zakonom (drugi in tretji odstavek 11. člena);</w:t>
      </w:r>
    </w:p>
    <w:p w14:paraId="25E4E1CE"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3.      pred sklenitvijo pogodbe o vlogi ne zagotovi vlagatelju informacij o sistemu jamstva za vloge (četrti in peti odstavek 11. člena);</w:t>
      </w:r>
    </w:p>
    <w:p w14:paraId="58B75501"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4.      ne zagotavlja vlagatelju informacij o njegovi vlogi (šesti odstavek 11. člena);</w:t>
      </w:r>
    </w:p>
    <w:p w14:paraId="0C44F7E9"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5.      oglašuje v nasprotju z zakonom (12. člen);</w:t>
      </w:r>
    </w:p>
    <w:p w14:paraId="4CE75260"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6.      na zahtevo vlagatelja ne izplača upravičene vloge (prvi odstavek 13. člena) ali pisno ne obvesti vlagateljev o združitvi in možnosti uveljavljanja pravic zaradi združitve (drugi odstavek 13. člena);</w:t>
      </w:r>
    </w:p>
    <w:p w14:paraId="61501792"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7.      Banki Slovenije ne poroča o vlagateljih in vlogah, ki jih Banka Slovenije potrebuje za namene upravljanja sistema jamstva za vloge (prvi odstavek 23. člena);</w:t>
      </w:r>
    </w:p>
    <w:p w14:paraId="58A52F0E"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8.      ne plača ali ne plača pravočasno rednega prispevka v skladu z odločbo Banke Slovenije (prvi odstavek 31. člena);</w:t>
      </w:r>
    </w:p>
    <w:p w14:paraId="540AFEF5"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9.      ne plača ali ne plača pravočasno izrednega prispevka v skladu z odločbo Banke Slovenije (prvi odstavek 32. člena);</w:t>
      </w:r>
    </w:p>
    <w:p w14:paraId="44E3D2CC"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10.   sredstva in pridobljene informacije za izplačilo kritja zajamčenih vlog ne uporabi izključno za namen, da se vlagateljem zagotavlja dostop do izplačanega kritja zajamčenih vlog (tretji odstavek 42. člena);</w:t>
      </w:r>
    </w:p>
    <w:p w14:paraId="731AB51F"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11.   ne zagotovi ustreznega informacijskega sistema za dostop do podatkov, potrebnih za izplačilo kritja zajamčenih vlog (prvi odstavek 43. člena);</w:t>
      </w:r>
    </w:p>
    <w:p w14:paraId="62A35E5F" w14:textId="77777777" w:rsidR="00912A0E" w:rsidRPr="00912A0E" w:rsidRDefault="00912A0E" w:rsidP="00912A0E">
      <w:pPr>
        <w:spacing w:after="0" w:line="240" w:lineRule="auto"/>
        <w:ind w:left="425" w:hanging="425"/>
        <w:rPr>
          <w:rFonts w:eastAsia="Times New Roman" w:cs="Arial"/>
          <w:sz w:val="20"/>
          <w:szCs w:val="20"/>
          <w:lang w:eastAsia="sl-SI"/>
        </w:rPr>
      </w:pPr>
      <w:r w:rsidRPr="00912A0E">
        <w:rPr>
          <w:rFonts w:eastAsia="Times New Roman" w:cs="Arial"/>
          <w:sz w:val="20"/>
          <w:szCs w:val="20"/>
          <w:lang w:eastAsia="sl-SI"/>
        </w:rPr>
        <w:t>12.   v roku ne obvesti svojih vlagateljev o nameravanem prestopu v drug sistem jamstva za vloge (peti odstavek 52. člena).</w:t>
      </w:r>
    </w:p>
    <w:p w14:paraId="306842F2" w14:textId="77777777" w:rsidR="00912A0E" w:rsidRPr="00912A0E" w:rsidRDefault="00912A0E" w:rsidP="00912A0E">
      <w:pPr>
        <w:spacing w:before="240" w:after="100" w:line="240" w:lineRule="auto"/>
        <w:ind w:firstLine="1021"/>
        <w:rPr>
          <w:rFonts w:eastAsia="Times New Roman" w:cs="Arial"/>
          <w:sz w:val="20"/>
          <w:szCs w:val="20"/>
          <w:lang w:eastAsia="sl-SI"/>
        </w:rPr>
      </w:pPr>
      <w:r w:rsidRPr="00912A0E">
        <w:rPr>
          <w:rFonts w:eastAsia="Times New Roman" w:cs="Arial"/>
          <w:sz w:val="20"/>
          <w:szCs w:val="20"/>
          <w:lang w:eastAsia="sl-SI"/>
        </w:rPr>
        <w:t>(2) Z globo v višini od 800 do 10.000 eurov se za prekršek kaznuje odgovorna oseba banke ali odgovorna oseba EU podružnice, ki stori prekršek iz prejšnjega odstavka.</w:t>
      </w:r>
    </w:p>
    <w:p w14:paraId="31D53628" w14:textId="77777777" w:rsidR="00912A0E" w:rsidRPr="00912A0E" w:rsidRDefault="00912A0E" w:rsidP="00FF5156">
      <w:pPr>
        <w:spacing w:after="0" w:line="312" w:lineRule="auto"/>
        <w:rPr>
          <w:rFonts w:eastAsia="Calibri" w:cs="Arial"/>
          <w:b/>
          <w:bCs/>
          <w:sz w:val="20"/>
          <w:szCs w:val="20"/>
          <w:lang w:eastAsia="en-US"/>
        </w:rPr>
      </w:pPr>
    </w:p>
    <w:p w14:paraId="63A0C2A1" w14:textId="6F101570" w:rsidR="00912A0E" w:rsidRDefault="00912A0E" w:rsidP="00FF5156">
      <w:pPr>
        <w:spacing w:after="0" w:line="312" w:lineRule="auto"/>
        <w:rPr>
          <w:rFonts w:eastAsia="Calibri" w:cs="Arial"/>
          <w:b/>
          <w:bCs/>
          <w:sz w:val="20"/>
          <w:szCs w:val="20"/>
          <w:lang w:eastAsia="en-US"/>
        </w:rPr>
      </w:pPr>
    </w:p>
    <w:p w14:paraId="5891ED5C" w14:textId="77777777" w:rsidR="00FF5156" w:rsidRPr="00FF5156" w:rsidRDefault="00FF5156" w:rsidP="00FF5156">
      <w:pPr>
        <w:spacing w:after="0" w:line="312" w:lineRule="auto"/>
        <w:rPr>
          <w:rFonts w:eastAsia="Calibri" w:cs="Arial"/>
          <w:sz w:val="20"/>
          <w:szCs w:val="20"/>
          <w:lang w:eastAsia="en-US"/>
        </w:rPr>
      </w:pPr>
    </w:p>
    <w:p w14:paraId="714BD343" w14:textId="77777777" w:rsidR="00FF5156" w:rsidRDefault="00FF5156" w:rsidP="0003208E">
      <w:pPr>
        <w:autoSpaceDE w:val="0"/>
        <w:autoSpaceDN w:val="0"/>
        <w:adjustRightInd w:val="0"/>
        <w:spacing w:after="0" w:line="288" w:lineRule="auto"/>
        <w:jc w:val="right"/>
        <w:rPr>
          <w:rFonts w:cs="Arial"/>
          <w:b/>
          <w:sz w:val="20"/>
          <w:szCs w:val="20"/>
          <w:lang w:eastAsia="sl-SI"/>
        </w:rPr>
      </w:pPr>
    </w:p>
    <w:sectPr w:rsidR="00FF5156">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9EB356" w14:textId="77777777" w:rsidR="007616DB" w:rsidRDefault="007616DB" w:rsidP="00A74D00">
      <w:pPr>
        <w:spacing w:after="0" w:line="240" w:lineRule="auto"/>
      </w:pPr>
      <w:r>
        <w:separator/>
      </w:r>
    </w:p>
  </w:endnote>
  <w:endnote w:type="continuationSeparator" w:id="0">
    <w:p w14:paraId="0013A17A" w14:textId="77777777" w:rsidR="007616DB" w:rsidRDefault="007616DB" w:rsidP="00A74D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Palatino Linotype">
    <w:panose1 w:val="02040502050505030304"/>
    <w:charset w:val="EE"/>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B566A8" w14:textId="66DE4167" w:rsidR="007616DB" w:rsidRDefault="0085590D" w:rsidP="00BF0207">
    <w:pPr>
      <w:pStyle w:val="Noga"/>
      <w:jc w:val="right"/>
    </w:pPr>
    <w:sdt>
      <w:sdtPr>
        <w:id w:val="677547660"/>
        <w:docPartObj>
          <w:docPartGallery w:val="Page Numbers (Top of Page)"/>
          <w:docPartUnique/>
        </w:docPartObj>
      </w:sdtPr>
      <w:sdtEndPr/>
      <w:sdtContent>
        <w:r w:rsidR="007616DB" w:rsidRPr="00340809">
          <w:rPr>
            <w:sz w:val="20"/>
            <w:szCs w:val="20"/>
          </w:rPr>
          <w:fldChar w:fldCharType="begin"/>
        </w:r>
        <w:r w:rsidR="007616DB" w:rsidRPr="00340809">
          <w:rPr>
            <w:sz w:val="18"/>
            <w:szCs w:val="12"/>
          </w:rPr>
          <w:instrText xml:space="preserve"> PAGE </w:instrText>
        </w:r>
        <w:r w:rsidR="007616DB" w:rsidRPr="00340809">
          <w:rPr>
            <w:sz w:val="20"/>
            <w:szCs w:val="20"/>
          </w:rPr>
          <w:fldChar w:fldCharType="separate"/>
        </w:r>
        <w:r>
          <w:rPr>
            <w:noProof/>
            <w:sz w:val="18"/>
            <w:szCs w:val="12"/>
          </w:rPr>
          <w:t>1</w:t>
        </w:r>
        <w:r w:rsidR="007616DB" w:rsidRPr="00340809">
          <w:rPr>
            <w:sz w:val="20"/>
            <w:szCs w:val="20"/>
          </w:rPr>
          <w:fldChar w:fldCharType="end"/>
        </w:r>
        <w:r w:rsidR="007616DB" w:rsidRPr="00340809">
          <w:rPr>
            <w:sz w:val="18"/>
            <w:szCs w:val="12"/>
          </w:rPr>
          <w:t>/</w:t>
        </w:r>
        <w:r w:rsidR="007616DB" w:rsidRPr="00340809">
          <w:rPr>
            <w:sz w:val="20"/>
            <w:szCs w:val="20"/>
          </w:rPr>
          <w:fldChar w:fldCharType="begin"/>
        </w:r>
        <w:r w:rsidR="007616DB" w:rsidRPr="00340809">
          <w:rPr>
            <w:sz w:val="18"/>
            <w:szCs w:val="12"/>
          </w:rPr>
          <w:instrText xml:space="preserve"> NUMPAGES  </w:instrText>
        </w:r>
        <w:r w:rsidR="007616DB" w:rsidRPr="00340809">
          <w:rPr>
            <w:sz w:val="20"/>
            <w:szCs w:val="20"/>
          </w:rPr>
          <w:fldChar w:fldCharType="separate"/>
        </w:r>
        <w:r>
          <w:rPr>
            <w:noProof/>
            <w:sz w:val="18"/>
            <w:szCs w:val="12"/>
          </w:rPr>
          <w:t>16</w:t>
        </w:r>
        <w:r w:rsidR="007616DB" w:rsidRPr="00340809">
          <w:rPr>
            <w:sz w:val="20"/>
            <w:szCs w:val="20"/>
          </w:rPr>
          <w:fldChar w:fldCharType="end"/>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9E79A0" w14:textId="77777777" w:rsidR="007616DB" w:rsidRDefault="007616DB" w:rsidP="00A74D00">
      <w:pPr>
        <w:spacing w:after="0" w:line="240" w:lineRule="auto"/>
      </w:pPr>
      <w:r>
        <w:separator/>
      </w:r>
    </w:p>
  </w:footnote>
  <w:footnote w:type="continuationSeparator" w:id="0">
    <w:p w14:paraId="5ED19B76" w14:textId="77777777" w:rsidR="007616DB" w:rsidRDefault="007616DB" w:rsidP="00A74D00">
      <w:pPr>
        <w:spacing w:after="0" w:line="240" w:lineRule="auto"/>
      </w:pPr>
      <w:r>
        <w:continuationSeparator/>
      </w:r>
    </w:p>
  </w:footnote>
  <w:footnote w:id="1">
    <w:p w14:paraId="59486B59" w14:textId="40101A1D" w:rsidR="007616DB" w:rsidRDefault="007616DB">
      <w:pPr>
        <w:pStyle w:val="Sprotnaopomba-besedilo"/>
      </w:pPr>
      <w:r>
        <w:rPr>
          <w:rStyle w:val="Sprotnaopomba-sklic"/>
        </w:rPr>
        <w:footnoteRef/>
      </w:r>
      <w:r>
        <w:t xml:space="preserve"> </w:t>
      </w:r>
      <w:hyperlink r:id="rId1" w:history="1">
        <w:r w:rsidRPr="006138D8">
          <w:rPr>
            <w:rStyle w:val="Hiperpovezava"/>
            <w:sz w:val="18"/>
            <w:szCs w:val="18"/>
          </w:rPr>
          <w:t>https://www.ris.bka.gv.at/GeltendeFassung.wxe?Abfrage=Bundesnormen&amp;Gesetzesnummer=20009251</w:t>
        </w:r>
      </w:hyperlink>
      <w:r>
        <w:rPr>
          <w:sz w:val="18"/>
          <w:szCs w:val="18"/>
        </w:rPr>
        <w:t xml:space="preserve"> </w:t>
      </w:r>
    </w:p>
  </w:footnote>
  <w:footnote w:id="2">
    <w:p w14:paraId="39A14E8B" w14:textId="36F8F945" w:rsidR="007616DB" w:rsidRDefault="007616DB">
      <w:pPr>
        <w:pStyle w:val="Sprotnaopomba-besedilo"/>
      </w:pPr>
      <w:r>
        <w:rPr>
          <w:rStyle w:val="Sprotnaopomba-sklic"/>
        </w:rPr>
        <w:footnoteRef/>
      </w:r>
      <w:r>
        <w:t xml:space="preserve"> </w:t>
      </w:r>
      <w:hyperlink r:id="rId2" w:history="1">
        <w:r w:rsidRPr="00B1007F">
          <w:rPr>
            <w:rStyle w:val="Hiperpovezava"/>
            <w:sz w:val="18"/>
            <w:szCs w:val="18"/>
          </w:rPr>
          <w:t>https://www.gesetze-im-internet.de/einsig/BJNR078610015.html</w:t>
        </w:r>
      </w:hyperlink>
      <w:r w:rsidRPr="00B1007F">
        <w:rPr>
          <w:sz w:val="18"/>
          <w:szCs w:val="18"/>
        </w:rPr>
        <w:t xml:space="preserve"> </w:t>
      </w:r>
    </w:p>
  </w:footnote>
  <w:footnote w:id="3">
    <w:p w14:paraId="003A2B66" w14:textId="68FC3948" w:rsidR="007616DB" w:rsidRDefault="007616DB" w:rsidP="004C7DB0">
      <w:pPr>
        <w:tabs>
          <w:tab w:val="left" w:pos="142"/>
        </w:tabs>
        <w:spacing w:after="0"/>
        <w:rPr>
          <w:rFonts w:cs="Arial"/>
          <w:sz w:val="12"/>
          <w:szCs w:val="16"/>
        </w:rPr>
      </w:pPr>
      <w:r>
        <w:rPr>
          <w:rStyle w:val="Sprotnaopomba-sklic"/>
          <w:sz w:val="20"/>
          <w:szCs w:val="16"/>
        </w:rPr>
        <w:footnoteRef/>
      </w:r>
      <w:r>
        <w:rPr>
          <w:sz w:val="16"/>
          <w:szCs w:val="16"/>
        </w:rPr>
        <w:t xml:space="preserve"> </w:t>
      </w:r>
      <w:hyperlink r:id="rId3" w:history="1">
        <w:r>
          <w:rPr>
            <w:rStyle w:val="Hiperpovezava"/>
            <w:rFonts w:cs="Arial"/>
            <w:sz w:val="18"/>
          </w:rPr>
          <w:t>http://www.irishstatutebook.ie/eli/2015/si/516/made/en/pdf</w:t>
        </w:r>
      </w:hyperlink>
    </w:p>
  </w:footnote>
  <w:footnote w:id="4">
    <w:p w14:paraId="529F9C94" w14:textId="77777777" w:rsidR="007616DB" w:rsidRDefault="007616DB" w:rsidP="004C7DB0">
      <w:pPr>
        <w:pStyle w:val="Sprotnaopomba-besedilo"/>
        <w:rPr>
          <w:sz w:val="18"/>
        </w:rPr>
      </w:pPr>
      <w:r>
        <w:rPr>
          <w:rStyle w:val="Sprotnaopomba-sklic"/>
          <w:szCs w:val="16"/>
        </w:rPr>
        <w:footnoteRef/>
      </w:r>
      <w:r>
        <w:rPr>
          <w:sz w:val="16"/>
          <w:szCs w:val="16"/>
        </w:rPr>
        <w:t xml:space="preserve"> </w:t>
      </w:r>
      <w:hyperlink r:id="rId4" w:history="1">
        <w:r>
          <w:rPr>
            <w:rStyle w:val="Hiperpovezava"/>
            <w:sz w:val="18"/>
          </w:rPr>
          <w:t>http://www.depositguarantee.ie/en/home</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77BDB"/>
    <w:multiLevelType w:val="hybridMultilevel"/>
    <w:tmpl w:val="1EEA540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0641D63"/>
    <w:multiLevelType w:val="hybridMultilevel"/>
    <w:tmpl w:val="B8FADCC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087666A"/>
    <w:multiLevelType w:val="hybridMultilevel"/>
    <w:tmpl w:val="6C7A0F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1C16625"/>
    <w:multiLevelType w:val="hybridMultilevel"/>
    <w:tmpl w:val="A798EB6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2145C1A"/>
    <w:multiLevelType w:val="hybridMultilevel"/>
    <w:tmpl w:val="4BFEBE4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29B1A7C"/>
    <w:multiLevelType w:val="hybridMultilevel"/>
    <w:tmpl w:val="5BE008D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3145706"/>
    <w:multiLevelType w:val="hybridMultilevel"/>
    <w:tmpl w:val="85D49FB4"/>
    <w:lvl w:ilvl="0" w:tplc="D0E8F596">
      <w:start w:val="3"/>
      <w:numFmt w:val="bullet"/>
      <w:lvlText w:val="–"/>
      <w:lvlJc w:val="left"/>
      <w:pPr>
        <w:tabs>
          <w:tab w:val="num" w:pos="360"/>
        </w:tabs>
        <w:ind w:left="360" w:hanging="360"/>
      </w:pPr>
      <w:rPr>
        <w:rFonts w:ascii="Palatino Linotype" w:eastAsia="Symbol" w:hAnsi="Palatino Linotype" w:cs="Tahoma" w:hint="default"/>
      </w:rPr>
    </w:lvl>
    <w:lvl w:ilvl="1" w:tplc="04240003">
      <w:start w:val="1"/>
      <w:numFmt w:val="bullet"/>
      <w:lvlText w:val="o"/>
      <w:lvlJc w:val="left"/>
      <w:pPr>
        <w:tabs>
          <w:tab w:val="num" w:pos="1080"/>
        </w:tabs>
        <w:ind w:left="1080" w:hanging="360"/>
      </w:pPr>
      <w:rPr>
        <w:rFonts w:ascii="Courier New" w:hAnsi="Courier New" w:cs="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034928AA"/>
    <w:multiLevelType w:val="hybridMultilevel"/>
    <w:tmpl w:val="6A2A4DA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044F7250"/>
    <w:multiLevelType w:val="hybridMultilevel"/>
    <w:tmpl w:val="551C823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54E3FA7"/>
    <w:multiLevelType w:val="hybridMultilevel"/>
    <w:tmpl w:val="44C80884"/>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56526B0"/>
    <w:multiLevelType w:val="hybridMultilevel"/>
    <w:tmpl w:val="EBF0119A"/>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05970F18"/>
    <w:multiLevelType w:val="hybridMultilevel"/>
    <w:tmpl w:val="8894339C"/>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06035CE7"/>
    <w:multiLevelType w:val="hybridMultilevel"/>
    <w:tmpl w:val="9EE64F68"/>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7FB4DA6"/>
    <w:multiLevelType w:val="hybridMultilevel"/>
    <w:tmpl w:val="087CD7BE"/>
    <w:lvl w:ilvl="0" w:tplc="E7589E6C">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8A3120B"/>
    <w:multiLevelType w:val="hybridMultilevel"/>
    <w:tmpl w:val="B264362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0A436ED0"/>
    <w:multiLevelType w:val="hybridMultilevel"/>
    <w:tmpl w:val="CBE216FE"/>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0C18365F"/>
    <w:multiLevelType w:val="hybridMultilevel"/>
    <w:tmpl w:val="35708DC0"/>
    <w:lvl w:ilvl="0" w:tplc="E244E0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0DE00BAF"/>
    <w:multiLevelType w:val="hybridMultilevel"/>
    <w:tmpl w:val="5BE008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DE11F90"/>
    <w:multiLevelType w:val="hybridMultilevel"/>
    <w:tmpl w:val="0308B52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0EE923B8"/>
    <w:multiLevelType w:val="hybridMultilevel"/>
    <w:tmpl w:val="1CEE5362"/>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13B37838"/>
    <w:multiLevelType w:val="hybridMultilevel"/>
    <w:tmpl w:val="B1080094"/>
    <w:lvl w:ilvl="0" w:tplc="E4DC4EC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44B34AE"/>
    <w:multiLevelType w:val="hybridMultilevel"/>
    <w:tmpl w:val="67325F2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145D5E11"/>
    <w:multiLevelType w:val="hybridMultilevel"/>
    <w:tmpl w:val="E5C200D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15A05D2F"/>
    <w:multiLevelType w:val="hybridMultilevel"/>
    <w:tmpl w:val="4932894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16933270"/>
    <w:multiLevelType w:val="hybridMultilevel"/>
    <w:tmpl w:val="7658976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176647A8"/>
    <w:multiLevelType w:val="hybridMultilevel"/>
    <w:tmpl w:val="EEDC07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182871E4"/>
    <w:multiLevelType w:val="hybridMultilevel"/>
    <w:tmpl w:val="6C6849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186B70E6"/>
    <w:multiLevelType w:val="hybridMultilevel"/>
    <w:tmpl w:val="DE3884C6"/>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188B4FFB"/>
    <w:multiLevelType w:val="hybridMultilevel"/>
    <w:tmpl w:val="3D4287F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18953176"/>
    <w:multiLevelType w:val="hybridMultilevel"/>
    <w:tmpl w:val="97EEEDEC"/>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1A381A50"/>
    <w:multiLevelType w:val="hybridMultilevel"/>
    <w:tmpl w:val="588ECDE4"/>
    <w:lvl w:ilvl="0" w:tplc="2E745FD2">
      <w:start w:val="1"/>
      <w:numFmt w:val="bullet"/>
      <w:lvlText w:val=""/>
      <w:lvlJc w:val="left"/>
      <w:pPr>
        <w:ind w:left="720" w:hanging="360"/>
      </w:pPr>
      <w:rPr>
        <w:rFonts w:ascii="Symbol" w:hAnsi="Symbol" w:hint="default"/>
      </w:rPr>
    </w:lvl>
    <w:lvl w:ilvl="1" w:tplc="BE58AEFE">
      <w:start w:val="1"/>
      <w:numFmt w:val="bullet"/>
      <w:lvlText w:val=""/>
      <w:lvlJc w:val="left"/>
      <w:pPr>
        <w:ind w:left="1440" w:hanging="360"/>
      </w:pPr>
      <w:rPr>
        <w:rFonts w:ascii="Symbol" w:hAnsi="Symbol" w:hint="default"/>
      </w:rPr>
    </w:lvl>
    <w:lvl w:ilvl="2" w:tplc="0D9A2C5C">
      <w:start w:val="1"/>
      <w:numFmt w:val="decimal"/>
      <w:lvlText w:val="%3."/>
      <w:lvlJc w:val="left"/>
      <w:pPr>
        <w:ind w:left="2688" w:hanging="708"/>
      </w:pPr>
      <w:rPr>
        <w:rFonts w:hint="default"/>
      </w:rPr>
    </w:lvl>
    <w:lvl w:ilvl="3" w:tplc="2364231E">
      <w:start w:val="3"/>
      <w:numFmt w:val="bullet"/>
      <w:lvlText w:val="-"/>
      <w:lvlJc w:val="left"/>
      <w:pPr>
        <w:ind w:left="2880" w:hanging="360"/>
      </w:pPr>
      <w:rPr>
        <w:rFonts w:ascii="Arial" w:eastAsia="Calibri" w:hAnsi="Arial" w:cs="Arial"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1A667AB3"/>
    <w:multiLevelType w:val="hybridMultilevel"/>
    <w:tmpl w:val="DDCECE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1C3C5682"/>
    <w:multiLevelType w:val="hybridMultilevel"/>
    <w:tmpl w:val="EBB62E14"/>
    <w:lvl w:ilvl="0" w:tplc="0424000F">
      <w:start w:val="1"/>
      <w:numFmt w:val="decimal"/>
      <w:lvlText w:val="%1."/>
      <w:lvlJc w:val="left"/>
      <w:pPr>
        <w:ind w:left="1080" w:hanging="720"/>
      </w:pPr>
      <w:rPr>
        <w:rFonts w:hint="default"/>
      </w:rPr>
    </w:lvl>
    <w:lvl w:ilvl="1" w:tplc="75E2C672">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1D0E6AFA"/>
    <w:multiLevelType w:val="hybridMultilevel"/>
    <w:tmpl w:val="683EA71E"/>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1D30608E"/>
    <w:multiLevelType w:val="hybridMultilevel"/>
    <w:tmpl w:val="EEDC07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1DD07179"/>
    <w:multiLevelType w:val="hybridMultilevel"/>
    <w:tmpl w:val="F4621AE4"/>
    <w:lvl w:ilvl="0" w:tplc="BE58AEFE">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21347B2D"/>
    <w:multiLevelType w:val="hybridMultilevel"/>
    <w:tmpl w:val="853E1DA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250605E2"/>
    <w:multiLevelType w:val="hybridMultilevel"/>
    <w:tmpl w:val="BCC4654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26C513F5"/>
    <w:multiLevelType w:val="hybridMultilevel"/>
    <w:tmpl w:val="88E4371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27AB014E"/>
    <w:multiLevelType w:val="hybridMultilevel"/>
    <w:tmpl w:val="927E5184"/>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27EF28F1"/>
    <w:multiLevelType w:val="hybridMultilevel"/>
    <w:tmpl w:val="C13EF93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42" w15:restartNumberingAfterBreak="0">
    <w:nsid w:val="2AEA113B"/>
    <w:multiLevelType w:val="hybridMultilevel"/>
    <w:tmpl w:val="7BA4D96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2B3964BE"/>
    <w:multiLevelType w:val="hybridMultilevel"/>
    <w:tmpl w:val="3B1AE8BA"/>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2CB420C7"/>
    <w:multiLevelType w:val="hybridMultilevel"/>
    <w:tmpl w:val="3C3C25EE"/>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2D5F42AF"/>
    <w:multiLevelType w:val="hybridMultilevel"/>
    <w:tmpl w:val="D85032B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2F365D50"/>
    <w:multiLevelType w:val="hybridMultilevel"/>
    <w:tmpl w:val="1C9013A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2F40569C"/>
    <w:multiLevelType w:val="hybridMultilevel"/>
    <w:tmpl w:val="D1ECF22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2F807C8F"/>
    <w:multiLevelType w:val="hybridMultilevel"/>
    <w:tmpl w:val="6C4CFA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2F9F2C43"/>
    <w:multiLevelType w:val="hybridMultilevel"/>
    <w:tmpl w:val="6582AA7A"/>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31EA1165"/>
    <w:multiLevelType w:val="hybridMultilevel"/>
    <w:tmpl w:val="DFF8ED5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335205B2"/>
    <w:multiLevelType w:val="hybridMultilevel"/>
    <w:tmpl w:val="552C013C"/>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345B4AD0"/>
    <w:multiLevelType w:val="hybridMultilevel"/>
    <w:tmpl w:val="C00042CC"/>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369947F1"/>
    <w:multiLevelType w:val="hybridMultilevel"/>
    <w:tmpl w:val="35F2CE22"/>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375163F9"/>
    <w:multiLevelType w:val="hybridMultilevel"/>
    <w:tmpl w:val="30CA3EC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381425CC"/>
    <w:multiLevelType w:val="hybridMultilevel"/>
    <w:tmpl w:val="7AA0C10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393F6C04"/>
    <w:multiLevelType w:val="hybridMultilevel"/>
    <w:tmpl w:val="3DC63AF4"/>
    <w:lvl w:ilvl="0" w:tplc="BE58AEFE">
      <w:start w:val="1"/>
      <w:numFmt w:val="bullet"/>
      <w:lvlText w:val=""/>
      <w:lvlJc w:val="left"/>
      <w:pPr>
        <w:ind w:left="785" w:hanging="360"/>
      </w:pPr>
      <w:rPr>
        <w:rFonts w:ascii="Symbol" w:hAnsi="Symbo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57" w15:restartNumberingAfterBreak="0">
    <w:nsid w:val="3B573D8A"/>
    <w:multiLevelType w:val="hybridMultilevel"/>
    <w:tmpl w:val="5D6EC602"/>
    <w:lvl w:ilvl="0" w:tplc="5C5CA41A">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3C096C62"/>
    <w:multiLevelType w:val="hybridMultilevel"/>
    <w:tmpl w:val="9A923F70"/>
    <w:lvl w:ilvl="0" w:tplc="04240001">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15:restartNumberingAfterBreak="0">
    <w:nsid w:val="3CBE7E52"/>
    <w:multiLevelType w:val="hybridMultilevel"/>
    <w:tmpl w:val="E2CA201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400667B4"/>
    <w:multiLevelType w:val="hybridMultilevel"/>
    <w:tmpl w:val="676E77D2"/>
    <w:lvl w:ilvl="0" w:tplc="BE58AEFE">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401359B9"/>
    <w:multiLevelType w:val="hybridMultilevel"/>
    <w:tmpl w:val="9DF08DE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4050039D"/>
    <w:multiLevelType w:val="hybridMultilevel"/>
    <w:tmpl w:val="7EBED6A4"/>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412749FA"/>
    <w:multiLevelType w:val="hybridMultilevel"/>
    <w:tmpl w:val="92A2CC1C"/>
    <w:lvl w:ilvl="0" w:tplc="20CA2F78">
      <w:start w:val="34"/>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65" w15:restartNumberingAfterBreak="0">
    <w:nsid w:val="43902DF4"/>
    <w:multiLevelType w:val="hybridMultilevel"/>
    <w:tmpl w:val="61D6D44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46457BCD"/>
    <w:multiLevelType w:val="hybridMultilevel"/>
    <w:tmpl w:val="626A09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48245618"/>
    <w:multiLevelType w:val="hybridMultilevel"/>
    <w:tmpl w:val="B1080094"/>
    <w:lvl w:ilvl="0" w:tplc="E4DC4EC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48AF181B"/>
    <w:multiLevelType w:val="hybridMultilevel"/>
    <w:tmpl w:val="FB22E55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9" w15:restartNumberingAfterBreak="0">
    <w:nsid w:val="4A973D9D"/>
    <w:multiLevelType w:val="hybridMultilevel"/>
    <w:tmpl w:val="07AEFD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4B7801AA"/>
    <w:multiLevelType w:val="hybridMultilevel"/>
    <w:tmpl w:val="E5E2AA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15:restartNumberingAfterBreak="0">
    <w:nsid w:val="4E66639E"/>
    <w:multiLevelType w:val="hybridMultilevel"/>
    <w:tmpl w:val="E8F23AD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4EAE2167"/>
    <w:multiLevelType w:val="multilevel"/>
    <w:tmpl w:val="93964A6E"/>
    <w:lvl w:ilvl="0">
      <w:start w:val="1"/>
      <w:numFmt w:val="decimal"/>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3" w15:restartNumberingAfterBreak="0">
    <w:nsid w:val="4FC27E65"/>
    <w:multiLevelType w:val="hybridMultilevel"/>
    <w:tmpl w:val="B1080094"/>
    <w:lvl w:ilvl="0" w:tplc="E4DC4EC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502F6197"/>
    <w:multiLevelType w:val="hybridMultilevel"/>
    <w:tmpl w:val="7354DA88"/>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50790012"/>
    <w:multiLevelType w:val="hybridMultilevel"/>
    <w:tmpl w:val="E0629022"/>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50B041B1"/>
    <w:multiLevelType w:val="hybridMultilevel"/>
    <w:tmpl w:val="DA78DEA4"/>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7" w15:restartNumberingAfterBreak="0">
    <w:nsid w:val="51AA334B"/>
    <w:multiLevelType w:val="hybridMultilevel"/>
    <w:tmpl w:val="0A6AEA7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52345C94"/>
    <w:multiLevelType w:val="hybridMultilevel"/>
    <w:tmpl w:val="B73E7B9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15:restartNumberingAfterBreak="0">
    <w:nsid w:val="54283FF3"/>
    <w:multiLevelType w:val="hybridMultilevel"/>
    <w:tmpl w:val="F9A00F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552D63D5"/>
    <w:multiLevelType w:val="hybridMultilevel"/>
    <w:tmpl w:val="4858ECFE"/>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1" w15:restartNumberingAfterBreak="0">
    <w:nsid w:val="57034D64"/>
    <w:multiLevelType w:val="hybridMultilevel"/>
    <w:tmpl w:val="5972C50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15:restartNumberingAfterBreak="0">
    <w:nsid w:val="5774482C"/>
    <w:multiLevelType w:val="hybridMultilevel"/>
    <w:tmpl w:val="0D586BB6"/>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3" w15:restartNumberingAfterBreak="0">
    <w:nsid w:val="578F4659"/>
    <w:multiLevelType w:val="hybridMultilevel"/>
    <w:tmpl w:val="B1080094"/>
    <w:lvl w:ilvl="0" w:tplc="E4DC4EC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5AF369D2"/>
    <w:multiLevelType w:val="hybridMultilevel"/>
    <w:tmpl w:val="CB34452A"/>
    <w:lvl w:ilvl="0" w:tplc="E244E0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5B050C0A"/>
    <w:multiLevelType w:val="hybridMultilevel"/>
    <w:tmpl w:val="26D072E0"/>
    <w:lvl w:ilvl="0" w:tplc="76AC1A70">
      <w:start w:val="49"/>
      <w:numFmt w:val="bullet"/>
      <w:pStyle w:val="Oddel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5B2445AD"/>
    <w:multiLevelType w:val="hybridMultilevel"/>
    <w:tmpl w:val="9662B45E"/>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5B784699"/>
    <w:multiLevelType w:val="hybridMultilevel"/>
    <w:tmpl w:val="40824726"/>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8" w15:restartNumberingAfterBreak="0">
    <w:nsid w:val="5C0D2E16"/>
    <w:multiLevelType w:val="multilevel"/>
    <w:tmpl w:val="9D4A98F2"/>
    <w:lvl w:ilvl="0">
      <w:start w:val="1"/>
      <w:numFmt w:val="decimal"/>
      <w:pStyle w:val="tevilnatoka"/>
      <w:lvlText w:val="%1."/>
      <w:lvlJc w:val="left"/>
      <w:pPr>
        <w:tabs>
          <w:tab w:val="num" w:pos="397"/>
        </w:tabs>
        <w:ind w:left="397" w:hanging="397"/>
      </w:pPr>
    </w:lvl>
    <w:lvl w:ilvl="1">
      <w:start w:val="1"/>
      <w:numFmt w:val="decimal"/>
      <w:isLgl/>
      <w:lvlText w:val="%1.%2"/>
      <w:lvlJc w:val="left"/>
      <w:pPr>
        <w:ind w:left="876" w:hanging="876"/>
      </w:pPr>
    </w:lvl>
    <w:lvl w:ilvl="2">
      <w:start w:val="2"/>
      <w:numFmt w:val="decimal"/>
      <w:pStyle w:val="tevilnatoka111"/>
      <w:isLgl/>
      <w:lvlText w:val="%1.%2.%3"/>
      <w:lvlJc w:val="left"/>
      <w:pPr>
        <w:ind w:left="567" w:hanging="567"/>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89" w15:restartNumberingAfterBreak="0">
    <w:nsid w:val="5D6232DB"/>
    <w:multiLevelType w:val="hybridMultilevel"/>
    <w:tmpl w:val="56F0BBBE"/>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0" w15:restartNumberingAfterBreak="0">
    <w:nsid w:val="600D0B34"/>
    <w:multiLevelType w:val="hybridMultilevel"/>
    <w:tmpl w:val="EADA5DD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609E6745"/>
    <w:multiLevelType w:val="hybridMultilevel"/>
    <w:tmpl w:val="2F0674A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2" w15:restartNumberingAfterBreak="0">
    <w:nsid w:val="62AF3100"/>
    <w:multiLevelType w:val="hybridMultilevel"/>
    <w:tmpl w:val="B1080094"/>
    <w:lvl w:ilvl="0" w:tplc="E4DC4EC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651177D6"/>
    <w:multiLevelType w:val="hybridMultilevel"/>
    <w:tmpl w:val="1CE4CFA4"/>
    <w:lvl w:ilvl="0" w:tplc="BE58AEF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4" w15:restartNumberingAfterBreak="0">
    <w:nsid w:val="66103343"/>
    <w:multiLevelType w:val="hybridMultilevel"/>
    <w:tmpl w:val="A00670E4"/>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5" w15:restartNumberingAfterBreak="0">
    <w:nsid w:val="67545A4C"/>
    <w:multiLevelType w:val="hybridMultilevel"/>
    <w:tmpl w:val="D7F67E3E"/>
    <w:lvl w:ilvl="0" w:tplc="D0E8F596">
      <w:start w:val="3"/>
      <w:numFmt w:val="bullet"/>
      <w:lvlText w:val="–"/>
      <w:lvlJc w:val="left"/>
      <w:pPr>
        <w:ind w:left="360" w:hanging="360"/>
      </w:pPr>
      <w:rPr>
        <w:rFonts w:ascii="Palatino Linotype" w:eastAsia="Symbol" w:hAnsi="Palatino Linotype" w:cs="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6" w15:restartNumberingAfterBreak="0">
    <w:nsid w:val="67C300D9"/>
    <w:multiLevelType w:val="hybridMultilevel"/>
    <w:tmpl w:val="26D404DC"/>
    <w:lvl w:ilvl="0" w:tplc="76AC1A70">
      <w:start w:val="49"/>
      <w:numFmt w:val="bullet"/>
      <w:lvlText w:val=""/>
      <w:lvlJc w:val="left"/>
      <w:pPr>
        <w:ind w:left="360" w:hanging="360"/>
      </w:pPr>
      <w:rPr>
        <w:rFonts w:ascii="Symbol" w:eastAsia="Times New Roman" w:hAnsi="Symbol" w:cs="Times New Roman" w:hint="default"/>
      </w:rPr>
    </w:lvl>
    <w:lvl w:ilvl="1" w:tplc="E33AA7CE">
      <w:numFmt w:val="bullet"/>
      <w:lvlText w:val="-"/>
      <w:lvlJc w:val="left"/>
      <w:pPr>
        <w:ind w:left="1080" w:hanging="360"/>
      </w:pPr>
      <w:rPr>
        <w:rFonts w:ascii="Arial" w:eastAsia="Times New Roman" w:hAnsi="Arial" w:cs="Arial"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97" w15:restartNumberingAfterBreak="0">
    <w:nsid w:val="68A83E42"/>
    <w:multiLevelType w:val="hybridMultilevel"/>
    <w:tmpl w:val="6316D88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15:restartNumberingAfterBreak="0">
    <w:nsid w:val="68B94FBA"/>
    <w:multiLevelType w:val="hybridMultilevel"/>
    <w:tmpl w:val="8FE2645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15:restartNumberingAfterBreak="0">
    <w:nsid w:val="69676640"/>
    <w:multiLevelType w:val="hybridMultilevel"/>
    <w:tmpl w:val="EF5C29D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15:restartNumberingAfterBreak="0">
    <w:nsid w:val="6ACF4B7F"/>
    <w:multiLevelType w:val="hybridMultilevel"/>
    <w:tmpl w:val="39225FAA"/>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1" w15:restartNumberingAfterBreak="0">
    <w:nsid w:val="6B7B1517"/>
    <w:multiLevelType w:val="hybridMultilevel"/>
    <w:tmpl w:val="EEDC07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15:restartNumberingAfterBreak="0">
    <w:nsid w:val="6C623237"/>
    <w:multiLevelType w:val="hybridMultilevel"/>
    <w:tmpl w:val="05F040B0"/>
    <w:lvl w:ilvl="0" w:tplc="2E745FD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03" w15:restartNumberingAfterBreak="0">
    <w:nsid w:val="6CCD439B"/>
    <w:multiLevelType w:val="hybridMultilevel"/>
    <w:tmpl w:val="AAA4CAF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4" w15:restartNumberingAfterBreak="0">
    <w:nsid w:val="6D051A10"/>
    <w:multiLevelType w:val="hybridMultilevel"/>
    <w:tmpl w:val="EEDC071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5" w15:restartNumberingAfterBreak="0">
    <w:nsid w:val="6DFD4880"/>
    <w:multiLevelType w:val="hybridMultilevel"/>
    <w:tmpl w:val="219816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6" w15:restartNumberingAfterBreak="0">
    <w:nsid w:val="6E946BA4"/>
    <w:multiLevelType w:val="hybridMultilevel"/>
    <w:tmpl w:val="747C539E"/>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7" w15:restartNumberingAfterBreak="0">
    <w:nsid w:val="6F124286"/>
    <w:multiLevelType w:val="hybridMultilevel"/>
    <w:tmpl w:val="A5A2BDFC"/>
    <w:lvl w:ilvl="0" w:tplc="BE58AEFE">
      <w:start w:val="1"/>
      <w:numFmt w:val="bullet"/>
      <w:lvlText w:val=""/>
      <w:lvlJc w:val="left"/>
      <w:pPr>
        <w:ind w:left="785" w:hanging="360"/>
      </w:pPr>
      <w:rPr>
        <w:rFonts w:ascii="Symbol" w:hAnsi="Symbo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108" w15:restartNumberingAfterBreak="0">
    <w:nsid w:val="6F8F100A"/>
    <w:multiLevelType w:val="hybridMultilevel"/>
    <w:tmpl w:val="1682D0F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9" w15:restartNumberingAfterBreak="0">
    <w:nsid w:val="6FED39E7"/>
    <w:multiLevelType w:val="hybridMultilevel"/>
    <w:tmpl w:val="0E0E8F9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0" w15:restartNumberingAfterBreak="0">
    <w:nsid w:val="70FF2464"/>
    <w:multiLevelType w:val="hybridMultilevel"/>
    <w:tmpl w:val="B63803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752D7EC5"/>
    <w:multiLevelType w:val="hybridMultilevel"/>
    <w:tmpl w:val="4F049C7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2" w15:restartNumberingAfterBreak="0">
    <w:nsid w:val="758D677A"/>
    <w:multiLevelType w:val="hybridMultilevel"/>
    <w:tmpl w:val="EFE6042C"/>
    <w:lvl w:ilvl="0" w:tplc="BE58AEFE">
      <w:start w:val="1"/>
      <w:numFmt w:val="bullet"/>
      <w:lvlText w:val=""/>
      <w:lvlJc w:val="left"/>
      <w:pPr>
        <w:ind w:left="360" w:hanging="360"/>
      </w:pPr>
      <w:rPr>
        <w:rFonts w:ascii="Symbol" w:hAnsi="Symbo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3" w15:restartNumberingAfterBreak="0">
    <w:nsid w:val="7612590B"/>
    <w:multiLevelType w:val="hybridMultilevel"/>
    <w:tmpl w:val="63A66FD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4" w15:restartNumberingAfterBreak="0">
    <w:nsid w:val="781E78E6"/>
    <w:multiLevelType w:val="hybridMultilevel"/>
    <w:tmpl w:val="BE3449F8"/>
    <w:lvl w:ilvl="0" w:tplc="BE58AEF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5" w15:restartNumberingAfterBreak="0">
    <w:nsid w:val="783672DD"/>
    <w:multiLevelType w:val="hybridMultilevel"/>
    <w:tmpl w:val="D808225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15:restartNumberingAfterBreak="0">
    <w:nsid w:val="78B87E9A"/>
    <w:multiLevelType w:val="hybridMultilevel"/>
    <w:tmpl w:val="8BEEB60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7" w15:restartNumberingAfterBreak="0">
    <w:nsid w:val="78E65284"/>
    <w:multiLevelType w:val="hybridMultilevel"/>
    <w:tmpl w:val="C512E01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8" w15:restartNumberingAfterBreak="0">
    <w:nsid w:val="792C6745"/>
    <w:multiLevelType w:val="hybridMultilevel"/>
    <w:tmpl w:val="0D42096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9" w15:restartNumberingAfterBreak="0">
    <w:nsid w:val="79626EC8"/>
    <w:multiLevelType w:val="hybridMultilevel"/>
    <w:tmpl w:val="F0C4337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0" w15:restartNumberingAfterBreak="0">
    <w:nsid w:val="7A387FFA"/>
    <w:multiLevelType w:val="hybridMultilevel"/>
    <w:tmpl w:val="2DC6933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1" w15:restartNumberingAfterBreak="0">
    <w:nsid w:val="7B4610BC"/>
    <w:multiLevelType w:val="hybridMultilevel"/>
    <w:tmpl w:val="5D005D8E"/>
    <w:lvl w:ilvl="0" w:tplc="8FC04718">
      <w:start w:val="1"/>
      <w:numFmt w:val="decimal"/>
      <w:lvlText w:val="%1."/>
      <w:lvlJc w:val="left"/>
      <w:pPr>
        <w:ind w:left="78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7FDC7AFD"/>
    <w:multiLevelType w:val="hybridMultilevel"/>
    <w:tmpl w:val="42484822"/>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32"/>
  </w:num>
  <w:num w:numId="2">
    <w:abstractNumId w:val="13"/>
  </w:num>
  <w:num w:numId="3">
    <w:abstractNumId w:val="6"/>
  </w:num>
  <w:num w:numId="4">
    <w:abstractNumId w:val="27"/>
  </w:num>
  <w:num w:numId="5">
    <w:abstractNumId w:val="111"/>
  </w:num>
  <w:num w:numId="6">
    <w:abstractNumId w:val="100"/>
  </w:num>
  <w:num w:numId="7">
    <w:abstractNumId w:val="117"/>
  </w:num>
  <w:num w:numId="8">
    <w:abstractNumId w:val="8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4"/>
  </w:num>
  <w:num w:numId="10">
    <w:abstractNumId w:val="96"/>
  </w:num>
  <w:num w:numId="11">
    <w:abstractNumId w:val="64"/>
  </w:num>
  <w:num w:numId="12">
    <w:abstractNumId w:val="41"/>
  </w:num>
  <w:num w:numId="13">
    <w:abstractNumId w:val="85"/>
  </w:num>
  <w:num w:numId="14">
    <w:abstractNumId w:val="48"/>
  </w:num>
  <w:num w:numId="15">
    <w:abstractNumId w:val="43"/>
  </w:num>
  <w:num w:numId="16">
    <w:abstractNumId w:val="80"/>
  </w:num>
  <w:num w:numId="17">
    <w:abstractNumId w:val="51"/>
  </w:num>
  <w:num w:numId="18">
    <w:abstractNumId w:val="53"/>
  </w:num>
  <w:num w:numId="19">
    <w:abstractNumId w:val="74"/>
  </w:num>
  <w:num w:numId="20">
    <w:abstractNumId w:val="83"/>
  </w:num>
  <w:num w:numId="21">
    <w:abstractNumId w:val="82"/>
  </w:num>
  <w:num w:numId="22">
    <w:abstractNumId w:val="106"/>
  </w:num>
  <w:num w:numId="23">
    <w:abstractNumId w:val="19"/>
  </w:num>
  <w:num w:numId="24">
    <w:abstractNumId w:val="66"/>
  </w:num>
  <w:num w:numId="25">
    <w:abstractNumId w:val="98"/>
  </w:num>
  <w:num w:numId="26">
    <w:abstractNumId w:val="90"/>
  </w:num>
  <w:num w:numId="27">
    <w:abstractNumId w:val="52"/>
  </w:num>
  <w:num w:numId="28">
    <w:abstractNumId w:val="116"/>
  </w:num>
  <w:num w:numId="29">
    <w:abstractNumId w:val="114"/>
  </w:num>
  <w:num w:numId="30">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0"/>
  </w:num>
  <w:num w:numId="32">
    <w:abstractNumId w:val="56"/>
  </w:num>
  <w:num w:numId="33">
    <w:abstractNumId w:val="107"/>
  </w:num>
  <w:num w:numId="34">
    <w:abstractNumId w:val="36"/>
  </w:num>
  <w:num w:numId="35">
    <w:abstractNumId w:val="89"/>
  </w:num>
  <w:num w:numId="36">
    <w:abstractNumId w:val="0"/>
  </w:num>
  <w:num w:numId="37">
    <w:abstractNumId w:val="76"/>
  </w:num>
  <w:num w:numId="38">
    <w:abstractNumId w:val="37"/>
  </w:num>
  <w:num w:numId="39">
    <w:abstractNumId w:val="1"/>
  </w:num>
  <w:num w:numId="40">
    <w:abstractNumId w:val="110"/>
  </w:num>
  <w:num w:numId="41">
    <w:abstractNumId w:val="35"/>
  </w:num>
  <w:num w:numId="42">
    <w:abstractNumId w:val="28"/>
  </w:num>
  <w:num w:numId="43">
    <w:abstractNumId w:val="23"/>
  </w:num>
  <w:num w:numId="44">
    <w:abstractNumId w:val="69"/>
  </w:num>
  <w:num w:numId="45">
    <w:abstractNumId w:val="86"/>
  </w:num>
  <w:num w:numId="46">
    <w:abstractNumId w:val="29"/>
  </w:num>
  <w:num w:numId="47">
    <w:abstractNumId w:val="21"/>
  </w:num>
  <w:num w:numId="48">
    <w:abstractNumId w:val="93"/>
  </w:num>
  <w:num w:numId="49">
    <w:abstractNumId w:val="87"/>
  </w:num>
  <w:num w:numId="50">
    <w:abstractNumId w:val="97"/>
  </w:num>
  <w:num w:numId="51">
    <w:abstractNumId w:val="47"/>
  </w:num>
  <w:num w:numId="52">
    <w:abstractNumId w:val="39"/>
  </w:num>
  <w:num w:numId="53">
    <w:abstractNumId w:val="3"/>
  </w:num>
  <w:num w:numId="54">
    <w:abstractNumId w:val="101"/>
  </w:num>
  <w:num w:numId="55">
    <w:abstractNumId w:val="25"/>
  </w:num>
  <w:num w:numId="56">
    <w:abstractNumId w:val="57"/>
  </w:num>
  <w:num w:numId="57">
    <w:abstractNumId w:val="33"/>
  </w:num>
  <w:num w:numId="58">
    <w:abstractNumId w:val="75"/>
  </w:num>
  <w:num w:numId="59">
    <w:abstractNumId w:val="44"/>
  </w:num>
  <w:num w:numId="60">
    <w:abstractNumId w:val="79"/>
  </w:num>
  <w:num w:numId="61">
    <w:abstractNumId w:val="31"/>
  </w:num>
  <w:num w:numId="62">
    <w:abstractNumId w:val="38"/>
  </w:num>
  <w:num w:numId="63">
    <w:abstractNumId w:val="104"/>
  </w:num>
  <w:num w:numId="64">
    <w:abstractNumId w:val="34"/>
  </w:num>
  <w:num w:numId="65">
    <w:abstractNumId w:val="62"/>
  </w:num>
  <w:num w:numId="66">
    <w:abstractNumId w:val="77"/>
  </w:num>
  <w:num w:numId="67">
    <w:abstractNumId w:val="2"/>
  </w:num>
  <w:num w:numId="68">
    <w:abstractNumId w:val="115"/>
  </w:num>
  <w:num w:numId="69">
    <w:abstractNumId w:val="4"/>
  </w:num>
  <w:num w:numId="70">
    <w:abstractNumId w:val="120"/>
  </w:num>
  <w:num w:numId="71">
    <w:abstractNumId w:val="12"/>
  </w:num>
  <w:num w:numId="72">
    <w:abstractNumId w:val="118"/>
  </w:num>
  <w:num w:numId="73">
    <w:abstractNumId w:val="26"/>
  </w:num>
  <w:num w:numId="74">
    <w:abstractNumId w:val="14"/>
  </w:num>
  <w:num w:numId="75">
    <w:abstractNumId w:val="81"/>
  </w:num>
  <w:num w:numId="76">
    <w:abstractNumId w:val="113"/>
  </w:num>
  <w:num w:numId="77">
    <w:abstractNumId w:val="50"/>
  </w:num>
  <w:num w:numId="78">
    <w:abstractNumId w:val="102"/>
  </w:num>
  <w:num w:numId="79">
    <w:abstractNumId w:val="16"/>
  </w:num>
  <w:num w:numId="80">
    <w:abstractNumId w:val="84"/>
  </w:num>
  <w:num w:numId="81">
    <w:abstractNumId w:val="121"/>
  </w:num>
  <w:num w:numId="82">
    <w:abstractNumId w:val="105"/>
  </w:num>
  <w:num w:numId="83">
    <w:abstractNumId w:val="10"/>
  </w:num>
  <w:num w:numId="84">
    <w:abstractNumId w:val="7"/>
  </w:num>
  <w:num w:numId="85">
    <w:abstractNumId w:val="24"/>
  </w:num>
  <w:num w:numId="86">
    <w:abstractNumId w:val="109"/>
  </w:num>
  <w:num w:numId="87">
    <w:abstractNumId w:val="54"/>
  </w:num>
  <w:num w:numId="88">
    <w:abstractNumId w:val="103"/>
  </w:num>
  <w:num w:numId="89">
    <w:abstractNumId w:val="46"/>
  </w:num>
  <w:num w:numId="90">
    <w:abstractNumId w:val="99"/>
  </w:num>
  <w:num w:numId="91">
    <w:abstractNumId w:val="17"/>
  </w:num>
  <w:num w:numId="92">
    <w:abstractNumId w:val="60"/>
  </w:num>
  <w:num w:numId="93">
    <w:abstractNumId w:val="5"/>
  </w:num>
  <w:num w:numId="94">
    <w:abstractNumId w:val="18"/>
  </w:num>
  <w:num w:numId="95">
    <w:abstractNumId w:val="55"/>
  </w:num>
  <w:num w:numId="96">
    <w:abstractNumId w:val="78"/>
  </w:num>
  <w:num w:numId="97">
    <w:abstractNumId w:val="45"/>
  </w:num>
  <w:num w:numId="98">
    <w:abstractNumId w:val="71"/>
  </w:num>
  <w:num w:numId="99">
    <w:abstractNumId w:val="11"/>
  </w:num>
  <w:num w:numId="100">
    <w:abstractNumId w:val="122"/>
  </w:num>
  <w:num w:numId="101">
    <w:abstractNumId w:val="15"/>
  </w:num>
  <w:num w:numId="102">
    <w:abstractNumId w:val="61"/>
  </w:num>
  <w:num w:numId="103">
    <w:abstractNumId w:val="40"/>
  </w:num>
  <w:num w:numId="104">
    <w:abstractNumId w:val="42"/>
  </w:num>
  <w:num w:numId="105">
    <w:abstractNumId w:val="8"/>
  </w:num>
  <w:num w:numId="106">
    <w:abstractNumId w:val="65"/>
  </w:num>
  <w:num w:numId="107">
    <w:abstractNumId w:val="108"/>
  </w:num>
  <w:num w:numId="108">
    <w:abstractNumId w:val="59"/>
  </w:num>
  <w:num w:numId="109">
    <w:abstractNumId w:val="22"/>
  </w:num>
  <w:num w:numId="110">
    <w:abstractNumId w:val="9"/>
  </w:num>
  <w:num w:numId="111">
    <w:abstractNumId w:val="63"/>
  </w:num>
  <w:num w:numId="112">
    <w:abstractNumId w:val="30"/>
  </w:num>
  <w:num w:numId="113">
    <w:abstractNumId w:val="119"/>
  </w:num>
  <w:num w:numId="114">
    <w:abstractNumId w:val="68"/>
  </w:num>
  <w:num w:numId="115">
    <w:abstractNumId w:val="95"/>
  </w:num>
  <w:num w:numId="116">
    <w:abstractNumId w:val="91"/>
  </w:num>
  <w:num w:numId="117">
    <w:abstractNumId w:val="67"/>
  </w:num>
  <w:num w:numId="118">
    <w:abstractNumId w:val="20"/>
  </w:num>
  <w:num w:numId="119">
    <w:abstractNumId w:val="73"/>
  </w:num>
  <w:num w:numId="120">
    <w:abstractNumId w:val="92"/>
  </w:num>
  <w:num w:numId="121">
    <w:abstractNumId w:val="58"/>
  </w:num>
  <w:num w:numId="122">
    <w:abstractNumId w:val="112"/>
  </w:num>
  <w:num w:numId="123">
    <w:abstractNumId w:val="49"/>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2"/>
  <w:hideGrammaticalErrors/>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D00"/>
    <w:rsid w:val="00002E8E"/>
    <w:rsid w:val="00003D53"/>
    <w:rsid w:val="00004BFA"/>
    <w:rsid w:val="00004E3A"/>
    <w:rsid w:val="000065FB"/>
    <w:rsid w:val="000078A9"/>
    <w:rsid w:val="00010D16"/>
    <w:rsid w:val="00011146"/>
    <w:rsid w:val="0001209C"/>
    <w:rsid w:val="00014416"/>
    <w:rsid w:val="00014490"/>
    <w:rsid w:val="0001575A"/>
    <w:rsid w:val="00017DCE"/>
    <w:rsid w:val="00022DC6"/>
    <w:rsid w:val="0003208E"/>
    <w:rsid w:val="000325BA"/>
    <w:rsid w:val="00032C69"/>
    <w:rsid w:val="000365B0"/>
    <w:rsid w:val="00037823"/>
    <w:rsid w:val="000414C8"/>
    <w:rsid w:val="00041CCF"/>
    <w:rsid w:val="00042673"/>
    <w:rsid w:val="000455F0"/>
    <w:rsid w:val="00045688"/>
    <w:rsid w:val="00046146"/>
    <w:rsid w:val="00056A0E"/>
    <w:rsid w:val="00061E80"/>
    <w:rsid w:val="00062BB4"/>
    <w:rsid w:val="0007151C"/>
    <w:rsid w:val="00071EFE"/>
    <w:rsid w:val="000731B8"/>
    <w:rsid w:val="00073A80"/>
    <w:rsid w:val="00074325"/>
    <w:rsid w:val="00074DDD"/>
    <w:rsid w:val="00081632"/>
    <w:rsid w:val="0008179E"/>
    <w:rsid w:val="00081FB9"/>
    <w:rsid w:val="000847D5"/>
    <w:rsid w:val="00085E62"/>
    <w:rsid w:val="000931A8"/>
    <w:rsid w:val="000947B9"/>
    <w:rsid w:val="00094C17"/>
    <w:rsid w:val="00097440"/>
    <w:rsid w:val="00097D73"/>
    <w:rsid w:val="000A135E"/>
    <w:rsid w:val="000A4512"/>
    <w:rsid w:val="000B62EB"/>
    <w:rsid w:val="000B72BA"/>
    <w:rsid w:val="000B7617"/>
    <w:rsid w:val="000C0885"/>
    <w:rsid w:val="000C0E87"/>
    <w:rsid w:val="000C22E9"/>
    <w:rsid w:val="000C49BC"/>
    <w:rsid w:val="000C4F28"/>
    <w:rsid w:val="000C62FF"/>
    <w:rsid w:val="000C75BA"/>
    <w:rsid w:val="000D0A2E"/>
    <w:rsid w:val="000D1217"/>
    <w:rsid w:val="000D2FEA"/>
    <w:rsid w:val="000D4257"/>
    <w:rsid w:val="000D6709"/>
    <w:rsid w:val="000D7A85"/>
    <w:rsid w:val="000E0F8D"/>
    <w:rsid w:val="000E1C17"/>
    <w:rsid w:val="000E4404"/>
    <w:rsid w:val="000E7C56"/>
    <w:rsid w:val="000F075E"/>
    <w:rsid w:val="000F0FF3"/>
    <w:rsid w:val="000F397C"/>
    <w:rsid w:val="000F39CC"/>
    <w:rsid w:val="000F4B13"/>
    <w:rsid w:val="000F507C"/>
    <w:rsid w:val="000F5687"/>
    <w:rsid w:val="000F611E"/>
    <w:rsid w:val="000F6439"/>
    <w:rsid w:val="001005AD"/>
    <w:rsid w:val="00101344"/>
    <w:rsid w:val="00102F61"/>
    <w:rsid w:val="0010451B"/>
    <w:rsid w:val="001109EF"/>
    <w:rsid w:val="001109FA"/>
    <w:rsid w:val="00111D5F"/>
    <w:rsid w:val="00111F83"/>
    <w:rsid w:val="00112B86"/>
    <w:rsid w:val="00113090"/>
    <w:rsid w:val="00113C43"/>
    <w:rsid w:val="001142BE"/>
    <w:rsid w:val="0011560F"/>
    <w:rsid w:val="00117367"/>
    <w:rsid w:val="00121B91"/>
    <w:rsid w:val="0012231A"/>
    <w:rsid w:val="00122FAE"/>
    <w:rsid w:val="001232C9"/>
    <w:rsid w:val="00123A5F"/>
    <w:rsid w:val="00126229"/>
    <w:rsid w:val="00126605"/>
    <w:rsid w:val="001300E1"/>
    <w:rsid w:val="00132A81"/>
    <w:rsid w:val="001336F2"/>
    <w:rsid w:val="00133A49"/>
    <w:rsid w:val="00133B95"/>
    <w:rsid w:val="001340AD"/>
    <w:rsid w:val="00137594"/>
    <w:rsid w:val="0014141A"/>
    <w:rsid w:val="001414A6"/>
    <w:rsid w:val="0014234F"/>
    <w:rsid w:val="0014342C"/>
    <w:rsid w:val="001515C2"/>
    <w:rsid w:val="00153BA8"/>
    <w:rsid w:val="00155C76"/>
    <w:rsid w:val="00155DEA"/>
    <w:rsid w:val="00156C39"/>
    <w:rsid w:val="001610B4"/>
    <w:rsid w:val="001623F8"/>
    <w:rsid w:val="00166941"/>
    <w:rsid w:val="00170323"/>
    <w:rsid w:val="001724E5"/>
    <w:rsid w:val="00172658"/>
    <w:rsid w:val="0017399D"/>
    <w:rsid w:val="001749AE"/>
    <w:rsid w:val="001749DB"/>
    <w:rsid w:val="00176885"/>
    <w:rsid w:val="0017753D"/>
    <w:rsid w:val="00180565"/>
    <w:rsid w:val="00181898"/>
    <w:rsid w:val="001819B0"/>
    <w:rsid w:val="001824E4"/>
    <w:rsid w:val="00183135"/>
    <w:rsid w:val="001838AE"/>
    <w:rsid w:val="001857B2"/>
    <w:rsid w:val="00192966"/>
    <w:rsid w:val="00194223"/>
    <w:rsid w:val="0019651F"/>
    <w:rsid w:val="001A07D1"/>
    <w:rsid w:val="001A0AB9"/>
    <w:rsid w:val="001A1CB9"/>
    <w:rsid w:val="001A1EB5"/>
    <w:rsid w:val="001A2F48"/>
    <w:rsid w:val="001A2F5B"/>
    <w:rsid w:val="001A2FD9"/>
    <w:rsid w:val="001A3FE2"/>
    <w:rsid w:val="001A6415"/>
    <w:rsid w:val="001A7660"/>
    <w:rsid w:val="001A78D9"/>
    <w:rsid w:val="001A7F56"/>
    <w:rsid w:val="001A7F66"/>
    <w:rsid w:val="001B0E28"/>
    <w:rsid w:val="001B34B4"/>
    <w:rsid w:val="001B3750"/>
    <w:rsid w:val="001B38FE"/>
    <w:rsid w:val="001B6AAF"/>
    <w:rsid w:val="001C02C0"/>
    <w:rsid w:val="001C2785"/>
    <w:rsid w:val="001C4EED"/>
    <w:rsid w:val="001D124D"/>
    <w:rsid w:val="001D2056"/>
    <w:rsid w:val="001D5334"/>
    <w:rsid w:val="001E0EDA"/>
    <w:rsid w:val="001E0F51"/>
    <w:rsid w:val="001E1A82"/>
    <w:rsid w:val="001E1BC0"/>
    <w:rsid w:val="001E21C5"/>
    <w:rsid w:val="001E5285"/>
    <w:rsid w:val="001E5905"/>
    <w:rsid w:val="001F0355"/>
    <w:rsid w:val="001F35BA"/>
    <w:rsid w:val="001F4878"/>
    <w:rsid w:val="001F7286"/>
    <w:rsid w:val="00200F01"/>
    <w:rsid w:val="00202018"/>
    <w:rsid w:val="00202A56"/>
    <w:rsid w:val="00202DA5"/>
    <w:rsid w:val="0020333D"/>
    <w:rsid w:val="00204E74"/>
    <w:rsid w:val="00216022"/>
    <w:rsid w:val="00216D1B"/>
    <w:rsid w:val="00220E50"/>
    <w:rsid w:val="00221A88"/>
    <w:rsid w:val="00222D40"/>
    <w:rsid w:val="00224151"/>
    <w:rsid w:val="0022462B"/>
    <w:rsid w:val="00224964"/>
    <w:rsid w:val="00225243"/>
    <w:rsid w:val="00227618"/>
    <w:rsid w:val="00227DD1"/>
    <w:rsid w:val="00227E53"/>
    <w:rsid w:val="002329D1"/>
    <w:rsid w:val="002342CB"/>
    <w:rsid w:val="0023505F"/>
    <w:rsid w:val="0024201E"/>
    <w:rsid w:val="00242B27"/>
    <w:rsid w:val="0024392E"/>
    <w:rsid w:val="00244D69"/>
    <w:rsid w:val="00245308"/>
    <w:rsid w:val="00247D66"/>
    <w:rsid w:val="002522F9"/>
    <w:rsid w:val="00253383"/>
    <w:rsid w:val="00253542"/>
    <w:rsid w:val="0025471A"/>
    <w:rsid w:val="00260A4E"/>
    <w:rsid w:val="00261B9E"/>
    <w:rsid w:val="00262A9F"/>
    <w:rsid w:val="00263C92"/>
    <w:rsid w:val="00266CBB"/>
    <w:rsid w:val="00267111"/>
    <w:rsid w:val="002676EA"/>
    <w:rsid w:val="0027169E"/>
    <w:rsid w:val="00272648"/>
    <w:rsid w:val="002732AF"/>
    <w:rsid w:val="00273820"/>
    <w:rsid w:val="00273F76"/>
    <w:rsid w:val="00275A29"/>
    <w:rsid w:val="002805A6"/>
    <w:rsid w:val="00280F78"/>
    <w:rsid w:val="00290FB6"/>
    <w:rsid w:val="002939E9"/>
    <w:rsid w:val="00293C31"/>
    <w:rsid w:val="00294C52"/>
    <w:rsid w:val="00295225"/>
    <w:rsid w:val="00295B7E"/>
    <w:rsid w:val="002974C7"/>
    <w:rsid w:val="002A0565"/>
    <w:rsid w:val="002A0B7F"/>
    <w:rsid w:val="002A1398"/>
    <w:rsid w:val="002A21FF"/>
    <w:rsid w:val="002A377B"/>
    <w:rsid w:val="002A4F6B"/>
    <w:rsid w:val="002A6079"/>
    <w:rsid w:val="002A68F1"/>
    <w:rsid w:val="002A738B"/>
    <w:rsid w:val="002B014C"/>
    <w:rsid w:val="002B31C8"/>
    <w:rsid w:val="002B3C9B"/>
    <w:rsid w:val="002B51C3"/>
    <w:rsid w:val="002B68F0"/>
    <w:rsid w:val="002B7FED"/>
    <w:rsid w:val="002C07C4"/>
    <w:rsid w:val="002C0E4B"/>
    <w:rsid w:val="002C28C9"/>
    <w:rsid w:val="002C310F"/>
    <w:rsid w:val="002C3B13"/>
    <w:rsid w:val="002C4DAA"/>
    <w:rsid w:val="002C5A53"/>
    <w:rsid w:val="002C6309"/>
    <w:rsid w:val="002C7460"/>
    <w:rsid w:val="002C7469"/>
    <w:rsid w:val="002D127D"/>
    <w:rsid w:val="002D1887"/>
    <w:rsid w:val="002D38D8"/>
    <w:rsid w:val="002D44A7"/>
    <w:rsid w:val="002D64B8"/>
    <w:rsid w:val="002D69D3"/>
    <w:rsid w:val="002D6ADE"/>
    <w:rsid w:val="002D6B4C"/>
    <w:rsid w:val="002D6C4C"/>
    <w:rsid w:val="002E0C91"/>
    <w:rsid w:val="002E12C6"/>
    <w:rsid w:val="002E3CB9"/>
    <w:rsid w:val="002E518D"/>
    <w:rsid w:val="002F1306"/>
    <w:rsid w:val="002F1EAD"/>
    <w:rsid w:val="002F43F7"/>
    <w:rsid w:val="002F4F80"/>
    <w:rsid w:val="002F6D90"/>
    <w:rsid w:val="002F72A3"/>
    <w:rsid w:val="0030272F"/>
    <w:rsid w:val="00305CFD"/>
    <w:rsid w:val="0031183B"/>
    <w:rsid w:val="00312212"/>
    <w:rsid w:val="00312BA7"/>
    <w:rsid w:val="0031583F"/>
    <w:rsid w:val="0031613F"/>
    <w:rsid w:val="00321BEF"/>
    <w:rsid w:val="003234C8"/>
    <w:rsid w:val="00325073"/>
    <w:rsid w:val="0033077D"/>
    <w:rsid w:val="00331DDB"/>
    <w:rsid w:val="00332B6B"/>
    <w:rsid w:val="003341CC"/>
    <w:rsid w:val="00336197"/>
    <w:rsid w:val="00336E29"/>
    <w:rsid w:val="00343C45"/>
    <w:rsid w:val="00347665"/>
    <w:rsid w:val="003479C2"/>
    <w:rsid w:val="00351CAC"/>
    <w:rsid w:val="003521B1"/>
    <w:rsid w:val="003528A1"/>
    <w:rsid w:val="0035589F"/>
    <w:rsid w:val="00355C87"/>
    <w:rsid w:val="0035758E"/>
    <w:rsid w:val="00360725"/>
    <w:rsid w:val="003614B3"/>
    <w:rsid w:val="00361D8D"/>
    <w:rsid w:val="00362E77"/>
    <w:rsid w:val="00363722"/>
    <w:rsid w:val="0036390C"/>
    <w:rsid w:val="003673A3"/>
    <w:rsid w:val="0037020E"/>
    <w:rsid w:val="0037060E"/>
    <w:rsid w:val="00372117"/>
    <w:rsid w:val="00372863"/>
    <w:rsid w:val="00374A78"/>
    <w:rsid w:val="003765E2"/>
    <w:rsid w:val="003825B9"/>
    <w:rsid w:val="00386B04"/>
    <w:rsid w:val="00387178"/>
    <w:rsid w:val="00387347"/>
    <w:rsid w:val="003877C5"/>
    <w:rsid w:val="00390130"/>
    <w:rsid w:val="0039060C"/>
    <w:rsid w:val="00390E36"/>
    <w:rsid w:val="00392C7F"/>
    <w:rsid w:val="0039334D"/>
    <w:rsid w:val="00393A45"/>
    <w:rsid w:val="0039559C"/>
    <w:rsid w:val="00396DDD"/>
    <w:rsid w:val="00397B2F"/>
    <w:rsid w:val="00397CC6"/>
    <w:rsid w:val="003A3D3C"/>
    <w:rsid w:val="003A5B82"/>
    <w:rsid w:val="003A6FBC"/>
    <w:rsid w:val="003B0052"/>
    <w:rsid w:val="003B16CD"/>
    <w:rsid w:val="003B1A3F"/>
    <w:rsid w:val="003B295D"/>
    <w:rsid w:val="003B3A4E"/>
    <w:rsid w:val="003C0FBE"/>
    <w:rsid w:val="003C2C6E"/>
    <w:rsid w:val="003C332A"/>
    <w:rsid w:val="003C480C"/>
    <w:rsid w:val="003C4B34"/>
    <w:rsid w:val="003C53A2"/>
    <w:rsid w:val="003C640C"/>
    <w:rsid w:val="003C651B"/>
    <w:rsid w:val="003C6662"/>
    <w:rsid w:val="003C73A5"/>
    <w:rsid w:val="003D09D7"/>
    <w:rsid w:val="003D19A1"/>
    <w:rsid w:val="003D5143"/>
    <w:rsid w:val="003D51FF"/>
    <w:rsid w:val="003D531D"/>
    <w:rsid w:val="003D58E3"/>
    <w:rsid w:val="003D59ED"/>
    <w:rsid w:val="003D76E6"/>
    <w:rsid w:val="003D780D"/>
    <w:rsid w:val="003E0197"/>
    <w:rsid w:val="003E0553"/>
    <w:rsid w:val="003E7302"/>
    <w:rsid w:val="003F0BD3"/>
    <w:rsid w:val="003F255E"/>
    <w:rsid w:val="003F6329"/>
    <w:rsid w:val="00400E32"/>
    <w:rsid w:val="00401F02"/>
    <w:rsid w:val="004020FA"/>
    <w:rsid w:val="004029E1"/>
    <w:rsid w:val="00402CB9"/>
    <w:rsid w:val="004032A2"/>
    <w:rsid w:val="00403520"/>
    <w:rsid w:val="00406A7E"/>
    <w:rsid w:val="00412264"/>
    <w:rsid w:val="0041263E"/>
    <w:rsid w:val="004142AF"/>
    <w:rsid w:val="00415714"/>
    <w:rsid w:val="00415E50"/>
    <w:rsid w:val="004217BD"/>
    <w:rsid w:val="00422597"/>
    <w:rsid w:val="004240E6"/>
    <w:rsid w:val="00424610"/>
    <w:rsid w:val="00424F44"/>
    <w:rsid w:val="00427995"/>
    <w:rsid w:val="00430116"/>
    <w:rsid w:val="00430145"/>
    <w:rsid w:val="004305B3"/>
    <w:rsid w:val="004309AC"/>
    <w:rsid w:val="00434206"/>
    <w:rsid w:val="004360C5"/>
    <w:rsid w:val="00440D9B"/>
    <w:rsid w:val="004411A2"/>
    <w:rsid w:val="00441EBE"/>
    <w:rsid w:val="004426F9"/>
    <w:rsid w:val="0044270D"/>
    <w:rsid w:val="00442C31"/>
    <w:rsid w:val="0044428A"/>
    <w:rsid w:val="00455DBA"/>
    <w:rsid w:val="00460D96"/>
    <w:rsid w:val="004624F7"/>
    <w:rsid w:val="00463DF5"/>
    <w:rsid w:val="00467F52"/>
    <w:rsid w:val="00472780"/>
    <w:rsid w:val="00472E83"/>
    <w:rsid w:val="0047305B"/>
    <w:rsid w:val="0047558E"/>
    <w:rsid w:val="004817CB"/>
    <w:rsid w:val="0048430B"/>
    <w:rsid w:val="00485217"/>
    <w:rsid w:val="004868F9"/>
    <w:rsid w:val="00487619"/>
    <w:rsid w:val="0049250A"/>
    <w:rsid w:val="004942BA"/>
    <w:rsid w:val="00494CEC"/>
    <w:rsid w:val="004966A0"/>
    <w:rsid w:val="004A1C12"/>
    <w:rsid w:val="004A3E6A"/>
    <w:rsid w:val="004A455C"/>
    <w:rsid w:val="004A7198"/>
    <w:rsid w:val="004B0610"/>
    <w:rsid w:val="004B41C6"/>
    <w:rsid w:val="004B4B4E"/>
    <w:rsid w:val="004C0589"/>
    <w:rsid w:val="004C1747"/>
    <w:rsid w:val="004C25E0"/>
    <w:rsid w:val="004C3988"/>
    <w:rsid w:val="004C498F"/>
    <w:rsid w:val="004C4B85"/>
    <w:rsid w:val="004C51DB"/>
    <w:rsid w:val="004C7DB0"/>
    <w:rsid w:val="004D0A3A"/>
    <w:rsid w:val="004D3AD7"/>
    <w:rsid w:val="004D6395"/>
    <w:rsid w:val="004E3784"/>
    <w:rsid w:val="004E4FC8"/>
    <w:rsid w:val="004E67B4"/>
    <w:rsid w:val="004F167E"/>
    <w:rsid w:val="004F5881"/>
    <w:rsid w:val="004F708D"/>
    <w:rsid w:val="00501C0E"/>
    <w:rsid w:val="00501E7D"/>
    <w:rsid w:val="00503E07"/>
    <w:rsid w:val="005111D0"/>
    <w:rsid w:val="005113B5"/>
    <w:rsid w:val="00511588"/>
    <w:rsid w:val="00514DF8"/>
    <w:rsid w:val="005208C7"/>
    <w:rsid w:val="005212DE"/>
    <w:rsid w:val="0052398F"/>
    <w:rsid w:val="00527F79"/>
    <w:rsid w:val="005347CA"/>
    <w:rsid w:val="00534B1F"/>
    <w:rsid w:val="005409DE"/>
    <w:rsid w:val="00541141"/>
    <w:rsid w:val="00542773"/>
    <w:rsid w:val="00544A94"/>
    <w:rsid w:val="005455E9"/>
    <w:rsid w:val="00547D0E"/>
    <w:rsid w:val="005527D7"/>
    <w:rsid w:val="00553895"/>
    <w:rsid w:val="005611C5"/>
    <w:rsid w:val="00562580"/>
    <w:rsid w:val="005630EB"/>
    <w:rsid w:val="0056407E"/>
    <w:rsid w:val="00564F59"/>
    <w:rsid w:val="00565809"/>
    <w:rsid w:val="00566494"/>
    <w:rsid w:val="00566D7E"/>
    <w:rsid w:val="00567052"/>
    <w:rsid w:val="00567327"/>
    <w:rsid w:val="0057028A"/>
    <w:rsid w:val="005716AB"/>
    <w:rsid w:val="00572BD7"/>
    <w:rsid w:val="00575F1C"/>
    <w:rsid w:val="005762D4"/>
    <w:rsid w:val="00577145"/>
    <w:rsid w:val="00581938"/>
    <w:rsid w:val="0058210C"/>
    <w:rsid w:val="00582467"/>
    <w:rsid w:val="00582889"/>
    <w:rsid w:val="00583EAA"/>
    <w:rsid w:val="00585AF3"/>
    <w:rsid w:val="00585FB0"/>
    <w:rsid w:val="0058635D"/>
    <w:rsid w:val="00587759"/>
    <w:rsid w:val="00590415"/>
    <w:rsid w:val="00590B54"/>
    <w:rsid w:val="00591B11"/>
    <w:rsid w:val="00592153"/>
    <w:rsid w:val="00592561"/>
    <w:rsid w:val="00596987"/>
    <w:rsid w:val="005A146F"/>
    <w:rsid w:val="005A21C7"/>
    <w:rsid w:val="005A47FB"/>
    <w:rsid w:val="005B0403"/>
    <w:rsid w:val="005B17E0"/>
    <w:rsid w:val="005B3108"/>
    <w:rsid w:val="005C0E7B"/>
    <w:rsid w:val="005C2476"/>
    <w:rsid w:val="005C28A3"/>
    <w:rsid w:val="005C3C61"/>
    <w:rsid w:val="005C4CBE"/>
    <w:rsid w:val="005C502A"/>
    <w:rsid w:val="005C5660"/>
    <w:rsid w:val="005C6ED2"/>
    <w:rsid w:val="005C7859"/>
    <w:rsid w:val="005D02F9"/>
    <w:rsid w:val="005D2118"/>
    <w:rsid w:val="005D241A"/>
    <w:rsid w:val="005D2480"/>
    <w:rsid w:val="005D472B"/>
    <w:rsid w:val="005D528F"/>
    <w:rsid w:val="005D7230"/>
    <w:rsid w:val="005D7928"/>
    <w:rsid w:val="005E040E"/>
    <w:rsid w:val="005E2999"/>
    <w:rsid w:val="005E2D0B"/>
    <w:rsid w:val="005E34EB"/>
    <w:rsid w:val="005E3F7F"/>
    <w:rsid w:val="005E525E"/>
    <w:rsid w:val="005E6215"/>
    <w:rsid w:val="005F19B9"/>
    <w:rsid w:val="005F5EB7"/>
    <w:rsid w:val="005F631C"/>
    <w:rsid w:val="006005D9"/>
    <w:rsid w:val="00601812"/>
    <w:rsid w:val="0060493D"/>
    <w:rsid w:val="00604B67"/>
    <w:rsid w:val="00607C02"/>
    <w:rsid w:val="00610C4A"/>
    <w:rsid w:val="00611AB2"/>
    <w:rsid w:val="00612AD0"/>
    <w:rsid w:val="00613EED"/>
    <w:rsid w:val="00617126"/>
    <w:rsid w:val="00620519"/>
    <w:rsid w:val="006247CA"/>
    <w:rsid w:val="00625F8E"/>
    <w:rsid w:val="00627E60"/>
    <w:rsid w:val="006307DA"/>
    <w:rsid w:val="00631D16"/>
    <w:rsid w:val="0063225B"/>
    <w:rsid w:val="0063260C"/>
    <w:rsid w:val="00632C64"/>
    <w:rsid w:val="00633F25"/>
    <w:rsid w:val="006342F3"/>
    <w:rsid w:val="00634DEB"/>
    <w:rsid w:val="00641592"/>
    <w:rsid w:val="006426D3"/>
    <w:rsid w:val="00642F2F"/>
    <w:rsid w:val="00646A1D"/>
    <w:rsid w:val="006573D1"/>
    <w:rsid w:val="00660A97"/>
    <w:rsid w:val="006659C4"/>
    <w:rsid w:val="00665EB2"/>
    <w:rsid w:val="00666114"/>
    <w:rsid w:val="00667471"/>
    <w:rsid w:val="00677C26"/>
    <w:rsid w:val="00681877"/>
    <w:rsid w:val="006823DC"/>
    <w:rsid w:val="00685BDE"/>
    <w:rsid w:val="006861A9"/>
    <w:rsid w:val="00687BFA"/>
    <w:rsid w:val="006A1D07"/>
    <w:rsid w:val="006A35D1"/>
    <w:rsid w:val="006A4098"/>
    <w:rsid w:val="006A4409"/>
    <w:rsid w:val="006A45F2"/>
    <w:rsid w:val="006A54C6"/>
    <w:rsid w:val="006A5B36"/>
    <w:rsid w:val="006A5D5D"/>
    <w:rsid w:val="006A63F1"/>
    <w:rsid w:val="006A7691"/>
    <w:rsid w:val="006A7835"/>
    <w:rsid w:val="006B2092"/>
    <w:rsid w:val="006B2799"/>
    <w:rsid w:val="006B4A01"/>
    <w:rsid w:val="006B74CA"/>
    <w:rsid w:val="006C1339"/>
    <w:rsid w:val="006C142F"/>
    <w:rsid w:val="006C4668"/>
    <w:rsid w:val="006C46C0"/>
    <w:rsid w:val="006C5B04"/>
    <w:rsid w:val="006C6BA6"/>
    <w:rsid w:val="006C769D"/>
    <w:rsid w:val="006D03DC"/>
    <w:rsid w:val="006D476E"/>
    <w:rsid w:val="006D53D6"/>
    <w:rsid w:val="006D5768"/>
    <w:rsid w:val="006D6124"/>
    <w:rsid w:val="006D662F"/>
    <w:rsid w:val="006D7DAB"/>
    <w:rsid w:val="006E0B12"/>
    <w:rsid w:val="006E16E8"/>
    <w:rsid w:val="006E328C"/>
    <w:rsid w:val="006E6A74"/>
    <w:rsid w:val="006E6DC7"/>
    <w:rsid w:val="006F09BF"/>
    <w:rsid w:val="006F169E"/>
    <w:rsid w:val="006F2667"/>
    <w:rsid w:val="006F4CE2"/>
    <w:rsid w:val="006F749F"/>
    <w:rsid w:val="00705258"/>
    <w:rsid w:val="00705A42"/>
    <w:rsid w:val="0070645C"/>
    <w:rsid w:val="00712141"/>
    <w:rsid w:val="00713EE6"/>
    <w:rsid w:val="00715DFD"/>
    <w:rsid w:val="007166B8"/>
    <w:rsid w:val="007201A8"/>
    <w:rsid w:val="007210BC"/>
    <w:rsid w:val="00721F3C"/>
    <w:rsid w:val="007220AD"/>
    <w:rsid w:val="007233BA"/>
    <w:rsid w:val="00725718"/>
    <w:rsid w:val="00726BCC"/>
    <w:rsid w:val="007300AB"/>
    <w:rsid w:val="00734BFF"/>
    <w:rsid w:val="007365EA"/>
    <w:rsid w:val="00737590"/>
    <w:rsid w:val="00744274"/>
    <w:rsid w:val="007447E1"/>
    <w:rsid w:val="0074619D"/>
    <w:rsid w:val="007464B2"/>
    <w:rsid w:val="00747887"/>
    <w:rsid w:val="007531A8"/>
    <w:rsid w:val="007571AD"/>
    <w:rsid w:val="00757E3C"/>
    <w:rsid w:val="00761289"/>
    <w:rsid w:val="007616DB"/>
    <w:rsid w:val="00762955"/>
    <w:rsid w:val="00763FF8"/>
    <w:rsid w:val="00764A34"/>
    <w:rsid w:val="00764B85"/>
    <w:rsid w:val="00764EA2"/>
    <w:rsid w:val="007678D2"/>
    <w:rsid w:val="00767A2E"/>
    <w:rsid w:val="007713D1"/>
    <w:rsid w:val="007737E4"/>
    <w:rsid w:val="00774107"/>
    <w:rsid w:val="007753EA"/>
    <w:rsid w:val="00777FA0"/>
    <w:rsid w:val="00781487"/>
    <w:rsid w:val="00783FCA"/>
    <w:rsid w:val="00785CB5"/>
    <w:rsid w:val="00786A4E"/>
    <w:rsid w:val="00786D1E"/>
    <w:rsid w:val="0078770F"/>
    <w:rsid w:val="0079392A"/>
    <w:rsid w:val="00794730"/>
    <w:rsid w:val="00797ED8"/>
    <w:rsid w:val="007A1A4F"/>
    <w:rsid w:val="007A2CE7"/>
    <w:rsid w:val="007A4B66"/>
    <w:rsid w:val="007A5C7A"/>
    <w:rsid w:val="007A6253"/>
    <w:rsid w:val="007B0AE1"/>
    <w:rsid w:val="007B0D8A"/>
    <w:rsid w:val="007B0EA3"/>
    <w:rsid w:val="007B270F"/>
    <w:rsid w:val="007B2AB5"/>
    <w:rsid w:val="007B2F54"/>
    <w:rsid w:val="007C07E0"/>
    <w:rsid w:val="007C1234"/>
    <w:rsid w:val="007C3B73"/>
    <w:rsid w:val="007C4204"/>
    <w:rsid w:val="007C55EC"/>
    <w:rsid w:val="007D2F68"/>
    <w:rsid w:val="007D3089"/>
    <w:rsid w:val="007D3CE3"/>
    <w:rsid w:val="007E27AB"/>
    <w:rsid w:val="007E2D8B"/>
    <w:rsid w:val="007E2E09"/>
    <w:rsid w:val="007E361A"/>
    <w:rsid w:val="007E4905"/>
    <w:rsid w:val="007E6705"/>
    <w:rsid w:val="007E71AF"/>
    <w:rsid w:val="007F19F1"/>
    <w:rsid w:val="007F1C6D"/>
    <w:rsid w:val="007F2E0B"/>
    <w:rsid w:val="007F6DAE"/>
    <w:rsid w:val="007F7A95"/>
    <w:rsid w:val="00800989"/>
    <w:rsid w:val="00800EE3"/>
    <w:rsid w:val="008011A2"/>
    <w:rsid w:val="008014E9"/>
    <w:rsid w:val="008016DB"/>
    <w:rsid w:val="0080505F"/>
    <w:rsid w:val="00806D30"/>
    <w:rsid w:val="008071EA"/>
    <w:rsid w:val="00807B54"/>
    <w:rsid w:val="00814311"/>
    <w:rsid w:val="00814587"/>
    <w:rsid w:val="00817762"/>
    <w:rsid w:val="00820B83"/>
    <w:rsid w:val="008233E5"/>
    <w:rsid w:val="008247F9"/>
    <w:rsid w:val="00825686"/>
    <w:rsid w:val="00826F0E"/>
    <w:rsid w:val="0082714F"/>
    <w:rsid w:val="00830C41"/>
    <w:rsid w:val="00834C42"/>
    <w:rsid w:val="008400CE"/>
    <w:rsid w:val="008406BB"/>
    <w:rsid w:val="0084406E"/>
    <w:rsid w:val="008455F9"/>
    <w:rsid w:val="0084578E"/>
    <w:rsid w:val="00847083"/>
    <w:rsid w:val="00847547"/>
    <w:rsid w:val="00851B14"/>
    <w:rsid w:val="008539FA"/>
    <w:rsid w:val="0085491B"/>
    <w:rsid w:val="00855649"/>
    <w:rsid w:val="0085590D"/>
    <w:rsid w:val="00855AC4"/>
    <w:rsid w:val="008566AF"/>
    <w:rsid w:val="00856981"/>
    <w:rsid w:val="0086078D"/>
    <w:rsid w:val="00861292"/>
    <w:rsid w:val="00861AE4"/>
    <w:rsid w:val="00864464"/>
    <w:rsid w:val="00864DD7"/>
    <w:rsid w:val="00865DE4"/>
    <w:rsid w:val="00866A81"/>
    <w:rsid w:val="0087166F"/>
    <w:rsid w:val="0087753A"/>
    <w:rsid w:val="0088134C"/>
    <w:rsid w:val="00881C9E"/>
    <w:rsid w:val="008827B2"/>
    <w:rsid w:val="00884B70"/>
    <w:rsid w:val="008856B5"/>
    <w:rsid w:val="00887B72"/>
    <w:rsid w:val="0089106B"/>
    <w:rsid w:val="00892179"/>
    <w:rsid w:val="00892A64"/>
    <w:rsid w:val="00893A10"/>
    <w:rsid w:val="00896BB5"/>
    <w:rsid w:val="00897BD8"/>
    <w:rsid w:val="008A69EE"/>
    <w:rsid w:val="008B0039"/>
    <w:rsid w:val="008B15CF"/>
    <w:rsid w:val="008B18EC"/>
    <w:rsid w:val="008B2128"/>
    <w:rsid w:val="008B3003"/>
    <w:rsid w:val="008B3028"/>
    <w:rsid w:val="008B593B"/>
    <w:rsid w:val="008C0108"/>
    <w:rsid w:val="008C082A"/>
    <w:rsid w:val="008C17AB"/>
    <w:rsid w:val="008D18F0"/>
    <w:rsid w:val="008D2AA4"/>
    <w:rsid w:val="008D62FB"/>
    <w:rsid w:val="008E3E9D"/>
    <w:rsid w:val="008E5A5A"/>
    <w:rsid w:val="008E5E7C"/>
    <w:rsid w:val="008E616C"/>
    <w:rsid w:val="008E71A2"/>
    <w:rsid w:val="008E760C"/>
    <w:rsid w:val="008F0179"/>
    <w:rsid w:val="008F179E"/>
    <w:rsid w:val="008F6682"/>
    <w:rsid w:val="008F75F3"/>
    <w:rsid w:val="00900E12"/>
    <w:rsid w:val="00902E8B"/>
    <w:rsid w:val="00903CA0"/>
    <w:rsid w:val="0090491F"/>
    <w:rsid w:val="00905BFD"/>
    <w:rsid w:val="00910B03"/>
    <w:rsid w:val="009122B6"/>
    <w:rsid w:val="00912A0E"/>
    <w:rsid w:val="00912C61"/>
    <w:rsid w:val="00913D52"/>
    <w:rsid w:val="00914242"/>
    <w:rsid w:val="009168D2"/>
    <w:rsid w:val="00916E2D"/>
    <w:rsid w:val="00917B0F"/>
    <w:rsid w:val="00920091"/>
    <w:rsid w:val="00920302"/>
    <w:rsid w:val="00922FA5"/>
    <w:rsid w:val="00927984"/>
    <w:rsid w:val="00932570"/>
    <w:rsid w:val="0093285C"/>
    <w:rsid w:val="00933F2E"/>
    <w:rsid w:val="00934EFE"/>
    <w:rsid w:val="009370FE"/>
    <w:rsid w:val="00937B69"/>
    <w:rsid w:val="00945250"/>
    <w:rsid w:val="00945569"/>
    <w:rsid w:val="00946337"/>
    <w:rsid w:val="00946FE5"/>
    <w:rsid w:val="00950FD2"/>
    <w:rsid w:val="00951CD8"/>
    <w:rsid w:val="00951D9A"/>
    <w:rsid w:val="00957E52"/>
    <w:rsid w:val="00962376"/>
    <w:rsid w:val="00963FB0"/>
    <w:rsid w:val="009645F8"/>
    <w:rsid w:val="00964713"/>
    <w:rsid w:val="009657B8"/>
    <w:rsid w:val="0096752C"/>
    <w:rsid w:val="009701EF"/>
    <w:rsid w:val="00971A72"/>
    <w:rsid w:val="009721B2"/>
    <w:rsid w:val="00972664"/>
    <w:rsid w:val="0097314D"/>
    <w:rsid w:val="009740D3"/>
    <w:rsid w:val="0097748C"/>
    <w:rsid w:val="00986C30"/>
    <w:rsid w:val="00990753"/>
    <w:rsid w:val="00990986"/>
    <w:rsid w:val="00990D85"/>
    <w:rsid w:val="009910C4"/>
    <w:rsid w:val="00992235"/>
    <w:rsid w:val="009A5567"/>
    <w:rsid w:val="009A5719"/>
    <w:rsid w:val="009A6EAE"/>
    <w:rsid w:val="009B4A6E"/>
    <w:rsid w:val="009B6C55"/>
    <w:rsid w:val="009B7A4C"/>
    <w:rsid w:val="009C2792"/>
    <w:rsid w:val="009C2FC3"/>
    <w:rsid w:val="009C396F"/>
    <w:rsid w:val="009C5672"/>
    <w:rsid w:val="009C6FB2"/>
    <w:rsid w:val="009D0023"/>
    <w:rsid w:val="009D0C89"/>
    <w:rsid w:val="009D0C9E"/>
    <w:rsid w:val="009D23AC"/>
    <w:rsid w:val="009D305A"/>
    <w:rsid w:val="009D56CD"/>
    <w:rsid w:val="009D62E9"/>
    <w:rsid w:val="009E13F9"/>
    <w:rsid w:val="009E3476"/>
    <w:rsid w:val="009E357F"/>
    <w:rsid w:val="00A02E65"/>
    <w:rsid w:val="00A02F08"/>
    <w:rsid w:val="00A031B6"/>
    <w:rsid w:val="00A0365F"/>
    <w:rsid w:val="00A036C9"/>
    <w:rsid w:val="00A0388D"/>
    <w:rsid w:val="00A05D70"/>
    <w:rsid w:val="00A06087"/>
    <w:rsid w:val="00A07B4B"/>
    <w:rsid w:val="00A13855"/>
    <w:rsid w:val="00A14109"/>
    <w:rsid w:val="00A16FF9"/>
    <w:rsid w:val="00A2074C"/>
    <w:rsid w:val="00A209D5"/>
    <w:rsid w:val="00A2285F"/>
    <w:rsid w:val="00A23958"/>
    <w:rsid w:val="00A23CEF"/>
    <w:rsid w:val="00A328B5"/>
    <w:rsid w:val="00A33734"/>
    <w:rsid w:val="00A348BE"/>
    <w:rsid w:val="00A35889"/>
    <w:rsid w:val="00A35893"/>
    <w:rsid w:val="00A36404"/>
    <w:rsid w:val="00A372E1"/>
    <w:rsid w:val="00A378BF"/>
    <w:rsid w:val="00A41BD5"/>
    <w:rsid w:val="00A43DEE"/>
    <w:rsid w:val="00A442CC"/>
    <w:rsid w:val="00A44AF6"/>
    <w:rsid w:val="00A52D2E"/>
    <w:rsid w:val="00A53AFA"/>
    <w:rsid w:val="00A55561"/>
    <w:rsid w:val="00A570C2"/>
    <w:rsid w:val="00A6073D"/>
    <w:rsid w:val="00A60B23"/>
    <w:rsid w:val="00A611F7"/>
    <w:rsid w:val="00A618E0"/>
    <w:rsid w:val="00A618FA"/>
    <w:rsid w:val="00A66DAD"/>
    <w:rsid w:val="00A678EE"/>
    <w:rsid w:val="00A712FF"/>
    <w:rsid w:val="00A715FF"/>
    <w:rsid w:val="00A716F5"/>
    <w:rsid w:val="00A72DAE"/>
    <w:rsid w:val="00A72DC3"/>
    <w:rsid w:val="00A7327F"/>
    <w:rsid w:val="00A73537"/>
    <w:rsid w:val="00A74D00"/>
    <w:rsid w:val="00A75FFA"/>
    <w:rsid w:val="00A8130E"/>
    <w:rsid w:val="00A82399"/>
    <w:rsid w:val="00A82683"/>
    <w:rsid w:val="00A85CA3"/>
    <w:rsid w:val="00A86077"/>
    <w:rsid w:val="00A87564"/>
    <w:rsid w:val="00A90077"/>
    <w:rsid w:val="00A91046"/>
    <w:rsid w:val="00A92663"/>
    <w:rsid w:val="00A926C7"/>
    <w:rsid w:val="00A93522"/>
    <w:rsid w:val="00A93ADA"/>
    <w:rsid w:val="00A93F71"/>
    <w:rsid w:val="00A94078"/>
    <w:rsid w:val="00A9441E"/>
    <w:rsid w:val="00A9685C"/>
    <w:rsid w:val="00A96EA9"/>
    <w:rsid w:val="00AA0339"/>
    <w:rsid w:val="00AA04C2"/>
    <w:rsid w:val="00AA0F56"/>
    <w:rsid w:val="00AA3EED"/>
    <w:rsid w:val="00AA4469"/>
    <w:rsid w:val="00AA54EB"/>
    <w:rsid w:val="00AA6641"/>
    <w:rsid w:val="00AA7AA0"/>
    <w:rsid w:val="00AB124D"/>
    <w:rsid w:val="00AB1544"/>
    <w:rsid w:val="00AB216B"/>
    <w:rsid w:val="00AB302E"/>
    <w:rsid w:val="00AB30D6"/>
    <w:rsid w:val="00AB3413"/>
    <w:rsid w:val="00AC151B"/>
    <w:rsid w:val="00AC4CF2"/>
    <w:rsid w:val="00AC608F"/>
    <w:rsid w:val="00AC74A9"/>
    <w:rsid w:val="00AC78E5"/>
    <w:rsid w:val="00AD0F2E"/>
    <w:rsid w:val="00AD24BB"/>
    <w:rsid w:val="00AD547A"/>
    <w:rsid w:val="00AD59D5"/>
    <w:rsid w:val="00AD5E5F"/>
    <w:rsid w:val="00AD66D7"/>
    <w:rsid w:val="00AE2E2F"/>
    <w:rsid w:val="00AE4F89"/>
    <w:rsid w:val="00AE6D69"/>
    <w:rsid w:val="00AF1427"/>
    <w:rsid w:val="00AF1E53"/>
    <w:rsid w:val="00AF255F"/>
    <w:rsid w:val="00AF4F10"/>
    <w:rsid w:val="00AF59BF"/>
    <w:rsid w:val="00AF63CF"/>
    <w:rsid w:val="00B039AB"/>
    <w:rsid w:val="00B07151"/>
    <w:rsid w:val="00B1007F"/>
    <w:rsid w:val="00B13240"/>
    <w:rsid w:val="00B13D31"/>
    <w:rsid w:val="00B15031"/>
    <w:rsid w:val="00B1620A"/>
    <w:rsid w:val="00B17865"/>
    <w:rsid w:val="00B17C6E"/>
    <w:rsid w:val="00B206CB"/>
    <w:rsid w:val="00B2196F"/>
    <w:rsid w:val="00B21BCA"/>
    <w:rsid w:val="00B23597"/>
    <w:rsid w:val="00B24F79"/>
    <w:rsid w:val="00B25D70"/>
    <w:rsid w:val="00B27F4A"/>
    <w:rsid w:val="00B3253B"/>
    <w:rsid w:val="00B32DD6"/>
    <w:rsid w:val="00B338A8"/>
    <w:rsid w:val="00B347B8"/>
    <w:rsid w:val="00B40514"/>
    <w:rsid w:val="00B418B0"/>
    <w:rsid w:val="00B42B1C"/>
    <w:rsid w:val="00B52CC3"/>
    <w:rsid w:val="00B5412B"/>
    <w:rsid w:val="00B54516"/>
    <w:rsid w:val="00B55354"/>
    <w:rsid w:val="00B567F3"/>
    <w:rsid w:val="00B57A14"/>
    <w:rsid w:val="00B6100A"/>
    <w:rsid w:val="00B61DF1"/>
    <w:rsid w:val="00B63806"/>
    <w:rsid w:val="00B65EAD"/>
    <w:rsid w:val="00B67259"/>
    <w:rsid w:val="00B80DFD"/>
    <w:rsid w:val="00B822EC"/>
    <w:rsid w:val="00B83C7C"/>
    <w:rsid w:val="00B8504D"/>
    <w:rsid w:val="00B85C34"/>
    <w:rsid w:val="00B86BC0"/>
    <w:rsid w:val="00B92882"/>
    <w:rsid w:val="00B93509"/>
    <w:rsid w:val="00B94037"/>
    <w:rsid w:val="00B940FE"/>
    <w:rsid w:val="00B94DC2"/>
    <w:rsid w:val="00B969D6"/>
    <w:rsid w:val="00BA256C"/>
    <w:rsid w:val="00BA6EDA"/>
    <w:rsid w:val="00BA703D"/>
    <w:rsid w:val="00BA7057"/>
    <w:rsid w:val="00BB0487"/>
    <w:rsid w:val="00BB11A0"/>
    <w:rsid w:val="00BB273C"/>
    <w:rsid w:val="00BB4C5D"/>
    <w:rsid w:val="00BB6041"/>
    <w:rsid w:val="00BB7AF6"/>
    <w:rsid w:val="00BB7E54"/>
    <w:rsid w:val="00BC21AC"/>
    <w:rsid w:val="00BC3C28"/>
    <w:rsid w:val="00BC5A27"/>
    <w:rsid w:val="00BC7E4D"/>
    <w:rsid w:val="00BD045E"/>
    <w:rsid w:val="00BD0AC7"/>
    <w:rsid w:val="00BD0ECB"/>
    <w:rsid w:val="00BD1572"/>
    <w:rsid w:val="00BD23CD"/>
    <w:rsid w:val="00BD24AA"/>
    <w:rsid w:val="00BD3BD4"/>
    <w:rsid w:val="00BD60C6"/>
    <w:rsid w:val="00BE1BAC"/>
    <w:rsid w:val="00BE1EAA"/>
    <w:rsid w:val="00BE291E"/>
    <w:rsid w:val="00BE2D85"/>
    <w:rsid w:val="00BE4437"/>
    <w:rsid w:val="00BE5CB1"/>
    <w:rsid w:val="00BE7ED2"/>
    <w:rsid w:val="00BF0207"/>
    <w:rsid w:val="00BF0409"/>
    <w:rsid w:val="00BF178A"/>
    <w:rsid w:val="00BF1847"/>
    <w:rsid w:val="00BF1C60"/>
    <w:rsid w:val="00BF1F45"/>
    <w:rsid w:val="00BF5812"/>
    <w:rsid w:val="00BF61D9"/>
    <w:rsid w:val="00C00244"/>
    <w:rsid w:val="00C0050F"/>
    <w:rsid w:val="00C03EC3"/>
    <w:rsid w:val="00C04292"/>
    <w:rsid w:val="00C048D6"/>
    <w:rsid w:val="00C04E14"/>
    <w:rsid w:val="00C05F0D"/>
    <w:rsid w:val="00C06768"/>
    <w:rsid w:val="00C079AF"/>
    <w:rsid w:val="00C11350"/>
    <w:rsid w:val="00C12D6C"/>
    <w:rsid w:val="00C1347A"/>
    <w:rsid w:val="00C14081"/>
    <w:rsid w:val="00C144B9"/>
    <w:rsid w:val="00C21301"/>
    <w:rsid w:val="00C2705B"/>
    <w:rsid w:val="00C31040"/>
    <w:rsid w:val="00C31A60"/>
    <w:rsid w:val="00C3240A"/>
    <w:rsid w:val="00C3274B"/>
    <w:rsid w:val="00C340FE"/>
    <w:rsid w:val="00C44E0E"/>
    <w:rsid w:val="00C4796B"/>
    <w:rsid w:val="00C47DAD"/>
    <w:rsid w:val="00C47F16"/>
    <w:rsid w:val="00C517CA"/>
    <w:rsid w:val="00C536CC"/>
    <w:rsid w:val="00C55B95"/>
    <w:rsid w:val="00C6075D"/>
    <w:rsid w:val="00C60DAB"/>
    <w:rsid w:val="00C6177E"/>
    <w:rsid w:val="00C635EE"/>
    <w:rsid w:val="00C6459B"/>
    <w:rsid w:val="00C650AC"/>
    <w:rsid w:val="00C660BB"/>
    <w:rsid w:val="00C661EC"/>
    <w:rsid w:val="00C671F0"/>
    <w:rsid w:val="00C70682"/>
    <w:rsid w:val="00C70CB3"/>
    <w:rsid w:val="00C7105A"/>
    <w:rsid w:val="00C740DF"/>
    <w:rsid w:val="00C74DEA"/>
    <w:rsid w:val="00C80362"/>
    <w:rsid w:val="00C8195C"/>
    <w:rsid w:val="00C822C7"/>
    <w:rsid w:val="00C8254E"/>
    <w:rsid w:val="00C9011F"/>
    <w:rsid w:val="00C90B93"/>
    <w:rsid w:val="00C9392C"/>
    <w:rsid w:val="00CA0780"/>
    <w:rsid w:val="00CA4073"/>
    <w:rsid w:val="00CA4D2C"/>
    <w:rsid w:val="00CA6300"/>
    <w:rsid w:val="00CA7F12"/>
    <w:rsid w:val="00CB14A6"/>
    <w:rsid w:val="00CB3622"/>
    <w:rsid w:val="00CB3ED9"/>
    <w:rsid w:val="00CB3F2A"/>
    <w:rsid w:val="00CB5865"/>
    <w:rsid w:val="00CB61C1"/>
    <w:rsid w:val="00CD1D6E"/>
    <w:rsid w:val="00CD5B15"/>
    <w:rsid w:val="00CD66B3"/>
    <w:rsid w:val="00CE082E"/>
    <w:rsid w:val="00CE0FE4"/>
    <w:rsid w:val="00CE2BDE"/>
    <w:rsid w:val="00CE332F"/>
    <w:rsid w:val="00CE3610"/>
    <w:rsid w:val="00CE513E"/>
    <w:rsid w:val="00CE709C"/>
    <w:rsid w:val="00CE7D87"/>
    <w:rsid w:val="00CF0330"/>
    <w:rsid w:val="00CF0BF7"/>
    <w:rsid w:val="00CF1C0C"/>
    <w:rsid w:val="00CF28FF"/>
    <w:rsid w:val="00CF2A88"/>
    <w:rsid w:val="00CF4359"/>
    <w:rsid w:val="00CF4AA0"/>
    <w:rsid w:val="00CF5B31"/>
    <w:rsid w:val="00CF5CFD"/>
    <w:rsid w:val="00D00CE1"/>
    <w:rsid w:val="00D01463"/>
    <w:rsid w:val="00D01845"/>
    <w:rsid w:val="00D03304"/>
    <w:rsid w:val="00D13F70"/>
    <w:rsid w:val="00D15D7B"/>
    <w:rsid w:val="00D23000"/>
    <w:rsid w:val="00D33149"/>
    <w:rsid w:val="00D34E9A"/>
    <w:rsid w:val="00D3763F"/>
    <w:rsid w:val="00D47D02"/>
    <w:rsid w:val="00D5021C"/>
    <w:rsid w:val="00D57603"/>
    <w:rsid w:val="00D602F2"/>
    <w:rsid w:val="00D606FC"/>
    <w:rsid w:val="00D62890"/>
    <w:rsid w:val="00D62C34"/>
    <w:rsid w:val="00D62F09"/>
    <w:rsid w:val="00D6482C"/>
    <w:rsid w:val="00D64909"/>
    <w:rsid w:val="00D656EB"/>
    <w:rsid w:val="00D671CF"/>
    <w:rsid w:val="00D67251"/>
    <w:rsid w:val="00D679E6"/>
    <w:rsid w:val="00D67F62"/>
    <w:rsid w:val="00D713A8"/>
    <w:rsid w:val="00D728E2"/>
    <w:rsid w:val="00D72E10"/>
    <w:rsid w:val="00D7554A"/>
    <w:rsid w:val="00D75FDC"/>
    <w:rsid w:val="00D83433"/>
    <w:rsid w:val="00D85C91"/>
    <w:rsid w:val="00D86544"/>
    <w:rsid w:val="00D8674A"/>
    <w:rsid w:val="00D90479"/>
    <w:rsid w:val="00D91CF0"/>
    <w:rsid w:val="00D9310F"/>
    <w:rsid w:val="00D94549"/>
    <w:rsid w:val="00D94BBA"/>
    <w:rsid w:val="00D952D9"/>
    <w:rsid w:val="00D96739"/>
    <w:rsid w:val="00DA14D0"/>
    <w:rsid w:val="00DA1FF7"/>
    <w:rsid w:val="00DA24B3"/>
    <w:rsid w:val="00DA364E"/>
    <w:rsid w:val="00DA407F"/>
    <w:rsid w:val="00DA419B"/>
    <w:rsid w:val="00DA4EC8"/>
    <w:rsid w:val="00DA71D4"/>
    <w:rsid w:val="00DA7B53"/>
    <w:rsid w:val="00DB05B9"/>
    <w:rsid w:val="00DB0815"/>
    <w:rsid w:val="00DB1029"/>
    <w:rsid w:val="00DB13F2"/>
    <w:rsid w:val="00DB19F8"/>
    <w:rsid w:val="00DB2258"/>
    <w:rsid w:val="00DB26F8"/>
    <w:rsid w:val="00DB2EF5"/>
    <w:rsid w:val="00DB3D60"/>
    <w:rsid w:val="00DB5513"/>
    <w:rsid w:val="00DB5D31"/>
    <w:rsid w:val="00DB63B1"/>
    <w:rsid w:val="00DC2980"/>
    <w:rsid w:val="00DC3E8C"/>
    <w:rsid w:val="00DC6F76"/>
    <w:rsid w:val="00DC7448"/>
    <w:rsid w:val="00DD015C"/>
    <w:rsid w:val="00DD0E08"/>
    <w:rsid w:val="00DD4C27"/>
    <w:rsid w:val="00DD5AAE"/>
    <w:rsid w:val="00DD79B4"/>
    <w:rsid w:val="00DD7A21"/>
    <w:rsid w:val="00DE21BD"/>
    <w:rsid w:val="00DE4679"/>
    <w:rsid w:val="00DF17AF"/>
    <w:rsid w:val="00DF1B28"/>
    <w:rsid w:val="00DF4429"/>
    <w:rsid w:val="00DF4FE2"/>
    <w:rsid w:val="00E00350"/>
    <w:rsid w:val="00E00DC9"/>
    <w:rsid w:val="00E01454"/>
    <w:rsid w:val="00E01875"/>
    <w:rsid w:val="00E01B5A"/>
    <w:rsid w:val="00E03BBF"/>
    <w:rsid w:val="00E03F41"/>
    <w:rsid w:val="00E05E80"/>
    <w:rsid w:val="00E07881"/>
    <w:rsid w:val="00E07BA9"/>
    <w:rsid w:val="00E106AE"/>
    <w:rsid w:val="00E10B83"/>
    <w:rsid w:val="00E11D79"/>
    <w:rsid w:val="00E11EF3"/>
    <w:rsid w:val="00E134E3"/>
    <w:rsid w:val="00E1372E"/>
    <w:rsid w:val="00E13A74"/>
    <w:rsid w:val="00E14313"/>
    <w:rsid w:val="00E144F1"/>
    <w:rsid w:val="00E14D1C"/>
    <w:rsid w:val="00E21615"/>
    <w:rsid w:val="00E21AF5"/>
    <w:rsid w:val="00E21FD7"/>
    <w:rsid w:val="00E22B67"/>
    <w:rsid w:val="00E2777F"/>
    <w:rsid w:val="00E35247"/>
    <w:rsid w:val="00E35D0E"/>
    <w:rsid w:val="00E36509"/>
    <w:rsid w:val="00E36832"/>
    <w:rsid w:val="00E36F96"/>
    <w:rsid w:val="00E401AB"/>
    <w:rsid w:val="00E41D9C"/>
    <w:rsid w:val="00E41DAF"/>
    <w:rsid w:val="00E52A6A"/>
    <w:rsid w:val="00E52F2A"/>
    <w:rsid w:val="00E55FCA"/>
    <w:rsid w:val="00E612AD"/>
    <w:rsid w:val="00E64AB0"/>
    <w:rsid w:val="00E64E2A"/>
    <w:rsid w:val="00E65705"/>
    <w:rsid w:val="00E70CB7"/>
    <w:rsid w:val="00E725A0"/>
    <w:rsid w:val="00E73733"/>
    <w:rsid w:val="00E74AA1"/>
    <w:rsid w:val="00E75BF5"/>
    <w:rsid w:val="00E75CE0"/>
    <w:rsid w:val="00E7603D"/>
    <w:rsid w:val="00E80131"/>
    <w:rsid w:val="00E80396"/>
    <w:rsid w:val="00E80C09"/>
    <w:rsid w:val="00E819FF"/>
    <w:rsid w:val="00E82894"/>
    <w:rsid w:val="00E8359B"/>
    <w:rsid w:val="00E8446D"/>
    <w:rsid w:val="00E861AE"/>
    <w:rsid w:val="00E8635E"/>
    <w:rsid w:val="00E87820"/>
    <w:rsid w:val="00E902A5"/>
    <w:rsid w:val="00E910AD"/>
    <w:rsid w:val="00E94B06"/>
    <w:rsid w:val="00E9599F"/>
    <w:rsid w:val="00E95FFA"/>
    <w:rsid w:val="00E974F7"/>
    <w:rsid w:val="00E97A62"/>
    <w:rsid w:val="00EA01AA"/>
    <w:rsid w:val="00EA0626"/>
    <w:rsid w:val="00EA0A36"/>
    <w:rsid w:val="00EA1249"/>
    <w:rsid w:val="00EA2099"/>
    <w:rsid w:val="00EA3CDD"/>
    <w:rsid w:val="00EA4BE8"/>
    <w:rsid w:val="00EA6EE7"/>
    <w:rsid w:val="00EA7E06"/>
    <w:rsid w:val="00EA7E14"/>
    <w:rsid w:val="00EB032F"/>
    <w:rsid w:val="00EB07D3"/>
    <w:rsid w:val="00EB19B2"/>
    <w:rsid w:val="00EB5CF0"/>
    <w:rsid w:val="00EC66C9"/>
    <w:rsid w:val="00EC70DC"/>
    <w:rsid w:val="00EC70E7"/>
    <w:rsid w:val="00EC7D9A"/>
    <w:rsid w:val="00ED1BA8"/>
    <w:rsid w:val="00ED51FA"/>
    <w:rsid w:val="00EE020E"/>
    <w:rsid w:val="00EE1B73"/>
    <w:rsid w:val="00EE2225"/>
    <w:rsid w:val="00EE653C"/>
    <w:rsid w:val="00EE6808"/>
    <w:rsid w:val="00EE7D72"/>
    <w:rsid w:val="00EF41BA"/>
    <w:rsid w:val="00EF4B68"/>
    <w:rsid w:val="00EF5F06"/>
    <w:rsid w:val="00EF628F"/>
    <w:rsid w:val="00F06878"/>
    <w:rsid w:val="00F15442"/>
    <w:rsid w:val="00F15F35"/>
    <w:rsid w:val="00F2112F"/>
    <w:rsid w:val="00F24416"/>
    <w:rsid w:val="00F26635"/>
    <w:rsid w:val="00F26A30"/>
    <w:rsid w:val="00F271A2"/>
    <w:rsid w:val="00F2769F"/>
    <w:rsid w:val="00F303BB"/>
    <w:rsid w:val="00F31B05"/>
    <w:rsid w:val="00F34869"/>
    <w:rsid w:val="00F35F82"/>
    <w:rsid w:val="00F36371"/>
    <w:rsid w:val="00F37D1D"/>
    <w:rsid w:val="00F40661"/>
    <w:rsid w:val="00F43750"/>
    <w:rsid w:val="00F444F3"/>
    <w:rsid w:val="00F46EF2"/>
    <w:rsid w:val="00F47700"/>
    <w:rsid w:val="00F47DFA"/>
    <w:rsid w:val="00F5153E"/>
    <w:rsid w:val="00F538AF"/>
    <w:rsid w:val="00F546DD"/>
    <w:rsid w:val="00F5493C"/>
    <w:rsid w:val="00F555A8"/>
    <w:rsid w:val="00F60046"/>
    <w:rsid w:val="00F60278"/>
    <w:rsid w:val="00F62B94"/>
    <w:rsid w:val="00F65C4F"/>
    <w:rsid w:val="00F65D0A"/>
    <w:rsid w:val="00F66DE2"/>
    <w:rsid w:val="00F7218A"/>
    <w:rsid w:val="00F723F3"/>
    <w:rsid w:val="00F7494C"/>
    <w:rsid w:val="00F76501"/>
    <w:rsid w:val="00F76A2B"/>
    <w:rsid w:val="00F773E2"/>
    <w:rsid w:val="00F8696C"/>
    <w:rsid w:val="00F86E9F"/>
    <w:rsid w:val="00F87583"/>
    <w:rsid w:val="00F875A4"/>
    <w:rsid w:val="00F976A7"/>
    <w:rsid w:val="00FA0BF0"/>
    <w:rsid w:val="00FA0EC7"/>
    <w:rsid w:val="00FA1772"/>
    <w:rsid w:val="00FA29EB"/>
    <w:rsid w:val="00FA4EA8"/>
    <w:rsid w:val="00FA5DF9"/>
    <w:rsid w:val="00FB0E1B"/>
    <w:rsid w:val="00FB1E7E"/>
    <w:rsid w:val="00FB39ED"/>
    <w:rsid w:val="00FB4EB3"/>
    <w:rsid w:val="00FB4F0D"/>
    <w:rsid w:val="00FC0B91"/>
    <w:rsid w:val="00FC3F62"/>
    <w:rsid w:val="00FC40AF"/>
    <w:rsid w:val="00FC567B"/>
    <w:rsid w:val="00FC57D5"/>
    <w:rsid w:val="00FC6CE8"/>
    <w:rsid w:val="00FC6CE9"/>
    <w:rsid w:val="00FD13BF"/>
    <w:rsid w:val="00FD5447"/>
    <w:rsid w:val="00FD5746"/>
    <w:rsid w:val="00FD6D3B"/>
    <w:rsid w:val="00FE30B9"/>
    <w:rsid w:val="00FE754D"/>
    <w:rsid w:val="00FF0A77"/>
    <w:rsid w:val="00FF16DF"/>
    <w:rsid w:val="00FF1F05"/>
    <w:rsid w:val="00FF33D4"/>
    <w:rsid w:val="00FF5156"/>
    <w:rsid w:val="00FF72D5"/>
    <w:rsid w:val="00FF78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2EAFC67"/>
  <w15:docId w15:val="{F72138C8-5956-4811-BD68-F3B6787FC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328B5"/>
    <w:pPr>
      <w:spacing w:after="200" w:line="276" w:lineRule="auto"/>
      <w:jc w:val="both"/>
    </w:pPr>
    <w:rPr>
      <w:rFonts w:ascii="Arial" w:hAnsi="Arial"/>
      <w:sz w:val="22"/>
      <w:szCs w:val="22"/>
      <w:lang w:eastAsia="zh-C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aliases w:val="Footnote,Fußnote,Footnote Text Char Char,FSR footnote,lábléc"/>
    <w:basedOn w:val="Navaden"/>
    <w:link w:val="Sprotnaopomba-besediloZnak"/>
    <w:uiPriority w:val="99"/>
    <w:unhideWhenUsed/>
    <w:rsid w:val="00A74D00"/>
    <w:pPr>
      <w:spacing w:after="0" w:line="240" w:lineRule="auto"/>
    </w:pPr>
    <w:rPr>
      <w:sz w:val="20"/>
      <w:szCs w:val="20"/>
    </w:rPr>
  </w:style>
  <w:style w:type="character" w:customStyle="1" w:styleId="Sprotnaopomba-besediloZnak">
    <w:name w:val="Sprotna opomba - besedilo Znak"/>
    <w:aliases w:val="Footnote Znak,Fußnote Znak,Footnote Text Char Char Znak,FSR footnote Znak,lábléc Znak"/>
    <w:link w:val="Sprotnaopomba-besedilo"/>
    <w:uiPriority w:val="99"/>
    <w:semiHidden/>
    <w:rsid w:val="00A74D00"/>
    <w:rPr>
      <w:rFonts w:ascii="Arial" w:hAnsi="Arial"/>
      <w:sz w:val="20"/>
      <w:szCs w:val="20"/>
    </w:rPr>
  </w:style>
  <w:style w:type="character" w:styleId="Sprotnaopomba-sklic">
    <w:name w:val="footnote reference"/>
    <w:aliases w:val="Footnote Reference Number,Footnote Reference_LVL6,Footnote Reference_LVL61,Footnote Reference_LVL62,Footnote Reference_LVL63,Footnote Reference_LVL64"/>
    <w:uiPriority w:val="99"/>
    <w:rsid w:val="00A74D00"/>
    <w:rPr>
      <w:rFonts w:cs="Times New Roman"/>
      <w:vertAlign w:val="superscript"/>
    </w:rPr>
  </w:style>
  <w:style w:type="paragraph" w:styleId="Navadensplet">
    <w:name w:val="Normal (Web)"/>
    <w:basedOn w:val="Navaden"/>
    <w:uiPriority w:val="99"/>
    <w:semiHidden/>
    <w:unhideWhenUsed/>
    <w:rsid w:val="00AA54EB"/>
    <w:pPr>
      <w:spacing w:after="150" w:line="336" w:lineRule="atLeast"/>
      <w:jc w:val="left"/>
    </w:pPr>
    <w:rPr>
      <w:rFonts w:ascii="Times New Roman" w:eastAsia="Times New Roman" w:hAnsi="Times New Roman"/>
      <w:color w:val="000000"/>
      <w:sz w:val="24"/>
      <w:szCs w:val="24"/>
    </w:rPr>
  </w:style>
  <w:style w:type="character" w:customStyle="1" w:styleId="hps">
    <w:name w:val="hps"/>
    <w:basedOn w:val="Privzetapisavaodstavka"/>
    <w:rsid w:val="00AA54EB"/>
  </w:style>
  <w:style w:type="character" w:styleId="Poudarek">
    <w:name w:val="Emphasis"/>
    <w:uiPriority w:val="20"/>
    <w:qFormat/>
    <w:rsid w:val="00E97A62"/>
    <w:rPr>
      <w:i/>
      <w:iCs/>
    </w:rPr>
  </w:style>
  <w:style w:type="paragraph" w:styleId="Pripombabesedilo">
    <w:name w:val="annotation text"/>
    <w:basedOn w:val="Navaden"/>
    <w:link w:val="PripombabesediloZnak"/>
    <w:uiPriority w:val="99"/>
    <w:unhideWhenUsed/>
    <w:rsid w:val="00A618FA"/>
    <w:pPr>
      <w:jc w:val="left"/>
    </w:pPr>
    <w:rPr>
      <w:rFonts w:ascii="Calibri" w:eastAsia="Calibri" w:hAnsi="Calibri"/>
      <w:sz w:val="20"/>
      <w:szCs w:val="20"/>
      <w:lang w:eastAsia="en-US"/>
    </w:rPr>
  </w:style>
  <w:style w:type="character" w:customStyle="1" w:styleId="PripombabesediloZnak">
    <w:name w:val="Pripomba – besedilo Znak"/>
    <w:link w:val="Pripombabesedilo"/>
    <w:uiPriority w:val="99"/>
    <w:rsid w:val="00A618FA"/>
    <w:rPr>
      <w:rFonts w:ascii="Calibri" w:eastAsia="Calibri" w:hAnsi="Calibri" w:cs="Times New Roman"/>
      <w:sz w:val="20"/>
      <w:szCs w:val="20"/>
      <w:lang w:eastAsia="en-US"/>
    </w:rPr>
  </w:style>
  <w:style w:type="character" w:styleId="Pripombasklic">
    <w:name w:val="annotation reference"/>
    <w:uiPriority w:val="99"/>
    <w:semiHidden/>
    <w:unhideWhenUsed/>
    <w:rsid w:val="00A618FA"/>
    <w:rPr>
      <w:sz w:val="16"/>
      <w:szCs w:val="16"/>
    </w:rPr>
  </w:style>
  <w:style w:type="paragraph" w:styleId="Besedilooblaka">
    <w:name w:val="Balloon Text"/>
    <w:basedOn w:val="Navaden"/>
    <w:link w:val="BesedilooblakaZnak"/>
    <w:uiPriority w:val="99"/>
    <w:semiHidden/>
    <w:unhideWhenUsed/>
    <w:rsid w:val="00A618FA"/>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A618FA"/>
    <w:rPr>
      <w:rFonts w:ascii="Tahoma" w:hAnsi="Tahoma" w:cs="Tahoma"/>
      <w:sz w:val="16"/>
      <w:szCs w:val="16"/>
    </w:rPr>
  </w:style>
  <w:style w:type="character" w:customStyle="1" w:styleId="FootnoteTextChar1">
    <w:name w:val="Footnote Text Char1"/>
    <w:aliases w:val="Footnote Char,Fußnote Char,Footnote Text Char Char Char,FSR footnote Char,lábléc Char"/>
    <w:uiPriority w:val="99"/>
    <w:locked/>
    <w:rsid w:val="007A2CE7"/>
    <w:rPr>
      <w:rFonts w:ascii="Arial" w:hAnsi="Arial" w:cs="Arial"/>
    </w:rPr>
  </w:style>
  <w:style w:type="paragraph" w:styleId="Odstavekseznama">
    <w:name w:val="List Paragraph"/>
    <w:basedOn w:val="Navaden"/>
    <w:link w:val="OdstavekseznamaZnak"/>
    <w:uiPriority w:val="34"/>
    <w:qFormat/>
    <w:rsid w:val="00FA0BF0"/>
    <w:pPr>
      <w:ind w:left="720"/>
      <w:contextualSpacing/>
    </w:pPr>
  </w:style>
  <w:style w:type="paragraph" w:styleId="Glava">
    <w:name w:val="header"/>
    <w:basedOn w:val="Navaden"/>
    <w:link w:val="GlavaZnak"/>
    <w:unhideWhenUsed/>
    <w:rsid w:val="00902E8B"/>
    <w:pPr>
      <w:tabs>
        <w:tab w:val="center" w:pos="4513"/>
        <w:tab w:val="right" w:pos="9026"/>
      </w:tabs>
      <w:spacing w:after="0" w:line="240" w:lineRule="auto"/>
    </w:pPr>
  </w:style>
  <w:style w:type="character" w:customStyle="1" w:styleId="GlavaZnak">
    <w:name w:val="Glava Znak"/>
    <w:link w:val="Glava"/>
    <w:rsid w:val="00902E8B"/>
    <w:rPr>
      <w:rFonts w:ascii="Arial" w:hAnsi="Arial"/>
    </w:rPr>
  </w:style>
  <w:style w:type="paragraph" w:styleId="Noga">
    <w:name w:val="footer"/>
    <w:basedOn w:val="Navaden"/>
    <w:link w:val="NogaZnak"/>
    <w:uiPriority w:val="99"/>
    <w:unhideWhenUsed/>
    <w:rsid w:val="00902E8B"/>
    <w:pPr>
      <w:tabs>
        <w:tab w:val="center" w:pos="4513"/>
        <w:tab w:val="right" w:pos="9026"/>
      </w:tabs>
      <w:spacing w:after="0" w:line="240" w:lineRule="auto"/>
    </w:pPr>
  </w:style>
  <w:style w:type="character" w:customStyle="1" w:styleId="NogaZnak">
    <w:name w:val="Noga Znak"/>
    <w:link w:val="Noga"/>
    <w:uiPriority w:val="99"/>
    <w:rsid w:val="00902E8B"/>
    <w:rPr>
      <w:rFonts w:ascii="Arial" w:hAnsi="Arial"/>
    </w:rPr>
  </w:style>
  <w:style w:type="paragraph" w:customStyle="1" w:styleId="Odstavek">
    <w:name w:val="Odstavek"/>
    <w:basedOn w:val="Navaden"/>
    <w:link w:val="OdstavekZnak"/>
    <w:qFormat/>
    <w:rsid w:val="0014234F"/>
    <w:pPr>
      <w:overflowPunct w:val="0"/>
      <w:autoSpaceDE w:val="0"/>
      <w:autoSpaceDN w:val="0"/>
      <w:adjustRightInd w:val="0"/>
      <w:spacing w:before="240" w:after="0" w:line="240" w:lineRule="auto"/>
      <w:ind w:firstLine="1021"/>
      <w:textAlignment w:val="baseline"/>
    </w:pPr>
    <w:rPr>
      <w:rFonts w:eastAsia="Times New Roman"/>
      <w:lang w:val="x-none" w:eastAsia="x-none"/>
    </w:rPr>
  </w:style>
  <w:style w:type="character" w:customStyle="1" w:styleId="OdstavekZnak">
    <w:name w:val="Odstavek Znak"/>
    <w:link w:val="Odstavek"/>
    <w:rsid w:val="0014234F"/>
    <w:rPr>
      <w:rFonts w:ascii="Arial" w:eastAsia="Times New Roman" w:hAnsi="Arial" w:cs="Times New Roman"/>
      <w:lang w:val="x-none" w:eastAsia="x-none"/>
    </w:rPr>
  </w:style>
  <w:style w:type="character" w:customStyle="1" w:styleId="lenZnak">
    <w:name w:val="Člen Znak"/>
    <w:link w:val="len"/>
    <w:locked/>
    <w:rsid w:val="00102F61"/>
    <w:rPr>
      <w:rFonts w:ascii="Arial" w:eastAsia="Times New Roman" w:hAnsi="Arial" w:cs="Arial"/>
      <w:b/>
      <w:sz w:val="22"/>
      <w:szCs w:val="22"/>
      <w:lang w:eastAsia="sl-SI"/>
    </w:rPr>
  </w:style>
  <w:style w:type="paragraph" w:customStyle="1" w:styleId="len">
    <w:name w:val="Člen"/>
    <w:basedOn w:val="Navaden"/>
    <w:link w:val="lenZnak"/>
    <w:qFormat/>
    <w:rsid w:val="00102F61"/>
    <w:pPr>
      <w:suppressAutoHyphens/>
      <w:overflowPunct w:val="0"/>
      <w:autoSpaceDE w:val="0"/>
      <w:autoSpaceDN w:val="0"/>
      <w:adjustRightInd w:val="0"/>
      <w:spacing w:before="480" w:after="0" w:line="240" w:lineRule="auto"/>
      <w:jc w:val="center"/>
    </w:pPr>
    <w:rPr>
      <w:rFonts w:eastAsia="Times New Roman" w:cs="Arial"/>
      <w:b/>
      <w:lang w:eastAsia="sl-SI"/>
    </w:rPr>
  </w:style>
  <w:style w:type="paragraph" w:customStyle="1" w:styleId="lennaslov">
    <w:name w:val="Člen_naslov"/>
    <w:basedOn w:val="len"/>
    <w:qFormat/>
    <w:rsid w:val="00102F61"/>
    <w:pPr>
      <w:spacing w:before="0"/>
    </w:pPr>
  </w:style>
  <w:style w:type="paragraph" w:customStyle="1" w:styleId="tevilnatoka111">
    <w:name w:val="Številčna točka 1.1.1"/>
    <w:basedOn w:val="Navaden"/>
    <w:qFormat/>
    <w:rsid w:val="00102F61"/>
    <w:pPr>
      <w:widowControl w:val="0"/>
      <w:numPr>
        <w:ilvl w:val="2"/>
        <w:numId w:val="8"/>
      </w:numPr>
      <w:tabs>
        <w:tab w:val="decimal" w:pos="567"/>
      </w:tabs>
      <w:overflowPunct w:val="0"/>
      <w:autoSpaceDE w:val="0"/>
      <w:autoSpaceDN w:val="0"/>
      <w:adjustRightInd w:val="0"/>
      <w:spacing w:after="0" w:line="240" w:lineRule="auto"/>
    </w:pPr>
    <w:rPr>
      <w:rFonts w:eastAsia="Times New Roman"/>
      <w:szCs w:val="16"/>
      <w:lang w:eastAsia="sl-SI"/>
    </w:rPr>
  </w:style>
  <w:style w:type="character" w:customStyle="1" w:styleId="tevilnatokaZnak">
    <w:name w:val="Številčna točka Znak"/>
    <w:link w:val="tevilnatoka"/>
    <w:locked/>
    <w:rsid w:val="00102F61"/>
    <w:rPr>
      <w:rFonts w:ascii="Arial" w:eastAsia="Times New Roman" w:hAnsi="Arial" w:cs="Arial"/>
      <w:sz w:val="22"/>
      <w:szCs w:val="22"/>
      <w:lang w:val="x-none"/>
    </w:rPr>
  </w:style>
  <w:style w:type="paragraph" w:customStyle="1" w:styleId="tevilnatoka">
    <w:name w:val="Številčna točka"/>
    <w:basedOn w:val="Navaden"/>
    <w:link w:val="tevilnatokaZnak"/>
    <w:qFormat/>
    <w:rsid w:val="00102F61"/>
    <w:pPr>
      <w:numPr>
        <w:numId w:val="8"/>
      </w:numPr>
      <w:spacing w:after="0" w:line="240" w:lineRule="auto"/>
    </w:pPr>
    <w:rPr>
      <w:rFonts w:eastAsia="Times New Roman" w:cs="Arial"/>
      <w:lang w:val="x-none" w:eastAsia="sl-SI"/>
    </w:rPr>
  </w:style>
  <w:style w:type="paragraph" w:styleId="Zadevapripombe">
    <w:name w:val="annotation subject"/>
    <w:basedOn w:val="Pripombabesedilo"/>
    <w:next w:val="Pripombabesedilo"/>
    <w:link w:val="ZadevapripombeZnak"/>
    <w:uiPriority w:val="99"/>
    <w:semiHidden/>
    <w:unhideWhenUsed/>
    <w:rsid w:val="000365B0"/>
    <w:pPr>
      <w:jc w:val="both"/>
    </w:pPr>
    <w:rPr>
      <w:rFonts w:ascii="Arial" w:eastAsia="SimSun" w:hAnsi="Arial"/>
      <w:b/>
      <w:bCs/>
      <w:lang w:eastAsia="zh-CN"/>
    </w:rPr>
  </w:style>
  <w:style w:type="character" w:customStyle="1" w:styleId="ZadevapripombeZnak">
    <w:name w:val="Zadeva pripombe Znak"/>
    <w:link w:val="Zadevapripombe"/>
    <w:uiPriority w:val="99"/>
    <w:semiHidden/>
    <w:rsid w:val="000365B0"/>
    <w:rPr>
      <w:rFonts w:ascii="Arial" w:eastAsia="Calibri" w:hAnsi="Arial" w:cs="Times New Roman"/>
      <w:b/>
      <w:bCs/>
      <w:sz w:val="20"/>
      <w:szCs w:val="20"/>
      <w:lang w:eastAsia="zh-CN"/>
    </w:rPr>
  </w:style>
  <w:style w:type="paragraph" w:customStyle="1" w:styleId="poglavje1">
    <w:name w:val="poglavje1"/>
    <w:basedOn w:val="Navaden"/>
    <w:rsid w:val="00A031B6"/>
    <w:pPr>
      <w:spacing w:before="480" w:after="0" w:line="240" w:lineRule="auto"/>
      <w:jc w:val="center"/>
    </w:pPr>
    <w:rPr>
      <w:rFonts w:eastAsia="Times New Roman" w:cs="Arial"/>
      <w:lang w:eastAsia="sl-SI"/>
    </w:rPr>
  </w:style>
  <w:style w:type="paragraph" w:customStyle="1" w:styleId="len1">
    <w:name w:val="len1"/>
    <w:basedOn w:val="Navaden"/>
    <w:rsid w:val="00A031B6"/>
    <w:pPr>
      <w:spacing w:before="480" w:after="0" w:line="240" w:lineRule="auto"/>
      <w:jc w:val="center"/>
    </w:pPr>
    <w:rPr>
      <w:rFonts w:eastAsia="Times New Roman" w:cs="Arial"/>
      <w:b/>
      <w:bCs/>
      <w:lang w:eastAsia="sl-SI"/>
    </w:rPr>
  </w:style>
  <w:style w:type="paragraph" w:customStyle="1" w:styleId="odstavek1">
    <w:name w:val="odstavek1"/>
    <w:basedOn w:val="Navaden"/>
    <w:rsid w:val="00A031B6"/>
    <w:pPr>
      <w:spacing w:before="240" w:after="0" w:line="240" w:lineRule="auto"/>
      <w:ind w:firstLine="1021"/>
    </w:pPr>
    <w:rPr>
      <w:rFonts w:eastAsia="Times New Roman" w:cs="Arial"/>
      <w:lang w:eastAsia="sl-SI"/>
    </w:rPr>
  </w:style>
  <w:style w:type="paragraph" w:customStyle="1" w:styleId="alineazatevilnotoko1">
    <w:name w:val="alineazatevilnotoko1"/>
    <w:basedOn w:val="Navaden"/>
    <w:rsid w:val="00A031B6"/>
    <w:pPr>
      <w:spacing w:after="0" w:line="240" w:lineRule="auto"/>
      <w:ind w:left="567" w:hanging="142"/>
    </w:pPr>
    <w:rPr>
      <w:rFonts w:eastAsia="Times New Roman" w:cs="Arial"/>
      <w:lang w:eastAsia="sl-SI"/>
    </w:rPr>
  </w:style>
  <w:style w:type="paragraph" w:customStyle="1" w:styleId="tevilnatoka1">
    <w:name w:val="tevilnatoka1"/>
    <w:basedOn w:val="Navaden"/>
    <w:rsid w:val="00A031B6"/>
    <w:pPr>
      <w:spacing w:after="0" w:line="240" w:lineRule="auto"/>
      <w:ind w:left="425" w:hanging="425"/>
    </w:pPr>
    <w:rPr>
      <w:rFonts w:eastAsia="Times New Roman" w:cs="Arial"/>
      <w:lang w:eastAsia="sl-SI"/>
    </w:rPr>
  </w:style>
  <w:style w:type="paragraph" w:customStyle="1" w:styleId="lennaslov1">
    <w:name w:val="lennaslov1"/>
    <w:basedOn w:val="Navaden"/>
    <w:rsid w:val="00A031B6"/>
    <w:pPr>
      <w:spacing w:after="0" w:line="240" w:lineRule="auto"/>
      <w:jc w:val="center"/>
    </w:pPr>
    <w:rPr>
      <w:rFonts w:eastAsia="Times New Roman" w:cs="Arial"/>
      <w:b/>
      <w:bCs/>
      <w:lang w:eastAsia="sl-SI"/>
    </w:rPr>
  </w:style>
  <w:style w:type="character" w:styleId="Hiperpovezava">
    <w:name w:val="Hyperlink"/>
    <w:uiPriority w:val="99"/>
    <w:unhideWhenUsed/>
    <w:rsid w:val="00963FB0"/>
    <w:rPr>
      <w:color w:val="0000FF"/>
      <w:u w:val="single"/>
    </w:rPr>
  </w:style>
  <w:style w:type="paragraph" w:customStyle="1" w:styleId="Default">
    <w:name w:val="Default"/>
    <w:rsid w:val="00BC21AC"/>
    <w:pPr>
      <w:autoSpaceDE w:val="0"/>
      <w:autoSpaceDN w:val="0"/>
      <w:adjustRightInd w:val="0"/>
    </w:pPr>
    <w:rPr>
      <w:rFonts w:ascii="Arial" w:hAnsi="Arial" w:cs="Arial"/>
      <w:color w:val="000000"/>
      <w:sz w:val="24"/>
      <w:szCs w:val="24"/>
    </w:rPr>
  </w:style>
  <w:style w:type="character" w:styleId="SledenaHiperpovezava">
    <w:name w:val="FollowedHyperlink"/>
    <w:basedOn w:val="Privzetapisavaodstavka"/>
    <w:uiPriority w:val="99"/>
    <w:semiHidden/>
    <w:unhideWhenUsed/>
    <w:rsid w:val="00FF5156"/>
    <w:rPr>
      <w:color w:val="800080" w:themeColor="followedHyperlink"/>
      <w:u w:val="single"/>
    </w:rPr>
  </w:style>
  <w:style w:type="numbering" w:customStyle="1" w:styleId="NoList1">
    <w:name w:val="No List1"/>
    <w:next w:val="Brezseznama"/>
    <w:uiPriority w:val="99"/>
    <w:semiHidden/>
    <w:unhideWhenUsed/>
    <w:rsid w:val="00FF5156"/>
  </w:style>
  <w:style w:type="character" w:customStyle="1" w:styleId="OdstavekseznamaZnak">
    <w:name w:val="Odstavek seznama Znak"/>
    <w:link w:val="Odstavekseznama"/>
    <w:uiPriority w:val="34"/>
    <w:locked/>
    <w:rsid w:val="00FF5156"/>
    <w:rPr>
      <w:rFonts w:ascii="Arial" w:hAnsi="Arial"/>
      <w:sz w:val="22"/>
      <w:szCs w:val="22"/>
      <w:lang w:eastAsia="zh-CN"/>
    </w:rPr>
  </w:style>
  <w:style w:type="table" w:styleId="Tabelamrea">
    <w:name w:val="Table Grid"/>
    <w:basedOn w:val="Navadnatabela"/>
    <w:uiPriority w:val="39"/>
    <w:rsid w:val="00FF5156"/>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zamik">
    <w:name w:val="Body Text Indent"/>
    <w:basedOn w:val="Navaden"/>
    <w:link w:val="Telobesedila-zamikZnak"/>
    <w:rsid w:val="00FF5156"/>
    <w:pPr>
      <w:spacing w:after="120" w:line="260" w:lineRule="exact"/>
      <w:ind w:left="283"/>
      <w:jc w:val="left"/>
    </w:pPr>
    <w:rPr>
      <w:rFonts w:eastAsia="Times New Roman"/>
      <w:sz w:val="20"/>
      <w:szCs w:val="24"/>
      <w:lang w:val="en-US" w:eastAsia="en-US"/>
    </w:rPr>
  </w:style>
  <w:style w:type="character" w:customStyle="1" w:styleId="Telobesedila-zamikZnak">
    <w:name w:val="Telo besedila - zamik Znak"/>
    <w:basedOn w:val="Privzetapisavaodstavka"/>
    <w:link w:val="Telobesedila-zamik"/>
    <w:rsid w:val="00FF5156"/>
    <w:rPr>
      <w:rFonts w:ascii="Arial" w:eastAsia="Times New Roman" w:hAnsi="Arial"/>
      <w:szCs w:val="24"/>
      <w:lang w:val="en-US" w:eastAsia="en-US"/>
    </w:rPr>
  </w:style>
  <w:style w:type="paragraph" w:customStyle="1" w:styleId="Oddelek">
    <w:name w:val="Oddelek"/>
    <w:basedOn w:val="Navaden"/>
    <w:qFormat/>
    <w:rsid w:val="00FF5156"/>
    <w:pPr>
      <w:numPr>
        <w:numId w:val="13"/>
      </w:numPr>
      <w:suppressAutoHyphens/>
      <w:overflowPunct w:val="0"/>
      <w:autoSpaceDE w:val="0"/>
      <w:autoSpaceDN w:val="0"/>
      <w:adjustRightInd w:val="0"/>
      <w:spacing w:before="280" w:after="60" w:line="200" w:lineRule="exact"/>
      <w:jc w:val="center"/>
      <w:textAlignment w:val="baseline"/>
      <w:outlineLvl w:val="3"/>
    </w:pPr>
    <w:rPr>
      <w:rFonts w:eastAsia="Times New Roman"/>
      <w:b/>
      <w:lang w:eastAsia="en-US"/>
    </w:rPr>
  </w:style>
  <w:style w:type="paragraph" w:customStyle="1" w:styleId="Alineazaodstavkom">
    <w:name w:val="Alinea za odstavkom"/>
    <w:basedOn w:val="Navaden"/>
    <w:link w:val="AlineazaodstavkomZnak"/>
    <w:qFormat/>
    <w:rsid w:val="00FF5156"/>
    <w:pPr>
      <w:overflowPunct w:val="0"/>
      <w:autoSpaceDE w:val="0"/>
      <w:autoSpaceDN w:val="0"/>
      <w:adjustRightInd w:val="0"/>
      <w:spacing w:after="0" w:line="200" w:lineRule="exact"/>
      <w:ind w:left="709" w:hanging="284"/>
      <w:textAlignment w:val="baseline"/>
    </w:pPr>
    <w:rPr>
      <w:rFonts w:eastAsia="Times New Roman"/>
      <w:lang w:eastAsia="en-US"/>
    </w:rPr>
  </w:style>
  <w:style w:type="paragraph" w:customStyle="1" w:styleId="rkovnatokazaodstavkom">
    <w:name w:val="Črkovna točka_za odstavkom"/>
    <w:basedOn w:val="Navaden"/>
    <w:qFormat/>
    <w:rsid w:val="00FF5156"/>
    <w:pPr>
      <w:overflowPunct w:val="0"/>
      <w:autoSpaceDE w:val="0"/>
      <w:autoSpaceDN w:val="0"/>
      <w:adjustRightInd w:val="0"/>
      <w:spacing w:after="0" w:line="200" w:lineRule="exact"/>
      <w:ind w:left="720" w:hanging="360"/>
      <w:textAlignment w:val="baseline"/>
    </w:pPr>
    <w:rPr>
      <w:rFonts w:eastAsia="Calibri"/>
      <w:lang w:eastAsia="en-US"/>
    </w:rPr>
  </w:style>
  <w:style w:type="paragraph" w:customStyle="1" w:styleId="alineazaodstavkom1">
    <w:name w:val="alineazaodstavkom1"/>
    <w:basedOn w:val="Navaden"/>
    <w:rsid w:val="00FF5156"/>
    <w:pPr>
      <w:spacing w:after="0" w:line="240" w:lineRule="auto"/>
      <w:ind w:left="425" w:hanging="425"/>
    </w:pPr>
    <w:rPr>
      <w:rFonts w:eastAsia="Times New Roman" w:cs="Arial"/>
      <w:lang w:eastAsia="sl-SI"/>
    </w:rPr>
  </w:style>
  <w:style w:type="paragraph" w:customStyle="1" w:styleId="len0">
    <w:name w:val="len"/>
    <w:basedOn w:val="Navaden"/>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lennaslov0">
    <w:name w:val="lennaslov"/>
    <w:basedOn w:val="Navaden"/>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odstavek0">
    <w:name w:val="odstavek"/>
    <w:basedOn w:val="Navaden"/>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paragraph" w:customStyle="1" w:styleId="tevilnatoka0">
    <w:name w:val="tevilnatoka"/>
    <w:basedOn w:val="Navaden"/>
    <w:rsid w:val="00FF5156"/>
    <w:pPr>
      <w:spacing w:before="100" w:beforeAutospacing="1" w:after="100" w:afterAutospacing="1" w:line="240" w:lineRule="auto"/>
      <w:jc w:val="left"/>
    </w:pPr>
    <w:rPr>
      <w:rFonts w:ascii="Times New Roman" w:eastAsia="Times New Roman" w:hAnsi="Times New Roman"/>
      <w:sz w:val="24"/>
      <w:szCs w:val="24"/>
      <w:lang w:eastAsia="sl-SI"/>
    </w:rPr>
  </w:style>
  <w:style w:type="character" w:styleId="Krepko">
    <w:name w:val="Strong"/>
    <w:uiPriority w:val="22"/>
    <w:qFormat/>
    <w:rsid w:val="00FF5156"/>
    <w:rPr>
      <w:b/>
      <w:bCs/>
    </w:rPr>
  </w:style>
  <w:style w:type="paragraph" w:styleId="Revizija">
    <w:name w:val="Revision"/>
    <w:hidden/>
    <w:uiPriority w:val="99"/>
    <w:semiHidden/>
    <w:rsid w:val="00FF5156"/>
    <w:rPr>
      <w:rFonts w:eastAsia="Calibri"/>
      <w:sz w:val="22"/>
      <w:szCs w:val="22"/>
      <w:lang w:eastAsia="en-US"/>
    </w:rPr>
  </w:style>
  <w:style w:type="numbering" w:customStyle="1" w:styleId="NoList11">
    <w:name w:val="No List11"/>
    <w:next w:val="Brezseznama"/>
    <w:uiPriority w:val="99"/>
    <w:semiHidden/>
    <w:unhideWhenUsed/>
    <w:rsid w:val="00FF5156"/>
  </w:style>
  <w:style w:type="paragraph" w:customStyle="1" w:styleId="tevilnatoka11Nova">
    <w:name w:val="Številčna točka 1.1 Nova"/>
    <w:basedOn w:val="tevilnatoka"/>
    <w:qFormat/>
    <w:rsid w:val="00FF5156"/>
    <w:pPr>
      <w:numPr>
        <w:numId w:val="0"/>
      </w:numPr>
      <w:tabs>
        <w:tab w:val="num" w:pos="425"/>
      </w:tabs>
      <w:ind w:left="425" w:hanging="425"/>
    </w:pPr>
    <w:rPr>
      <w:rFonts w:cs="Times New Roman"/>
      <w:lang w:val="sl-SI"/>
    </w:rPr>
  </w:style>
  <w:style w:type="paragraph" w:customStyle="1" w:styleId="Poglavje">
    <w:name w:val="Poglavje"/>
    <w:basedOn w:val="Navaden"/>
    <w:qFormat/>
    <w:rsid w:val="00FF5156"/>
    <w:pPr>
      <w:suppressAutoHyphens/>
      <w:overflowPunct w:val="0"/>
      <w:autoSpaceDE w:val="0"/>
      <w:autoSpaceDN w:val="0"/>
      <w:adjustRightInd w:val="0"/>
      <w:spacing w:before="480" w:after="0" w:line="240" w:lineRule="auto"/>
      <w:jc w:val="center"/>
      <w:textAlignment w:val="baseline"/>
    </w:pPr>
    <w:rPr>
      <w:rFonts w:eastAsia="Times New Roman" w:cs="Arial"/>
      <w:lang w:eastAsia="sl-SI"/>
    </w:rPr>
  </w:style>
  <w:style w:type="character" w:customStyle="1" w:styleId="AlineazaodstavkomZnak">
    <w:name w:val="Alinea za odstavkom Znak"/>
    <w:basedOn w:val="Privzetapisavaodstavka"/>
    <w:link w:val="Alineazaodstavkom"/>
    <w:rsid w:val="00FF5156"/>
    <w:rPr>
      <w:rFonts w:ascii="Arial" w:eastAsia="Times New Roman" w:hAnsi="Arial"/>
      <w:sz w:val="22"/>
      <w:szCs w:val="22"/>
      <w:lang w:eastAsia="en-US"/>
    </w:rPr>
  </w:style>
  <w:style w:type="character" w:customStyle="1" w:styleId="UnresolvedMention1">
    <w:name w:val="Unresolved Mention1"/>
    <w:basedOn w:val="Privzetapisavaodstavka"/>
    <w:uiPriority w:val="99"/>
    <w:semiHidden/>
    <w:unhideWhenUsed/>
    <w:rsid w:val="007A6253"/>
    <w:rPr>
      <w:color w:val="605E5C"/>
      <w:shd w:val="clear" w:color="auto" w:fill="E1DFDD"/>
    </w:rPr>
  </w:style>
  <w:style w:type="character" w:customStyle="1" w:styleId="UnresolvedMention2">
    <w:name w:val="Unresolved Mention2"/>
    <w:basedOn w:val="Privzetapisavaodstavka"/>
    <w:uiPriority w:val="99"/>
    <w:semiHidden/>
    <w:unhideWhenUsed/>
    <w:rsid w:val="00CF28FF"/>
    <w:rPr>
      <w:color w:val="605E5C"/>
      <w:shd w:val="clear" w:color="auto" w:fill="E1DFDD"/>
    </w:rPr>
  </w:style>
  <w:style w:type="character" w:customStyle="1" w:styleId="UnresolvedMention">
    <w:name w:val="Unresolved Mention"/>
    <w:basedOn w:val="Privzetapisavaodstavka"/>
    <w:uiPriority w:val="99"/>
    <w:semiHidden/>
    <w:unhideWhenUsed/>
    <w:rsid w:val="00E878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498330">
      <w:bodyDiv w:val="1"/>
      <w:marLeft w:val="0"/>
      <w:marRight w:val="0"/>
      <w:marTop w:val="0"/>
      <w:marBottom w:val="0"/>
      <w:divBdr>
        <w:top w:val="none" w:sz="0" w:space="0" w:color="auto"/>
        <w:left w:val="none" w:sz="0" w:space="0" w:color="auto"/>
        <w:bottom w:val="none" w:sz="0" w:space="0" w:color="auto"/>
        <w:right w:val="none" w:sz="0" w:space="0" w:color="auto"/>
      </w:divBdr>
    </w:div>
    <w:div w:id="149640908">
      <w:bodyDiv w:val="1"/>
      <w:marLeft w:val="0"/>
      <w:marRight w:val="0"/>
      <w:marTop w:val="0"/>
      <w:marBottom w:val="0"/>
      <w:divBdr>
        <w:top w:val="none" w:sz="0" w:space="0" w:color="auto"/>
        <w:left w:val="none" w:sz="0" w:space="0" w:color="auto"/>
        <w:bottom w:val="none" w:sz="0" w:space="0" w:color="auto"/>
        <w:right w:val="none" w:sz="0" w:space="0" w:color="auto"/>
      </w:divBdr>
      <w:divsChild>
        <w:div w:id="1180238014">
          <w:marLeft w:val="0"/>
          <w:marRight w:val="0"/>
          <w:marTop w:val="0"/>
          <w:marBottom w:val="0"/>
          <w:divBdr>
            <w:top w:val="none" w:sz="0" w:space="0" w:color="auto"/>
            <w:left w:val="none" w:sz="0" w:space="0" w:color="auto"/>
            <w:bottom w:val="none" w:sz="0" w:space="0" w:color="auto"/>
            <w:right w:val="none" w:sz="0" w:space="0" w:color="auto"/>
          </w:divBdr>
          <w:divsChild>
            <w:div w:id="1645625844">
              <w:marLeft w:val="0"/>
              <w:marRight w:val="0"/>
              <w:marTop w:val="100"/>
              <w:marBottom w:val="100"/>
              <w:divBdr>
                <w:top w:val="none" w:sz="0" w:space="0" w:color="auto"/>
                <w:left w:val="none" w:sz="0" w:space="0" w:color="auto"/>
                <w:bottom w:val="none" w:sz="0" w:space="0" w:color="auto"/>
                <w:right w:val="none" w:sz="0" w:space="0" w:color="auto"/>
              </w:divBdr>
              <w:divsChild>
                <w:div w:id="41028398">
                  <w:marLeft w:val="0"/>
                  <w:marRight w:val="0"/>
                  <w:marTop w:val="0"/>
                  <w:marBottom w:val="0"/>
                  <w:divBdr>
                    <w:top w:val="none" w:sz="0" w:space="0" w:color="auto"/>
                    <w:left w:val="none" w:sz="0" w:space="0" w:color="auto"/>
                    <w:bottom w:val="none" w:sz="0" w:space="0" w:color="auto"/>
                    <w:right w:val="none" w:sz="0" w:space="0" w:color="auto"/>
                  </w:divBdr>
                  <w:divsChild>
                    <w:div w:id="1832482894">
                      <w:marLeft w:val="0"/>
                      <w:marRight w:val="0"/>
                      <w:marTop w:val="0"/>
                      <w:marBottom w:val="0"/>
                      <w:divBdr>
                        <w:top w:val="none" w:sz="0" w:space="0" w:color="auto"/>
                        <w:left w:val="none" w:sz="0" w:space="0" w:color="auto"/>
                        <w:bottom w:val="none" w:sz="0" w:space="0" w:color="auto"/>
                        <w:right w:val="none" w:sz="0" w:space="0" w:color="auto"/>
                      </w:divBdr>
                      <w:divsChild>
                        <w:div w:id="855733392">
                          <w:marLeft w:val="0"/>
                          <w:marRight w:val="0"/>
                          <w:marTop w:val="0"/>
                          <w:marBottom w:val="0"/>
                          <w:divBdr>
                            <w:top w:val="none" w:sz="0" w:space="0" w:color="auto"/>
                            <w:left w:val="none" w:sz="0" w:space="0" w:color="auto"/>
                            <w:bottom w:val="none" w:sz="0" w:space="0" w:color="auto"/>
                            <w:right w:val="none" w:sz="0" w:space="0" w:color="auto"/>
                          </w:divBdr>
                          <w:divsChild>
                            <w:div w:id="1028215508">
                              <w:marLeft w:val="0"/>
                              <w:marRight w:val="0"/>
                              <w:marTop w:val="0"/>
                              <w:marBottom w:val="0"/>
                              <w:divBdr>
                                <w:top w:val="none" w:sz="0" w:space="0" w:color="auto"/>
                                <w:left w:val="none" w:sz="0" w:space="0" w:color="auto"/>
                                <w:bottom w:val="none" w:sz="0" w:space="0" w:color="auto"/>
                                <w:right w:val="none" w:sz="0" w:space="0" w:color="auto"/>
                              </w:divBdr>
                              <w:divsChild>
                                <w:div w:id="562299886">
                                  <w:marLeft w:val="0"/>
                                  <w:marRight w:val="0"/>
                                  <w:marTop w:val="0"/>
                                  <w:marBottom w:val="0"/>
                                  <w:divBdr>
                                    <w:top w:val="none" w:sz="0" w:space="0" w:color="auto"/>
                                    <w:left w:val="none" w:sz="0" w:space="0" w:color="auto"/>
                                    <w:bottom w:val="none" w:sz="0" w:space="0" w:color="auto"/>
                                    <w:right w:val="none" w:sz="0" w:space="0" w:color="auto"/>
                                  </w:divBdr>
                                  <w:divsChild>
                                    <w:div w:id="2028829235">
                                      <w:marLeft w:val="0"/>
                                      <w:marRight w:val="0"/>
                                      <w:marTop w:val="0"/>
                                      <w:marBottom w:val="0"/>
                                      <w:divBdr>
                                        <w:top w:val="none" w:sz="0" w:space="0" w:color="auto"/>
                                        <w:left w:val="none" w:sz="0" w:space="0" w:color="auto"/>
                                        <w:bottom w:val="none" w:sz="0" w:space="0" w:color="auto"/>
                                        <w:right w:val="none" w:sz="0" w:space="0" w:color="auto"/>
                                      </w:divBdr>
                                      <w:divsChild>
                                        <w:div w:id="134755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663793">
      <w:bodyDiv w:val="1"/>
      <w:marLeft w:val="0"/>
      <w:marRight w:val="0"/>
      <w:marTop w:val="0"/>
      <w:marBottom w:val="0"/>
      <w:divBdr>
        <w:top w:val="none" w:sz="0" w:space="0" w:color="auto"/>
        <w:left w:val="none" w:sz="0" w:space="0" w:color="auto"/>
        <w:bottom w:val="none" w:sz="0" w:space="0" w:color="auto"/>
        <w:right w:val="none" w:sz="0" w:space="0" w:color="auto"/>
      </w:divBdr>
      <w:divsChild>
        <w:div w:id="360785119">
          <w:marLeft w:val="0"/>
          <w:marRight w:val="0"/>
          <w:marTop w:val="0"/>
          <w:marBottom w:val="0"/>
          <w:divBdr>
            <w:top w:val="none" w:sz="0" w:space="0" w:color="auto"/>
            <w:left w:val="none" w:sz="0" w:space="0" w:color="auto"/>
            <w:bottom w:val="none" w:sz="0" w:space="0" w:color="auto"/>
            <w:right w:val="none" w:sz="0" w:space="0" w:color="auto"/>
          </w:divBdr>
          <w:divsChild>
            <w:div w:id="1048335606">
              <w:marLeft w:val="0"/>
              <w:marRight w:val="0"/>
              <w:marTop w:val="0"/>
              <w:marBottom w:val="0"/>
              <w:divBdr>
                <w:top w:val="none" w:sz="0" w:space="0" w:color="auto"/>
                <w:left w:val="none" w:sz="0" w:space="0" w:color="auto"/>
                <w:bottom w:val="none" w:sz="0" w:space="0" w:color="auto"/>
                <w:right w:val="none" w:sz="0" w:space="0" w:color="auto"/>
              </w:divBdr>
              <w:divsChild>
                <w:div w:id="2106732198">
                  <w:marLeft w:val="300"/>
                  <w:marRight w:val="0"/>
                  <w:marTop w:val="315"/>
                  <w:marBottom w:val="0"/>
                  <w:divBdr>
                    <w:top w:val="none" w:sz="0" w:space="0" w:color="auto"/>
                    <w:left w:val="none" w:sz="0" w:space="0" w:color="auto"/>
                    <w:bottom w:val="none" w:sz="0" w:space="0" w:color="auto"/>
                    <w:right w:val="none" w:sz="0" w:space="0" w:color="auto"/>
                  </w:divBdr>
                  <w:divsChild>
                    <w:div w:id="341979790">
                      <w:marLeft w:val="0"/>
                      <w:marRight w:val="0"/>
                      <w:marTop w:val="0"/>
                      <w:marBottom w:val="0"/>
                      <w:divBdr>
                        <w:top w:val="none" w:sz="0" w:space="0" w:color="auto"/>
                        <w:left w:val="none" w:sz="0" w:space="0" w:color="auto"/>
                        <w:bottom w:val="none" w:sz="0" w:space="0" w:color="auto"/>
                        <w:right w:val="none" w:sz="0" w:space="0" w:color="auto"/>
                      </w:divBdr>
                      <w:divsChild>
                        <w:div w:id="1399399213">
                          <w:marLeft w:val="0"/>
                          <w:marRight w:val="0"/>
                          <w:marTop w:val="0"/>
                          <w:marBottom w:val="0"/>
                          <w:divBdr>
                            <w:top w:val="none" w:sz="0" w:space="0" w:color="auto"/>
                            <w:left w:val="none" w:sz="0" w:space="0" w:color="auto"/>
                            <w:bottom w:val="none" w:sz="0" w:space="0" w:color="auto"/>
                            <w:right w:val="none" w:sz="0" w:space="0" w:color="auto"/>
                          </w:divBdr>
                          <w:divsChild>
                            <w:div w:id="629752558">
                              <w:marLeft w:val="0"/>
                              <w:marRight w:val="0"/>
                              <w:marTop w:val="0"/>
                              <w:marBottom w:val="0"/>
                              <w:divBdr>
                                <w:top w:val="none" w:sz="0" w:space="0" w:color="auto"/>
                                <w:left w:val="none" w:sz="0" w:space="0" w:color="auto"/>
                                <w:bottom w:val="none" w:sz="0" w:space="0" w:color="auto"/>
                                <w:right w:val="none" w:sz="0" w:space="0" w:color="auto"/>
                              </w:divBdr>
                              <w:divsChild>
                                <w:div w:id="1423650530">
                                  <w:marLeft w:val="0"/>
                                  <w:marRight w:val="0"/>
                                  <w:marTop w:val="0"/>
                                  <w:marBottom w:val="450"/>
                                  <w:divBdr>
                                    <w:top w:val="none" w:sz="0" w:space="0" w:color="auto"/>
                                    <w:left w:val="none" w:sz="0" w:space="0" w:color="auto"/>
                                    <w:bottom w:val="none" w:sz="0" w:space="0" w:color="auto"/>
                                    <w:right w:val="none" w:sz="0" w:space="0" w:color="auto"/>
                                  </w:divBdr>
                                  <w:divsChild>
                                    <w:div w:id="178187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5335467">
      <w:bodyDiv w:val="1"/>
      <w:marLeft w:val="0"/>
      <w:marRight w:val="0"/>
      <w:marTop w:val="0"/>
      <w:marBottom w:val="0"/>
      <w:divBdr>
        <w:top w:val="none" w:sz="0" w:space="0" w:color="auto"/>
        <w:left w:val="none" w:sz="0" w:space="0" w:color="auto"/>
        <w:bottom w:val="none" w:sz="0" w:space="0" w:color="auto"/>
        <w:right w:val="none" w:sz="0" w:space="0" w:color="auto"/>
      </w:divBdr>
    </w:div>
    <w:div w:id="284119357">
      <w:bodyDiv w:val="1"/>
      <w:marLeft w:val="0"/>
      <w:marRight w:val="0"/>
      <w:marTop w:val="0"/>
      <w:marBottom w:val="0"/>
      <w:divBdr>
        <w:top w:val="none" w:sz="0" w:space="0" w:color="auto"/>
        <w:left w:val="none" w:sz="0" w:space="0" w:color="auto"/>
        <w:bottom w:val="none" w:sz="0" w:space="0" w:color="auto"/>
        <w:right w:val="none" w:sz="0" w:space="0" w:color="auto"/>
      </w:divBdr>
    </w:div>
    <w:div w:id="356389102">
      <w:bodyDiv w:val="1"/>
      <w:marLeft w:val="0"/>
      <w:marRight w:val="0"/>
      <w:marTop w:val="0"/>
      <w:marBottom w:val="0"/>
      <w:divBdr>
        <w:top w:val="none" w:sz="0" w:space="0" w:color="auto"/>
        <w:left w:val="none" w:sz="0" w:space="0" w:color="auto"/>
        <w:bottom w:val="none" w:sz="0" w:space="0" w:color="auto"/>
        <w:right w:val="none" w:sz="0" w:space="0" w:color="auto"/>
      </w:divBdr>
      <w:divsChild>
        <w:div w:id="1766657753">
          <w:marLeft w:val="0"/>
          <w:marRight w:val="0"/>
          <w:marTop w:val="0"/>
          <w:marBottom w:val="0"/>
          <w:divBdr>
            <w:top w:val="none" w:sz="0" w:space="0" w:color="auto"/>
            <w:left w:val="none" w:sz="0" w:space="0" w:color="auto"/>
            <w:bottom w:val="none" w:sz="0" w:space="0" w:color="auto"/>
            <w:right w:val="none" w:sz="0" w:space="0" w:color="auto"/>
          </w:divBdr>
          <w:divsChild>
            <w:div w:id="217670152">
              <w:marLeft w:val="0"/>
              <w:marRight w:val="0"/>
              <w:marTop w:val="100"/>
              <w:marBottom w:val="100"/>
              <w:divBdr>
                <w:top w:val="none" w:sz="0" w:space="0" w:color="auto"/>
                <w:left w:val="none" w:sz="0" w:space="0" w:color="auto"/>
                <w:bottom w:val="none" w:sz="0" w:space="0" w:color="auto"/>
                <w:right w:val="none" w:sz="0" w:space="0" w:color="auto"/>
              </w:divBdr>
              <w:divsChild>
                <w:div w:id="849031448">
                  <w:marLeft w:val="0"/>
                  <w:marRight w:val="0"/>
                  <w:marTop w:val="0"/>
                  <w:marBottom w:val="0"/>
                  <w:divBdr>
                    <w:top w:val="none" w:sz="0" w:space="0" w:color="auto"/>
                    <w:left w:val="none" w:sz="0" w:space="0" w:color="auto"/>
                    <w:bottom w:val="none" w:sz="0" w:space="0" w:color="auto"/>
                    <w:right w:val="none" w:sz="0" w:space="0" w:color="auto"/>
                  </w:divBdr>
                  <w:divsChild>
                    <w:div w:id="1845850625">
                      <w:marLeft w:val="0"/>
                      <w:marRight w:val="0"/>
                      <w:marTop w:val="0"/>
                      <w:marBottom w:val="0"/>
                      <w:divBdr>
                        <w:top w:val="none" w:sz="0" w:space="0" w:color="auto"/>
                        <w:left w:val="none" w:sz="0" w:space="0" w:color="auto"/>
                        <w:bottom w:val="none" w:sz="0" w:space="0" w:color="auto"/>
                        <w:right w:val="none" w:sz="0" w:space="0" w:color="auto"/>
                      </w:divBdr>
                      <w:divsChild>
                        <w:div w:id="1817450374">
                          <w:marLeft w:val="0"/>
                          <w:marRight w:val="0"/>
                          <w:marTop w:val="0"/>
                          <w:marBottom w:val="0"/>
                          <w:divBdr>
                            <w:top w:val="none" w:sz="0" w:space="0" w:color="auto"/>
                            <w:left w:val="none" w:sz="0" w:space="0" w:color="auto"/>
                            <w:bottom w:val="none" w:sz="0" w:space="0" w:color="auto"/>
                            <w:right w:val="none" w:sz="0" w:space="0" w:color="auto"/>
                          </w:divBdr>
                          <w:divsChild>
                            <w:div w:id="1768621813">
                              <w:marLeft w:val="0"/>
                              <w:marRight w:val="0"/>
                              <w:marTop w:val="0"/>
                              <w:marBottom w:val="0"/>
                              <w:divBdr>
                                <w:top w:val="none" w:sz="0" w:space="0" w:color="auto"/>
                                <w:left w:val="none" w:sz="0" w:space="0" w:color="auto"/>
                                <w:bottom w:val="none" w:sz="0" w:space="0" w:color="auto"/>
                                <w:right w:val="none" w:sz="0" w:space="0" w:color="auto"/>
                              </w:divBdr>
                              <w:divsChild>
                                <w:div w:id="1429423051">
                                  <w:marLeft w:val="0"/>
                                  <w:marRight w:val="0"/>
                                  <w:marTop w:val="0"/>
                                  <w:marBottom w:val="0"/>
                                  <w:divBdr>
                                    <w:top w:val="none" w:sz="0" w:space="0" w:color="auto"/>
                                    <w:left w:val="none" w:sz="0" w:space="0" w:color="auto"/>
                                    <w:bottom w:val="none" w:sz="0" w:space="0" w:color="auto"/>
                                    <w:right w:val="none" w:sz="0" w:space="0" w:color="auto"/>
                                  </w:divBdr>
                                  <w:divsChild>
                                    <w:div w:id="907495034">
                                      <w:marLeft w:val="0"/>
                                      <w:marRight w:val="0"/>
                                      <w:marTop w:val="0"/>
                                      <w:marBottom w:val="0"/>
                                      <w:divBdr>
                                        <w:top w:val="none" w:sz="0" w:space="0" w:color="auto"/>
                                        <w:left w:val="none" w:sz="0" w:space="0" w:color="auto"/>
                                        <w:bottom w:val="none" w:sz="0" w:space="0" w:color="auto"/>
                                        <w:right w:val="none" w:sz="0" w:space="0" w:color="auto"/>
                                      </w:divBdr>
                                      <w:divsChild>
                                        <w:div w:id="1360086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26657343">
      <w:bodyDiv w:val="1"/>
      <w:marLeft w:val="0"/>
      <w:marRight w:val="0"/>
      <w:marTop w:val="0"/>
      <w:marBottom w:val="0"/>
      <w:divBdr>
        <w:top w:val="none" w:sz="0" w:space="0" w:color="auto"/>
        <w:left w:val="none" w:sz="0" w:space="0" w:color="auto"/>
        <w:bottom w:val="none" w:sz="0" w:space="0" w:color="auto"/>
        <w:right w:val="none" w:sz="0" w:space="0" w:color="auto"/>
      </w:divBdr>
    </w:div>
    <w:div w:id="857504441">
      <w:bodyDiv w:val="1"/>
      <w:marLeft w:val="0"/>
      <w:marRight w:val="0"/>
      <w:marTop w:val="0"/>
      <w:marBottom w:val="0"/>
      <w:divBdr>
        <w:top w:val="none" w:sz="0" w:space="0" w:color="auto"/>
        <w:left w:val="none" w:sz="0" w:space="0" w:color="auto"/>
        <w:bottom w:val="none" w:sz="0" w:space="0" w:color="auto"/>
        <w:right w:val="none" w:sz="0" w:space="0" w:color="auto"/>
      </w:divBdr>
      <w:divsChild>
        <w:div w:id="1292444462">
          <w:marLeft w:val="0"/>
          <w:marRight w:val="0"/>
          <w:marTop w:val="0"/>
          <w:marBottom w:val="0"/>
          <w:divBdr>
            <w:top w:val="none" w:sz="0" w:space="0" w:color="auto"/>
            <w:left w:val="none" w:sz="0" w:space="0" w:color="auto"/>
            <w:bottom w:val="none" w:sz="0" w:space="0" w:color="auto"/>
            <w:right w:val="none" w:sz="0" w:space="0" w:color="auto"/>
          </w:divBdr>
          <w:divsChild>
            <w:div w:id="1068042669">
              <w:marLeft w:val="0"/>
              <w:marRight w:val="0"/>
              <w:marTop w:val="100"/>
              <w:marBottom w:val="100"/>
              <w:divBdr>
                <w:top w:val="none" w:sz="0" w:space="0" w:color="auto"/>
                <w:left w:val="none" w:sz="0" w:space="0" w:color="auto"/>
                <w:bottom w:val="none" w:sz="0" w:space="0" w:color="auto"/>
                <w:right w:val="none" w:sz="0" w:space="0" w:color="auto"/>
              </w:divBdr>
              <w:divsChild>
                <w:div w:id="1409302190">
                  <w:marLeft w:val="0"/>
                  <w:marRight w:val="0"/>
                  <w:marTop w:val="0"/>
                  <w:marBottom w:val="0"/>
                  <w:divBdr>
                    <w:top w:val="none" w:sz="0" w:space="0" w:color="auto"/>
                    <w:left w:val="none" w:sz="0" w:space="0" w:color="auto"/>
                    <w:bottom w:val="none" w:sz="0" w:space="0" w:color="auto"/>
                    <w:right w:val="none" w:sz="0" w:space="0" w:color="auto"/>
                  </w:divBdr>
                  <w:divsChild>
                    <w:div w:id="659626605">
                      <w:marLeft w:val="0"/>
                      <w:marRight w:val="0"/>
                      <w:marTop w:val="0"/>
                      <w:marBottom w:val="0"/>
                      <w:divBdr>
                        <w:top w:val="none" w:sz="0" w:space="0" w:color="auto"/>
                        <w:left w:val="none" w:sz="0" w:space="0" w:color="auto"/>
                        <w:bottom w:val="none" w:sz="0" w:space="0" w:color="auto"/>
                        <w:right w:val="none" w:sz="0" w:space="0" w:color="auto"/>
                      </w:divBdr>
                      <w:divsChild>
                        <w:div w:id="747120567">
                          <w:marLeft w:val="0"/>
                          <w:marRight w:val="0"/>
                          <w:marTop w:val="0"/>
                          <w:marBottom w:val="0"/>
                          <w:divBdr>
                            <w:top w:val="none" w:sz="0" w:space="0" w:color="auto"/>
                            <w:left w:val="none" w:sz="0" w:space="0" w:color="auto"/>
                            <w:bottom w:val="none" w:sz="0" w:space="0" w:color="auto"/>
                            <w:right w:val="none" w:sz="0" w:space="0" w:color="auto"/>
                          </w:divBdr>
                          <w:divsChild>
                            <w:div w:id="438456447">
                              <w:marLeft w:val="0"/>
                              <w:marRight w:val="0"/>
                              <w:marTop w:val="0"/>
                              <w:marBottom w:val="0"/>
                              <w:divBdr>
                                <w:top w:val="none" w:sz="0" w:space="0" w:color="auto"/>
                                <w:left w:val="none" w:sz="0" w:space="0" w:color="auto"/>
                                <w:bottom w:val="none" w:sz="0" w:space="0" w:color="auto"/>
                                <w:right w:val="none" w:sz="0" w:space="0" w:color="auto"/>
                              </w:divBdr>
                              <w:divsChild>
                                <w:div w:id="90588499">
                                  <w:marLeft w:val="0"/>
                                  <w:marRight w:val="0"/>
                                  <w:marTop w:val="0"/>
                                  <w:marBottom w:val="0"/>
                                  <w:divBdr>
                                    <w:top w:val="none" w:sz="0" w:space="0" w:color="auto"/>
                                    <w:left w:val="none" w:sz="0" w:space="0" w:color="auto"/>
                                    <w:bottom w:val="none" w:sz="0" w:space="0" w:color="auto"/>
                                    <w:right w:val="none" w:sz="0" w:space="0" w:color="auto"/>
                                  </w:divBdr>
                                  <w:divsChild>
                                    <w:div w:id="1153252009">
                                      <w:marLeft w:val="0"/>
                                      <w:marRight w:val="0"/>
                                      <w:marTop w:val="0"/>
                                      <w:marBottom w:val="0"/>
                                      <w:divBdr>
                                        <w:top w:val="none" w:sz="0" w:space="0" w:color="auto"/>
                                        <w:left w:val="none" w:sz="0" w:space="0" w:color="auto"/>
                                        <w:bottom w:val="none" w:sz="0" w:space="0" w:color="auto"/>
                                        <w:right w:val="none" w:sz="0" w:space="0" w:color="auto"/>
                                      </w:divBdr>
                                      <w:divsChild>
                                        <w:div w:id="1372848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179549">
      <w:bodyDiv w:val="1"/>
      <w:marLeft w:val="0"/>
      <w:marRight w:val="0"/>
      <w:marTop w:val="0"/>
      <w:marBottom w:val="0"/>
      <w:divBdr>
        <w:top w:val="none" w:sz="0" w:space="0" w:color="auto"/>
        <w:left w:val="none" w:sz="0" w:space="0" w:color="auto"/>
        <w:bottom w:val="none" w:sz="0" w:space="0" w:color="auto"/>
        <w:right w:val="none" w:sz="0" w:space="0" w:color="auto"/>
      </w:divBdr>
    </w:div>
    <w:div w:id="985597029">
      <w:bodyDiv w:val="1"/>
      <w:marLeft w:val="0"/>
      <w:marRight w:val="0"/>
      <w:marTop w:val="0"/>
      <w:marBottom w:val="0"/>
      <w:divBdr>
        <w:top w:val="none" w:sz="0" w:space="0" w:color="auto"/>
        <w:left w:val="none" w:sz="0" w:space="0" w:color="auto"/>
        <w:bottom w:val="none" w:sz="0" w:space="0" w:color="auto"/>
        <w:right w:val="none" w:sz="0" w:space="0" w:color="auto"/>
      </w:divBdr>
    </w:div>
    <w:div w:id="1032535043">
      <w:bodyDiv w:val="1"/>
      <w:marLeft w:val="0"/>
      <w:marRight w:val="0"/>
      <w:marTop w:val="0"/>
      <w:marBottom w:val="0"/>
      <w:divBdr>
        <w:top w:val="none" w:sz="0" w:space="0" w:color="auto"/>
        <w:left w:val="none" w:sz="0" w:space="0" w:color="auto"/>
        <w:bottom w:val="none" w:sz="0" w:space="0" w:color="auto"/>
        <w:right w:val="none" w:sz="0" w:space="0" w:color="auto"/>
      </w:divBdr>
    </w:div>
    <w:div w:id="1194346388">
      <w:bodyDiv w:val="1"/>
      <w:marLeft w:val="0"/>
      <w:marRight w:val="0"/>
      <w:marTop w:val="0"/>
      <w:marBottom w:val="0"/>
      <w:divBdr>
        <w:top w:val="none" w:sz="0" w:space="0" w:color="auto"/>
        <w:left w:val="none" w:sz="0" w:space="0" w:color="auto"/>
        <w:bottom w:val="none" w:sz="0" w:space="0" w:color="auto"/>
        <w:right w:val="none" w:sz="0" w:space="0" w:color="auto"/>
      </w:divBdr>
      <w:divsChild>
        <w:div w:id="974407980">
          <w:marLeft w:val="0"/>
          <w:marRight w:val="0"/>
          <w:marTop w:val="0"/>
          <w:marBottom w:val="0"/>
          <w:divBdr>
            <w:top w:val="none" w:sz="0" w:space="0" w:color="auto"/>
            <w:left w:val="none" w:sz="0" w:space="0" w:color="auto"/>
            <w:bottom w:val="none" w:sz="0" w:space="0" w:color="auto"/>
            <w:right w:val="none" w:sz="0" w:space="0" w:color="auto"/>
          </w:divBdr>
          <w:divsChild>
            <w:div w:id="1402213235">
              <w:marLeft w:val="0"/>
              <w:marRight w:val="0"/>
              <w:marTop w:val="100"/>
              <w:marBottom w:val="100"/>
              <w:divBdr>
                <w:top w:val="none" w:sz="0" w:space="0" w:color="auto"/>
                <w:left w:val="none" w:sz="0" w:space="0" w:color="auto"/>
                <w:bottom w:val="none" w:sz="0" w:space="0" w:color="auto"/>
                <w:right w:val="none" w:sz="0" w:space="0" w:color="auto"/>
              </w:divBdr>
              <w:divsChild>
                <w:div w:id="96827466">
                  <w:marLeft w:val="0"/>
                  <w:marRight w:val="0"/>
                  <w:marTop w:val="0"/>
                  <w:marBottom w:val="0"/>
                  <w:divBdr>
                    <w:top w:val="none" w:sz="0" w:space="0" w:color="auto"/>
                    <w:left w:val="none" w:sz="0" w:space="0" w:color="auto"/>
                    <w:bottom w:val="none" w:sz="0" w:space="0" w:color="auto"/>
                    <w:right w:val="none" w:sz="0" w:space="0" w:color="auto"/>
                  </w:divBdr>
                  <w:divsChild>
                    <w:div w:id="783420724">
                      <w:marLeft w:val="0"/>
                      <w:marRight w:val="0"/>
                      <w:marTop w:val="0"/>
                      <w:marBottom w:val="0"/>
                      <w:divBdr>
                        <w:top w:val="none" w:sz="0" w:space="0" w:color="auto"/>
                        <w:left w:val="none" w:sz="0" w:space="0" w:color="auto"/>
                        <w:bottom w:val="none" w:sz="0" w:space="0" w:color="auto"/>
                        <w:right w:val="none" w:sz="0" w:space="0" w:color="auto"/>
                      </w:divBdr>
                      <w:divsChild>
                        <w:div w:id="761537516">
                          <w:marLeft w:val="0"/>
                          <w:marRight w:val="0"/>
                          <w:marTop w:val="0"/>
                          <w:marBottom w:val="0"/>
                          <w:divBdr>
                            <w:top w:val="none" w:sz="0" w:space="0" w:color="auto"/>
                            <w:left w:val="none" w:sz="0" w:space="0" w:color="auto"/>
                            <w:bottom w:val="none" w:sz="0" w:space="0" w:color="auto"/>
                            <w:right w:val="none" w:sz="0" w:space="0" w:color="auto"/>
                          </w:divBdr>
                          <w:divsChild>
                            <w:div w:id="483938574">
                              <w:marLeft w:val="0"/>
                              <w:marRight w:val="0"/>
                              <w:marTop w:val="0"/>
                              <w:marBottom w:val="0"/>
                              <w:divBdr>
                                <w:top w:val="none" w:sz="0" w:space="0" w:color="auto"/>
                                <w:left w:val="none" w:sz="0" w:space="0" w:color="auto"/>
                                <w:bottom w:val="none" w:sz="0" w:space="0" w:color="auto"/>
                                <w:right w:val="none" w:sz="0" w:space="0" w:color="auto"/>
                              </w:divBdr>
                              <w:divsChild>
                                <w:div w:id="477770556">
                                  <w:marLeft w:val="0"/>
                                  <w:marRight w:val="0"/>
                                  <w:marTop w:val="0"/>
                                  <w:marBottom w:val="0"/>
                                  <w:divBdr>
                                    <w:top w:val="none" w:sz="0" w:space="0" w:color="auto"/>
                                    <w:left w:val="none" w:sz="0" w:space="0" w:color="auto"/>
                                    <w:bottom w:val="none" w:sz="0" w:space="0" w:color="auto"/>
                                    <w:right w:val="none" w:sz="0" w:space="0" w:color="auto"/>
                                  </w:divBdr>
                                  <w:divsChild>
                                    <w:div w:id="570892441">
                                      <w:marLeft w:val="0"/>
                                      <w:marRight w:val="0"/>
                                      <w:marTop w:val="0"/>
                                      <w:marBottom w:val="0"/>
                                      <w:divBdr>
                                        <w:top w:val="none" w:sz="0" w:space="0" w:color="auto"/>
                                        <w:left w:val="none" w:sz="0" w:space="0" w:color="auto"/>
                                        <w:bottom w:val="none" w:sz="0" w:space="0" w:color="auto"/>
                                        <w:right w:val="none" w:sz="0" w:space="0" w:color="auto"/>
                                      </w:divBdr>
                                      <w:divsChild>
                                        <w:div w:id="91705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9803447">
      <w:bodyDiv w:val="1"/>
      <w:marLeft w:val="0"/>
      <w:marRight w:val="0"/>
      <w:marTop w:val="0"/>
      <w:marBottom w:val="0"/>
      <w:divBdr>
        <w:top w:val="none" w:sz="0" w:space="0" w:color="auto"/>
        <w:left w:val="none" w:sz="0" w:space="0" w:color="auto"/>
        <w:bottom w:val="none" w:sz="0" w:space="0" w:color="auto"/>
        <w:right w:val="none" w:sz="0" w:space="0" w:color="auto"/>
      </w:divBdr>
    </w:div>
    <w:div w:id="1343321286">
      <w:bodyDiv w:val="1"/>
      <w:marLeft w:val="0"/>
      <w:marRight w:val="0"/>
      <w:marTop w:val="0"/>
      <w:marBottom w:val="0"/>
      <w:divBdr>
        <w:top w:val="none" w:sz="0" w:space="0" w:color="auto"/>
        <w:left w:val="none" w:sz="0" w:space="0" w:color="auto"/>
        <w:bottom w:val="none" w:sz="0" w:space="0" w:color="auto"/>
        <w:right w:val="none" w:sz="0" w:space="0" w:color="auto"/>
      </w:divBdr>
      <w:divsChild>
        <w:div w:id="1327905231">
          <w:marLeft w:val="0"/>
          <w:marRight w:val="0"/>
          <w:marTop w:val="0"/>
          <w:marBottom w:val="0"/>
          <w:divBdr>
            <w:top w:val="none" w:sz="0" w:space="0" w:color="auto"/>
            <w:left w:val="none" w:sz="0" w:space="0" w:color="auto"/>
            <w:bottom w:val="none" w:sz="0" w:space="0" w:color="auto"/>
            <w:right w:val="none" w:sz="0" w:space="0" w:color="auto"/>
          </w:divBdr>
          <w:divsChild>
            <w:div w:id="458498990">
              <w:marLeft w:val="0"/>
              <w:marRight w:val="0"/>
              <w:marTop w:val="100"/>
              <w:marBottom w:val="100"/>
              <w:divBdr>
                <w:top w:val="none" w:sz="0" w:space="0" w:color="auto"/>
                <w:left w:val="none" w:sz="0" w:space="0" w:color="auto"/>
                <w:bottom w:val="none" w:sz="0" w:space="0" w:color="auto"/>
                <w:right w:val="none" w:sz="0" w:space="0" w:color="auto"/>
              </w:divBdr>
              <w:divsChild>
                <w:div w:id="650209108">
                  <w:marLeft w:val="0"/>
                  <w:marRight w:val="0"/>
                  <w:marTop w:val="0"/>
                  <w:marBottom w:val="0"/>
                  <w:divBdr>
                    <w:top w:val="none" w:sz="0" w:space="0" w:color="auto"/>
                    <w:left w:val="none" w:sz="0" w:space="0" w:color="auto"/>
                    <w:bottom w:val="none" w:sz="0" w:space="0" w:color="auto"/>
                    <w:right w:val="none" w:sz="0" w:space="0" w:color="auto"/>
                  </w:divBdr>
                  <w:divsChild>
                    <w:div w:id="1253127333">
                      <w:marLeft w:val="0"/>
                      <w:marRight w:val="0"/>
                      <w:marTop w:val="0"/>
                      <w:marBottom w:val="0"/>
                      <w:divBdr>
                        <w:top w:val="none" w:sz="0" w:space="0" w:color="auto"/>
                        <w:left w:val="none" w:sz="0" w:space="0" w:color="auto"/>
                        <w:bottom w:val="none" w:sz="0" w:space="0" w:color="auto"/>
                        <w:right w:val="none" w:sz="0" w:space="0" w:color="auto"/>
                      </w:divBdr>
                      <w:divsChild>
                        <w:div w:id="1971935036">
                          <w:marLeft w:val="0"/>
                          <w:marRight w:val="0"/>
                          <w:marTop w:val="0"/>
                          <w:marBottom w:val="0"/>
                          <w:divBdr>
                            <w:top w:val="none" w:sz="0" w:space="0" w:color="auto"/>
                            <w:left w:val="none" w:sz="0" w:space="0" w:color="auto"/>
                            <w:bottom w:val="none" w:sz="0" w:space="0" w:color="auto"/>
                            <w:right w:val="none" w:sz="0" w:space="0" w:color="auto"/>
                          </w:divBdr>
                          <w:divsChild>
                            <w:div w:id="172571381">
                              <w:marLeft w:val="0"/>
                              <w:marRight w:val="0"/>
                              <w:marTop w:val="0"/>
                              <w:marBottom w:val="0"/>
                              <w:divBdr>
                                <w:top w:val="none" w:sz="0" w:space="0" w:color="auto"/>
                                <w:left w:val="none" w:sz="0" w:space="0" w:color="auto"/>
                                <w:bottom w:val="none" w:sz="0" w:space="0" w:color="auto"/>
                                <w:right w:val="none" w:sz="0" w:space="0" w:color="auto"/>
                              </w:divBdr>
                              <w:divsChild>
                                <w:div w:id="431433484">
                                  <w:marLeft w:val="0"/>
                                  <w:marRight w:val="0"/>
                                  <w:marTop w:val="0"/>
                                  <w:marBottom w:val="0"/>
                                  <w:divBdr>
                                    <w:top w:val="none" w:sz="0" w:space="0" w:color="auto"/>
                                    <w:left w:val="none" w:sz="0" w:space="0" w:color="auto"/>
                                    <w:bottom w:val="none" w:sz="0" w:space="0" w:color="auto"/>
                                    <w:right w:val="none" w:sz="0" w:space="0" w:color="auto"/>
                                  </w:divBdr>
                                  <w:divsChild>
                                    <w:div w:id="1084568837">
                                      <w:marLeft w:val="0"/>
                                      <w:marRight w:val="0"/>
                                      <w:marTop w:val="0"/>
                                      <w:marBottom w:val="0"/>
                                      <w:divBdr>
                                        <w:top w:val="none" w:sz="0" w:space="0" w:color="auto"/>
                                        <w:left w:val="none" w:sz="0" w:space="0" w:color="auto"/>
                                        <w:bottom w:val="none" w:sz="0" w:space="0" w:color="auto"/>
                                        <w:right w:val="none" w:sz="0" w:space="0" w:color="auto"/>
                                      </w:divBdr>
                                      <w:divsChild>
                                        <w:div w:id="955402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4828166">
      <w:bodyDiv w:val="1"/>
      <w:marLeft w:val="0"/>
      <w:marRight w:val="0"/>
      <w:marTop w:val="0"/>
      <w:marBottom w:val="0"/>
      <w:divBdr>
        <w:top w:val="none" w:sz="0" w:space="0" w:color="auto"/>
        <w:left w:val="none" w:sz="0" w:space="0" w:color="auto"/>
        <w:bottom w:val="none" w:sz="0" w:space="0" w:color="auto"/>
        <w:right w:val="none" w:sz="0" w:space="0" w:color="auto"/>
      </w:divBdr>
    </w:div>
    <w:div w:id="1525707745">
      <w:bodyDiv w:val="1"/>
      <w:marLeft w:val="0"/>
      <w:marRight w:val="0"/>
      <w:marTop w:val="0"/>
      <w:marBottom w:val="0"/>
      <w:divBdr>
        <w:top w:val="none" w:sz="0" w:space="0" w:color="auto"/>
        <w:left w:val="none" w:sz="0" w:space="0" w:color="auto"/>
        <w:bottom w:val="none" w:sz="0" w:space="0" w:color="auto"/>
        <w:right w:val="none" w:sz="0" w:space="0" w:color="auto"/>
      </w:divBdr>
      <w:divsChild>
        <w:div w:id="2147114336">
          <w:marLeft w:val="0"/>
          <w:marRight w:val="0"/>
          <w:marTop w:val="0"/>
          <w:marBottom w:val="0"/>
          <w:divBdr>
            <w:top w:val="none" w:sz="0" w:space="0" w:color="auto"/>
            <w:left w:val="none" w:sz="0" w:space="0" w:color="auto"/>
            <w:bottom w:val="none" w:sz="0" w:space="0" w:color="auto"/>
            <w:right w:val="none" w:sz="0" w:space="0" w:color="auto"/>
          </w:divBdr>
          <w:divsChild>
            <w:div w:id="82453133">
              <w:marLeft w:val="0"/>
              <w:marRight w:val="0"/>
              <w:marTop w:val="0"/>
              <w:marBottom w:val="0"/>
              <w:divBdr>
                <w:top w:val="none" w:sz="0" w:space="0" w:color="auto"/>
                <w:left w:val="none" w:sz="0" w:space="0" w:color="auto"/>
                <w:bottom w:val="none" w:sz="0" w:space="0" w:color="auto"/>
                <w:right w:val="none" w:sz="0" w:space="0" w:color="auto"/>
              </w:divBdr>
              <w:divsChild>
                <w:div w:id="1577326720">
                  <w:marLeft w:val="300"/>
                  <w:marRight w:val="0"/>
                  <w:marTop w:val="315"/>
                  <w:marBottom w:val="0"/>
                  <w:divBdr>
                    <w:top w:val="none" w:sz="0" w:space="0" w:color="auto"/>
                    <w:left w:val="none" w:sz="0" w:space="0" w:color="auto"/>
                    <w:bottom w:val="none" w:sz="0" w:space="0" w:color="auto"/>
                    <w:right w:val="none" w:sz="0" w:space="0" w:color="auto"/>
                  </w:divBdr>
                  <w:divsChild>
                    <w:div w:id="1722439822">
                      <w:marLeft w:val="0"/>
                      <w:marRight w:val="0"/>
                      <w:marTop w:val="0"/>
                      <w:marBottom w:val="0"/>
                      <w:divBdr>
                        <w:top w:val="none" w:sz="0" w:space="0" w:color="auto"/>
                        <w:left w:val="none" w:sz="0" w:space="0" w:color="auto"/>
                        <w:bottom w:val="none" w:sz="0" w:space="0" w:color="auto"/>
                        <w:right w:val="none" w:sz="0" w:space="0" w:color="auto"/>
                      </w:divBdr>
                      <w:divsChild>
                        <w:div w:id="299460254">
                          <w:marLeft w:val="0"/>
                          <w:marRight w:val="0"/>
                          <w:marTop w:val="0"/>
                          <w:marBottom w:val="0"/>
                          <w:divBdr>
                            <w:top w:val="none" w:sz="0" w:space="0" w:color="auto"/>
                            <w:left w:val="none" w:sz="0" w:space="0" w:color="auto"/>
                            <w:bottom w:val="none" w:sz="0" w:space="0" w:color="auto"/>
                            <w:right w:val="none" w:sz="0" w:space="0" w:color="auto"/>
                          </w:divBdr>
                          <w:divsChild>
                            <w:div w:id="1955401683">
                              <w:marLeft w:val="0"/>
                              <w:marRight w:val="0"/>
                              <w:marTop w:val="0"/>
                              <w:marBottom w:val="0"/>
                              <w:divBdr>
                                <w:top w:val="none" w:sz="0" w:space="0" w:color="auto"/>
                                <w:left w:val="none" w:sz="0" w:space="0" w:color="auto"/>
                                <w:bottom w:val="none" w:sz="0" w:space="0" w:color="auto"/>
                                <w:right w:val="none" w:sz="0" w:space="0" w:color="auto"/>
                              </w:divBdr>
                              <w:divsChild>
                                <w:div w:id="54790157">
                                  <w:marLeft w:val="0"/>
                                  <w:marRight w:val="0"/>
                                  <w:marTop w:val="0"/>
                                  <w:marBottom w:val="450"/>
                                  <w:divBdr>
                                    <w:top w:val="none" w:sz="0" w:space="0" w:color="auto"/>
                                    <w:left w:val="none" w:sz="0" w:space="0" w:color="auto"/>
                                    <w:bottom w:val="none" w:sz="0" w:space="0" w:color="auto"/>
                                    <w:right w:val="none" w:sz="0" w:space="0" w:color="auto"/>
                                  </w:divBdr>
                                  <w:divsChild>
                                    <w:div w:id="79614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2986613">
      <w:bodyDiv w:val="1"/>
      <w:marLeft w:val="0"/>
      <w:marRight w:val="0"/>
      <w:marTop w:val="0"/>
      <w:marBottom w:val="0"/>
      <w:divBdr>
        <w:top w:val="none" w:sz="0" w:space="0" w:color="auto"/>
        <w:left w:val="none" w:sz="0" w:space="0" w:color="auto"/>
        <w:bottom w:val="none" w:sz="0" w:space="0" w:color="auto"/>
        <w:right w:val="none" w:sz="0" w:space="0" w:color="auto"/>
      </w:divBdr>
      <w:divsChild>
        <w:div w:id="919601638">
          <w:marLeft w:val="0"/>
          <w:marRight w:val="0"/>
          <w:marTop w:val="0"/>
          <w:marBottom w:val="0"/>
          <w:divBdr>
            <w:top w:val="none" w:sz="0" w:space="0" w:color="auto"/>
            <w:left w:val="none" w:sz="0" w:space="0" w:color="auto"/>
            <w:bottom w:val="none" w:sz="0" w:space="0" w:color="auto"/>
            <w:right w:val="none" w:sz="0" w:space="0" w:color="auto"/>
          </w:divBdr>
          <w:divsChild>
            <w:div w:id="589119420">
              <w:marLeft w:val="0"/>
              <w:marRight w:val="0"/>
              <w:marTop w:val="100"/>
              <w:marBottom w:val="100"/>
              <w:divBdr>
                <w:top w:val="none" w:sz="0" w:space="0" w:color="auto"/>
                <w:left w:val="none" w:sz="0" w:space="0" w:color="auto"/>
                <w:bottom w:val="none" w:sz="0" w:space="0" w:color="auto"/>
                <w:right w:val="none" w:sz="0" w:space="0" w:color="auto"/>
              </w:divBdr>
              <w:divsChild>
                <w:div w:id="1281448710">
                  <w:marLeft w:val="0"/>
                  <w:marRight w:val="0"/>
                  <w:marTop w:val="0"/>
                  <w:marBottom w:val="0"/>
                  <w:divBdr>
                    <w:top w:val="none" w:sz="0" w:space="0" w:color="auto"/>
                    <w:left w:val="none" w:sz="0" w:space="0" w:color="auto"/>
                    <w:bottom w:val="none" w:sz="0" w:space="0" w:color="auto"/>
                    <w:right w:val="none" w:sz="0" w:space="0" w:color="auto"/>
                  </w:divBdr>
                  <w:divsChild>
                    <w:div w:id="478107646">
                      <w:marLeft w:val="0"/>
                      <w:marRight w:val="0"/>
                      <w:marTop w:val="0"/>
                      <w:marBottom w:val="0"/>
                      <w:divBdr>
                        <w:top w:val="none" w:sz="0" w:space="0" w:color="auto"/>
                        <w:left w:val="none" w:sz="0" w:space="0" w:color="auto"/>
                        <w:bottom w:val="none" w:sz="0" w:space="0" w:color="auto"/>
                        <w:right w:val="none" w:sz="0" w:space="0" w:color="auto"/>
                      </w:divBdr>
                      <w:divsChild>
                        <w:div w:id="1690184347">
                          <w:marLeft w:val="0"/>
                          <w:marRight w:val="0"/>
                          <w:marTop w:val="0"/>
                          <w:marBottom w:val="0"/>
                          <w:divBdr>
                            <w:top w:val="none" w:sz="0" w:space="0" w:color="auto"/>
                            <w:left w:val="none" w:sz="0" w:space="0" w:color="auto"/>
                            <w:bottom w:val="none" w:sz="0" w:space="0" w:color="auto"/>
                            <w:right w:val="none" w:sz="0" w:space="0" w:color="auto"/>
                          </w:divBdr>
                          <w:divsChild>
                            <w:div w:id="1192112080">
                              <w:marLeft w:val="0"/>
                              <w:marRight w:val="0"/>
                              <w:marTop w:val="0"/>
                              <w:marBottom w:val="0"/>
                              <w:divBdr>
                                <w:top w:val="none" w:sz="0" w:space="0" w:color="auto"/>
                                <w:left w:val="none" w:sz="0" w:space="0" w:color="auto"/>
                                <w:bottom w:val="none" w:sz="0" w:space="0" w:color="auto"/>
                                <w:right w:val="none" w:sz="0" w:space="0" w:color="auto"/>
                              </w:divBdr>
                              <w:divsChild>
                                <w:div w:id="1762530360">
                                  <w:marLeft w:val="0"/>
                                  <w:marRight w:val="0"/>
                                  <w:marTop w:val="0"/>
                                  <w:marBottom w:val="0"/>
                                  <w:divBdr>
                                    <w:top w:val="none" w:sz="0" w:space="0" w:color="auto"/>
                                    <w:left w:val="none" w:sz="0" w:space="0" w:color="auto"/>
                                    <w:bottom w:val="none" w:sz="0" w:space="0" w:color="auto"/>
                                    <w:right w:val="none" w:sz="0" w:space="0" w:color="auto"/>
                                  </w:divBdr>
                                  <w:divsChild>
                                    <w:div w:id="749734562">
                                      <w:marLeft w:val="0"/>
                                      <w:marRight w:val="0"/>
                                      <w:marTop w:val="0"/>
                                      <w:marBottom w:val="0"/>
                                      <w:divBdr>
                                        <w:top w:val="none" w:sz="0" w:space="0" w:color="auto"/>
                                        <w:left w:val="none" w:sz="0" w:space="0" w:color="auto"/>
                                        <w:bottom w:val="none" w:sz="0" w:space="0" w:color="auto"/>
                                        <w:right w:val="none" w:sz="0" w:space="0" w:color="auto"/>
                                      </w:divBdr>
                                      <w:divsChild>
                                        <w:div w:id="1068964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8950307">
      <w:bodyDiv w:val="1"/>
      <w:marLeft w:val="0"/>
      <w:marRight w:val="0"/>
      <w:marTop w:val="0"/>
      <w:marBottom w:val="0"/>
      <w:divBdr>
        <w:top w:val="none" w:sz="0" w:space="0" w:color="auto"/>
        <w:left w:val="none" w:sz="0" w:space="0" w:color="auto"/>
        <w:bottom w:val="none" w:sz="0" w:space="0" w:color="auto"/>
        <w:right w:val="none" w:sz="0" w:space="0" w:color="auto"/>
      </w:divBdr>
    </w:div>
    <w:div w:id="1694068911">
      <w:bodyDiv w:val="1"/>
      <w:marLeft w:val="0"/>
      <w:marRight w:val="0"/>
      <w:marTop w:val="0"/>
      <w:marBottom w:val="0"/>
      <w:divBdr>
        <w:top w:val="none" w:sz="0" w:space="0" w:color="auto"/>
        <w:left w:val="none" w:sz="0" w:space="0" w:color="auto"/>
        <w:bottom w:val="none" w:sz="0" w:space="0" w:color="auto"/>
        <w:right w:val="none" w:sz="0" w:space="0" w:color="auto"/>
      </w:divBdr>
    </w:div>
    <w:div w:id="1711607978">
      <w:bodyDiv w:val="1"/>
      <w:marLeft w:val="0"/>
      <w:marRight w:val="0"/>
      <w:marTop w:val="0"/>
      <w:marBottom w:val="0"/>
      <w:divBdr>
        <w:top w:val="none" w:sz="0" w:space="0" w:color="auto"/>
        <w:left w:val="none" w:sz="0" w:space="0" w:color="auto"/>
        <w:bottom w:val="none" w:sz="0" w:space="0" w:color="auto"/>
        <w:right w:val="none" w:sz="0" w:space="0" w:color="auto"/>
      </w:divBdr>
      <w:divsChild>
        <w:div w:id="789206999">
          <w:marLeft w:val="0"/>
          <w:marRight w:val="0"/>
          <w:marTop w:val="0"/>
          <w:marBottom w:val="0"/>
          <w:divBdr>
            <w:top w:val="none" w:sz="0" w:space="0" w:color="auto"/>
            <w:left w:val="none" w:sz="0" w:space="0" w:color="auto"/>
            <w:bottom w:val="none" w:sz="0" w:space="0" w:color="auto"/>
            <w:right w:val="none" w:sz="0" w:space="0" w:color="auto"/>
          </w:divBdr>
          <w:divsChild>
            <w:div w:id="445807005">
              <w:marLeft w:val="0"/>
              <w:marRight w:val="0"/>
              <w:marTop w:val="100"/>
              <w:marBottom w:val="100"/>
              <w:divBdr>
                <w:top w:val="none" w:sz="0" w:space="0" w:color="auto"/>
                <w:left w:val="none" w:sz="0" w:space="0" w:color="auto"/>
                <w:bottom w:val="none" w:sz="0" w:space="0" w:color="auto"/>
                <w:right w:val="none" w:sz="0" w:space="0" w:color="auto"/>
              </w:divBdr>
              <w:divsChild>
                <w:div w:id="1206216021">
                  <w:marLeft w:val="0"/>
                  <w:marRight w:val="0"/>
                  <w:marTop w:val="0"/>
                  <w:marBottom w:val="0"/>
                  <w:divBdr>
                    <w:top w:val="none" w:sz="0" w:space="0" w:color="auto"/>
                    <w:left w:val="none" w:sz="0" w:space="0" w:color="auto"/>
                    <w:bottom w:val="none" w:sz="0" w:space="0" w:color="auto"/>
                    <w:right w:val="none" w:sz="0" w:space="0" w:color="auto"/>
                  </w:divBdr>
                  <w:divsChild>
                    <w:div w:id="1911189477">
                      <w:marLeft w:val="0"/>
                      <w:marRight w:val="0"/>
                      <w:marTop w:val="0"/>
                      <w:marBottom w:val="0"/>
                      <w:divBdr>
                        <w:top w:val="none" w:sz="0" w:space="0" w:color="auto"/>
                        <w:left w:val="none" w:sz="0" w:space="0" w:color="auto"/>
                        <w:bottom w:val="none" w:sz="0" w:space="0" w:color="auto"/>
                        <w:right w:val="none" w:sz="0" w:space="0" w:color="auto"/>
                      </w:divBdr>
                      <w:divsChild>
                        <w:div w:id="2069720582">
                          <w:marLeft w:val="0"/>
                          <w:marRight w:val="0"/>
                          <w:marTop w:val="0"/>
                          <w:marBottom w:val="0"/>
                          <w:divBdr>
                            <w:top w:val="none" w:sz="0" w:space="0" w:color="auto"/>
                            <w:left w:val="none" w:sz="0" w:space="0" w:color="auto"/>
                            <w:bottom w:val="none" w:sz="0" w:space="0" w:color="auto"/>
                            <w:right w:val="none" w:sz="0" w:space="0" w:color="auto"/>
                          </w:divBdr>
                          <w:divsChild>
                            <w:div w:id="312293270">
                              <w:marLeft w:val="0"/>
                              <w:marRight w:val="0"/>
                              <w:marTop w:val="0"/>
                              <w:marBottom w:val="0"/>
                              <w:divBdr>
                                <w:top w:val="none" w:sz="0" w:space="0" w:color="auto"/>
                                <w:left w:val="none" w:sz="0" w:space="0" w:color="auto"/>
                                <w:bottom w:val="none" w:sz="0" w:space="0" w:color="auto"/>
                                <w:right w:val="none" w:sz="0" w:space="0" w:color="auto"/>
                              </w:divBdr>
                              <w:divsChild>
                                <w:div w:id="47461774">
                                  <w:marLeft w:val="0"/>
                                  <w:marRight w:val="0"/>
                                  <w:marTop w:val="0"/>
                                  <w:marBottom w:val="0"/>
                                  <w:divBdr>
                                    <w:top w:val="none" w:sz="0" w:space="0" w:color="auto"/>
                                    <w:left w:val="none" w:sz="0" w:space="0" w:color="auto"/>
                                    <w:bottom w:val="none" w:sz="0" w:space="0" w:color="auto"/>
                                    <w:right w:val="none" w:sz="0" w:space="0" w:color="auto"/>
                                  </w:divBdr>
                                  <w:divsChild>
                                    <w:div w:id="1361664253">
                                      <w:marLeft w:val="0"/>
                                      <w:marRight w:val="0"/>
                                      <w:marTop w:val="0"/>
                                      <w:marBottom w:val="0"/>
                                      <w:divBdr>
                                        <w:top w:val="none" w:sz="0" w:space="0" w:color="auto"/>
                                        <w:left w:val="none" w:sz="0" w:space="0" w:color="auto"/>
                                        <w:bottom w:val="none" w:sz="0" w:space="0" w:color="auto"/>
                                        <w:right w:val="none" w:sz="0" w:space="0" w:color="auto"/>
                                      </w:divBdr>
                                      <w:divsChild>
                                        <w:div w:id="134971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0030266">
      <w:bodyDiv w:val="1"/>
      <w:marLeft w:val="0"/>
      <w:marRight w:val="0"/>
      <w:marTop w:val="0"/>
      <w:marBottom w:val="0"/>
      <w:divBdr>
        <w:top w:val="none" w:sz="0" w:space="0" w:color="auto"/>
        <w:left w:val="none" w:sz="0" w:space="0" w:color="auto"/>
        <w:bottom w:val="none" w:sz="0" w:space="0" w:color="auto"/>
        <w:right w:val="none" w:sz="0" w:space="0" w:color="auto"/>
      </w:divBdr>
    </w:div>
    <w:div w:id="1806388556">
      <w:bodyDiv w:val="1"/>
      <w:marLeft w:val="0"/>
      <w:marRight w:val="0"/>
      <w:marTop w:val="0"/>
      <w:marBottom w:val="0"/>
      <w:divBdr>
        <w:top w:val="none" w:sz="0" w:space="0" w:color="auto"/>
        <w:left w:val="none" w:sz="0" w:space="0" w:color="auto"/>
        <w:bottom w:val="none" w:sz="0" w:space="0" w:color="auto"/>
        <w:right w:val="none" w:sz="0" w:space="0" w:color="auto"/>
      </w:divBdr>
    </w:div>
    <w:div w:id="1874031478">
      <w:bodyDiv w:val="1"/>
      <w:marLeft w:val="0"/>
      <w:marRight w:val="0"/>
      <w:marTop w:val="0"/>
      <w:marBottom w:val="0"/>
      <w:divBdr>
        <w:top w:val="none" w:sz="0" w:space="0" w:color="auto"/>
        <w:left w:val="none" w:sz="0" w:space="0" w:color="auto"/>
        <w:bottom w:val="none" w:sz="0" w:space="0" w:color="auto"/>
        <w:right w:val="none" w:sz="0" w:space="0" w:color="auto"/>
      </w:divBdr>
      <w:divsChild>
        <w:div w:id="407532912">
          <w:marLeft w:val="0"/>
          <w:marRight w:val="0"/>
          <w:marTop w:val="0"/>
          <w:marBottom w:val="0"/>
          <w:divBdr>
            <w:top w:val="none" w:sz="0" w:space="0" w:color="auto"/>
            <w:left w:val="none" w:sz="0" w:space="0" w:color="auto"/>
            <w:bottom w:val="none" w:sz="0" w:space="0" w:color="auto"/>
            <w:right w:val="none" w:sz="0" w:space="0" w:color="auto"/>
          </w:divBdr>
          <w:divsChild>
            <w:div w:id="515777055">
              <w:marLeft w:val="0"/>
              <w:marRight w:val="0"/>
              <w:marTop w:val="100"/>
              <w:marBottom w:val="100"/>
              <w:divBdr>
                <w:top w:val="none" w:sz="0" w:space="0" w:color="auto"/>
                <w:left w:val="none" w:sz="0" w:space="0" w:color="auto"/>
                <w:bottom w:val="none" w:sz="0" w:space="0" w:color="auto"/>
                <w:right w:val="none" w:sz="0" w:space="0" w:color="auto"/>
              </w:divBdr>
              <w:divsChild>
                <w:div w:id="832182464">
                  <w:marLeft w:val="0"/>
                  <w:marRight w:val="0"/>
                  <w:marTop w:val="0"/>
                  <w:marBottom w:val="0"/>
                  <w:divBdr>
                    <w:top w:val="none" w:sz="0" w:space="0" w:color="auto"/>
                    <w:left w:val="none" w:sz="0" w:space="0" w:color="auto"/>
                    <w:bottom w:val="none" w:sz="0" w:space="0" w:color="auto"/>
                    <w:right w:val="none" w:sz="0" w:space="0" w:color="auto"/>
                  </w:divBdr>
                  <w:divsChild>
                    <w:div w:id="1246308549">
                      <w:marLeft w:val="0"/>
                      <w:marRight w:val="0"/>
                      <w:marTop w:val="0"/>
                      <w:marBottom w:val="0"/>
                      <w:divBdr>
                        <w:top w:val="none" w:sz="0" w:space="0" w:color="auto"/>
                        <w:left w:val="none" w:sz="0" w:space="0" w:color="auto"/>
                        <w:bottom w:val="none" w:sz="0" w:space="0" w:color="auto"/>
                        <w:right w:val="none" w:sz="0" w:space="0" w:color="auto"/>
                      </w:divBdr>
                      <w:divsChild>
                        <w:div w:id="286007620">
                          <w:marLeft w:val="0"/>
                          <w:marRight w:val="0"/>
                          <w:marTop w:val="0"/>
                          <w:marBottom w:val="0"/>
                          <w:divBdr>
                            <w:top w:val="none" w:sz="0" w:space="0" w:color="auto"/>
                            <w:left w:val="none" w:sz="0" w:space="0" w:color="auto"/>
                            <w:bottom w:val="none" w:sz="0" w:space="0" w:color="auto"/>
                            <w:right w:val="none" w:sz="0" w:space="0" w:color="auto"/>
                          </w:divBdr>
                          <w:divsChild>
                            <w:div w:id="676885179">
                              <w:marLeft w:val="0"/>
                              <w:marRight w:val="0"/>
                              <w:marTop w:val="0"/>
                              <w:marBottom w:val="0"/>
                              <w:divBdr>
                                <w:top w:val="none" w:sz="0" w:space="0" w:color="auto"/>
                                <w:left w:val="none" w:sz="0" w:space="0" w:color="auto"/>
                                <w:bottom w:val="none" w:sz="0" w:space="0" w:color="auto"/>
                                <w:right w:val="none" w:sz="0" w:space="0" w:color="auto"/>
                              </w:divBdr>
                              <w:divsChild>
                                <w:div w:id="33232688">
                                  <w:marLeft w:val="0"/>
                                  <w:marRight w:val="0"/>
                                  <w:marTop w:val="0"/>
                                  <w:marBottom w:val="0"/>
                                  <w:divBdr>
                                    <w:top w:val="none" w:sz="0" w:space="0" w:color="auto"/>
                                    <w:left w:val="none" w:sz="0" w:space="0" w:color="auto"/>
                                    <w:bottom w:val="none" w:sz="0" w:space="0" w:color="auto"/>
                                    <w:right w:val="none" w:sz="0" w:space="0" w:color="auto"/>
                                  </w:divBdr>
                                  <w:divsChild>
                                    <w:div w:id="415714303">
                                      <w:marLeft w:val="0"/>
                                      <w:marRight w:val="0"/>
                                      <w:marTop w:val="0"/>
                                      <w:marBottom w:val="0"/>
                                      <w:divBdr>
                                        <w:top w:val="none" w:sz="0" w:space="0" w:color="auto"/>
                                        <w:left w:val="none" w:sz="0" w:space="0" w:color="auto"/>
                                        <w:bottom w:val="none" w:sz="0" w:space="0" w:color="auto"/>
                                        <w:right w:val="none" w:sz="0" w:space="0" w:color="auto"/>
                                      </w:divBdr>
                                      <w:divsChild>
                                        <w:div w:id="1622110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4368101">
      <w:bodyDiv w:val="1"/>
      <w:marLeft w:val="0"/>
      <w:marRight w:val="0"/>
      <w:marTop w:val="0"/>
      <w:marBottom w:val="0"/>
      <w:divBdr>
        <w:top w:val="none" w:sz="0" w:space="0" w:color="auto"/>
        <w:left w:val="none" w:sz="0" w:space="0" w:color="auto"/>
        <w:bottom w:val="none" w:sz="0" w:space="0" w:color="auto"/>
        <w:right w:val="none" w:sz="0" w:space="0" w:color="auto"/>
      </w:divBdr>
    </w:div>
    <w:div w:id="1934434888">
      <w:bodyDiv w:val="1"/>
      <w:marLeft w:val="0"/>
      <w:marRight w:val="0"/>
      <w:marTop w:val="0"/>
      <w:marBottom w:val="0"/>
      <w:divBdr>
        <w:top w:val="none" w:sz="0" w:space="0" w:color="auto"/>
        <w:left w:val="none" w:sz="0" w:space="0" w:color="auto"/>
        <w:bottom w:val="none" w:sz="0" w:space="0" w:color="auto"/>
        <w:right w:val="none" w:sz="0" w:space="0" w:color="auto"/>
      </w:divBdr>
      <w:divsChild>
        <w:div w:id="1139490620">
          <w:marLeft w:val="0"/>
          <w:marRight w:val="0"/>
          <w:marTop w:val="0"/>
          <w:marBottom w:val="0"/>
          <w:divBdr>
            <w:top w:val="none" w:sz="0" w:space="0" w:color="auto"/>
            <w:left w:val="none" w:sz="0" w:space="0" w:color="auto"/>
            <w:bottom w:val="none" w:sz="0" w:space="0" w:color="auto"/>
            <w:right w:val="none" w:sz="0" w:space="0" w:color="auto"/>
          </w:divBdr>
          <w:divsChild>
            <w:div w:id="1386417722">
              <w:marLeft w:val="0"/>
              <w:marRight w:val="0"/>
              <w:marTop w:val="100"/>
              <w:marBottom w:val="100"/>
              <w:divBdr>
                <w:top w:val="none" w:sz="0" w:space="0" w:color="auto"/>
                <w:left w:val="none" w:sz="0" w:space="0" w:color="auto"/>
                <w:bottom w:val="none" w:sz="0" w:space="0" w:color="auto"/>
                <w:right w:val="none" w:sz="0" w:space="0" w:color="auto"/>
              </w:divBdr>
              <w:divsChild>
                <w:div w:id="2088920567">
                  <w:marLeft w:val="0"/>
                  <w:marRight w:val="0"/>
                  <w:marTop w:val="0"/>
                  <w:marBottom w:val="0"/>
                  <w:divBdr>
                    <w:top w:val="none" w:sz="0" w:space="0" w:color="auto"/>
                    <w:left w:val="none" w:sz="0" w:space="0" w:color="auto"/>
                    <w:bottom w:val="none" w:sz="0" w:space="0" w:color="auto"/>
                    <w:right w:val="none" w:sz="0" w:space="0" w:color="auto"/>
                  </w:divBdr>
                  <w:divsChild>
                    <w:div w:id="1221332055">
                      <w:marLeft w:val="0"/>
                      <w:marRight w:val="0"/>
                      <w:marTop w:val="0"/>
                      <w:marBottom w:val="0"/>
                      <w:divBdr>
                        <w:top w:val="none" w:sz="0" w:space="0" w:color="auto"/>
                        <w:left w:val="none" w:sz="0" w:space="0" w:color="auto"/>
                        <w:bottom w:val="none" w:sz="0" w:space="0" w:color="auto"/>
                        <w:right w:val="none" w:sz="0" w:space="0" w:color="auto"/>
                      </w:divBdr>
                      <w:divsChild>
                        <w:div w:id="293413832">
                          <w:marLeft w:val="0"/>
                          <w:marRight w:val="0"/>
                          <w:marTop w:val="0"/>
                          <w:marBottom w:val="0"/>
                          <w:divBdr>
                            <w:top w:val="none" w:sz="0" w:space="0" w:color="auto"/>
                            <w:left w:val="none" w:sz="0" w:space="0" w:color="auto"/>
                            <w:bottom w:val="none" w:sz="0" w:space="0" w:color="auto"/>
                            <w:right w:val="none" w:sz="0" w:space="0" w:color="auto"/>
                          </w:divBdr>
                          <w:divsChild>
                            <w:div w:id="1601446071">
                              <w:marLeft w:val="0"/>
                              <w:marRight w:val="0"/>
                              <w:marTop w:val="0"/>
                              <w:marBottom w:val="0"/>
                              <w:divBdr>
                                <w:top w:val="none" w:sz="0" w:space="0" w:color="auto"/>
                                <w:left w:val="none" w:sz="0" w:space="0" w:color="auto"/>
                                <w:bottom w:val="none" w:sz="0" w:space="0" w:color="auto"/>
                                <w:right w:val="none" w:sz="0" w:space="0" w:color="auto"/>
                              </w:divBdr>
                              <w:divsChild>
                                <w:div w:id="1695301719">
                                  <w:marLeft w:val="0"/>
                                  <w:marRight w:val="0"/>
                                  <w:marTop w:val="0"/>
                                  <w:marBottom w:val="0"/>
                                  <w:divBdr>
                                    <w:top w:val="none" w:sz="0" w:space="0" w:color="auto"/>
                                    <w:left w:val="none" w:sz="0" w:space="0" w:color="auto"/>
                                    <w:bottom w:val="none" w:sz="0" w:space="0" w:color="auto"/>
                                    <w:right w:val="none" w:sz="0" w:space="0" w:color="auto"/>
                                  </w:divBdr>
                                  <w:divsChild>
                                    <w:div w:id="2068142469">
                                      <w:marLeft w:val="0"/>
                                      <w:marRight w:val="0"/>
                                      <w:marTop w:val="0"/>
                                      <w:marBottom w:val="0"/>
                                      <w:divBdr>
                                        <w:top w:val="none" w:sz="0" w:space="0" w:color="auto"/>
                                        <w:left w:val="none" w:sz="0" w:space="0" w:color="auto"/>
                                        <w:bottom w:val="none" w:sz="0" w:space="0" w:color="auto"/>
                                        <w:right w:val="none" w:sz="0" w:space="0" w:color="auto"/>
                                      </w:divBdr>
                                      <w:divsChild>
                                        <w:div w:id="660549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4434956">
      <w:bodyDiv w:val="1"/>
      <w:marLeft w:val="0"/>
      <w:marRight w:val="0"/>
      <w:marTop w:val="0"/>
      <w:marBottom w:val="0"/>
      <w:divBdr>
        <w:top w:val="none" w:sz="0" w:space="0" w:color="auto"/>
        <w:left w:val="none" w:sz="0" w:space="0" w:color="auto"/>
        <w:bottom w:val="none" w:sz="0" w:space="0" w:color="auto"/>
        <w:right w:val="none" w:sz="0" w:space="0" w:color="auto"/>
      </w:divBdr>
      <w:divsChild>
        <w:div w:id="312950308">
          <w:marLeft w:val="0"/>
          <w:marRight w:val="0"/>
          <w:marTop w:val="0"/>
          <w:marBottom w:val="0"/>
          <w:divBdr>
            <w:top w:val="none" w:sz="0" w:space="0" w:color="auto"/>
            <w:left w:val="none" w:sz="0" w:space="0" w:color="auto"/>
            <w:bottom w:val="none" w:sz="0" w:space="0" w:color="auto"/>
            <w:right w:val="none" w:sz="0" w:space="0" w:color="auto"/>
          </w:divBdr>
          <w:divsChild>
            <w:div w:id="1563445233">
              <w:marLeft w:val="0"/>
              <w:marRight w:val="0"/>
              <w:marTop w:val="100"/>
              <w:marBottom w:val="100"/>
              <w:divBdr>
                <w:top w:val="none" w:sz="0" w:space="0" w:color="auto"/>
                <w:left w:val="none" w:sz="0" w:space="0" w:color="auto"/>
                <w:bottom w:val="none" w:sz="0" w:space="0" w:color="auto"/>
                <w:right w:val="none" w:sz="0" w:space="0" w:color="auto"/>
              </w:divBdr>
              <w:divsChild>
                <w:div w:id="1093891686">
                  <w:marLeft w:val="0"/>
                  <w:marRight w:val="0"/>
                  <w:marTop w:val="0"/>
                  <w:marBottom w:val="0"/>
                  <w:divBdr>
                    <w:top w:val="none" w:sz="0" w:space="0" w:color="auto"/>
                    <w:left w:val="none" w:sz="0" w:space="0" w:color="auto"/>
                    <w:bottom w:val="none" w:sz="0" w:space="0" w:color="auto"/>
                    <w:right w:val="none" w:sz="0" w:space="0" w:color="auto"/>
                  </w:divBdr>
                  <w:divsChild>
                    <w:div w:id="1242789851">
                      <w:marLeft w:val="0"/>
                      <w:marRight w:val="0"/>
                      <w:marTop w:val="0"/>
                      <w:marBottom w:val="0"/>
                      <w:divBdr>
                        <w:top w:val="none" w:sz="0" w:space="0" w:color="auto"/>
                        <w:left w:val="none" w:sz="0" w:space="0" w:color="auto"/>
                        <w:bottom w:val="none" w:sz="0" w:space="0" w:color="auto"/>
                        <w:right w:val="none" w:sz="0" w:space="0" w:color="auto"/>
                      </w:divBdr>
                      <w:divsChild>
                        <w:div w:id="824710768">
                          <w:marLeft w:val="0"/>
                          <w:marRight w:val="0"/>
                          <w:marTop w:val="0"/>
                          <w:marBottom w:val="0"/>
                          <w:divBdr>
                            <w:top w:val="none" w:sz="0" w:space="0" w:color="auto"/>
                            <w:left w:val="none" w:sz="0" w:space="0" w:color="auto"/>
                            <w:bottom w:val="none" w:sz="0" w:space="0" w:color="auto"/>
                            <w:right w:val="none" w:sz="0" w:space="0" w:color="auto"/>
                          </w:divBdr>
                          <w:divsChild>
                            <w:div w:id="11954872">
                              <w:marLeft w:val="0"/>
                              <w:marRight w:val="0"/>
                              <w:marTop w:val="0"/>
                              <w:marBottom w:val="0"/>
                              <w:divBdr>
                                <w:top w:val="none" w:sz="0" w:space="0" w:color="auto"/>
                                <w:left w:val="none" w:sz="0" w:space="0" w:color="auto"/>
                                <w:bottom w:val="none" w:sz="0" w:space="0" w:color="auto"/>
                                <w:right w:val="none" w:sz="0" w:space="0" w:color="auto"/>
                              </w:divBdr>
                              <w:divsChild>
                                <w:div w:id="448477361">
                                  <w:marLeft w:val="0"/>
                                  <w:marRight w:val="0"/>
                                  <w:marTop w:val="0"/>
                                  <w:marBottom w:val="0"/>
                                  <w:divBdr>
                                    <w:top w:val="none" w:sz="0" w:space="0" w:color="auto"/>
                                    <w:left w:val="none" w:sz="0" w:space="0" w:color="auto"/>
                                    <w:bottom w:val="none" w:sz="0" w:space="0" w:color="auto"/>
                                    <w:right w:val="none" w:sz="0" w:space="0" w:color="auto"/>
                                  </w:divBdr>
                                  <w:divsChild>
                                    <w:div w:id="1590580534">
                                      <w:marLeft w:val="0"/>
                                      <w:marRight w:val="0"/>
                                      <w:marTop w:val="0"/>
                                      <w:marBottom w:val="0"/>
                                      <w:divBdr>
                                        <w:top w:val="none" w:sz="0" w:space="0" w:color="auto"/>
                                        <w:left w:val="none" w:sz="0" w:space="0" w:color="auto"/>
                                        <w:bottom w:val="none" w:sz="0" w:space="0" w:color="auto"/>
                                        <w:right w:val="none" w:sz="0" w:space="0" w:color="auto"/>
                                      </w:divBdr>
                                      <w:divsChild>
                                        <w:div w:id="76199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7134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irishstatutebook.ie/eli/2015/si/516/made/en/pdf" TargetMode="External"/><Relationship Id="rId2" Type="http://schemas.openxmlformats.org/officeDocument/2006/relationships/hyperlink" Target="https://www.gesetze-im-internet.de/einsig/BJNR078610015.html" TargetMode="External"/><Relationship Id="rId1" Type="http://schemas.openxmlformats.org/officeDocument/2006/relationships/hyperlink" Target="https://www.ris.bka.gv.at/GeltendeFassung.wxe?Abfrage=Bundesnormen&amp;Gesetzesnummer=20009251" TargetMode="External"/><Relationship Id="rId4" Type="http://schemas.openxmlformats.org/officeDocument/2006/relationships/hyperlink" Target="http://www.depositguarantee.ie/en/ho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1D2FD-148D-4694-A748-F25121037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6402</Words>
  <Characters>36494</Characters>
  <Application>Microsoft Office Word</Application>
  <DocSecurity>0</DocSecurity>
  <Lines>304</Lines>
  <Paragraphs>85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42811</CharactersWithSpaces>
  <SharedDoc>false</SharedDoc>
  <HLinks>
    <vt:vector size="72" baseType="variant">
      <vt:variant>
        <vt:i4>7798828</vt:i4>
      </vt:variant>
      <vt:variant>
        <vt:i4>27</vt:i4>
      </vt:variant>
      <vt:variant>
        <vt:i4>0</vt:i4>
      </vt:variant>
      <vt:variant>
        <vt:i4>5</vt:i4>
      </vt:variant>
      <vt:variant>
        <vt:lpwstr>http://www.uradni-list.si/1/objava.jsp?sop=2016-01-3227</vt:lpwstr>
      </vt:variant>
      <vt:variant>
        <vt:lpwstr/>
      </vt:variant>
      <vt:variant>
        <vt:i4>7667751</vt:i4>
      </vt:variant>
      <vt:variant>
        <vt:i4>24</vt:i4>
      </vt:variant>
      <vt:variant>
        <vt:i4>0</vt:i4>
      </vt:variant>
      <vt:variant>
        <vt:i4>5</vt:i4>
      </vt:variant>
      <vt:variant>
        <vt:lpwstr>http://www.uradni-list.si/1/objava.jsp?sop=2016-01-1921</vt:lpwstr>
      </vt:variant>
      <vt:variant>
        <vt:lpwstr/>
      </vt:variant>
      <vt:variant>
        <vt:i4>7798827</vt:i4>
      </vt:variant>
      <vt:variant>
        <vt:i4>21</vt:i4>
      </vt:variant>
      <vt:variant>
        <vt:i4>0</vt:i4>
      </vt:variant>
      <vt:variant>
        <vt:i4>5</vt:i4>
      </vt:variant>
      <vt:variant>
        <vt:lpwstr>http://www.uradni-list.si/1/objava.jsp?sop=2014-01-2739</vt:lpwstr>
      </vt:variant>
      <vt:variant>
        <vt:lpwstr/>
      </vt:variant>
      <vt:variant>
        <vt:i4>7798827</vt:i4>
      </vt:variant>
      <vt:variant>
        <vt:i4>18</vt:i4>
      </vt:variant>
      <vt:variant>
        <vt:i4>0</vt:i4>
      </vt:variant>
      <vt:variant>
        <vt:i4>5</vt:i4>
      </vt:variant>
      <vt:variant>
        <vt:lpwstr>http://www.uradni-list.si/1/objava.jsp?sop=2014-01-2739</vt:lpwstr>
      </vt:variant>
      <vt:variant>
        <vt:lpwstr/>
      </vt:variant>
      <vt:variant>
        <vt:i4>3801180</vt:i4>
      </vt:variant>
      <vt:variant>
        <vt:i4>15</vt:i4>
      </vt:variant>
      <vt:variant>
        <vt:i4>0</vt:i4>
      </vt:variant>
      <vt:variant>
        <vt:i4>5</vt:i4>
      </vt:variant>
      <vt:variant>
        <vt:lpwstr>mailto:Gp.gs@gov.si</vt:lpwstr>
      </vt:variant>
      <vt:variant>
        <vt:lpwstr/>
      </vt:variant>
      <vt:variant>
        <vt:i4>4194388</vt:i4>
      </vt:variant>
      <vt:variant>
        <vt:i4>12</vt:i4>
      </vt:variant>
      <vt:variant>
        <vt:i4>0</vt:i4>
      </vt:variant>
      <vt:variant>
        <vt:i4>5</vt:i4>
      </vt:variant>
      <vt:variant>
        <vt:lpwstr>http://www.mf.gov.si/</vt:lpwstr>
      </vt:variant>
      <vt:variant>
        <vt:lpwstr/>
      </vt:variant>
      <vt:variant>
        <vt:i4>3080278</vt:i4>
      </vt:variant>
      <vt:variant>
        <vt:i4>9</vt:i4>
      </vt:variant>
      <vt:variant>
        <vt:i4>0</vt:i4>
      </vt:variant>
      <vt:variant>
        <vt:i4>5</vt:i4>
      </vt:variant>
      <vt:variant>
        <vt:lpwstr>mailto:gp.mf@gov.si</vt:lpwstr>
      </vt:variant>
      <vt:variant>
        <vt:lpwstr/>
      </vt:variant>
      <vt:variant>
        <vt:i4>3801180</vt:i4>
      </vt:variant>
      <vt:variant>
        <vt:i4>6</vt:i4>
      </vt:variant>
      <vt:variant>
        <vt:i4>0</vt:i4>
      </vt:variant>
      <vt:variant>
        <vt:i4>5</vt:i4>
      </vt:variant>
      <vt:variant>
        <vt:lpwstr>mailto:Gp.gs@gov.si</vt:lpwstr>
      </vt:variant>
      <vt:variant>
        <vt:lpwstr/>
      </vt:variant>
      <vt:variant>
        <vt:i4>4194388</vt:i4>
      </vt:variant>
      <vt:variant>
        <vt:i4>3</vt:i4>
      </vt:variant>
      <vt:variant>
        <vt:i4>0</vt:i4>
      </vt:variant>
      <vt:variant>
        <vt:i4>5</vt:i4>
      </vt:variant>
      <vt:variant>
        <vt:lpwstr>http://www.mf.gov.si/</vt:lpwstr>
      </vt:variant>
      <vt:variant>
        <vt:lpwstr/>
      </vt:variant>
      <vt:variant>
        <vt:i4>3080278</vt:i4>
      </vt:variant>
      <vt:variant>
        <vt:i4>0</vt:i4>
      </vt:variant>
      <vt:variant>
        <vt:i4>0</vt:i4>
      </vt:variant>
      <vt:variant>
        <vt:i4>5</vt:i4>
      </vt:variant>
      <vt:variant>
        <vt:lpwstr>mailto:gp.mf@gov.si</vt:lpwstr>
      </vt:variant>
      <vt:variant>
        <vt:lpwstr/>
      </vt:variant>
      <vt:variant>
        <vt:i4>1835072</vt:i4>
      </vt:variant>
      <vt:variant>
        <vt:i4>3</vt:i4>
      </vt:variant>
      <vt:variant>
        <vt:i4>0</vt:i4>
      </vt:variant>
      <vt:variant>
        <vt:i4>5</vt:i4>
      </vt:variant>
      <vt:variant>
        <vt:lpwstr>https://www.bafin.de/SharedDocs/Downloads/EN/Aufsichtsrecht/dl_kwg_en.html?nn=8232246</vt:lpwstr>
      </vt:variant>
      <vt:variant>
        <vt:lpwstr/>
      </vt:variant>
      <vt:variant>
        <vt:i4>3997748</vt:i4>
      </vt:variant>
      <vt:variant>
        <vt:i4>0</vt:i4>
      </vt:variant>
      <vt:variant>
        <vt:i4>0</vt:i4>
      </vt:variant>
      <vt:variant>
        <vt:i4>5</vt:i4>
      </vt:variant>
      <vt:variant>
        <vt:lpwstr>https://www.hnb.hr/en/-/zakon-o-kreditnim-institucijama</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Robert Petek</dc:creator>
  <cp:lastModifiedBy>Lidija Vidergar</cp:lastModifiedBy>
  <cp:revision>3</cp:revision>
  <cp:lastPrinted>2021-10-05T12:22:00Z</cp:lastPrinted>
  <dcterms:created xsi:type="dcterms:W3CDTF">2021-11-04T08:04:00Z</dcterms:created>
  <dcterms:modified xsi:type="dcterms:W3CDTF">2021-11-04T08:08:00Z</dcterms:modified>
</cp:coreProperties>
</file>