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A23E2C" w14:textId="77777777" w:rsidR="00FF3E70" w:rsidRPr="00CC1EBD" w:rsidRDefault="00FF3E70" w:rsidP="00DC711F">
      <w:pPr>
        <w:spacing w:after="0" w:line="276" w:lineRule="auto"/>
        <w:jc w:val="center"/>
        <w:rPr>
          <w:rFonts w:ascii="Arial" w:eastAsia="Times New Roman" w:hAnsi="Arial" w:cs="Arial"/>
          <w:b/>
          <w:sz w:val="20"/>
          <w:szCs w:val="20"/>
          <w:lang w:eastAsia="sl-SI"/>
        </w:rPr>
      </w:pPr>
    </w:p>
    <w:p w14:paraId="1B253596" w14:textId="62AEAFFC" w:rsidR="00F14506" w:rsidRPr="00CC1EBD" w:rsidRDefault="00A15801" w:rsidP="00DC711F">
      <w:pPr>
        <w:spacing w:after="0" w:line="276" w:lineRule="auto"/>
        <w:jc w:val="center"/>
        <w:rPr>
          <w:rFonts w:ascii="Arial" w:eastAsia="Times New Roman" w:hAnsi="Arial" w:cs="Arial"/>
          <w:b/>
          <w:sz w:val="20"/>
          <w:szCs w:val="20"/>
          <w:lang w:eastAsia="sl-SI"/>
        </w:rPr>
      </w:pPr>
      <w:r w:rsidRPr="00CC1EBD">
        <w:rPr>
          <w:rFonts w:ascii="Arial" w:eastAsia="Times New Roman" w:hAnsi="Arial" w:cs="Arial"/>
          <w:b/>
          <w:sz w:val="20"/>
          <w:szCs w:val="20"/>
          <w:lang w:eastAsia="sl-SI"/>
        </w:rPr>
        <w:t xml:space="preserve">Predlog </w:t>
      </w:r>
      <w:r w:rsidR="00FF3E70" w:rsidRPr="00CC1EBD">
        <w:rPr>
          <w:rFonts w:ascii="Arial" w:hAnsi="Arial" w:cs="Arial"/>
          <w:b/>
          <w:sz w:val="20"/>
          <w:szCs w:val="20"/>
        </w:rPr>
        <w:t>Uredbe o pravilih za pripravo napovedi položaja proizvodnih naprav na obnovljive vire energije in s soproizvodnjo toplote in električne energije z visokim izkoristkom na trgu z električno energijo</w:t>
      </w:r>
    </w:p>
    <w:p w14:paraId="5785B12A" w14:textId="668DF0A4" w:rsidR="00F14506" w:rsidRPr="00CC1EBD" w:rsidRDefault="00F14506" w:rsidP="00DC711F">
      <w:pPr>
        <w:spacing w:after="0" w:line="276" w:lineRule="auto"/>
        <w:jc w:val="both"/>
        <w:rPr>
          <w:rFonts w:ascii="Arial" w:eastAsia="Times New Roman" w:hAnsi="Arial" w:cs="Arial"/>
          <w:b/>
          <w:sz w:val="20"/>
          <w:szCs w:val="20"/>
          <w:lang w:eastAsia="sl-SI"/>
        </w:rPr>
      </w:pPr>
    </w:p>
    <w:p w14:paraId="6E55A0B6" w14:textId="29558C1C" w:rsidR="00F14506" w:rsidRPr="00CC1EBD" w:rsidRDefault="00F14506" w:rsidP="00DC711F">
      <w:pPr>
        <w:spacing w:after="0" w:line="276" w:lineRule="auto"/>
        <w:jc w:val="both"/>
        <w:rPr>
          <w:rFonts w:ascii="Arial" w:eastAsia="Times New Roman" w:hAnsi="Arial" w:cs="Arial"/>
          <w:b/>
          <w:sz w:val="20"/>
          <w:szCs w:val="20"/>
          <w:lang w:eastAsia="sl-SI"/>
        </w:rPr>
      </w:pPr>
    </w:p>
    <w:p w14:paraId="51ECE098" w14:textId="77777777" w:rsidR="00FF3E70" w:rsidRPr="00CC1EBD" w:rsidRDefault="00FF3E70" w:rsidP="00DC711F">
      <w:pPr>
        <w:spacing w:after="0" w:line="276" w:lineRule="auto"/>
        <w:jc w:val="both"/>
        <w:rPr>
          <w:rFonts w:ascii="Arial" w:eastAsia="Times New Roman" w:hAnsi="Arial" w:cs="Arial"/>
          <w:b/>
          <w:sz w:val="20"/>
          <w:szCs w:val="20"/>
          <w:lang w:eastAsia="sl-SI"/>
        </w:rPr>
      </w:pPr>
    </w:p>
    <w:p w14:paraId="0ED9AF4B" w14:textId="56C0432E" w:rsidR="00415144" w:rsidRPr="00CC1EBD" w:rsidRDefault="00415144" w:rsidP="00DC711F">
      <w:pPr>
        <w:spacing w:after="0" w:line="276" w:lineRule="auto"/>
        <w:jc w:val="both"/>
        <w:rPr>
          <w:rFonts w:ascii="Arial" w:eastAsia="Times New Roman" w:hAnsi="Arial" w:cs="Arial"/>
          <w:b/>
          <w:sz w:val="20"/>
          <w:szCs w:val="20"/>
          <w:lang w:eastAsia="sl-SI"/>
        </w:rPr>
      </w:pPr>
      <w:r w:rsidRPr="00CC1EBD">
        <w:rPr>
          <w:rFonts w:ascii="Arial" w:eastAsia="Times New Roman" w:hAnsi="Arial" w:cs="Arial"/>
          <w:b/>
          <w:sz w:val="20"/>
          <w:szCs w:val="20"/>
          <w:lang w:eastAsia="sl-SI"/>
        </w:rPr>
        <w:t>I. OBRAZLOŽITEV – SPLOŠNO</w:t>
      </w:r>
      <w:r w:rsidR="00DB03C7">
        <w:rPr>
          <w:rFonts w:ascii="Arial" w:eastAsia="Times New Roman" w:hAnsi="Arial" w:cs="Arial"/>
          <w:b/>
          <w:sz w:val="20"/>
          <w:szCs w:val="20"/>
          <w:lang w:eastAsia="sl-SI"/>
        </w:rPr>
        <w:t xml:space="preserve">  </w:t>
      </w:r>
      <w:bookmarkStart w:id="0" w:name="_GoBack"/>
      <w:bookmarkEnd w:id="0"/>
    </w:p>
    <w:p w14:paraId="05D02BA7" w14:textId="30EF661A" w:rsidR="00FF3E70" w:rsidRPr="00CC1EBD" w:rsidRDefault="00FF3E70" w:rsidP="00DC711F">
      <w:pPr>
        <w:spacing w:after="0" w:line="276" w:lineRule="auto"/>
        <w:jc w:val="both"/>
        <w:rPr>
          <w:rFonts w:ascii="Arial" w:eastAsia="Times New Roman" w:hAnsi="Arial" w:cs="Arial"/>
          <w:sz w:val="20"/>
          <w:szCs w:val="20"/>
          <w:lang w:eastAsia="sl-SI"/>
        </w:rPr>
      </w:pPr>
    </w:p>
    <w:p w14:paraId="6B2CCBB5" w14:textId="77777777" w:rsidR="00FF3E70" w:rsidRPr="00CC1EBD" w:rsidRDefault="00FF3E70" w:rsidP="00DC711F">
      <w:pPr>
        <w:spacing w:after="0" w:line="276" w:lineRule="auto"/>
        <w:jc w:val="both"/>
        <w:rPr>
          <w:rFonts w:ascii="Arial" w:eastAsia="Times New Roman" w:hAnsi="Arial" w:cs="Arial"/>
          <w:sz w:val="20"/>
          <w:szCs w:val="20"/>
          <w:lang w:eastAsia="sl-SI"/>
        </w:rPr>
      </w:pPr>
    </w:p>
    <w:p w14:paraId="14AC86A3" w14:textId="782E2E8A"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Z uveljavitvijo </w:t>
      </w:r>
      <w:r w:rsidR="002E34C1" w:rsidRPr="00CC1EBD">
        <w:rPr>
          <w:rFonts w:ascii="Arial" w:hAnsi="Arial" w:cs="Arial"/>
          <w:iCs/>
          <w:sz w:val="20"/>
          <w:szCs w:val="20"/>
          <w:lang w:eastAsia="sl-SI"/>
        </w:rPr>
        <w:t xml:space="preserve">Zakona o spodbujanju rabe obnovljivih virov energije (Uradni list RS, št. 121/21, v nadaljevanju: ZSROVE) </w:t>
      </w:r>
      <w:r w:rsidRPr="00CC1EBD">
        <w:rPr>
          <w:rFonts w:ascii="Arial" w:hAnsi="Arial" w:cs="Arial"/>
          <w:sz w:val="20"/>
          <w:szCs w:val="20"/>
          <w:lang w:eastAsia="sl-SI"/>
        </w:rPr>
        <w:t xml:space="preserve">je </w:t>
      </w:r>
      <w:r w:rsidR="002E34C1" w:rsidRPr="00CC1EBD">
        <w:rPr>
          <w:rFonts w:ascii="Arial" w:hAnsi="Arial" w:cs="Arial"/>
          <w:sz w:val="20"/>
          <w:szCs w:val="20"/>
          <w:lang w:eastAsia="sl-SI"/>
        </w:rPr>
        <w:t xml:space="preserve">Uredba o pravilih za pripravo napovedi položaja proizvodnih naprav na obnovljive vire energije in s soproizvodnjo toplote in električne energije z visokim izkoristkom na trgu z električno energijo (Uradni list RS, št. 46/19, v nadaljevanju: </w:t>
      </w:r>
      <w:r w:rsidRPr="00CC1EBD">
        <w:rPr>
          <w:rFonts w:ascii="Arial" w:hAnsi="Arial" w:cs="Arial"/>
          <w:sz w:val="20"/>
          <w:szCs w:val="20"/>
          <w:lang w:eastAsia="sl-SI"/>
        </w:rPr>
        <w:t>Uredba iz leta 2019</w:t>
      </w:r>
      <w:r w:rsidR="002E34C1" w:rsidRPr="00CC1EBD">
        <w:rPr>
          <w:rFonts w:ascii="Arial" w:hAnsi="Arial" w:cs="Arial"/>
          <w:sz w:val="20"/>
          <w:szCs w:val="20"/>
          <w:lang w:eastAsia="sl-SI"/>
        </w:rPr>
        <w:t>)</w:t>
      </w:r>
      <w:r w:rsidRPr="00CC1EBD">
        <w:rPr>
          <w:rFonts w:ascii="Arial" w:hAnsi="Arial" w:cs="Arial"/>
          <w:sz w:val="20"/>
          <w:szCs w:val="20"/>
          <w:lang w:eastAsia="sl-SI"/>
        </w:rPr>
        <w:t xml:space="preserve"> prenehala veljati, uporablja pa se do uveljavitve novih podzakonskih predpisov, izdanih na podlagi določil ZSROVE.</w:t>
      </w:r>
    </w:p>
    <w:p w14:paraId="44208C26" w14:textId="77777777" w:rsidR="00FF3E70" w:rsidRPr="00CC1EBD" w:rsidRDefault="00FF3E70" w:rsidP="00DC711F">
      <w:pPr>
        <w:spacing w:after="0" w:line="276" w:lineRule="auto"/>
        <w:jc w:val="both"/>
        <w:rPr>
          <w:rFonts w:ascii="Arial" w:hAnsi="Arial" w:cs="Arial"/>
          <w:sz w:val="20"/>
          <w:szCs w:val="20"/>
          <w:lang w:eastAsia="sl-SI"/>
        </w:rPr>
      </w:pPr>
    </w:p>
    <w:p w14:paraId="0FFDA002" w14:textId="609FADC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Besedilo predlagane uredbe ostaja napram besedilu Uredbe iz leta 2019 nespremenjeno, so pa vključene določene spremembe glede pravil iz Priloge I za določanje referenčne cene zemeljskega plina. Izpostaviti gre, da je ministrstvo pristopilo k pripravi nove uredbe na podlagi aktualnih izredno spremenjenih dogajanj na trgu, ki se odražajo v precejšnjem dvigu cen električne energije in zemeljskega plina ter strukturnih spremembah tržnih produktov, zato sedanji model za napovedovanje cen ne odraža več objektivnega stanja na trgu. Napoved tržnih cen pomembno vpliva tudi na sistem tozadevnih državnih pomoči preko določitve potrebne višine obratovalnih podpor proizvodnim napravam v naslednjem letu. S to uredbo se bodo pravno konkretizirala zlasti tista določila ZSROVE, ki sodijo v drugo podpoglavje III. poglavja ZSROVE, ter opredeljujejo podpore za električno energijo iz proizvodnih naprav na obnovljive vire energije (v nadaljnjem besedilu: OVE) in proizvodnih naprav s soproizvodnjo toplote in električne energije (v nadaljnjem besedilu: SPTE), ne pa tudi tista, ki sodijo v tretje podpoglavje in opredeljujejo podpore za proizvodnjo plinastih goriv in toplote in hladu za ogrevanje ali hlajenje na obnovljive vire energije, odvečno toploto in vodika ter pogonskih tekočih in plinastih </w:t>
      </w:r>
      <w:proofErr w:type="spellStart"/>
      <w:r w:rsidRPr="00CC1EBD">
        <w:rPr>
          <w:rFonts w:ascii="Arial" w:hAnsi="Arial" w:cs="Arial"/>
          <w:sz w:val="20"/>
          <w:szCs w:val="20"/>
          <w:lang w:eastAsia="sl-SI"/>
        </w:rPr>
        <w:t>biogoriv</w:t>
      </w:r>
      <w:proofErr w:type="spellEnd"/>
      <w:r w:rsidRPr="00CC1EBD">
        <w:rPr>
          <w:rFonts w:ascii="Arial" w:hAnsi="Arial" w:cs="Arial"/>
          <w:sz w:val="20"/>
          <w:szCs w:val="20"/>
          <w:lang w:eastAsia="sl-SI"/>
        </w:rPr>
        <w:t xml:space="preserve">. Slednje vsebine bo na podzakonski ravni uredila druga uredba, ki bo sprejeta po oblikovani in potrjeni novi podporni shemi. Določila, ki bodo stopila v veljavo s sprejemom predlagane uredbe, pa bodo veljala v okviru že priglašene podporne sheme, ki se izteče konec leta 2025, v skladu z odločitvijo Evropske komisije - SA. 54949 (2019/N). </w:t>
      </w:r>
    </w:p>
    <w:p w14:paraId="68DA9371" w14:textId="77777777" w:rsidR="00FF3E70" w:rsidRPr="00CC1EBD" w:rsidRDefault="00FF3E70" w:rsidP="00DC711F">
      <w:pPr>
        <w:spacing w:after="0" w:line="276" w:lineRule="auto"/>
        <w:jc w:val="both"/>
        <w:rPr>
          <w:rFonts w:ascii="Arial" w:hAnsi="Arial" w:cs="Arial"/>
          <w:sz w:val="20"/>
          <w:szCs w:val="20"/>
          <w:lang w:eastAsia="sl-SI"/>
        </w:rPr>
      </w:pPr>
    </w:p>
    <w:p w14:paraId="0C4962F6" w14:textId="3879D32E"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S tem v zvezi je treba dodati, da Uredba iz leta 20</w:t>
      </w:r>
      <w:r w:rsidRPr="00CC1EBD">
        <w:rPr>
          <w:rFonts w:ascii="Arial" w:hAnsi="Arial" w:cs="Arial"/>
          <w:iCs/>
          <w:sz w:val="20"/>
          <w:szCs w:val="20"/>
          <w:lang w:eastAsia="sl-SI"/>
        </w:rPr>
        <w:t xml:space="preserve">19, </w:t>
      </w:r>
      <w:r w:rsidRPr="00CC1EBD">
        <w:rPr>
          <w:rFonts w:ascii="Arial" w:hAnsi="Arial" w:cs="Arial"/>
          <w:sz w:val="20"/>
          <w:szCs w:val="20"/>
          <w:lang w:eastAsia="sl-SI"/>
        </w:rPr>
        <w:t xml:space="preserve">ki se ta čas še uporablja, agenciji med drugim nalaga, da sproti spremlja cene na trgu ter v primeru daljših odstopanj tržnih cen od referenčnih cen o tem seznani resorno ministrstvo.    </w:t>
      </w:r>
    </w:p>
    <w:p w14:paraId="34A758AA" w14:textId="77777777" w:rsidR="00FF3E70" w:rsidRPr="00CC1EBD" w:rsidRDefault="00FF3E70" w:rsidP="00DC711F">
      <w:pPr>
        <w:spacing w:after="0" w:line="276" w:lineRule="auto"/>
        <w:jc w:val="both"/>
        <w:rPr>
          <w:rFonts w:ascii="Arial" w:hAnsi="Arial" w:cs="Arial"/>
          <w:sz w:val="20"/>
          <w:szCs w:val="20"/>
          <w:lang w:eastAsia="sl-SI"/>
        </w:rPr>
      </w:pPr>
    </w:p>
    <w:p w14:paraId="46E884C3" w14:textId="0C30DF80"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Agencija je ministrstvo pred začetkom zadnjega kvartala 2021 uradno seznanila o tem, da so cene električne energije in zemeljskega plina na relevantnih trgih v obdobju zadnjih nekaj mesecev ekstremno porasle, ter da temu posledično v večjem delu letošnjega leta zelo odstopajo od opredeljenih referenčnih tržnih cen za leto 2021. Referenčna cena električne energije za leto 2021 je bila skladno z uredbo določena v vrednosti 48,04 EUR/MWh, medtem ko cene električne energije na veleprodajnih trgih v večjem delu letošnjega leta to ceno presegajo in so v preteklem mesecu na borzah (na dnevnih, mesečnih in kvartalnih produktih) presegle vrednost 100 EUR/MWh. Agencija ugotavlja, da to predstavlja več kot 100% dvig cene glede na referenčno ceno električne energije, vendar pa na dosežene prihodke večine v shemo vključenih proizvajalcev električne energije nima vpliva v tekočem letu, saj jih je večina s kupci sklenila letne pogodbe o prodaji ob koncu preteklega leta po tržnih cenah, ki so se takrat gibale v okvirjih referenčne cene električne energije.</w:t>
      </w:r>
    </w:p>
    <w:p w14:paraId="613A185C" w14:textId="77777777" w:rsidR="00FF3E70" w:rsidRPr="00CC1EBD" w:rsidRDefault="00FF3E70" w:rsidP="00DC711F">
      <w:pPr>
        <w:spacing w:after="0" w:line="276" w:lineRule="auto"/>
        <w:jc w:val="both"/>
        <w:rPr>
          <w:rFonts w:ascii="Arial" w:hAnsi="Arial" w:cs="Arial"/>
          <w:sz w:val="20"/>
          <w:szCs w:val="20"/>
          <w:lang w:eastAsia="sl-SI"/>
        </w:rPr>
      </w:pPr>
    </w:p>
    <w:p w14:paraId="0CC5745E" w14:textId="60661CCE"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Agencija dalje ugotavlja, da je referenčna cena zemeljskega plina za leto 2O21, ki je določena skladno z Uredbo iz leta 2019, v vrednosti 14,29 EUR/MWh, medtem ko cene zemeljskega plina na trgu v drugi polovici letošnjega leta to ceno močno presegajo, saj so v preteklem mesecu na borzah (na dnevnih, </w:t>
      </w:r>
      <w:r w:rsidRPr="00CC1EBD">
        <w:rPr>
          <w:rFonts w:ascii="Arial" w:hAnsi="Arial" w:cs="Arial"/>
          <w:sz w:val="20"/>
          <w:szCs w:val="20"/>
          <w:lang w:eastAsia="sl-SI"/>
        </w:rPr>
        <w:lastRenderedPageBreak/>
        <w:t xml:space="preserve">mesečnih in kvartalnih produktih) presegle vrednost 50,00 EUR/MWh. Slednje predstavlja več kot 300% dvig cene glede na veljavno referenčno ceno zemeljskega plina v tem letu. Agencija je dalje zapisala, da ugotovljen dvig cen povzroča nekaterim proizvajalcem v proizvodnih napravah SPTE, ki zemeljskega plina za leto 2021 zaradi obratovalnih režimov niso v glavnini zakupili v letu 2020, povzroča stroške ki bistveno presegajo spremenljivi del referenčnih stroškov proizvodnje električne energije, določenih na podlagi referenčne cene zemeljskega plina, in na podlagi indeksa spremembe te cene za leto 2O21 napram referenčni ceni zemeljskega plina izhodiščnega leta 2016.   </w:t>
      </w:r>
    </w:p>
    <w:p w14:paraId="486BEDF7" w14:textId="77777777" w:rsidR="00FF3E70" w:rsidRPr="00CC1EBD" w:rsidRDefault="00FF3E70" w:rsidP="00DC711F">
      <w:pPr>
        <w:spacing w:after="0" w:line="276" w:lineRule="auto"/>
        <w:jc w:val="both"/>
        <w:rPr>
          <w:rFonts w:ascii="Arial" w:hAnsi="Arial" w:cs="Arial"/>
          <w:sz w:val="20"/>
          <w:szCs w:val="20"/>
          <w:lang w:eastAsia="sl-SI"/>
        </w:rPr>
      </w:pPr>
    </w:p>
    <w:p w14:paraId="726A4FD5" w14:textId="67781493" w:rsidR="00FF3E70" w:rsidRPr="00CC1EBD" w:rsidRDefault="00FF3E70" w:rsidP="00DC711F">
      <w:pPr>
        <w:autoSpaceDE w:val="0"/>
        <w:autoSpaceDN w:val="0"/>
        <w:adjustRightInd w:val="0"/>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Ministrstvo je iz tega razloga pristopilo k pripravi nove uredbe, ki bo v Prilogi I omogočilo ureditev stanja zaradi aktualnih velikih tržnih nihanj. Na podlagi izvedenih strokovnih podlag Inštituta Jožef Štefan je bil pripravljen nov model za izračun referenčnih cen </w:t>
      </w:r>
      <w:r w:rsidR="002E34C1" w:rsidRPr="00CC1EBD">
        <w:rPr>
          <w:rFonts w:ascii="Arial" w:hAnsi="Arial" w:cs="Arial"/>
          <w:sz w:val="20"/>
          <w:szCs w:val="20"/>
          <w:lang w:eastAsia="sl-SI"/>
        </w:rPr>
        <w:t>zemeljskega</w:t>
      </w:r>
      <w:r w:rsidRPr="00CC1EBD">
        <w:rPr>
          <w:rFonts w:ascii="Arial" w:hAnsi="Arial" w:cs="Arial"/>
          <w:sz w:val="20"/>
          <w:szCs w:val="20"/>
          <w:lang w:eastAsia="sl-SI"/>
        </w:rPr>
        <w:t xml:space="preserve"> plina. Ključna sprememba modela je vpeljava kvartalnih produktov, ki glede na trenutne dinamične razmere bistveno bolj objektivno odražajo dejanske tržne cene od do sedaj uporabljenega letnega produkta. Predlagan nov model je robusten in bo tudi ob pričakovani umiritvi razmer in trenutnih anomalij na trgu v prihodnje bolj realno napovedoval tržne razmere in s tem ustrezno podlago za določitev višine podpor. Druga pomembna sprememba je časovna uskladitev napovedi za zemeljski plin s časom napovedi tržne cene električne energije. Z novim modelom se obe ceni določata v istem časovnem obdobju (do 25. oktobra tekočega leta), kar upravljalcem proizvodnih naprav omogoča hkratno sklepanje pogodb o nakupu zemeljskega plina ter prodaji električne energije, kar finančna tveganja podjetij bistveno zmanjšuje, ter omogoča posledično tudi nižje in bolj stabilne cene toplote za odjemalce. </w:t>
      </w:r>
    </w:p>
    <w:p w14:paraId="15B721BC" w14:textId="77777777" w:rsidR="00FF3E70" w:rsidRPr="00CC1EBD" w:rsidRDefault="00FF3E70" w:rsidP="00DC711F">
      <w:pPr>
        <w:autoSpaceDE w:val="0"/>
        <w:autoSpaceDN w:val="0"/>
        <w:adjustRightInd w:val="0"/>
        <w:spacing w:after="0" w:line="276" w:lineRule="auto"/>
        <w:jc w:val="both"/>
        <w:rPr>
          <w:rFonts w:ascii="Arial" w:hAnsi="Arial" w:cs="Arial"/>
          <w:sz w:val="20"/>
          <w:szCs w:val="20"/>
          <w:lang w:eastAsia="sl-SI"/>
        </w:rPr>
      </w:pPr>
    </w:p>
    <w:p w14:paraId="73859A02" w14:textId="77777777" w:rsidR="00FF3E70" w:rsidRPr="00CC1EBD" w:rsidRDefault="00FF3E70" w:rsidP="00DC711F">
      <w:pPr>
        <w:autoSpaceDE w:val="0"/>
        <w:autoSpaceDN w:val="0"/>
        <w:adjustRightInd w:val="0"/>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Napovedi referenčnih cen se uporabljajo za tiste proizvodne naprave, ki so v podporno shemo vstopile še pred uveljavitvijo sprememb podporne sheme v letu 2016 (stara shema), kot tudi tiste, ki so vstopile v novo shemo po konkurenčnem postopku v skladu z Uredbo o podporah elektriki, proizvedeni iz obnovljivih virov energije in v soproizvodnji toplote in elektrike z visokim izkoristkom (Uradni list RS, št. </w:t>
      </w:r>
      <w:hyperlink r:id="rId8" w:tgtFrame="_blank" w:tooltip="Uredba o podporah elektriki, proizvedeni iz obnovljivih virov energije in v soproizvodnji toplote in elektrike z visokim izkoristkom" w:history="1">
        <w:r w:rsidRPr="00CC1EBD">
          <w:rPr>
            <w:rFonts w:ascii="Arial" w:hAnsi="Arial" w:cs="Arial"/>
            <w:sz w:val="20"/>
            <w:szCs w:val="20"/>
            <w:lang w:eastAsia="sl-SI"/>
          </w:rPr>
          <w:t>74/16</w:t>
        </w:r>
      </w:hyperlink>
      <w:r w:rsidRPr="00CC1EBD">
        <w:rPr>
          <w:rFonts w:ascii="Arial" w:hAnsi="Arial" w:cs="Arial"/>
          <w:sz w:val="20"/>
          <w:szCs w:val="20"/>
          <w:lang w:eastAsia="sl-SI"/>
        </w:rPr>
        <w:t xml:space="preserve">, </w:t>
      </w:r>
      <w:hyperlink r:id="rId9" w:tgtFrame="_blank" w:tooltip="Uredba o spremembah in dopolnitvah Uredbe o podporah elektriki, proizvedeni iz obnovljivih virov energije in v soproizvodnji toplote in elektrike z visokim izkoristkom" w:history="1">
        <w:r w:rsidRPr="00CC1EBD">
          <w:rPr>
            <w:rFonts w:ascii="Arial" w:hAnsi="Arial" w:cs="Arial"/>
            <w:sz w:val="20"/>
            <w:szCs w:val="20"/>
            <w:lang w:eastAsia="sl-SI"/>
          </w:rPr>
          <w:t>74/20</w:t>
        </w:r>
      </w:hyperlink>
      <w:r w:rsidRPr="00CC1EBD">
        <w:rPr>
          <w:rFonts w:ascii="Arial" w:hAnsi="Arial" w:cs="Arial"/>
          <w:sz w:val="20"/>
          <w:szCs w:val="20"/>
          <w:lang w:eastAsia="sl-SI"/>
        </w:rPr>
        <w:t xml:space="preserve"> in </w:t>
      </w:r>
      <w:hyperlink r:id="rId10" w:tgtFrame="_blank" w:tooltip="Zakon o spodbujanju rabe obnovljivih virov energije" w:history="1">
        <w:r w:rsidRPr="00CC1EBD">
          <w:rPr>
            <w:rFonts w:ascii="Arial" w:hAnsi="Arial" w:cs="Arial"/>
            <w:sz w:val="20"/>
            <w:szCs w:val="20"/>
            <w:lang w:eastAsia="sl-SI"/>
          </w:rPr>
          <w:t>121/21</w:t>
        </w:r>
      </w:hyperlink>
      <w:r w:rsidRPr="00CC1EBD">
        <w:rPr>
          <w:rFonts w:ascii="Arial" w:hAnsi="Arial" w:cs="Arial"/>
          <w:sz w:val="20"/>
          <w:szCs w:val="20"/>
          <w:lang w:eastAsia="sl-SI"/>
        </w:rPr>
        <w:t xml:space="preserve"> – ZSROVE). </w:t>
      </w:r>
    </w:p>
    <w:p w14:paraId="148216D5" w14:textId="2B3350A4" w:rsidR="00415144" w:rsidRPr="00CC1EBD" w:rsidRDefault="00415144" w:rsidP="00DC711F">
      <w:pPr>
        <w:spacing w:after="0" w:line="276" w:lineRule="auto"/>
        <w:jc w:val="both"/>
        <w:rPr>
          <w:rFonts w:ascii="Arial" w:eastAsia="Times New Roman" w:hAnsi="Arial" w:cs="Arial"/>
          <w:b/>
          <w:sz w:val="20"/>
          <w:szCs w:val="20"/>
          <w:lang w:eastAsia="sl-SI"/>
        </w:rPr>
      </w:pPr>
    </w:p>
    <w:p w14:paraId="3787352E" w14:textId="465D86E9" w:rsidR="00FF3E70" w:rsidRPr="00CC1EBD" w:rsidRDefault="00FF3E70" w:rsidP="00DC711F">
      <w:pPr>
        <w:spacing w:after="0" w:line="276" w:lineRule="auto"/>
        <w:jc w:val="both"/>
        <w:rPr>
          <w:rFonts w:ascii="Arial" w:eastAsia="Times New Roman" w:hAnsi="Arial" w:cs="Arial"/>
          <w:b/>
          <w:sz w:val="20"/>
          <w:szCs w:val="20"/>
          <w:lang w:eastAsia="sl-SI"/>
        </w:rPr>
      </w:pPr>
    </w:p>
    <w:p w14:paraId="4893DCE8" w14:textId="4DF1CF1E" w:rsidR="00CA6A56" w:rsidRPr="00CC1EBD" w:rsidRDefault="00CA6A56" w:rsidP="00DC711F">
      <w:pPr>
        <w:spacing w:after="0" w:line="276" w:lineRule="auto"/>
        <w:jc w:val="both"/>
        <w:rPr>
          <w:rFonts w:ascii="Arial" w:eastAsia="Times New Roman" w:hAnsi="Arial" w:cs="Arial"/>
          <w:b/>
          <w:sz w:val="20"/>
          <w:szCs w:val="20"/>
          <w:lang w:eastAsia="sl-SI"/>
        </w:rPr>
      </w:pPr>
      <w:r w:rsidRPr="00CC1EBD">
        <w:rPr>
          <w:rFonts w:ascii="Arial" w:eastAsia="Times New Roman" w:hAnsi="Arial" w:cs="Arial"/>
          <w:b/>
          <w:sz w:val="20"/>
          <w:szCs w:val="20"/>
          <w:lang w:eastAsia="sl-SI"/>
        </w:rPr>
        <w:t>II. BESEDILO ČLENOV</w:t>
      </w:r>
    </w:p>
    <w:p w14:paraId="3DC79805" w14:textId="4264089B" w:rsidR="003C0A12" w:rsidRPr="00CC1EBD" w:rsidRDefault="003C0A12" w:rsidP="00DC711F">
      <w:pPr>
        <w:spacing w:after="0" w:line="276" w:lineRule="auto"/>
        <w:jc w:val="both"/>
        <w:rPr>
          <w:rFonts w:ascii="Arial" w:hAnsi="Arial" w:cs="Arial"/>
          <w:sz w:val="20"/>
          <w:szCs w:val="20"/>
        </w:rPr>
      </w:pPr>
    </w:p>
    <w:p w14:paraId="12AAF4A8" w14:textId="77777777" w:rsidR="00FF3E70" w:rsidRPr="00CC1EBD" w:rsidRDefault="00FF3E70" w:rsidP="00DC711F">
      <w:pPr>
        <w:spacing w:after="0" w:line="276" w:lineRule="auto"/>
        <w:jc w:val="both"/>
        <w:rPr>
          <w:rFonts w:ascii="Arial" w:hAnsi="Arial" w:cs="Arial"/>
          <w:sz w:val="20"/>
          <w:szCs w:val="20"/>
        </w:rPr>
      </w:pPr>
    </w:p>
    <w:p w14:paraId="7172314B" w14:textId="77777777" w:rsidR="00FF3E70" w:rsidRPr="00CC1EBD" w:rsidRDefault="00FF3E70" w:rsidP="00DC711F">
      <w:pPr>
        <w:spacing w:after="0" w:line="276" w:lineRule="auto"/>
        <w:jc w:val="center"/>
        <w:rPr>
          <w:rFonts w:ascii="Arial" w:hAnsi="Arial" w:cs="Arial"/>
          <w:sz w:val="20"/>
          <w:szCs w:val="20"/>
          <w:lang w:eastAsia="sl-SI"/>
        </w:rPr>
      </w:pPr>
      <w:r w:rsidRPr="00CC1EBD">
        <w:rPr>
          <w:rFonts w:ascii="Arial" w:hAnsi="Arial" w:cs="Arial"/>
          <w:sz w:val="20"/>
          <w:szCs w:val="20"/>
          <w:lang w:eastAsia="sl-SI"/>
        </w:rPr>
        <w:t>1. člen</w:t>
      </w:r>
    </w:p>
    <w:p w14:paraId="44D9F9F7" w14:textId="77777777" w:rsidR="00FF3E70" w:rsidRPr="00CC1EBD" w:rsidRDefault="00FF3E70" w:rsidP="00DC711F">
      <w:pPr>
        <w:spacing w:after="0" w:line="276" w:lineRule="auto"/>
        <w:jc w:val="center"/>
        <w:rPr>
          <w:rFonts w:ascii="Arial" w:hAnsi="Arial" w:cs="Arial"/>
          <w:sz w:val="20"/>
          <w:szCs w:val="20"/>
          <w:lang w:eastAsia="sl-SI"/>
        </w:rPr>
      </w:pPr>
      <w:r w:rsidRPr="00CC1EBD">
        <w:rPr>
          <w:rFonts w:ascii="Arial" w:hAnsi="Arial" w:cs="Arial"/>
          <w:sz w:val="20"/>
          <w:szCs w:val="20"/>
          <w:lang w:eastAsia="sl-SI"/>
        </w:rPr>
        <w:t>(vsebina uredbe)</w:t>
      </w:r>
    </w:p>
    <w:p w14:paraId="79574BF9" w14:textId="77777777" w:rsidR="00FF3E70" w:rsidRPr="00CC1EBD" w:rsidRDefault="00FF3E70" w:rsidP="00DC711F">
      <w:pPr>
        <w:spacing w:after="0" w:line="276" w:lineRule="auto"/>
        <w:jc w:val="both"/>
        <w:rPr>
          <w:rFonts w:ascii="Arial" w:hAnsi="Arial" w:cs="Arial"/>
          <w:sz w:val="20"/>
          <w:szCs w:val="20"/>
          <w:lang w:eastAsia="sl-SI"/>
        </w:rPr>
      </w:pPr>
    </w:p>
    <w:p w14:paraId="250A8818"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Ta uredba določa pravila za pripravo napovedi položaja proizvodnih naprav na obnovljive vire energije (v nadaljnjem besedilu: OVE) in proizvodnih naprav s soproizvodnjo toplote in električne energije (v nadaljnjem besedilu: SPTE) z visokim izkoristkom na trgu z električno energijo v državi. </w:t>
      </w:r>
    </w:p>
    <w:p w14:paraId="2013C548" w14:textId="77777777" w:rsidR="00FF3E70" w:rsidRPr="00CC1EBD" w:rsidRDefault="00FF3E70" w:rsidP="00DC711F">
      <w:pPr>
        <w:spacing w:after="0" w:line="276" w:lineRule="auto"/>
        <w:jc w:val="both"/>
        <w:rPr>
          <w:rFonts w:ascii="Arial" w:hAnsi="Arial" w:cs="Arial"/>
          <w:sz w:val="20"/>
          <w:szCs w:val="20"/>
          <w:lang w:eastAsia="sl-SI"/>
        </w:rPr>
      </w:pPr>
    </w:p>
    <w:p w14:paraId="3184165A" w14:textId="77777777" w:rsidR="00FF3E70" w:rsidRPr="00CC1EBD" w:rsidRDefault="00FF3E70" w:rsidP="00DC711F">
      <w:pPr>
        <w:spacing w:after="0" w:line="276" w:lineRule="auto"/>
        <w:jc w:val="both"/>
        <w:rPr>
          <w:rFonts w:ascii="Arial" w:hAnsi="Arial" w:cs="Arial"/>
          <w:sz w:val="20"/>
          <w:szCs w:val="20"/>
          <w:lang w:eastAsia="sl-SI"/>
        </w:rPr>
      </w:pPr>
    </w:p>
    <w:p w14:paraId="335A4134" w14:textId="77777777" w:rsidR="00FF3E70" w:rsidRPr="00CC1EBD" w:rsidRDefault="00FF3E70" w:rsidP="00DC711F">
      <w:pPr>
        <w:spacing w:after="0" w:line="276" w:lineRule="auto"/>
        <w:jc w:val="center"/>
        <w:rPr>
          <w:rFonts w:ascii="Arial" w:hAnsi="Arial" w:cs="Arial"/>
          <w:sz w:val="20"/>
          <w:szCs w:val="20"/>
          <w:lang w:eastAsia="sl-SI"/>
        </w:rPr>
      </w:pPr>
      <w:r w:rsidRPr="00CC1EBD">
        <w:rPr>
          <w:rFonts w:ascii="Arial" w:hAnsi="Arial" w:cs="Arial"/>
          <w:sz w:val="20"/>
          <w:szCs w:val="20"/>
          <w:lang w:eastAsia="sl-SI"/>
        </w:rPr>
        <w:t>2. člen</w:t>
      </w:r>
    </w:p>
    <w:p w14:paraId="28843ECF" w14:textId="77777777" w:rsidR="00FF3E70" w:rsidRPr="00CC1EBD" w:rsidRDefault="00FF3E70" w:rsidP="00DC711F">
      <w:pPr>
        <w:spacing w:after="0" w:line="276" w:lineRule="auto"/>
        <w:jc w:val="center"/>
        <w:rPr>
          <w:rFonts w:ascii="Arial" w:hAnsi="Arial" w:cs="Arial"/>
          <w:sz w:val="20"/>
          <w:szCs w:val="20"/>
          <w:lang w:eastAsia="sl-SI"/>
        </w:rPr>
      </w:pPr>
      <w:r w:rsidRPr="00CC1EBD">
        <w:rPr>
          <w:rFonts w:ascii="Arial" w:hAnsi="Arial" w:cs="Arial"/>
          <w:sz w:val="20"/>
          <w:szCs w:val="20"/>
          <w:lang w:eastAsia="sl-SI"/>
        </w:rPr>
        <w:t>(položaj proizvodnih naprav na OVE in s SPTE na trgu z električno energijo)</w:t>
      </w:r>
    </w:p>
    <w:p w14:paraId="746A59A5" w14:textId="77777777" w:rsidR="00FF3E70" w:rsidRPr="00CC1EBD" w:rsidRDefault="00FF3E70" w:rsidP="00DC711F">
      <w:pPr>
        <w:spacing w:after="0" w:line="276" w:lineRule="auto"/>
        <w:jc w:val="both"/>
        <w:rPr>
          <w:rFonts w:ascii="Arial" w:hAnsi="Arial" w:cs="Arial"/>
          <w:sz w:val="20"/>
          <w:szCs w:val="20"/>
          <w:lang w:eastAsia="sl-SI"/>
        </w:rPr>
      </w:pPr>
    </w:p>
    <w:p w14:paraId="2EFE15F7"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Položaj proizvodnih naprav na OVE in s SPTE na trgu z električno energijo v državi je v napovedi iz prejšnjega člena opredeljen s:</w:t>
      </w:r>
    </w:p>
    <w:p w14:paraId="649D647E" w14:textId="77777777" w:rsidR="00FF3E70" w:rsidRPr="00CC1EBD" w:rsidRDefault="00FF3E70" w:rsidP="00DC711F">
      <w:pPr>
        <w:pStyle w:val="Odstavekseznama"/>
        <w:numPr>
          <w:ilvl w:val="0"/>
          <w:numId w:val="12"/>
        </w:numPr>
        <w:spacing w:after="0" w:line="276" w:lineRule="auto"/>
        <w:ind w:left="0" w:firstLine="0"/>
        <w:jc w:val="both"/>
        <w:rPr>
          <w:rFonts w:ascii="Arial" w:eastAsia="Times New Roman" w:hAnsi="Arial" w:cs="Arial"/>
          <w:sz w:val="20"/>
          <w:szCs w:val="20"/>
          <w:lang w:eastAsia="sl-SI"/>
        </w:rPr>
      </w:pPr>
      <w:r w:rsidRPr="00CC1EBD">
        <w:rPr>
          <w:rFonts w:ascii="Arial" w:eastAsia="Times New Roman" w:hAnsi="Arial" w:cs="Arial"/>
          <w:sz w:val="20"/>
          <w:szCs w:val="20"/>
          <w:lang w:eastAsia="sl-SI"/>
        </w:rPr>
        <w:t>ceno električne energije na trgu z električno energijo (v nadaljnjem besedilu: referenčna cena električne energije) v obdobju, ki ga obravnava napoved in</w:t>
      </w:r>
    </w:p>
    <w:p w14:paraId="052525B8" w14:textId="77777777" w:rsidR="00FF3E70" w:rsidRPr="00CC1EBD" w:rsidRDefault="00FF3E70" w:rsidP="00DC711F">
      <w:pPr>
        <w:pStyle w:val="Odstavekseznama"/>
        <w:numPr>
          <w:ilvl w:val="0"/>
          <w:numId w:val="12"/>
        </w:numPr>
        <w:spacing w:after="0" w:line="276" w:lineRule="auto"/>
        <w:ind w:left="0" w:firstLine="0"/>
        <w:jc w:val="both"/>
        <w:rPr>
          <w:rFonts w:ascii="Arial" w:eastAsia="Times New Roman" w:hAnsi="Arial" w:cs="Arial"/>
          <w:sz w:val="20"/>
          <w:szCs w:val="20"/>
          <w:lang w:eastAsia="sl-SI"/>
        </w:rPr>
      </w:pPr>
      <w:r w:rsidRPr="00CC1EBD">
        <w:rPr>
          <w:rFonts w:ascii="Arial" w:eastAsia="Times New Roman" w:hAnsi="Arial" w:cs="Arial"/>
          <w:sz w:val="20"/>
          <w:szCs w:val="20"/>
          <w:lang w:eastAsia="sl-SI"/>
        </w:rPr>
        <w:t>cenami drugih energentov, ki so potrebni za proizvodnjo električne energije in vplivajo na višino stroškov proizvodnje električne energije v proizvodnih napravah na OVE in SPTE (v nadaljnjem besedilu: referenčne cene energentov) v obdobju, ki ga obravnava napoved.</w:t>
      </w:r>
    </w:p>
    <w:p w14:paraId="7D24C58D" w14:textId="77777777" w:rsidR="00FF3E70" w:rsidRPr="00CC1EBD" w:rsidRDefault="00FF3E70" w:rsidP="00DC711F">
      <w:pPr>
        <w:spacing w:after="0" w:line="276" w:lineRule="auto"/>
        <w:jc w:val="both"/>
        <w:rPr>
          <w:rFonts w:ascii="Arial" w:hAnsi="Arial" w:cs="Arial"/>
          <w:sz w:val="20"/>
          <w:szCs w:val="20"/>
          <w:lang w:eastAsia="sl-SI"/>
        </w:rPr>
      </w:pPr>
    </w:p>
    <w:p w14:paraId="06BBBDE5" w14:textId="77777777" w:rsidR="00FF3E70" w:rsidRPr="00CC1EBD" w:rsidRDefault="00FF3E70" w:rsidP="00DC711F">
      <w:pPr>
        <w:spacing w:after="0" w:line="276" w:lineRule="auto"/>
        <w:jc w:val="both"/>
        <w:rPr>
          <w:rFonts w:ascii="Arial" w:hAnsi="Arial" w:cs="Arial"/>
          <w:sz w:val="20"/>
          <w:szCs w:val="20"/>
          <w:lang w:eastAsia="sl-SI"/>
        </w:rPr>
      </w:pPr>
    </w:p>
    <w:p w14:paraId="6B709D7B" w14:textId="77777777" w:rsidR="00FF3E70" w:rsidRPr="00CC1EBD" w:rsidRDefault="00FF3E70" w:rsidP="00DC711F">
      <w:pPr>
        <w:spacing w:after="0" w:line="276" w:lineRule="auto"/>
        <w:jc w:val="center"/>
        <w:rPr>
          <w:rFonts w:ascii="Arial" w:hAnsi="Arial" w:cs="Arial"/>
          <w:sz w:val="20"/>
          <w:szCs w:val="20"/>
          <w:lang w:eastAsia="sl-SI"/>
        </w:rPr>
      </w:pPr>
      <w:r w:rsidRPr="00CC1EBD">
        <w:rPr>
          <w:rFonts w:ascii="Arial" w:hAnsi="Arial" w:cs="Arial"/>
          <w:sz w:val="20"/>
          <w:szCs w:val="20"/>
          <w:lang w:eastAsia="sl-SI"/>
        </w:rPr>
        <w:t>3. člen</w:t>
      </w:r>
    </w:p>
    <w:p w14:paraId="5A5666BA" w14:textId="77777777" w:rsidR="00FF3E70" w:rsidRPr="00CC1EBD" w:rsidRDefault="00FF3E70" w:rsidP="00DC711F">
      <w:pPr>
        <w:spacing w:after="0" w:line="276" w:lineRule="auto"/>
        <w:jc w:val="center"/>
        <w:rPr>
          <w:rFonts w:ascii="Arial" w:hAnsi="Arial" w:cs="Arial"/>
          <w:sz w:val="20"/>
          <w:szCs w:val="20"/>
          <w:lang w:eastAsia="sl-SI"/>
        </w:rPr>
      </w:pPr>
      <w:r w:rsidRPr="00CC1EBD">
        <w:rPr>
          <w:rFonts w:ascii="Arial" w:hAnsi="Arial" w:cs="Arial"/>
          <w:sz w:val="20"/>
          <w:szCs w:val="20"/>
          <w:lang w:eastAsia="sl-SI"/>
        </w:rPr>
        <w:t>(priprava in objava napovedi položaja proizvodnih naprav na OVE in s SPTE z referenčnimi cenami)</w:t>
      </w:r>
    </w:p>
    <w:p w14:paraId="3FAFCEE7" w14:textId="77777777" w:rsidR="00FF3E70" w:rsidRPr="00CC1EBD" w:rsidRDefault="00FF3E70" w:rsidP="00DC711F">
      <w:pPr>
        <w:spacing w:after="0" w:line="276" w:lineRule="auto"/>
        <w:jc w:val="both"/>
        <w:rPr>
          <w:rFonts w:ascii="Arial" w:hAnsi="Arial" w:cs="Arial"/>
          <w:sz w:val="20"/>
          <w:szCs w:val="20"/>
          <w:lang w:eastAsia="sl-SI"/>
        </w:rPr>
      </w:pPr>
    </w:p>
    <w:p w14:paraId="56A14BE2"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(1) Napoved položaja proizvodnih naprav na OVE in s SPTE z referenčnimi cenami za prihodnje leto pripravi Agencija za energijo (v nadaljnjem besedilu: agencija) in jo objavi na svoji uradni spletni strani najkasneje do 31. oktobra tekočega leta. </w:t>
      </w:r>
    </w:p>
    <w:p w14:paraId="04E90063" w14:textId="77777777" w:rsidR="00FF3E70" w:rsidRPr="00CC1EBD" w:rsidRDefault="00FF3E70" w:rsidP="00DC711F">
      <w:pPr>
        <w:spacing w:after="0" w:line="276" w:lineRule="auto"/>
        <w:jc w:val="both"/>
        <w:rPr>
          <w:rFonts w:ascii="Arial" w:hAnsi="Arial" w:cs="Arial"/>
          <w:sz w:val="20"/>
          <w:szCs w:val="20"/>
          <w:lang w:eastAsia="sl-SI"/>
        </w:rPr>
      </w:pPr>
    </w:p>
    <w:p w14:paraId="79C07CED"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(2) Agencija tekoče spremlja in primerja cene, določene z napovedjo, z dejanskimi razmerami, ki vladajo na trgu z energenti. Agencija preveri tudi, ali so obratovalni stroški proizvodnih naprav za OVE na lesno biomaso višji od referenčne cene električne energije.</w:t>
      </w:r>
    </w:p>
    <w:p w14:paraId="68857B51" w14:textId="77777777" w:rsidR="00FF3E70" w:rsidRPr="00CC1EBD" w:rsidRDefault="00FF3E70" w:rsidP="00DC711F">
      <w:pPr>
        <w:spacing w:after="0" w:line="276" w:lineRule="auto"/>
        <w:jc w:val="both"/>
        <w:rPr>
          <w:rFonts w:ascii="Arial" w:hAnsi="Arial" w:cs="Arial"/>
          <w:sz w:val="20"/>
          <w:szCs w:val="20"/>
          <w:lang w:eastAsia="sl-SI"/>
        </w:rPr>
      </w:pPr>
    </w:p>
    <w:p w14:paraId="63D8CFEE"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(3) V primeru, da cene iz napovedi v večjem delu časovnega obdobja, ki ga obravnava napoved, odstopajo od cen elektrike in drugih energentov, agencija odstopanja sporoči ministrstvu, pristojnemu za energijo, ki jih upošteva pri spremembi pravil za pripravo napovedi.</w:t>
      </w:r>
    </w:p>
    <w:p w14:paraId="0FADC0D2" w14:textId="77777777" w:rsidR="00FF3E70" w:rsidRPr="00CC1EBD" w:rsidRDefault="00FF3E70" w:rsidP="00DC711F">
      <w:pPr>
        <w:spacing w:after="0" w:line="276" w:lineRule="auto"/>
        <w:jc w:val="both"/>
        <w:rPr>
          <w:rFonts w:ascii="Arial" w:hAnsi="Arial" w:cs="Arial"/>
          <w:sz w:val="20"/>
          <w:szCs w:val="20"/>
          <w:lang w:eastAsia="sl-SI"/>
        </w:rPr>
      </w:pPr>
    </w:p>
    <w:p w14:paraId="17CAE639" w14:textId="77777777" w:rsidR="00FF3E70" w:rsidRPr="00CC1EBD" w:rsidRDefault="00FF3E70" w:rsidP="00DC711F">
      <w:pPr>
        <w:spacing w:after="0" w:line="276" w:lineRule="auto"/>
        <w:jc w:val="both"/>
        <w:rPr>
          <w:rFonts w:ascii="Arial" w:hAnsi="Arial" w:cs="Arial"/>
          <w:sz w:val="20"/>
          <w:szCs w:val="20"/>
          <w:lang w:eastAsia="sl-SI"/>
        </w:rPr>
      </w:pPr>
    </w:p>
    <w:p w14:paraId="5DEED972" w14:textId="77777777" w:rsidR="00FF3E70" w:rsidRPr="00CC1EBD" w:rsidRDefault="00FF3E70" w:rsidP="00DC711F">
      <w:pPr>
        <w:spacing w:after="0" w:line="276" w:lineRule="auto"/>
        <w:jc w:val="center"/>
        <w:rPr>
          <w:rFonts w:ascii="Arial" w:hAnsi="Arial" w:cs="Arial"/>
          <w:sz w:val="20"/>
          <w:szCs w:val="20"/>
          <w:lang w:eastAsia="sl-SI"/>
        </w:rPr>
      </w:pPr>
      <w:r w:rsidRPr="00CC1EBD">
        <w:rPr>
          <w:rFonts w:ascii="Arial" w:hAnsi="Arial" w:cs="Arial"/>
          <w:sz w:val="20"/>
          <w:szCs w:val="20"/>
          <w:lang w:eastAsia="sl-SI"/>
        </w:rPr>
        <w:t>4. člen</w:t>
      </w:r>
    </w:p>
    <w:p w14:paraId="2F18C1DB" w14:textId="77777777" w:rsidR="00FF3E70" w:rsidRPr="00CC1EBD" w:rsidRDefault="00FF3E70" w:rsidP="00DC711F">
      <w:pPr>
        <w:spacing w:after="0" w:line="276" w:lineRule="auto"/>
        <w:jc w:val="center"/>
        <w:rPr>
          <w:rFonts w:ascii="Arial" w:hAnsi="Arial" w:cs="Arial"/>
          <w:sz w:val="20"/>
          <w:szCs w:val="20"/>
          <w:lang w:eastAsia="sl-SI"/>
        </w:rPr>
      </w:pPr>
      <w:r w:rsidRPr="00CC1EBD">
        <w:rPr>
          <w:rFonts w:ascii="Arial" w:hAnsi="Arial" w:cs="Arial"/>
          <w:sz w:val="20"/>
          <w:szCs w:val="20"/>
          <w:lang w:eastAsia="sl-SI"/>
        </w:rPr>
        <w:t>(določanja referenčnih cen električne energije in energentov v napovedi)</w:t>
      </w:r>
    </w:p>
    <w:p w14:paraId="63D1C76C" w14:textId="77777777" w:rsidR="00FF3E70" w:rsidRPr="00CC1EBD" w:rsidRDefault="00FF3E70" w:rsidP="00DC711F">
      <w:pPr>
        <w:spacing w:after="0" w:line="276" w:lineRule="auto"/>
        <w:jc w:val="center"/>
        <w:rPr>
          <w:rFonts w:ascii="Arial" w:hAnsi="Arial" w:cs="Arial"/>
          <w:sz w:val="20"/>
          <w:szCs w:val="20"/>
          <w:lang w:eastAsia="sl-SI"/>
        </w:rPr>
      </w:pPr>
    </w:p>
    <w:p w14:paraId="01DC6469"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(1) Referenčna cena električne energije v državi se v napovedi določa na podlagi pravil iz 1. točke Priloge I, ki je sestavni del te uredbe.</w:t>
      </w:r>
    </w:p>
    <w:p w14:paraId="7F04D261" w14:textId="77777777" w:rsidR="00FF3E70" w:rsidRPr="00CC1EBD" w:rsidRDefault="00FF3E70" w:rsidP="00DC711F">
      <w:pPr>
        <w:spacing w:after="0" w:line="276" w:lineRule="auto"/>
        <w:jc w:val="both"/>
        <w:rPr>
          <w:rFonts w:ascii="Arial" w:hAnsi="Arial" w:cs="Arial"/>
          <w:sz w:val="20"/>
          <w:szCs w:val="20"/>
          <w:lang w:eastAsia="sl-SI"/>
        </w:rPr>
      </w:pPr>
    </w:p>
    <w:p w14:paraId="7707C2F5"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(2) Referenčna cena zemeljskega plina v državi, na podlagi katere se izračunajo referenčni stroški proizvodnje električne energije v proizvodnih napravah SPTE, se v napovedi določi na podlagi pravil iz 2. točke Priloge I te uredbe.</w:t>
      </w:r>
    </w:p>
    <w:p w14:paraId="7FCF1B2C" w14:textId="77777777" w:rsidR="00FF3E70" w:rsidRPr="00CC1EBD" w:rsidRDefault="00FF3E70" w:rsidP="00DC711F">
      <w:pPr>
        <w:spacing w:after="0" w:line="276" w:lineRule="auto"/>
        <w:jc w:val="both"/>
        <w:rPr>
          <w:rFonts w:ascii="Arial" w:hAnsi="Arial" w:cs="Arial"/>
          <w:sz w:val="20"/>
          <w:szCs w:val="20"/>
          <w:lang w:eastAsia="sl-SI"/>
        </w:rPr>
      </w:pPr>
    </w:p>
    <w:p w14:paraId="47527606" w14:textId="77777777" w:rsidR="00FF3E70" w:rsidRPr="00CC1EBD" w:rsidRDefault="00FF3E70" w:rsidP="00DC711F">
      <w:pPr>
        <w:spacing w:after="0" w:line="276" w:lineRule="auto"/>
        <w:jc w:val="both"/>
        <w:rPr>
          <w:rFonts w:ascii="Arial" w:hAnsi="Arial" w:cs="Arial"/>
          <w:sz w:val="20"/>
          <w:szCs w:val="20"/>
          <w:lang w:eastAsia="sl-SI"/>
        </w:rPr>
      </w:pPr>
      <w:r w:rsidRPr="00CC1EBD" w:rsidDel="00A91867">
        <w:rPr>
          <w:rFonts w:ascii="Arial" w:hAnsi="Arial" w:cs="Arial"/>
          <w:sz w:val="20"/>
          <w:szCs w:val="20"/>
          <w:lang w:eastAsia="sl-SI"/>
        </w:rPr>
        <w:t xml:space="preserve"> </w:t>
      </w:r>
      <w:r w:rsidRPr="00CC1EBD">
        <w:rPr>
          <w:rFonts w:ascii="Arial" w:hAnsi="Arial" w:cs="Arial"/>
          <w:sz w:val="20"/>
          <w:szCs w:val="20"/>
          <w:lang w:eastAsia="sl-SI"/>
        </w:rPr>
        <w:t xml:space="preserve">(3) Referenčna cena substrata koruzne silaže, na podlagi katere se izračunajo referenčni stroški proizvodnih naprav na OVE z uporabo bioplina, se v napovedi določi na podlagi pravil iz 3. točke Priloge I te uredbe. </w:t>
      </w:r>
    </w:p>
    <w:p w14:paraId="41869494" w14:textId="77777777" w:rsidR="00FF3E70" w:rsidRPr="00CC1EBD" w:rsidRDefault="00FF3E70" w:rsidP="00DC711F">
      <w:pPr>
        <w:spacing w:after="0" w:line="276" w:lineRule="auto"/>
        <w:jc w:val="both"/>
        <w:rPr>
          <w:rFonts w:ascii="Arial" w:hAnsi="Arial" w:cs="Arial"/>
          <w:sz w:val="20"/>
          <w:szCs w:val="20"/>
          <w:lang w:eastAsia="sl-SI"/>
        </w:rPr>
      </w:pPr>
    </w:p>
    <w:p w14:paraId="62FEC7C8"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(4) Referenčna cena lesne biomase, na podlagi katere se izračunajo referenčni stroški proizvodnje električne energije v proizvodnih napravah SPTE in OVE, se v napovedi določi na podlagi pravil iz 4. točke Priloge I te uredbe.</w:t>
      </w:r>
    </w:p>
    <w:p w14:paraId="23D1C027" w14:textId="7E76C38D" w:rsidR="00FF3E70" w:rsidRPr="00CC1EBD" w:rsidRDefault="00FF3E70" w:rsidP="00DC711F">
      <w:pPr>
        <w:spacing w:after="0" w:line="276" w:lineRule="auto"/>
        <w:jc w:val="both"/>
        <w:rPr>
          <w:rFonts w:ascii="Arial" w:hAnsi="Arial" w:cs="Arial"/>
          <w:sz w:val="20"/>
          <w:szCs w:val="20"/>
          <w:lang w:eastAsia="sl-SI"/>
        </w:rPr>
      </w:pPr>
    </w:p>
    <w:p w14:paraId="40C55349" w14:textId="77777777" w:rsidR="00FF3E70" w:rsidRPr="00CC1EBD" w:rsidRDefault="00FF3E70" w:rsidP="00DC711F">
      <w:pPr>
        <w:spacing w:after="0" w:line="276" w:lineRule="auto"/>
        <w:jc w:val="center"/>
        <w:rPr>
          <w:rFonts w:ascii="Arial" w:hAnsi="Arial" w:cs="Arial"/>
          <w:sz w:val="20"/>
          <w:szCs w:val="20"/>
          <w:lang w:eastAsia="sl-SI"/>
        </w:rPr>
      </w:pPr>
      <w:r w:rsidRPr="00CC1EBD">
        <w:rPr>
          <w:rFonts w:ascii="Arial" w:hAnsi="Arial" w:cs="Arial"/>
          <w:sz w:val="20"/>
          <w:szCs w:val="20"/>
          <w:lang w:eastAsia="sl-SI"/>
        </w:rPr>
        <w:t>5. člen</w:t>
      </w:r>
    </w:p>
    <w:p w14:paraId="6D18FD6B" w14:textId="77777777" w:rsidR="00FF3E70" w:rsidRPr="00CC1EBD" w:rsidRDefault="00FF3E70" w:rsidP="00DC711F">
      <w:pPr>
        <w:spacing w:after="0" w:line="276" w:lineRule="auto"/>
        <w:jc w:val="center"/>
        <w:rPr>
          <w:rFonts w:ascii="Arial" w:hAnsi="Arial" w:cs="Arial"/>
          <w:sz w:val="20"/>
          <w:szCs w:val="20"/>
          <w:lang w:eastAsia="sl-SI"/>
        </w:rPr>
      </w:pPr>
      <w:r w:rsidRPr="00CC1EBD">
        <w:rPr>
          <w:rFonts w:ascii="Arial" w:hAnsi="Arial" w:cs="Arial"/>
          <w:sz w:val="20"/>
          <w:szCs w:val="20"/>
          <w:lang w:eastAsia="sl-SI"/>
        </w:rPr>
        <w:t>(prenehanje uporabe predpisa)</w:t>
      </w:r>
    </w:p>
    <w:p w14:paraId="72BEF345" w14:textId="77777777" w:rsidR="00FF3E70" w:rsidRPr="00CC1EBD" w:rsidRDefault="00FF3E70" w:rsidP="00DC711F">
      <w:pPr>
        <w:spacing w:after="0" w:line="276" w:lineRule="auto"/>
        <w:jc w:val="center"/>
        <w:rPr>
          <w:rFonts w:ascii="Arial" w:hAnsi="Arial" w:cs="Arial"/>
          <w:sz w:val="20"/>
          <w:szCs w:val="20"/>
          <w:lang w:eastAsia="sl-SI"/>
        </w:rPr>
      </w:pPr>
    </w:p>
    <w:p w14:paraId="22879295"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Z dnem uveljavitve tega predpisa se preneha uporabljati Uredba o pravilih za pripravo napovedi položaja proizvodnih naprav na obnovljive vire energije in s soproizvodnjo toplote in električne energije z visokim izkoristkom na trgu z električno energijo (Uradni list RS, št. 46/19).</w:t>
      </w:r>
    </w:p>
    <w:p w14:paraId="460F22FD" w14:textId="77777777" w:rsidR="00FF3E70" w:rsidRPr="00CC1EBD" w:rsidRDefault="00FF3E70" w:rsidP="00DC711F">
      <w:pPr>
        <w:spacing w:after="0" w:line="276" w:lineRule="auto"/>
        <w:jc w:val="both"/>
        <w:rPr>
          <w:rFonts w:ascii="Arial" w:hAnsi="Arial" w:cs="Arial"/>
          <w:sz w:val="20"/>
          <w:szCs w:val="20"/>
          <w:lang w:eastAsia="sl-SI"/>
        </w:rPr>
      </w:pPr>
    </w:p>
    <w:p w14:paraId="4DBE1AFA" w14:textId="77777777" w:rsidR="00FF3E70" w:rsidRPr="00CC1EBD" w:rsidRDefault="00FF3E70" w:rsidP="00DC711F">
      <w:pPr>
        <w:spacing w:after="0" w:line="276" w:lineRule="auto"/>
        <w:jc w:val="both"/>
        <w:rPr>
          <w:rFonts w:ascii="Arial" w:hAnsi="Arial" w:cs="Arial"/>
          <w:sz w:val="20"/>
          <w:szCs w:val="20"/>
          <w:lang w:eastAsia="sl-SI"/>
        </w:rPr>
      </w:pPr>
    </w:p>
    <w:p w14:paraId="111DC536" w14:textId="77777777" w:rsidR="00FF3E70" w:rsidRPr="00CC1EBD" w:rsidRDefault="00FF3E70" w:rsidP="00DC711F">
      <w:pPr>
        <w:spacing w:after="0" w:line="276" w:lineRule="auto"/>
        <w:jc w:val="center"/>
        <w:rPr>
          <w:rFonts w:ascii="Arial" w:hAnsi="Arial" w:cs="Arial"/>
          <w:sz w:val="20"/>
          <w:szCs w:val="20"/>
          <w:lang w:eastAsia="sl-SI"/>
        </w:rPr>
      </w:pPr>
      <w:r w:rsidRPr="00CC1EBD">
        <w:rPr>
          <w:rFonts w:ascii="Arial" w:hAnsi="Arial" w:cs="Arial"/>
          <w:sz w:val="20"/>
          <w:szCs w:val="20"/>
          <w:lang w:eastAsia="sl-SI"/>
        </w:rPr>
        <w:t>6. člen</w:t>
      </w:r>
    </w:p>
    <w:p w14:paraId="3E235AAB" w14:textId="77777777" w:rsidR="00FF3E70" w:rsidRPr="00CC1EBD" w:rsidRDefault="00FF3E70" w:rsidP="00DC711F">
      <w:pPr>
        <w:spacing w:after="0" w:line="276" w:lineRule="auto"/>
        <w:jc w:val="center"/>
        <w:rPr>
          <w:rFonts w:ascii="Arial" w:hAnsi="Arial" w:cs="Arial"/>
          <w:bCs/>
          <w:sz w:val="20"/>
          <w:szCs w:val="20"/>
          <w:lang w:eastAsia="sl-SI"/>
        </w:rPr>
      </w:pPr>
      <w:r w:rsidRPr="00CC1EBD">
        <w:rPr>
          <w:rFonts w:ascii="Arial" w:hAnsi="Arial" w:cs="Arial"/>
          <w:bCs/>
          <w:sz w:val="20"/>
          <w:szCs w:val="20"/>
          <w:lang w:eastAsia="sl-SI"/>
        </w:rPr>
        <w:t>(končna določba)</w:t>
      </w:r>
    </w:p>
    <w:p w14:paraId="6D5A38D8" w14:textId="77777777" w:rsidR="00FF3E70" w:rsidRPr="00CC1EBD" w:rsidRDefault="00FF3E70" w:rsidP="00DC711F">
      <w:pPr>
        <w:spacing w:after="0" w:line="276" w:lineRule="auto"/>
        <w:jc w:val="center"/>
        <w:rPr>
          <w:rFonts w:ascii="Arial" w:hAnsi="Arial" w:cs="Arial"/>
          <w:bCs/>
          <w:sz w:val="20"/>
          <w:szCs w:val="20"/>
          <w:lang w:eastAsia="sl-SI"/>
        </w:rPr>
      </w:pPr>
    </w:p>
    <w:p w14:paraId="3943B7CC" w14:textId="77777777" w:rsidR="00FF3E70" w:rsidRPr="00CC1EBD" w:rsidRDefault="00FF3E70" w:rsidP="00DC711F">
      <w:pPr>
        <w:spacing w:after="0" w:line="276" w:lineRule="auto"/>
        <w:jc w:val="both"/>
        <w:rPr>
          <w:rFonts w:ascii="Arial" w:hAnsi="Arial" w:cs="Arial"/>
          <w:bCs/>
          <w:sz w:val="20"/>
          <w:szCs w:val="20"/>
          <w:lang w:eastAsia="sl-SI"/>
        </w:rPr>
      </w:pPr>
      <w:r w:rsidRPr="00CC1EBD">
        <w:rPr>
          <w:rFonts w:ascii="Arial" w:hAnsi="Arial" w:cs="Arial"/>
          <w:bCs/>
          <w:sz w:val="20"/>
          <w:szCs w:val="20"/>
          <w:lang w:eastAsia="sl-SI"/>
        </w:rPr>
        <w:t>Ta uredba začne veljati naslednji dan po objavi v Uradnem listu Republike Slovenije, prvič pa se uporabi za napoved za leto 2022.</w:t>
      </w:r>
    </w:p>
    <w:p w14:paraId="75EED45D" w14:textId="77777777" w:rsidR="00FF3E70" w:rsidRPr="00CC1EBD" w:rsidRDefault="00FF3E70" w:rsidP="00DC711F">
      <w:pPr>
        <w:spacing w:after="0" w:line="276" w:lineRule="auto"/>
        <w:jc w:val="both"/>
        <w:rPr>
          <w:rFonts w:ascii="Arial" w:hAnsi="Arial" w:cs="Arial"/>
          <w:bCs/>
          <w:sz w:val="20"/>
          <w:szCs w:val="20"/>
          <w:lang w:eastAsia="sl-SI"/>
        </w:rPr>
      </w:pPr>
    </w:p>
    <w:p w14:paraId="2701FD50" w14:textId="571D3C16" w:rsidR="00761438" w:rsidRDefault="00761438" w:rsidP="00DC711F">
      <w:pPr>
        <w:spacing w:after="0" w:line="276" w:lineRule="auto"/>
        <w:jc w:val="both"/>
        <w:rPr>
          <w:rFonts w:ascii="Arial" w:hAnsi="Arial" w:cs="Arial"/>
          <w:b/>
          <w:sz w:val="20"/>
          <w:szCs w:val="20"/>
          <w:lang w:eastAsia="sl-SI"/>
        </w:rPr>
      </w:pPr>
    </w:p>
    <w:p w14:paraId="1796EC70" w14:textId="24B571EF" w:rsidR="00DC711F" w:rsidRDefault="00DC711F" w:rsidP="00DC711F">
      <w:pPr>
        <w:spacing w:after="0" w:line="276" w:lineRule="auto"/>
        <w:jc w:val="both"/>
        <w:rPr>
          <w:rFonts w:ascii="Arial" w:hAnsi="Arial" w:cs="Arial"/>
          <w:b/>
          <w:sz w:val="20"/>
          <w:szCs w:val="20"/>
          <w:lang w:eastAsia="sl-SI"/>
        </w:rPr>
      </w:pPr>
    </w:p>
    <w:p w14:paraId="5FE0AAEC" w14:textId="3C4EB7E4" w:rsidR="00DC711F" w:rsidRDefault="00DC711F" w:rsidP="00DC711F">
      <w:pPr>
        <w:spacing w:after="0" w:line="276" w:lineRule="auto"/>
        <w:jc w:val="both"/>
        <w:rPr>
          <w:rFonts w:ascii="Arial" w:hAnsi="Arial" w:cs="Arial"/>
          <w:b/>
          <w:sz w:val="20"/>
          <w:szCs w:val="20"/>
          <w:lang w:eastAsia="sl-SI"/>
        </w:rPr>
      </w:pPr>
    </w:p>
    <w:p w14:paraId="32F16A20" w14:textId="4A36DBF7" w:rsidR="00DC711F" w:rsidRDefault="00DC711F" w:rsidP="00DC711F">
      <w:pPr>
        <w:spacing w:after="0" w:line="276" w:lineRule="auto"/>
        <w:jc w:val="both"/>
        <w:rPr>
          <w:rFonts w:ascii="Arial" w:hAnsi="Arial" w:cs="Arial"/>
          <w:b/>
          <w:sz w:val="20"/>
          <w:szCs w:val="20"/>
          <w:lang w:eastAsia="sl-SI"/>
        </w:rPr>
      </w:pPr>
    </w:p>
    <w:p w14:paraId="35A1618E" w14:textId="38F69E15" w:rsidR="00DC711F" w:rsidRDefault="00DC711F" w:rsidP="00DC711F">
      <w:pPr>
        <w:spacing w:after="0" w:line="276" w:lineRule="auto"/>
        <w:jc w:val="both"/>
        <w:rPr>
          <w:rFonts w:ascii="Arial" w:hAnsi="Arial" w:cs="Arial"/>
          <w:b/>
          <w:sz w:val="20"/>
          <w:szCs w:val="20"/>
          <w:lang w:eastAsia="sl-SI"/>
        </w:rPr>
      </w:pPr>
    </w:p>
    <w:p w14:paraId="681B4CD0" w14:textId="62121E5C" w:rsidR="00DC711F" w:rsidRDefault="00DC711F" w:rsidP="00DC711F">
      <w:pPr>
        <w:spacing w:after="0" w:line="276" w:lineRule="auto"/>
        <w:jc w:val="both"/>
        <w:rPr>
          <w:rFonts w:ascii="Arial" w:hAnsi="Arial" w:cs="Arial"/>
          <w:b/>
          <w:sz w:val="20"/>
          <w:szCs w:val="20"/>
          <w:lang w:eastAsia="sl-SI"/>
        </w:rPr>
      </w:pPr>
    </w:p>
    <w:p w14:paraId="6C23A030" w14:textId="77777777" w:rsidR="00DC711F" w:rsidRPr="00CC1EBD" w:rsidRDefault="00DC711F" w:rsidP="00DC711F">
      <w:pPr>
        <w:spacing w:after="0" w:line="276" w:lineRule="auto"/>
        <w:jc w:val="both"/>
        <w:rPr>
          <w:rFonts w:ascii="Arial" w:hAnsi="Arial" w:cs="Arial"/>
          <w:b/>
          <w:sz w:val="20"/>
          <w:szCs w:val="20"/>
          <w:lang w:eastAsia="sl-SI"/>
        </w:rPr>
      </w:pPr>
    </w:p>
    <w:p w14:paraId="20297DE0" w14:textId="77777777" w:rsidR="00FF3E70" w:rsidRPr="00CC1EBD" w:rsidRDefault="00FF3E70" w:rsidP="00DC711F">
      <w:pPr>
        <w:spacing w:after="0" w:line="276" w:lineRule="auto"/>
        <w:jc w:val="both"/>
        <w:rPr>
          <w:rFonts w:ascii="Arial" w:hAnsi="Arial" w:cs="Arial"/>
          <w:b/>
          <w:sz w:val="20"/>
          <w:szCs w:val="20"/>
          <w:lang w:eastAsia="sl-SI"/>
        </w:rPr>
      </w:pPr>
      <w:r w:rsidRPr="00CC1EBD">
        <w:rPr>
          <w:rFonts w:ascii="Arial" w:hAnsi="Arial" w:cs="Arial"/>
          <w:b/>
          <w:sz w:val="20"/>
          <w:szCs w:val="20"/>
          <w:lang w:eastAsia="sl-SI"/>
        </w:rPr>
        <w:lastRenderedPageBreak/>
        <w:t>PRILOGA I</w:t>
      </w:r>
    </w:p>
    <w:p w14:paraId="72CECBAB" w14:textId="77777777" w:rsidR="00FF3E70" w:rsidRPr="00CC1EBD" w:rsidRDefault="00FF3E70" w:rsidP="00DC711F">
      <w:pPr>
        <w:spacing w:after="0" w:line="276" w:lineRule="auto"/>
        <w:jc w:val="both"/>
        <w:rPr>
          <w:rFonts w:ascii="Arial" w:hAnsi="Arial" w:cs="Arial"/>
          <w:sz w:val="20"/>
          <w:szCs w:val="20"/>
          <w:lang w:eastAsia="sl-SI"/>
        </w:rPr>
      </w:pPr>
    </w:p>
    <w:p w14:paraId="02686266" w14:textId="77777777" w:rsidR="00FF3E70" w:rsidRPr="00CC1EBD" w:rsidRDefault="00FF3E70" w:rsidP="00DC711F">
      <w:pPr>
        <w:spacing w:after="0" w:line="276" w:lineRule="auto"/>
        <w:jc w:val="both"/>
        <w:rPr>
          <w:rFonts w:ascii="Arial" w:hAnsi="Arial" w:cs="Arial"/>
          <w:sz w:val="20"/>
          <w:szCs w:val="20"/>
          <w:lang w:eastAsia="sl-SI"/>
        </w:rPr>
      </w:pPr>
    </w:p>
    <w:p w14:paraId="79939F85" w14:textId="77777777" w:rsidR="00FF3E70" w:rsidRPr="00CC1EBD" w:rsidRDefault="00FF3E70" w:rsidP="00DC711F">
      <w:pPr>
        <w:spacing w:after="0" w:line="276" w:lineRule="auto"/>
        <w:jc w:val="both"/>
        <w:rPr>
          <w:rFonts w:ascii="Arial" w:hAnsi="Arial" w:cs="Arial"/>
          <w:b/>
          <w:sz w:val="20"/>
          <w:szCs w:val="20"/>
          <w:lang w:eastAsia="sl-SI"/>
        </w:rPr>
      </w:pPr>
      <w:r w:rsidRPr="00CC1EBD">
        <w:rPr>
          <w:rFonts w:ascii="Arial" w:hAnsi="Arial" w:cs="Arial"/>
          <w:b/>
          <w:sz w:val="20"/>
          <w:szCs w:val="20"/>
          <w:lang w:eastAsia="sl-SI"/>
        </w:rPr>
        <w:t>1.</w:t>
      </w:r>
      <w:r w:rsidRPr="00CC1EBD">
        <w:rPr>
          <w:rFonts w:ascii="Arial" w:hAnsi="Arial" w:cs="Arial"/>
          <w:b/>
          <w:sz w:val="20"/>
          <w:szCs w:val="20"/>
          <w:lang w:eastAsia="sl-SI"/>
        </w:rPr>
        <w:tab/>
        <w:t>Pravila za določanje referenčne cene električne energije</w:t>
      </w:r>
    </w:p>
    <w:p w14:paraId="2F5BA190" w14:textId="77777777" w:rsidR="00FF3E70" w:rsidRPr="00CC1EBD" w:rsidRDefault="00FF3E70" w:rsidP="00DC711F">
      <w:pPr>
        <w:spacing w:after="0" w:line="276" w:lineRule="auto"/>
        <w:jc w:val="both"/>
        <w:rPr>
          <w:rFonts w:ascii="Arial" w:hAnsi="Arial" w:cs="Arial"/>
          <w:sz w:val="20"/>
          <w:szCs w:val="20"/>
          <w:lang w:eastAsia="sl-SI"/>
        </w:rPr>
      </w:pPr>
    </w:p>
    <w:p w14:paraId="6951DF9C"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Referenčna cena električne energije se določi na podlagi cenovnega modela, ki upošteva cene izvedenih finančnih instrumentov na madžarski borzi HUDEX (</w:t>
      </w:r>
      <w:proofErr w:type="spellStart"/>
      <w:r w:rsidRPr="00CC1EBD">
        <w:rPr>
          <w:rFonts w:ascii="Arial" w:hAnsi="Arial" w:cs="Arial"/>
          <w:sz w:val="20"/>
          <w:szCs w:val="20"/>
          <w:lang w:eastAsia="sl-SI"/>
        </w:rPr>
        <w:t>Hungarian</w:t>
      </w:r>
      <w:proofErr w:type="spellEnd"/>
      <w:r w:rsidRPr="00CC1EBD">
        <w:rPr>
          <w:rFonts w:ascii="Arial" w:hAnsi="Arial" w:cs="Arial"/>
          <w:sz w:val="20"/>
          <w:szCs w:val="20"/>
          <w:lang w:eastAsia="sl-SI"/>
        </w:rPr>
        <w:t xml:space="preserve"> </w:t>
      </w:r>
      <w:proofErr w:type="spellStart"/>
      <w:r w:rsidRPr="00CC1EBD">
        <w:rPr>
          <w:rFonts w:ascii="Arial" w:hAnsi="Arial" w:cs="Arial"/>
          <w:sz w:val="20"/>
          <w:szCs w:val="20"/>
          <w:lang w:eastAsia="sl-SI"/>
        </w:rPr>
        <w:t>Derivative</w:t>
      </w:r>
      <w:proofErr w:type="spellEnd"/>
      <w:r w:rsidRPr="00CC1EBD">
        <w:rPr>
          <w:rFonts w:ascii="Arial" w:hAnsi="Arial" w:cs="Arial"/>
          <w:sz w:val="20"/>
          <w:szCs w:val="20"/>
          <w:lang w:eastAsia="sl-SI"/>
        </w:rPr>
        <w:t xml:space="preserve"> </w:t>
      </w:r>
      <w:proofErr w:type="spellStart"/>
      <w:r w:rsidRPr="00CC1EBD">
        <w:rPr>
          <w:rFonts w:ascii="Arial" w:hAnsi="Arial" w:cs="Arial"/>
          <w:sz w:val="20"/>
          <w:szCs w:val="20"/>
          <w:lang w:eastAsia="sl-SI"/>
        </w:rPr>
        <w:t>Energy</w:t>
      </w:r>
      <w:proofErr w:type="spellEnd"/>
      <w:r w:rsidRPr="00CC1EBD">
        <w:rPr>
          <w:rFonts w:ascii="Arial" w:hAnsi="Arial" w:cs="Arial"/>
          <w:sz w:val="20"/>
          <w:szCs w:val="20"/>
          <w:lang w:eastAsia="sl-SI"/>
        </w:rPr>
        <w:t xml:space="preserve"> Exchange) za prihodnje leto.</w:t>
      </w:r>
    </w:p>
    <w:p w14:paraId="04FC5CC3" w14:textId="77777777" w:rsidR="00FF3E70" w:rsidRPr="00CC1EBD" w:rsidRDefault="00FF3E70" w:rsidP="00DC711F">
      <w:pPr>
        <w:spacing w:after="0" w:line="276" w:lineRule="auto"/>
        <w:jc w:val="both"/>
        <w:rPr>
          <w:rFonts w:ascii="Arial" w:hAnsi="Arial" w:cs="Arial"/>
          <w:sz w:val="20"/>
          <w:szCs w:val="20"/>
          <w:lang w:eastAsia="sl-SI"/>
        </w:rPr>
      </w:pPr>
    </w:p>
    <w:p w14:paraId="607F4655"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Referenčna cena električne energije se izračuna po naslednjem cenovnem modelu: </w:t>
      </w:r>
    </w:p>
    <w:p w14:paraId="0DBA0C24" w14:textId="77777777" w:rsidR="00FF3E70" w:rsidRPr="00CC1EBD" w:rsidRDefault="00FF3E70" w:rsidP="00DC711F">
      <w:pPr>
        <w:spacing w:after="0" w:line="276" w:lineRule="auto"/>
        <w:jc w:val="both"/>
        <w:rPr>
          <w:rFonts w:ascii="Arial" w:hAnsi="Arial" w:cs="Arial"/>
          <w:sz w:val="20"/>
          <w:szCs w:val="20"/>
          <w:lang w:eastAsia="sl-SI"/>
        </w:rPr>
      </w:pPr>
    </w:p>
    <w:p w14:paraId="35706BB7" w14:textId="77777777" w:rsidR="00FF3E70" w:rsidRPr="00CC1EBD" w:rsidRDefault="00FF3E70" w:rsidP="00DC711F">
      <w:pPr>
        <w:spacing w:after="0" w:line="276" w:lineRule="auto"/>
        <w:jc w:val="both"/>
        <w:rPr>
          <w:rFonts w:ascii="Arial" w:hAnsi="Arial" w:cs="Arial"/>
          <w:b/>
          <w:i/>
          <w:sz w:val="20"/>
          <w:szCs w:val="20"/>
          <w:lang w:eastAsia="sl-SI"/>
        </w:rPr>
      </w:pPr>
      <w:r w:rsidRPr="00CC1EBD">
        <w:rPr>
          <w:rFonts w:ascii="Arial" w:hAnsi="Arial" w:cs="Arial"/>
          <w:b/>
          <w:i/>
          <w:sz w:val="20"/>
          <w:szCs w:val="20"/>
          <w:lang w:eastAsia="sl-SI"/>
        </w:rPr>
        <w:t>C(</w:t>
      </w:r>
      <w:proofErr w:type="spellStart"/>
      <w:r w:rsidRPr="00CC1EBD">
        <w:rPr>
          <w:rFonts w:ascii="Arial" w:hAnsi="Arial" w:cs="Arial"/>
          <w:b/>
          <w:i/>
          <w:sz w:val="20"/>
          <w:szCs w:val="20"/>
          <w:lang w:eastAsia="sl-SI"/>
        </w:rPr>
        <w:t>El</w:t>
      </w:r>
      <w:r w:rsidRPr="00CC1EBD">
        <w:rPr>
          <w:rFonts w:ascii="Arial" w:hAnsi="Arial" w:cs="Arial"/>
          <w:b/>
          <w:i/>
          <w:sz w:val="20"/>
          <w:szCs w:val="20"/>
          <w:vertAlign w:val="subscript"/>
          <w:lang w:eastAsia="sl-SI"/>
        </w:rPr>
        <w:t>Ref</w:t>
      </w:r>
      <w:proofErr w:type="spellEnd"/>
      <w:r w:rsidRPr="00CC1EBD">
        <w:rPr>
          <w:rFonts w:ascii="Arial" w:hAnsi="Arial" w:cs="Arial"/>
          <w:b/>
          <w:i/>
          <w:sz w:val="20"/>
          <w:szCs w:val="20"/>
          <w:lang w:eastAsia="sl-SI"/>
        </w:rPr>
        <w:t>) = BL YR+1</w:t>
      </w:r>
    </w:p>
    <w:p w14:paraId="34E10C85" w14:textId="77777777" w:rsidR="00FF3E70" w:rsidRPr="00CC1EBD" w:rsidRDefault="00FF3E70" w:rsidP="00DC711F">
      <w:pPr>
        <w:spacing w:after="0" w:line="276" w:lineRule="auto"/>
        <w:jc w:val="both"/>
        <w:rPr>
          <w:rFonts w:ascii="Arial" w:hAnsi="Arial" w:cs="Arial"/>
          <w:sz w:val="20"/>
          <w:szCs w:val="20"/>
          <w:lang w:eastAsia="sl-SI"/>
        </w:rPr>
      </w:pPr>
    </w:p>
    <w:p w14:paraId="38AA1745"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V zgornjem modelu je: </w:t>
      </w:r>
    </w:p>
    <w:p w14:paraId="704B7A72" w14:textId="77777777" w:rsidR="00FF3E70" w:rsidRPr="00CC1EBD" w:rsidRDefault="00FF3E70" w:rsidP="00DC711F">
      <w:pPr>
        <w:spacing w:after="0" w:line="276" w:lineRule="auto"/>
        <w:jc w:val="both"/>
        <w:rPr>
          <w:rFonts w:ascii="Arial" w:hAnsi="Arial" w:cs="Arial"/>
          <w:sz w:val="20"/>
          <w:szCs w:val="20"/>
          <w:lang w:eastAsia="sl-SI"/>
        </w:rPr>
      </w:pPr>
    </w:p>
    <w:p w14:paraId="1AA55317"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b/>
          <w:i/>
          <w:sz w:val="20"/>
          <w:szCs w:val="20"/>
          <w:lang w:eastAsia="sl-SI"/>
        </w:rPr>
        <w:t>C(</w:t>
      </w:r>
      <w:proofErr w:type="spellStart"/>
      <w:r w:rsidRPr="00CC1EBD">
        <w:rPr>
          <w:rFonts w:ascii="Arial" w:hAnsi="Arial" w:cs="Arial"/>
          <w:b/>
          <w:i/>
          <w:sz w:val="20"/>
          <w:szCs w:val="20"/>
          <w:lang w:eastAsia="sl-SI"/>
        </w:rPr>
        <w:t>El</w:t>
      </w:r>
      <w:r w:rsidRPr="00CC1EBD">
        <w:rPr>
          <w:rFonts w:ascii="Arial" w:hAnsi="Arial" w:cs="Arial"/>
          <w:b/>
          <w:i/>
          <w:sz w:val="20"/>
          <w:szCs w:val="20"/>
          <w:vertAlign w:val="subscript"/>
          <w:lang w:eastAsia="sl-SI"/>
        </w:rPr>
        <w:t>Ref</w:t>
      </w:r>
      <w:proofErr w:type="spellEnd"/>
      <w:r w:rsidRPr="00CC1EBD">
        <w:rPr>
          <w:rFonts w:ascii="Arial" w:hAnsi="Arial" w:cs="Arial"/>
          <w:b/>
          <w:i/>
          <w:sz w:val="20"/>
          <w:szCs w:val="20"/>
          <w:lang w:eastAsia="sl-SI"/>
        </w:rPr>
        <w:t>)</w:t>
      </w:r>
      <w:r w:rsidRPr="00CC1EBD">
        <w:rPr>
          <w:rFonts w:ascii="Arial" w:hAnsi="Arial" w:cs="Arial"/>
          <w:sz w:val="20"/>
          <w:szCs w:val="20"/>
          <w:lang w:eastAsia="sl-SI"/>
        </w:rPr>
        <w:tab/>
        <w:t xml:space="preserve">referenčna cena električne energije v EUR/MWh </w:t>
      </w:r>
    </w:p>
    <w:p w14:paraId="53714D94"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b/>
          <w:i/>
          <w:sz w:val="20"/>
          <w:szCs w:val="20"/>
          <w:lang w:eastAsia="sl-SI"/>
        </w:rPr>
        <w:t>BL YR+1</w:t>
      </w:r>
      <w:r w:rsidRPr="00CC1EBD">
        <w:rPr>
          <w:rFonts w:ascii="Arial" w:hAnsi="Arial" w:cs="Arial"/>
          <w:i/>
          <w:sz w:val="20"/>
          <w:szCs w:val="20"/>
          <w:lang w:eastAsia="sl-SI"/>
        </w:rPr>
        <w:tab/>
      </w:r>
      <w:r w:rsidRPr="00CC1EBD">
        <w:rPr>
          <w:rFonts w:ascii="Arial" w:hAnsi="Arial" w:cs="Arial"/>
          <w:sz w:val="20"/>
          <w:szCs w:val="20"/>
          <w:lang w:eastAsia="sl-SI"/>
        </w:rPr>
        <w:t xml:space="preserve">cena produkta »HUDEX </w:t>
      </w:r>
      <w:proofErr w:type="spellStart"/>
      <w:r w:rsidRPr="00CC1EBD">
        <w:rPr>
          <w:rFonts w:ascii="Arial" w:hAnsi="Arial" w:cs="Arial"/>
          <w:sz w:val="20"/>
          <w:szCs w:val="20"/>
          <w:lang w:eastAsia="sl-SI"/>
        </w:rPr>
        <w:t>Hungarian</w:t>
      </w:r>
      <w:proofErr w:type="spellEnd"/>
      <w:r w:rsidRPr="00CC1EBD">
        <w:rPr>
          <w:rFonts w:ascii="Arial" w:hAnsi="Arial" w:cs="Arial"/>
          <w:sz w:val="20"/>
          <w:szCs w:val="20"/>
          <w:lang w:eastAsia="sl-SI"/>
        </w:rPr>
        <w:t xml:space="preserve"> </w:t>
      </w:r>
      <w:proofErr w:type="spellStart"/>
      <w:r w:rsidRPr="00CC1EBD">
        <w:rPr>
          <w:rFonts w:ascii="Arial" w:hAnsi="Arial" w:cs="Arial"/>
          <w:sz w:val="20"/>
          <w:szCs w:val="20"/>
          <w:lang w:eastAsia="sl-SI"/>
        </w:rPr>
        <w:t>Financial</w:t>
      </w:r>
      <w:proofErr w:type="spellEnd"/>
      <w:r w:rsidRPr="00CC1EBD">
        <w:rPr>
          <w:rFonts w:ascii="Arial" w:hAnsi="Arial" w:cs="Arial"/>
          <w:sz w:val="20"/>
          <w:szCs w:val="20"/>
          <w:lang w:eastAsia="sl-SI"/>
        </w:rPr>
        <w:t xml:space="preserve"> </w:t>
      </w:r>
      <w:proofErr w:type="spellStart"/>
      <w:r w:rsidRPr="00CC1EBD">
        <w:rPr>
          <w:rFonts w:ascii="Arial" w:hAnsi="Arial" w:cs="Arial"/>
          <w:sz w:val="20"/>
          <w:szCs w:val="20"/>
          <w:lang w:eastAsia="sl-SI"/>
        </w:rPr>
        <w:t>Power</w:t>
      </w:r>
      <w:proofErr w:type="spellEnd"/>
      <w:r w:rsidRPr="00CC1EBD">
        <w:rPr>
          <w:rFonts w:ascii="Arial" w:hAnsi="Arial" w:cs="Arial"/>
          <w:sz w:val="20"/>
          <w:szCs w:val="20"/>
          <w:lang w:eastAsia="sl-SI"/>
        </w:rPr>
        <w:t xml:space="preserve"> Base </w:t>
      </w:r>
      <w:proofErr w:type="spellStart"/>
      <w:r w:rsidRPr="00CC1EBD">
        <w:rPr>
          <w:rFonts w:ascii="Arial" w:hAnsi="Arial" w:cs="Arial"/>
          <w:sz w:val="20"/>
          <w:szCs w:val="20"/>
          <w:lang w:eastAsia="sl-SI"/>
        </w:rPr>
        <w:t>Load</w:t>
      </w:r>
      <w:proofErr w:type="spellEnd"/>
      <w:r w:rsidRPr="00CC1EBD">
        <w:rPr>
          <w:rFonts w:ascii="Arial" w:hAnsi="Arial" w:cs="Arial"/>
          <w:sz w:val="20"/>
          <w:szCs w:val="20"/>
          <w:lang w:eastAsia="sl-SI"/>
        </w:rPr>
        <w:t xml:space="preserve"> </w:t>
      </w:r>
    </w:p>
    <w:p w14:paraId="3CBA17C2" w14:textId="77777777" w:rsidR="00FF3E70" w:rsidRPr="00CC1EBD" w:rsidRDefault="00FF3E70" w:rsidP="00DC711F">
      <w:pPr>
        <w:spacing w:after="0" w:line="276" w:lineRule="auto"/>
        <w:jc w:val="both"/>
        <w:rPr>
          <w:rFonts w:ascii="Arial" w:hAnsi="Arial" w:cs="Arial"/>
          <w:sz w:val="20"/>
          <w:szCs w:val="20"/>
          <w:lang w:eastAsia="sl-SI"/>
        </w:rPr>
      </w:pPr>
      <w:proofErr w:type="spellStart"/>
      <w:r w:rsidRPr="00CC1EBD">
        <w:rPr>
          <w:rFonts w:ascii="Arial" w:hAnsi="Arial" w:cs="Arial"/>
          <w:sz w:val="20"/>
          <w:szCs w:val="20"/>
          <w:lang w:eastAsia="sl-SI"/>
        </w:rPr>
        <w:t>Product</w:t>
      </w:r>
      <w:proofErr w:type="spellEnd"/>
      <w:r w:rsidRPr="00CC1EBD">
        <w:rPr>
          <w:rFonts w:ascii="Arial" w:hAnsi="Arial" w:cs="Arial"/>
          <w:sz w:val="20"/>
          <w:szCs w:val="20"/>
          <w:lang w:eastAsia="sl-SI"/>
        </w:rPr>
        <w:t xml:space="preserve">« na borzi HUDEX  za prihodnje leto v EUR/MWh </w:t>
      </w:r>
    </w:p>
    <w:p w14:paraId="4A2E4405" w14:textId="77777777" w:rsidR="00FF3E70" w:rsidRPr="00CC1EBD" w:rsidRDefault="00FF3E70" w:rsidP="00DC711F">
      <w:pPr>
        <w:spacing w:after="0" w:line="276" w:lineRule="auto"/>
        <w:jc w:val="both"/>
        <w:rPr>
          <w:rFonts w:ascii="Arial" w:hAnsi="Arial" w:cs="Arial"/>
          <w:sz w:val="20"/>
          <w:szCs w:val="20"/>
          <w:lang w:eastAsia="sl-SI"/>
        </w:rPr>
      </w:pPr>
    </w:p>
    <w:p w14:paraId="6BF445C9"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Pri določitvi </w:t>
      </w:r>
      <w:r w:rsidRPr="00CC1EBD">
        <w:rPr>
          <w:rFonts w:ascii="Arial" w:hAnsi="Arial" w:cs="Arial"/>
          <w:b/>
          <w:i/>
          <w:sz w:val="20"/>
          <w:szCs w:val="20"/>
          <w:lang w:eastAsia="sl-SI"/>
        </w:rPr>
        <w:t>BL YR+1</w:t>
      </w:r>
      <w:r w:rsidRPr="00CC1EBD">
        <w:rPr>
          <w:rFonts w:ascii="Arial" w:hAnsi="Arial" w:cs="Arial"/>
          <w:sz w:val="20"/>
          <w:szCs w:val="20"/>
          <w:lang w:eastAsia="sl-SI"/>
        </w:rPr>
        <w:t xml:space="preserve"> se uporabi povprečje doseženih zaključnih trgovalnih cen produkta za 10 trgovalnih dni pred 25. oktobrom  tekočega leta. Vrednost se zaokroži na dve decimalni mesti.</w:t>
      </w:r>
    </w:p>
    <w:p w14:paraId="15262549" w14:textId="77777777" w:rsidR="00FF3E70" w:rsidRPr="00CC1EBD" w:rsidRDefault="00FF3E70" w:rsidP="00DC711F">
      <w:pPr>
        <w:spacing w:after="0" w:line="276" w:lineRule="auto"/>
        <w:jc w:val="both"/>
        <w:rPr>
          <w:rFonts w:ascii="Arial" w:hAnsi="Arial" w:cs="Arial"/>
          <w:sz w:val="20"/>
          <w:szCs w:val="20"/>
          <w:lang w:eastAsia="sl-SI"/>
        </w:rPr>
      </w:pPr>
    </w:p>
    <w:p w14:paraId="73711F55" w14:textId="77777777" w:rsidR="00FF3E70" w:rsidRPr="00CC1EBD" w:rsidRDefault="00FF3E70" w:rsidP="00DC711F">
      <w:pPr>
        <w:spacing w:after="0" w:line="276" w:lineRule="auto"/>
        <w:jc w:val="both"/>
        <w:rPr>
          <w:rFonts w:ascii="Arial" w:hAnsi="Arial" w:cs="Arial"/>
          <w:sz w:val="20"/>
          <w:szCs w:val="20"/>
          <w:lang w:eastAsia="sl-SI"/>
        </w:rPr>
      </w:pPr>
    </w:p>
    <w:p w14:paraId="55CBFA76" w14:textId="77777777" w:rsidR="00FF3E70" w:rsidRPr="00CC1EBD" w:rsidRDefault="00FF3E70" w:rsidP="00DC711F">
      <w:pPr>
        <w:spacing w:after="0" w:line="276" w:lineRule="auto"/>
        <w:jc w:val="both"/>
        <w:rPr>
          <w:rFonts w:ascii="Arial" w:hAnsi="Arial" w:cs="Arial"/>
          <w:sz w:val="20"/>
          <w:szCs w:val="20"/>
          <w:lang w:eastAsia="sl-SI"/>
        </w:rPr>
      </w:pPr>
    </w:p>
    <w:p w14:paraId="0D546101" w14:textId="77777777" w:rsidR="00FF3E70" w:rsidRPr="00CC1EBD" w:rsidRDefault="00FF3E70" w:rsidP="00DC711F">
      <w:pPr>
        <w:spacing w:after="0" w:line="276" w:lineRule="auto"/>
        <w:jc w:val="both"/>
        <w:rPr>
          <w:rFonts w:ascii="Arial" w:hAnsi="Arial" w:cs="Arial"/>
          <w:b/>
          <w:sz w:val="20"/>
          <w:szCs w:val="20"/>
          <w:lang w:eastAsia="sl-SI"/>
        </w:rPr>
      </w:pPr>
      <w:r w:rsidRPr="00CC1EBD">
        <w:rPr>
          <w:rFonts w:ascii="Arial" w:hAnsi="Arial" w:cs="Arial"/>
          <w:b/>
          <w:sz w:val="20"/>
          <w:szCs w:val="20"/>
          <w:lang w:eastAsia="sl-SI"/>
        </w:rPr>
        <w:t>2.</w:t>
      </w:r>
      <w:r w:rsidRPr="00CC1EBD">
        <w:rPr>
          <w:rFonts w:ascii="Arial" w:hAnsi="Arial" w:cs="Arial"/>
          <w:b/>
          <w:sz w:val="20"/>
          <w:szCs w:val="20"/>
          <w:lang w:eastAsia="sl-SI"/>
        </w:rPr>
        <w:tab/>
        <w:t>Pravila za določanje referenčne cene zemeljskega plina</w:t>
      </w:r>
    </w:p>
    <w:p w14:paraId="791A188F" w14:textId="77777777" w:rsidR="00FF3E70" w:rsidRPr="00CC1EBD" w:rsidRDefault="00FF3E70" w:rsidP="00DC711F">
      <w:pPr>
        <w:spacing w:after="0" w:line="276" w:lineRule="auto"/>
        <w:jc w:val="both"/>
        <w:rPr>
          <w:rFonts w:ascii="Arial" w:hAnsi="Arial" w:cs="Arial"/>
          <w:sz w:val="20"/>
          <w:szCs w:val="20"/>
          <w:lang w:eastAsia="sl-SI"/>
        </w:rPr>
      </w:pPr>
    </w:p>
    <w:p w14:paraId="792D24CD"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Referenčna cena zemeljskega plina se v napovedi določi na podlagi cenovnega modela, ki upošteva cene kvartalnih tržnih produktov na plinskem vozlišču CEGH na Dunaju za prihodnje leto in izstopno in vstopno ceno zakupa prenosnih zmogljivosti na meji med Republiko Slovenijo in Republiko Avstrijo za prihodnje leto.</w:t>
      </w:r>
    </w:p>
    <w:p w14:paraId="53E9BA3E" w14:textId="77777777" w:rsidR="00FF3E70" w:rsidRPr="00CC1EBD" w:rsidRDefault="00FF3E70" w:rsidP="00DC711F">
      <w:pPr>
        <w:spacing w:after="0" w:line="276" w:lineRule="auto"/>
        <w:jc w:val="both"/>
        <w:rPr>
          <w:rFonts w:ascii="Arial" w:hAnsi="Arial" w:cs="Arial"/>
          <w:sz w:val="20"/>
          <w:szCs w:val="20"/>
          <w:lang w:eastAsia="sl-SI"/>
        </w:rPr>
      </w:pPr>
    </w:p>
    <w:p w14:paraId="489ABA69"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Referenčna cena zemeljskega plina se izračuna po naslednjem cenovnem modelu: </w:t>
      </w:r>
    </w:p>
    <w:p w14:paraId="72EE1878" w14:textId="77777777" w:rsidR="00FF3E70" w:rsidRPr="00CC1EBD" w:rsidRDefault="00FF3E70" w:rsidP="00DC711F">
      <w:pPr>
        <w:spacing w:after="0" w:line="276" w:lineRule="auto"/>
        <w:jc w:val="both"/>
        <w:rPr>
          <w:rFonts w:ascii="Arial" w:hAnsi="Arial" w:cs="Arial"/>
          <w:sz w:val="20"/>
          <w:szCs w:val="20"/>
          <w:lang w:eastAsia="sl-SI"/>
        </w:rPr>
      </w:pPr>
    </w:p>
    <w:p w14:paraId="332DBAFE" w14:textId="77777777" w:rsidR="00FF3E70" w:rsidRPr="00CC1EBD" w:rsidRDefault="00FF3E70" w:rsidP="00DC711F">
      <w:pPr>
        <w:spacing w:after="0" w:line="276" w:lineRule="auto"/>
        <w:jc w:val="both"/>
        <w:rPr>
          <w:rFonts w:ascii="Arial" w:hAnsi="Arial" w:cs="Arial"/>
          <w:b/>
          <w:i/>
          <w:sz w:val="20"/>
          <w:szCs w:val="20"/>
          <w:lang w:eastAsia="sl-SI"/>
        </w:rPr>
      </w:pPr>
      <w:r w:rsidRPr="00CC1EBD">
        <w:rPr>
          <w:rFonts w:ascii="Arial" w:hAnsi="Arial" w:cs="Arial"/>
          <w:b/>
          <w:i/>
          <w:sz w:val="20"/>
          <w:szCs w:val="20"/>
          <w:lang w:eastAsia="sl-SI"/>
        </w:rPr>
        <w:t>C(</w:t>
      </w:r>
      <w:proofErr w:type="spellStart"/>
      <w:r w:rsidRPr="00CC1EBD">
        <w:rPr>
          <w:rFonts w:ascii="Arial" w:hAnsi="Arial" w:cs="Arial"/>
          <w:b/>
          <w:i/>
          <w:sz w:val="20"/>
          <w:szCs w:val="20"/>
          <w:lang w:eastAsia="sl-SI"/>
        </w:rPr>
        <w:t>ZP</w:t>
      </w:r>
      <w:r w:rsidRPr="00CC1EBD">
        <w:rPr>
          <w:rFonts w:ascii="Arial" w:hAnsi="Arial" w:cs="Arial"/>
          <w:b/>
          <w:i/>
          <w:sz w:val="20"/>
          <w:szCs w:val="20"/>
          <w:vertAlign w:val="subscript"/>
          <w:lang w:eastAsia="sl-SI"/>
        </w:rPr>
        <w:t>Ref</w:t>
      </w:r>
      <w:proofErr w:type="spellEnd"/>
      <w:r w:rsidRPr="00CC1EBD">
        <w:rPr>
          <w:rFonts w:ascii="Arial" w:hAnsi="Arial" w:cs="Arial"/>
          <w:b/>
          <w:i/>
          <w:sz w:val="20"/>
          <w:szCs w:val="20"/>
          <w:lang w:eastAsia="sl-SI"/>
        </w:rPr>
        <w:t xml:space="preserve">) = Q1*0,51+ Q2*0,09+Q3*0,02 + Q4*0,38 + </w:t>
      </w:r>
      <w:proofErr w:type="spellStart"/>
      <w:r w:rsidRPr="00CC1EBD">
        <w:rPr>
          <w:rFonts w:ascii="Arial" w:hAnsi="Arial" w:cs="Arial"/>
          <w:b/>
          <w:i/>
          <w:sz w:val="20"/>
          <w:szCs w:val="20"/>
          <w:lang w:eastAsia="sl-SI"/>
        </w:rPr>
        <w:t>CExA</w:t>
      </w:r>
      <w:proofErr w:type="spellEnd"/>
      <w:r w:rsidRPr="00CC1EBD">
        <w:rPr>
          <w:rFonts w:ascii="Arial" w:hAnsi="Arial" w:cs="Arial"/>
          <w:b/>
          <w:i/>
          <w:sz w:val="20"/>
          <w:szCs w:val="20"/>
          <w:lang w:eastAsia="sl-SI"/>
        </w:rPr>
        <w:t xml:space="preserve"> + </w:t>
      </w:r>
      <w:proofErr w:type="spellStart"/>
      <w:r w:rsidRPr="00CC1EBD">
        <w:rPr>
          <w:rFonts w:ascii="Arial" w:hAnsi="Arial" w:cs="Arial"/>
          <w:b/>
          <w:i/>
          <w:sz w:val="20"/>
          <w:szCs w:val="20"/>
          <w:lang w:eastAsia="sl-SI"/>
        </w:rPr>
        <w:t>CEnSLO</w:t>
      </w:r>
      <w:proofErr w:type="spellEnd"/>
    </w:p>
    <w:p w14:paraId="7C6B5E70" w14:textId="77777777" w:rsidR="00FF3E70" w:rsidRPr="00CC1EBD" w:rsidRDefault="00FF3E70" w:rsidP="00DC711F">
      <w:pPr>
        <w:spacing w:after="0" w:line="276" w:lineRule="auto"/>
        <w:jc w:val="both"/>
        <w:rPr>
          <w:rFonts w:ascii="Arial" w:hAnsi="Arial" w:cs="Arial"/>
          <w:sz w:val="20"/>
          <w:szCs w:val="20"/>
          <w:lang w:eastAsia="sl-SI"/>
        </w:rPr>
      </w:pPr>
    </w:p>
    <w:p w14:paraId="3E12E96C" w14:textId="77777777" w:rsidR="00FF3E70" w:rsidRPr="00CC1EBD" w:rsidRDefault="00FF3E70" w:rsidP="00DC711F">
      <w:pPr>
        <w:spacing w:after="0" w:line="276" w:lineRule="auto"/>
        <w:jc w:val="both"/>
        <w:rPr>
          <w:rFonts w:ascii="Arial" w:hAnsi="Arial" w:cs="Arial"/>
          <w:sz w:val="20"/>
          <w:szCs w:val="20"/>
          <w:lang w:eastAsia="sl-SI"/>
        </w:rPr>
      </w:pPr>
    </w:p>
    <w:p w14:paraId="76919C16"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V zgornjem modelu je:     </w:t>
      </w:r>
    </w:p>
    <w:p w14:paraId="4B1DFF9D" w14:textId="77777777" w:rsidR="00FF3E70" w:rsidRPr="00CC1EBD" w:rsidRDefault="00FF3E70" w:rsidP="00DC711F">
      <w:pPr>
        <w:spacing w:after="0" w:line="276" w:lineRule="auto"/>
        <w:jc w:val="both"/>
        <w:rPr>
          <w:rFonts w:ascii="Arial" w:hAnsi="Arial" w:cs="Arial"/>
          <w:sz w:val="20"/>
          <w:szCs w:val="20"/>
          <w:lang w:eastAsia="sl-SI"/>
        </w:rPr>
      </w:pPr>
    </w:p>
    <w:p w14:paraId="58E3FB2E" w14:textId="77777777" w:rsidR="00FF3E70" w:rsidRPr="00CC1EBD" w:rsidRDefault="00FF3E70" w:rsidP="00DC711F">
      <w:pPr>
        <w:tabs>
          <w:tab w:val="left" w:pos="1843"/>
        </w:tabs>
        <w:spacing w:after="0" w:line="276" w:lineRule="auto"/>
        <w:jc w:val="both"/>
        <w:rPr>
          <w:rFonts w:ascii="Arial" w:hAnsi="Arial" w:cs="Arial"/>
          <w:sz w:val="20"/>
          <w:szCs w:val="20"/>
          <w:lang w:eastAsia="sl-SI"/>
        </w:rPr>
      </w:pPr>
      <w:r w:rsidRPr="00CC1EBD">
        <w:rPr>
          <w:rFonts w:ascii="Arial" w:hAnsi="Arial" w:cs="Arial"/>
          <w:sz w:val="20"/>
          <w:szCs w:val="20"/>
          <w:lang w:eastAsia="sl-SI"/>
        </w:rPr>
        <w:t>C(</w:t>
      </w:r>
      <w:proofErr w:type="spellStart"/>
      <w:r w:rsidRPr="00CC1EBD">
        <w:rPr>
          <w:rFonts w:ascii="Arial" w:hAnsi="Arial" w:cs="Arial"/>
          <w:sz w:val="20"/>
          <w:szCs w:val="20"/>
          <w:lang w:eastAsia="sl-SI"/>
        </w:rPr>
        <w:t>ZP</w:t>
      </w:r>
      <w:r w:rsidRPr="00CC1EBD">
        <w:rPr>
          <w:rFonts w:ascii="Arial" w:hAnsi="Arial" w:cs="Arial"/>
          <w:sz w:val="20"/>
          <w:szCs w:val="20"/>
          <w:vertAlign w:val="subscript"/>
          <w:lang w:eastAsia="sl-SI"/>
        </w:rPr>
        <w:t>Ref</w:t>
      </w:r>
      <w:proofErr w:type="spellEnd"/>
      <w:r w:rsidRPr="00CC1EBD">
        <w:rPr>
          <w:rFonts w:ascii="Arial" w:hAnsi="Arial" w:cs="Arial"/>
          <w:sz w:val="20"/>
          <w:szCs w:val="20"/>
          <w:lang w:eastAsia="sl-SI"/>
        </w:rPr>
        <w:t>)</w:t>
      </w:r>
      <w:r w:rsidRPr="00CC1EBD">
        <w:rPr>
          <w:rFonts w:ascii="Arial" w:hAnsi="Arial" w:cs="Arial"/>
          <w:sz w:val="20"/>
          <w:szCs w:val="20"/>
          <w:lang w:eastAsia="sl-SI"/>
        </w:rPr>
        <w:tab/>
        <w:t>referenčna cena zemeljskega plina v EUR/MWh (zaokrožena na 2 decimalni mesti),</w:t>
      </w:r>
    </w:p>
    <w:p w14:paraId="3D28090D" w14:textId="77777777" w:rsidR="00FF3E70" w:rsidRPr="00CC1EBD" w:rsidRDefault="00FF3E70" w:rsidP="00DC711F">
      <w:pPr>
        <w:spacing w:after="0" w:line="276" w:lineRule="auto"/>
        <w:jc w:val="both"/>
        <w:rPr>
          <w:rFonts w:ascii="Arial" w:hAnsi="Arial" w:cs="Arial"/>
          <w:sz w:val="20"/>
          <w:szCs w:val="20"/>
          <w:lang w:eastAsia="sl-SI"/>
        </w:rPr>
      </w:pPr>
    </w:p>
    <w:p w14:paraId="43EFFC6F"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Q1, Q2, Q3 in Q4 </w:t>
      </w:r>
      <w:r w:rsidRPr="00CC1EBD">
        <w:rPr>
          <w:rFonts w:ascii="Arial" w:hAnsi="Arial" w:cs="Arial"/>
          <w:sz w:val="20"/>
          <w:szCs w:val="20"/>
          <w:lang w:eastAsia="sl-SI"/>
        </w:rPr>
        <w:tab/>
        <w:t xml:space="preserve">cene kvartalnih produktov »EEX CEGH« na borzi CEGH za trg AT </w:t>
      </w:r>
      <w:proofErr w:type="spellStart"/>
      <w:r w:rsidRPr="00CC1EBD">
        <w:rPr>
          <w:rFonts w:ascii="Arial" w:hAnsi="Arial" w:cs="Arial"/>
          <w:sz w:val="20"/>
          <w:szCs w:val="20"/>
          <w:lang w:eastAsia="sl-SI"/>
        </w:rPr>
        <w:t>Austria</w:t>
      </w:r>
      <w:proofErr w:type="spellEnd"/>
      <w:r w:rsidRPr="00CC1EBD">
        <w:rPr>
          <w:rFonts w:ascii="Arial" w:hAnsi="Arial" w:cs="Arial"/>
          <w:sz w:val="20"/>
          <w:szCs w:val="20"/>
          <w:lang w:eastAsia="sl-SI"/>
        </w:rPr>
        <w:t xml:space="preserve"> za prihodnje leto v EUR/MWh,</w:t>
      </w:r>
    </w:p>
    <w:p w14:paraId="68B3F774" w14:textId="77777777" w:rsidR="00FF3E70" w:rsidRPr="00CC1EBD" w:rsidRDefault="00FF3E70" w:rsidP="00DC711F">
      <w:pPr>
        <w:spacing w:after="0" w:line="276" w:lineRule="auto"/>
        <w:jc w:val="both"/>
        <w:rPr>
          <w:rFonts w:ascii="Arial" w:hAnsi="Arial" w:cs="Arial"/>
          <w:sz w:val="20"/>
          <w:szCs w:val="20"/>
          <w:lang w:eastAsia="sl-SI"/>
        </w:rPr>
      </w:pPr>
    </w:p>
    <w:p w14:paraId="5B2901C5" w14:textId="77777777" w:rsidR="00FF3E70" w:rsidRPr="00CC1EBD" w:rsidRDefault="00FF3E70" w:rsidP="00DC711F">
      <w:pPr>
        <w:spacing w:after="0" w:line="276" w:lineRule="auto"/>
        <w:jc w:val="both"/>
        <w:rPr>
          <w:rFonts w:ascii="Arial" w:hAnsi="Arial" w:cs="Arial"/>
          <w:sz w:val="20"/>
          <w:szCs w:val="20"/>
          <w:lang w:eastAsia="sl-SI"/>
        </w:rPr>
      </w:pPr>
      <w:proofErr w:type="spellStart"/>
      <w:r w:rsidRPr="00CC1EBD">
        <w:rPr>
          <w:rFonts w:ascii="Arial" w:hAnsi="Arial" w:cs="Arial"/>
          <w:sz w:val="20"/>
          <w:szCs w:val="20"/>
          <w:lang w:eastAsia="sl-SI"/>
        </w:rPr>
        <w:t>CExA</w:t>
      </w:r>
      <w:proofErr w:type="spellEnd"/>
      <w:r w:rsidRPr="00CC1EBD">
        <w:rPr>
          <w:rFonts w:ascii="Arial" w:hAnsi="Arial" w:cs="Arial"/>
          <w:sz w:val="20"/>
          <w:szCs w:val="20"/>
          <w:lang w:eastAsia="sl-SI"/>
        </w:rPr>
        <w:tab/>
        <w:t xml:space="preserve">izstopna tarifna postavka za MMRP </w:t>
      </w:r>
      <w:proofErr w:type="spellStart"/>
      <w:r w:rsidRPr="00CC1EBD">
        <w:rPr>
          <w:rFonts w:ascii="Arial" w:hAnsi="Arial" w:cs="Arial"/>
          <w:sz w:val="20"/>
          <w:szCs w:val="20"/>
          <w:lang w:eastAsia="sl-SI"/>
        </w:rPr>
        <w:t>Murfeld</w:t>
      </w:r>
      <w:proofErr w:type="spellEnd"/>
      <w:r w:rsidRPr="00CC1EBD">
        <w:rPr>
          <w:rFonts w:ascii="Arial" w:hAnsi="Arial" w:cs="Arial"/>
          <w:sz w:val="20"/>
          <w:szCs w:val="20"/>
          <w:lang w:eastAsia="sl-SI"/>
        </w:rPr>
        <w:t xml:space="preserve"> za prihodnje leto v EUR/MWh (zaokrožena na 4 decimalna mesta),</w:t>
      </w:r>
    </w:p>
    <w:p w14:paraId="4F35BA3B" w14:textId="77777777" w:rsidR="00FF3E70" w:rsidRPr="00CC1EBD" w:rsidRDefault="00FF3E70" w:rsidP="00DC711F">
      <w:pPr>
        <w:spacing w:after="0" w:line="276" w:lineRule="auto"/>
        <w:jc w:val="both"/>
        <w:rPr>
          <w:rFonts w:ascii="Arial" w:hAnsi="Arial" w:cs="Arial"/>
          <w:sz w:val="20"/>
          <w:szCs w:val="20"/>
          <w:lang w:eastAsia="sl-SI"/>
        </w:rPr>
      </w:pPr>
    </w:p>
    <w:p w14:paraId="5B365734" w14:textId="77777777" w:rsidR="00FF3E70" w:rsidRPr="00CC1EBD" w:rsidRDefault="00FF3E70" w:rsidP="00DC711F">
      <w:pPr>
        <w:spacing w:after="0" w:line="276" w:lineRule="auto"/>
        <w:jc w:val="both"/>
        <w:rPr>
          <w:rFonts w:ascii="Arial" w:hAnsi="Arial" w:cs="Arial"/>
          <w:sz w:val="20"/>
          <w:szCs w:val="20"/>
          <w:lang w:eastAsia="sl-SI"/>
        </w:rPr>
      </w:pPr>
      <w:proofErr w:type="spellStart"/>
      <w:r w:rsidRPr="00CC1EBD">
        <w:rPr>
          <w:rFonts w:ascii="Arial" w:hAnsi="Arial" w:cs="Arial"/>
          <w:sz w:val="20"/>
          <w:szCs w:val="20"/>
          <w:lang w:eastAsia="sl-SI"/>
        </w:rPr>
        <w:t>CEnSLO</w:t>
      </w:r>
      <w:proofErr w:type="spellEnd"/>
      <w:r w:rsidRPr="00CC1EBD">
        <w:rPr>
          <w:rFonts w:ascii="Arial" w:hAnsi="Arial" w:cs="Arial"/>
          <w:sz w:val="20"/>
          <w:szCs w:val="20"/>
          <w:lang w:eastAsia="sl-SI"/>
        </w:rPr>
        <w:tab/>
        <w:t>vstopni strošek za MMRP Ceršak za prihodnje leto v EUR/MWh (zaokrožen na 4 decimalna mesta). Za izračun se vstopna tarifna postavka (v cent/(kWh/dan), zaokrožena na 5 decimalnih mest) pomnoži s faktorjem 4,364 (upoštevanje 5.500 letnih obratovalnih ur) in deli s 100.</w:t>
      </w:r>
    </w:p>
    <w:p w14:paraId="4EBC43B3" w14:textId="77777777" w:rsidR="00FF3E70" w:rsidRPr="00CC1EBD" w:rsidRDefault="00FF3E70" w:rsidP="00DC711F">
      <w:pPr>
        <w:spacing w:after="0" w:line="276" w:lineRule="auto"/>
        <w:jc w:val="both"/>
        <w:rPr>
          <w:rFonts w:ascii="Arial" w:hAnsi="Arial" w:cs="Arial"/>
          <w:sz w:val="20"/>
          <w:szCs w:val="20"/>
          <w:lang w:eastAsia="sl-SI"/>
        </w:rPr>
      </w:pPr>
    </w:p>
    <w:p w14:paraId="277E13C1"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lastRenderedPageBreak/>
        <w:t>Pri določitvi cen kvartalnih produktov se uporabi povprečje doseženih zaključnih trgovalnih cen produktov za 10 trgovalnih dni pred 25. oktobrom tekočega leta (povprečja zaokroži na 4 decimalna mesta).</w:t>
      </w:r>
    </w:p>
    <w:p w14:paraId="2AC891E8" w14:textId="77777777" w:rsidR="00FF3E70" w:rsidRPr="00CC1EBD" w:rsidRDefault="00FF3E70" w:rsidP="00DC711F">
      <w:pPr>
        <w:spacing w:after="0" w:line="276" w:lineRule="auto"/>
        <w:jc w:val="both"/>
        <w:rPr>
          <w:rFonts w:ascii="Arial" w:hAnsi="Arial" w:cs="Arial"/>
          <w:sz w:val="20"/>
          <w:szCs w:val="20"/>
          <w:lang w:eastAsia="sl-SI"/>
        </w:rPr>
      </w:pPr>
    </w:p>
    <w:p w14:paraId="6B922CFF"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 Za izračun indeksa cene zemeljskega plina za tekoče leto se referenčno ceno zemeljskega plina za leto 2016 (0,1914 EUR/Sm3) nadomesti s preračunano vrednostjo 17,77 EUR/MWh z upoštevanjem zgornje </w:t>
      </w:r>
      <w:proofErr w:type="spellStart"/>
      <w:r w:rsidRPr="00CC1EBD">
        <w:rPr>
          <w:rFonts w:ascii="Arial" w:hAnsi="Arial" w:cs="Arial"/>
          <w:sz w:val="20"/>
          <w:szCs w:val="20"/>
          <w:lang w:eastAsia="sl-SI"/>
        </w:rPr>
        <w:t>kurilnosti</w:t>
      </w:r>
      <w:proofErr w:type="spellEnd"/>
      <w:r w:rsidRPr="00CC1EBD">
        <w:rPr>
          <w:rFonts w:ascii="Arial" w:hAnsi="Arial" w:cs="Arial"/>
          <w:sz w:val="20"/>
          <w:szCs w:val="20"/>
          <w:lang w:eastAsia="sl-SI"/>
        </w:rPr>
        <w:t xml:space="preserve"> zemeljskega plina, ki znaša 10,769 kWh/Sm3.</w:t>
      </w:r>
    </w:p>
    <w:p w14:paraId="61D529EC" w14:textId="77777777" w:rsidR="00FF3E70" w:rsidRPr="00CC1EBD" w:rsidRDefault="00FF3E70" w:rsidP="00DC711F">
      <w:pPr>
        <w:spacing w:after="0" w:line="276" w:lineRule="auto"/>
        <w:jc w:val="both"/>
        <w:rPr>
          <w:rFonts w:ascii="Arial" w:hAnsi="Arial" w:cs="Arial"/>
          <w:sz w:val="20"/>
          <w:szCs w:val="20"/>
          <w:lang w:eastAsia="sl-SI"/>
        </w:rPr>
      </w:pPr>
    </w:p>
    <w:p w14:paraId="6B6FF9B1" w14:textId="37D13746" w:rsidR="00FF3E70" w:rsidRPr="00CC1EBD" w:rsidRDefault="00FF3E70" w:rsidP="00DC711F">
      <w:pPr>
        <w:spacing w:after="0" w:line="276" w:lineRule="auto"/>
        <w:jc w:val="both"/>
        <w:rPr>
          <w:rFonts w:ascii="Arial" w:hAnsi="Arial" w:cs="Arial"/>
          <w:sz w:val="20"/>
          <w:szCs w:val="20"/>
          <w:lang w:eastAsia="sl-SI"/>
        </w:rPr>
      </w:pPr>
    </w:p>
    <w:p w14:paraId="41CAE9AC" w14:textId="77777777" w:rsidR="00FF3E70" w:rsidRPr="00CC1EBD" w:rsidRDefault="00FF3E70" w:rsidP="00DC711F">
      <w:pPr>
        <w:spacing w:after="0" w:line="276" w:lineRule="auto"/>
        <w:jc w:val="both"/>
        <w:rPr>
          <w:rFonts w:ascii="Arial" w:hAnsi="Arial" w:cs="Arial"/>
          <w:b/>
          <w:sz w:val="20"/>
          <w:szCs w:val="20"/>
          <w:lang w:eastAsia="sl-SI"/>
        </w:rPr>
      </w:pPr>
      <w:r w:rsidRPr="00CC1EBD">
        <w:rPr>
          <w:rFonts w:ascii="Arial" w:hAnsi="Arial" w:cs="Arial"/>
          <w:b/>
          <w:sz w:val="20"/>
          <w:szCs w:val="20"/>
          <w:lang w:eastAsia="sl-SI"/>
        </w:rPr>
        <w:t>3.</w:t>
      </w:r>
      <w:r w:rsidRPr="00CC1EBD">
        <w:rPr>
          <w:rFonts w:ascii="Arial" w:hAnsi="Arial" w:cs="Arial"/>
          <w:b/>
          <w:sz w:val="20"/>
          <w:szCs w:val="20"/>
          <w:lang w:eastAsia="sl-SI"/>
        </w:rPr>
        <w:tab/>
        <w:t>Pravila za določanje referenčne cene substrata koruzne silaže</w:t>
      </w:r>
    </w:p>
    <w:p w14:paraId="20733464" w14:textId="77777777" w:rsidR="00FF3E70" w:rsidRPr="00CC1EBD" w:rsidRDefault="00FF3E70" w:rsidP="00DC711F">
      <w:pPr>
        <w:spacing w:after="0" w:line="276" w:lineRule="auto"/>
        <w:jc w:val="both"/>
        <w:rPr>
          <w:rFonts w:ascii="Arial" w:hAnsi="Arial" w:cs="Arial"/>
          <w:sz w:val="20"/>
          <w:szCs w:val="20"/>
          <w:lang w:eastAsia="sl-SI"/>
        </w:rPr>
      </w:pPr>
    </w:p>
    <w:p w14:paraId="7EADB00C"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Referenčna cena substrata koruzne silaže za prihodnje leto se v napovedi določi na podlagi naslednjega cenovnega modela: </w:t>
      </w:r>
    </w:p>
    <w:p w14:paraId="6847C6C0" w14:textId="77777777" w:rsidR="00FF3E70" w:rsidRPr="00CC1EBD" w:rsidRDefault="00FF3E70" w:rsidP="00DC711F">
      <w:pPr>
        <w:spacing w:after="0" w:line="276" w:lineRule="auto"/>
        <w:jc w:val="both"/>
        <w:rPr>
          <w:rFonts w:ascii="Arial" w:hAnsi="Arial" w:cs="Arial"/>
          <w:sz w:val="20"/>
          <w:szCs w:val="20"/>
          <w:lang w:eastAsia="sl-SI"/>
        </w:rPr>
      </w:pPr>
    </w:p>
    <w:p w14:paraId="24A0A079"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CS = SPKS * 0,7</w:t>
      </w:r>
    </w:p>
    <w:p w14:paraId="41390AF0" w14:textId="77777777" w:rsidR="00FF3E70" w:rsidRPr="00CC1EBD" w:rsidRDefault="00FF3E70" w:rsidP="00DC711F">
      <w:pPr>
        <w:spacing w:after="0" w:line="276" w:lineRule="auto"/>
        <w:jc w:val="both"/>
        <w:rPr>
          <w:rFonts w:ascii="Arial" w:hAnsi="Arial" w:cs="Arial"/>
          <w:sz w:val="20"/>
          <w:szCs w:val="20"/>
          <w:lang w:eastAsia="sl-SI"/>
        </w:rPr>
      </w:pPr>
    </w:p>
    <w:p w14:paraId="44656FE1"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CS</w:t>
      </w:r>
      <w:r w:rsidRPr="00CC1EBD">
        <w:rPr>
          <w:rFonts w:ascii="Arial" w:hAnsi="Arial" w:cs="Arial"/>
          <w:sz w:val="20"/>
          <w:szCs w:val="20"/>
          <w:lang w:eastAsia="sl-SI"/>
        </w:rPr>
        <w:tab/>
        <w:t>referenčna tržna cena substrata koruzne silaže v EUR/t</w:t>
      </w:r>
    </w:p>
    <w:p w14:paraId="0281EAA7" w14:textId="77777777" w:rsidR="00FF3E70" w:rsidRPr="00CC1EBD" w:rsidRDefault="00FF3E70" w:rsidP="00DC711F">
      <w:pPr>
        <w:spacing w:after="0" w:line="276" w:lineRule="auto"/>
        <w:jc w:val="both"/>
        <w:rPr>
          <w:rFonts w:ascii="Arial" w:hAnsi="Arial" w:cs="Arial"/>
          <w:sz w:val="20"/>
          <w:szCs w:val="20"/>
          <w:lang w:eastAsia="sl-SI"/>
        </w:rPr>
      </w:pPr>
    </w:p>
    <w:p w14:paraId="4D13A8F6"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SPKS</w:t>
      </w:r>
      <w:r w:rsidRPr="00CC1EBD">
        <w:rPr>
          <w:rFonts w:ascii="Arial" w:hAnsi="Arial" w:cs="Arial"/>
          <w:sz w:val="20"/>
          <w:szCs w:val="20"/>
          <w:lang w:eastAsia="sl-SI"/>
        </w:rPr>
        <w:tab/>
        <w:t>Strošek pridelave silažne koruze, zmanjšan za subvencije v EUR/t za preteklo leto, ki je objavljen v mesecu oktobru tekočega leta v Zbirniku rastlinskih kalkulacij na Kmetijskem inštitutu Slovenije</w:t>
      </w:r>
      <w:r w:rsidRPr="003A7907">
        <w:rPr>
          <w:rFonts w:ascii="Arial" w:hAnsi="Arial" w:cs="Arial"/>
          <w:sz w:val="20"/>
          <w:szCs w:val="20"/>
          <w:vertAlign w:val="subscript"/>
        </w:rPr>
        <w:footnoteReference w:id="1"/>
      </w:r>
    </w:p>
    <w:p w14:paraId="0645CA3A" w14:textId="77777777" w:rsidR="00FF3E70" w:rsidRPr="00CC1EBD" w:rsidRDefault="00FF3E70" w:rsidP="00DC711F">
      <w:pPr>
        <w:spacing w:after="0" w:line="276" w:lineRule="auto"/>
        <w:jc w:val="both"/>
        <w:rPr>
          <w:rFonts w:ascii="Arial" w:hAnsi="Arial" w:cs="Arial"/>
          <w:sz w:val="20"/>
          <w:szCs w:val="20"/>
          <w:lang w:eastAsia="sl-SI"/>
        </w:rPr>
      </w:pPr>
    </w:p>
    <w:p w14:paraId="3E6BC9EB" w14:textId="77777777" w:rsidR="00FF3E70" w:rsidRPr="00CC1EBD" w:rsidRDefault="00FF3E70" w:rsidP="00DC711F">
      <w:pPr>
        <w:spacing w:after="0" w:line="276" w:lineRule="auto"/>
        <w:jc w:val="both"/>
        <w:rPr>
          <w:rFonts w:ascii="Arial" w:hAnsi="Arial" w:cs="Arial"/>
          <w:sz w:val="20"/>
          <w:szCs w:val="20"/>
          <w:lang w:eastAsia="sl-SI"/>
        </w:rPr>
      </w:pPr>
    </w:p>
    <w:p w14:paraId="482E14B6" w14:textId="77777777" w:rsidR="00FF3E70" w:rsidRPr="00CC1EBD" w:rsidRDefault="00FF3E70" w:rsidP="00DC711F">
      <w:pPr>
        <w:spacing w:after="0" w:line="276" w:lineRule="auto"/>
        <w:jc w:val="both"/>
        <w:rPr>
          <w:rFonts w:ascii="Arial" w:hAnsi="Arial" w:cs="Arial"/>
          <w:b/>
          <w:sz w:val="20"/>
          <w:szCs w:val="20"/>
          <w:lang w:eastAsia="sl-SI"/>
        </w:rPr>
      </w:pPr>
      <w:r w:rsidRPr="00CC1EBD">
        <w:rPr>
          <w:rFonts w:ascii="Arial" w:hAnsi="Arial" w:cs="Arial"/>
          <w:b/>
          <w:sz w:val="20"/>
          <w:szCs w:val="20"/>
          <w:lang w:eastAsia="sl-SI"/>
        </w:rPr>
        <w:t xml:space="preserve">4. </w:t>
      </w:r>
      <w:r w:rsidRPr="00CC1EBD">
        <w:rPr>
          <w:rFonts w:ascii="Arial" w:hAnsi="Arial" w:cs="Arial"/>
          <w:b/>
          <w:sz w:val="20"/>
          <w:szCs w:val="20"/>
          <w:lang w:eastAsia="sl-SI"/>
        </w:rPr>
        <w:tab/>
        <w:t xml:space="preserve">Pravila za določanje referenčne cene lesne biomase </w:t>
      </w:r>
    </w:p>
    <w:p w14:paraId="2ADD69E1" w14:textId="77777777" w:rsidR="00FF3E70" w:rsidRPr="00CC1EBD" w:rsidRDefault="00FF3E70" w:rsidP="00DC711F">
      <w:pPr>
        <w:spacing w:after="0" w:line="276" w:lineRule="auto"/>
        <w:jc w:val="both"/>
        <w:rPr>
          <w:rFonts w:ascii="Arial" w:hAnsi="Arial" w:cs="Arial"/>
          <w:sz w:val="20"/>
          <w:szCs w:val="20"/>
          <w:lang w:eastAsia="sl-SI"/>
        </w:rPr>
      </w:pPr>
    </w:p>
    <w:p w14:paraId="0B339576"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Referenčna cena lesne biomase za prihodnje leto se v napovedi določa na podlagi naslednjega cenovnega modela: </w:t>
      </w:r>
    </w:p>
    <w:p w14:paraId="54F99699" w14:textId="77777777" w:rsidR="00FF3E70" w:rsidRPr="00CC1EBD" w:rsidRDefault="00FF3E70" w:rsidP="00DC711F">
      <w:pPr>
        <w:spacing w:after="0" w:line="276" w:lineRule="auto"/>
        <w:jc w:val="both"/>
        <w:rPr>
          <w:rFonts w:ascii="Arial" w:hAnsi="Arial" w:cs="Arial"/>
          <w:sz w:val="20"/>
          <w:szCs w:val="20"/>
          <w:lang w:eastAsia="sl-SI"/>
        </w:rPr>
      </w:pPr>
    </w:p>
    <w:p w14:paraId="06135768"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RCLB = KVILB / KKILB </w:t>
      </w:r>
    </w:p>
    <w:p w14:paraId="2F0CF2DF" w14:textId="77777777" w:rsidR="00FF3E70" w:rsidRPr="00CC1EBD" w:rsidRDefault="00FF3E70" w:rsidP="00DC711F">
      <w:pPr>
        <w:spacing w:after="0" w:line="276" w:lineRule="auto"/>
        <w:jc w:val="both"/>
        <w:rPr>
          <w:rFonts w:ascii="Arial" w:hAnsi="Arial" w:cs="Arial"/>
          <w:sz w:val="20"/>
          <w:szCs w:val="20"/>
          <w:lang w:eastAsia="sl-SI"/>
        </w:rPr>
      </w:pPr>
    </w:p>
    <w:tbl>
      <w:tblPr>
        <w:tblW w:w="0" w:type="auto"/>
        <w:tblLayout w:type="fixed"/>
        <w:tblLook w:val="0000" w:firstRow="0" w:lastRow="0" w:firstColumn="0" w:lastColumn="0" w:noHBand="0" w:noVBand="0"/>
      </w:tblPr>
      <w:tblGrid>
        <w:gridCol w:w="2518"/>
        <w:gridCol w:w="6332"/>
      </w:tblGrid>
      <w:tr w:rsidR="00325A6D" w:rsidRPr="00CC1EBD" w14:paraId="70ACB4DC" w14:textId="77777777" w:rsidTr="006B7A12">
        <w:trPr>
          <w:trHeight w:val="110"/>
        </w:trPr>
        <w:tc>
          <w:tcPr>
            <w:tcW w:w="2518" w:type="dxa"/>
          </w:tcPr>
          <w:p w14:paraId="1ECE106F"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V zgornjem modelu je: </w:t>
            </w:r>
          </w:p>
          <w:p w14:paraId="6259275F"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RCLB </w:t>
            </w:r>
          </w:p>
        </w:tc>
        <w:tc>
          <w:tcPr>
            <w:tcW w:w="6332" w:type="dxa"/>
          </w:tcPr>
          <w:p w14:paraId="1148586F" w14:textId="77777777" w:rsidR="00FF3E70" w:rsidRPr="00CC1EBD" w:rsidRDefault="00FF3E70" w:rsidP="00DC711F">
            <w:pPr>
              <w:spacing w:after="0" w:line="276" w:lineRule="auto"/>
              <w:jc w:val="both"/>
              <w:rPr>
                <w:rFonts w:ascii="Arial" w:hAnsi="Arial" w:cs="Arial"/>
                <w:sz w:val="20"/>
                <w:szCs w:val="20"/>
                <w:lang w:eastAsia="sl-SI"/>
              </w:rPr>
            </w:pPr>
          </w:p>
          <w:p w14:paraId="1F754389"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Referenčna cena lesne biomase v EUR/t</w:t>
            </w:r>
          </w:p>
        </w:tc>
      </w:tr>
      <w:tr w:rsidR="00325A6D" w:rsidRPr="00CC1EBD" w14:paraId="4D730C82" w14:textId="77777777" w:rsidTr="006B7A12">
        <w:trPr>
          <w:trHeight w:val="229"/>
        </w:trPr>
        <w:tc>
          <w:tcPr>
            <w:tcW w:w="2518" w:type="dxa"/>
          </w:tcPr>
          <w:p w14:paraId="2CA350D0"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KVILB </w:t>
            </w:r>
          </w:p>
        </w:tc>
        <w:tc>
          <w:tcPr>
            <w:tcW w:w="6332" w:type="dxa"/>
          </w:tcPr>
          <w:p w14:paraId="105FFCD4"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kumulativna vrednost izvoza iverja, sekancev in podobnega lesa iglavcev, zadnji razpoložljivi podatki 12 preteklih mesecev v EUR </w:t>
            </w:r>
          </w:p>
        </w:tc>
      </w:tr>
      <w:tr w:rsidR="00325A6D" w:rsidRPr="00CC1EBD" w14:paraId="31AE47C2" w14:textId="77777777" w:rsidTr="006B7A12">
        <w:trPr>
          <w:trHeight w:val="229"/>
        </w:trPr>
        <w:tc>
          <w:tcPr>
            <w:tcW w:w="2518" w:type="dxa"/>
          </w:tcPr>
          <w:p w14:paraId="51B3B99B"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KKILB </w:t>
            </w:r>
          </w:p>
        </w:tc>
        <w:tc>
          <w:tcPr>
            <w:tcW w:w="6332" w:type="dxa"/>
          </w:tcPr>
          <w:p w14:paraId="76E45C1A"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kumulativne količine izvoza iverja, sekancev in podobnega lesa iglavcev, zadnji razpoložljivi podatki 12 preteklih mesecev v t </w:t>
            </w:r>
          </w:p>
        </w:tc>
      </w:tr>
    </w:tbl>
    <w:p w14:paraId="0603B020" w14:textId="77777777" w:rsidR="00FF3E70" w:rsidRPr="00CC1EBD" w:rsidRDefault="00FF3E70" w:rsidP="00DC711F">
      <w:pPr>
        <w:spacing w:after="0" w:line="276" w:lineRule="auto"/>
        <w:jc w:val="both"/>
        <w:rPr>
          <w:rFonts w:ascii="Arial" w:hAnsi="Arial" w:cs="Arial"/>
          <w:sz w:val="20"/>
          <w:szCs w:val="20"/>
          <w:lang w:eastAsia="sl-SI"/>
        </w:rPr>
      </w:pPr>
    </w:p>
    <w:p w14:paraId="56887C83" w14:textId="77777777" w:rsidR="00FF3E70" w:rsidRPr="00CC1EBD" w:rsidRDefault="00FF3E70" w:rsidP="00DC711F">
      <w:pPr>
        <w:spacing w:after="0" w:line="276" w:lineRule="auto"/>
        <w:jc w:val="both"/>
        <w:rPr>
          <w:rFonts w:ascii="Arial" w:hAnsi="Arial" w:cs="Arial"/>
          <w:sz w:val="20"/>
          <w:szCs w:val="20"/>
          <w:lang w:eastAsia="sl-SI"/>
        </w:rPr>
      </w:pPr>
      <w:r w:rsidRPr="00CC1EBD">
        <w:rPr>
          <w:rFonts w:ascii="Arial" w:hAnsi="Arial" w:cs="Arial"/>
          <w:sz w:val="20"/>
          <w:szCs w:val="20"/>
          <w:lang w:eastAsia="sl-SI"/>
        </w:rPr>
        <w:t xml:space="preserve">Potrebne podatke za izdelavo napovedi Agenciji za energijo posreduje Statistični urad Republike Slovenije. </w:t>
      </w:r>
    </w:p>
    <w:p w14:paraId="5D04A7A1" w14:textId="4A67A0CF" w:rsidR="00761438" w:rsidRPr="00CC1EBD" w:rsidRDefault="00761438" w:rsidP="00DC711F">
      <w:pPr>
        <w:spacing w:after="0" w:line="276" w:lineRule="auto"/>
        <w:jc w:val="both"/>
        <w:rPr>
          <w:rFonts w:ascii="Arial" w:hAnsi="Arial" w:cs="Arial"/>
          <w:sz w:val="20"/>
          <w:szCs w:val="20"/>
          <w:lang w:eastAsia="sl-SI"/>
        </w:rPr>
      </w:pPr>
    </w:p>
    <w:p w14:paraId="72676022" w14:textId="333582EE" w:rsidR="003472E9" w:rsidRDefault="003472E9" w:rsidP="00DC711F">
      <w:pPr>
        <w:spacing w:after="0" w:line="276" w:lineRule="auto"/>
        <w:jc w:val="both"/>
        <w:rPr>
          <w:rFonts w:ascii="Arial" w:hAnsi="Arial" w:cs="Arial"/>
          <w:sz w:val="20"/>
          <w:szCs w:val="20"/>
        </w:rPr>
      </w:pPr>
    </w:p>
    <w:p w14:paraId="26ECB443" w14:textId="18837662" w:rsidR="00DC711F" w:rsidRDefault="00DC711F" w:rsidP="00DC711F">
      <w:pPr>
        <w:spacing w:after="0" w:line="276" w:lineRule="auto"/>
        <w:jc w:val="both"/>
        <w:rPr>
          <w:rFonts w:ascii="Arial" w:hAnsi="Arial" w:cs="Arial"/>
          <w:sz w:val="20"/>
          <w:szCs w:val="20"/>
        </w:rPr>
      </w:pPr>
    </w:p>
    <w:p w14:paraId="0661590F" w14:textId="6D925FC9" w:rsidR="00DC711F" w:rsidRDefault="00DC711F" w:rsidP="00DC711F">
      <w:pPr>
        <w:spacing w:after="0" w:line="276" w:lineRule="auto"/>
        <w:jc w:val="both"/>
        <w:rPr>
          <w:rFonts w:ascii="Arial" w:hAnsi="Arial" w:cs="Arial"/>
          <w:sz w:val="20"/>
          <w:szCs w:val="20"/>
        </w:rPr>
      </w:pPr>
    </w:p>
    <w:p w14:paraId="23718348" w14:textId="3532DB59" w:rsidR="00DC711F" w:rsidRDefault="00DC711F" w:rsidP="00DC711F">
      <w:pPr>
        <w:spacing w:after="0" w:line="276" w:lineRule="auto"/>
        <w:jc w:val="both"/>
        <w:rPr>
          <w:rFonts w:ascii="Arial" w:hAnsi="Arial" w:cs="Arial"/>
          <w:sz w:val="20"/>
          <w:szCs w:val="20"/>
        </w:rPr>
      </w:pPr>
    </w:p>
    <w:p w14:paraId="7B15B2F4" w14:textId="0B3F4898" w:rsidR="00DC711F" w:rsidRDefault="00DC711F" w:rsidP="00DC711F">
      <w:pPr>
        <w:spacing w:after="0" w:line="276" w:lineRule="auto"/>
        <w:jc w:val="both"/>
        <w:rPr>
          <w:rFonts w:ascii="Arial" w:hAnsi="Arial" w:cs="Arial"/>
          <w:sz w:val="20"/>
          <w:szCs w:val="20"/>
        </w:rPr>
      </w:pPr>
    </w:p>
    <w:p w14:paraId="15D0B1AF" w14:textId="4E9F34AA" w:rsidR="00DC711F" w:rsidRDefault="00DC711F" w:rsidP="00DC711F">
      <w:pPr>
        <w:spacing w:after="0" w:line="276" w:lineRule="auto"/>
        <w:jc w:val="both"/>
        <w:rPr>
          <w:rFonts w:ascii="Arial" w:hAnsi="Arial" w:cs="Arial"/>
          <w:sz w:val="20"/>
          <w:szCs w:val="20"/>
        </w:rPr>
      </w:pPr>
    </w:p>
    <w:p w14:paraId="4CB4332D" w14:textId="06CB3256" w:rsidR="00DC711F" w:rsidRDefault="00DC711F" w:rsidP="00DC711F">
      <w:pPr>
        <w:spacing w:after="0" w:line="276" w:lineRule="auto"/>
        <w:jc w:val="both"/>
        <w:rPr>
          <w:rFonts w:ascii="Arial" w:hAnsi="Arial" w:cs="Arial"/>
          <w:sz w:val="20"/>
          <w:szCs w:val="20"/>
        </w:rPr>
      </w:pPr>
    </w:p>
    <w:p w14:paraId="3C56D04E" w14:textId="76937C8D" w:rsidR="00DC711F" w:rsidRDefault="00DC711F" w:rsidP="00DC711F">
      <w:pPr>
        <w:spacing w:after="0" w:line="276" w:lineRule="auto"/>
        <w:jc w:val="both"/>
        <w:rPr>
          <w:rFonts w:ascii="Arial" w:hAnsi="Arial" w:cs="Arial"/>
          <w:sz w:val="20"/>
          <w:szCs w:val="20"/>
        </w:rPr>
      </w:pPr>
    </w:p>
    <w:p w14:paraId="131E32E6" w14:textId="4F7C5D62" w:rsidR="00DC711F" w:rsidRDefault="00DC711F" w:rsidP="00DC711F">
      <w:pPr>
        <w:spacing w:after="0" w:line="276" w:lineRule="auto"/>
        <w:jc w:val="both"/>
        <w:rPr>
          <w:rFonts w:ascii="Arial" w:hAnsi="Arial" w:cs="Arial"/>
          <w:sz w:val="20"/>
          <w:szCs w:val="20"/>
        </w:rPr>
      </w:pPr>
    </w:p>
    <w:p w14:paraId="71176565" w14:textId="77777777" w:rsidR="00DC711F" w:rsidRPr="00CC1EBD" w:rsidRDefault="00DC711F" w:rsidP="00DC711F">
      <w:pPr>
        <w:spacing w:after="0" w:line="276" w:lineRule="auto"/>
        <w:jc w:val="both"/>
        <w:rPr>
          <w:rFonts w:ascii="Arial" w:hAnsi="Arial" w:cs="Arial"/>
          <w:sz w:val="20"/>
          <w:szCs w:val="20"/>
        </w:rPr>
      </w:pPr>
    </w:p>
    <w:p w14:paraId="6B2DEFFB" w14:textId="3D2C8949" w:rsidR="002B46BB" w:rsidRPr="00CC1EBD" w:rsidRDefault="00A522D5" w:rsidP="00DC711F">
      <w:pPr>
        <w:spacing w:after="0" w:line="276" w:lineRule="auto"/>
        <w:jc w:val="both"/>
        <w:rPr>
          <w:rFonts w:ascii="Arial" w:eastAsia="Times New Roman" w:hAnsi="Arial" w:cs="Arial"/>
          <w:b/>
          <w:sz w:val="20"/>
          <w:szCs w:val="20"/>
          <w:lang w:eastAsia="sl-SI"/>
        </w:rPr>
      </w:pPr>
      <w:r w:rsidRPr="00CC1EBD">
        <w:rPr>
          <w:rFonts w:ascii="Arial" w:eastAsia="Times New Roman" w:hAnsi="Arial" w:cs="Arial"/>
          <w:b/>
          <w:sz w:val="20"/>
          <w:szCs w:val="20"/>
          <w:lang w:eastAsia="sl-SI"/>
        </w:rPr>
        <w:lastRenderedPageBreak/>
        <w:t xml:space="preserve">III. </w:t>
      </w:r>
      <w:r w:rsidR="002B46BB" w:rsidRPr="00CC1EBD">
        <w:rPr>
          <w:rFonts w:ascii="Arial" w:eastAsia="Times New Roman" w:hAnsi="Arial" w:cs="Arial"/>
          <w:b/>
          <w:sz w:val="20"/>
          <w:szCs w:val="20"/>
          <w:lang w:eastAsia="sl-SI"/>
        </w:rPr>
        <w:t>OBRAZLOŽITEV</w:t>
      </w:r>
      <w:r w:rsidRPr="00CC1EBD">
        <w:rPr>
          <w:rFonts w:ascii="Arial" w:eastAsia="Times New Roman" w:hAnsi="Arial" w:cs="Arial"/>
          <w:b/>
          <w:sz w:val="20"/>
          <w:szCs w:val="20"/>
          <w:lang w:eastAsia="sl-SI"/>
        </w:rPr>
        <w:t xml:space="preserve"> PO ČLENIH</w:t>
      </w:r>
    </w:p>
    <w:p w14:paraId="71B5FD77" w14:textId="1E50C212" w:rsidR="007E1C76" w:rsidRPr="00CC1EBD" w:rsidRDefault="007E1C76" w:rsidP="00DC711F">
      <w:pPr>
        <w:spacing w:after="0" w:line="276" w:lineRule="auto"/>
        <w:jc w:val="both"/>
        <w:rPr>
          <w:rFonts w:ascii="Arial" w:eastAsia="Times New Roman" w:hAnsi="Arial" w:cs="Arial"/>
          <w:sz w:val="20"/>
          <w:szCs w:val="20"/>
          <w:lang w:eastAsia="sl-SI"/>
        </w:rPr>
      </w:pPr>
    </w:p>
    <w:p w14:paraId="1B31FA34" w14:textId="77777777" w:rsidR="00FF3E70" w:rsidRPr="00CC1EBD" w:rsidRDefault="00FF3E70" w:rsidP="00DC711F">
      <w:pPr>
        <w:spacing w:after="0" w:line="276" w:lineRule="auto"/>
        <w:jc w:val="both"/>
        <w:rPr>
          <w:rFonts w:ascii="Arial" w:eastAsia="Times New Roman" w:hAnsi="Arial" w:cs="Arial"/>
          <w:sz w:val="20"/>
          <w:szCs w:val="20"/>
          <w:lang w:eastAsia="sl-SI"/>
        </w:rPr>
      </w:pPr>
    </w:p>
    <w:p w14:paraId="65F3EDAB" w14:textId="77777777" w:rsidR="00FF3E70" w:rsidRPr="00CC1EBD" w:rsidRDefault="00FF3E70" w:rsidP="00DC711F">
      <w:pPr>
        <w:spacing w:line="276" w:lineRule="auto"/>
        <w:ind w:right="-574"/>
        <w:contextualSpacing/>
        <w:rPr>
          <w:rFonts w:ascii="Arial" w:eastAsia="Calibri" w:hAnsi="Arial" w:cs="Arial"/>
          <w:sz w:val="20"/>
          <w:szCs w:val="20"/>
        </w:rPr>
      </w:pPr>
      <w:r w:rsidRPr="00CC1EBD">
        <w:rPr>
          <w:rFonts w:ascii="Arial" w:eastAsia="Calibri" w:hAnsi="Arial" w:cs="Arial"/>
          <w:sz w:val="20"/>
          <w:szCs w:val="20"/>
        </w:rPr>
        <w:t>1. člen</w:t>
      </w:r>
    </w:p>
    <w:p w14:paraId="28F51B9C" w14:textId="78D1D8FA" w:rsidR="00FF3E70" w:rsidRPr="00CC1EBD" w:rsidRDefault="00FF3E70" w:rsidP="00DC711F">
      <w:pPr>
        <w:spacing w:line="276" w:lineRule="auto"/>
        <w:ind w:right="-574"/>
        <w:contextualSpacing/>
        <w:jc w:val="both"/>
        <w:rPr>
          <w:rFonts w:ascii="Arial" w:eastAsia="Calibri" w:hAnsi="Arial" w:cs="Arial"/>
          <w:sz w:val="20"/>
          <w:szCs w:val="20"/>
        </w:rPr>
      </w:pPr>
    </w:p>
    <w:p w14:paraId="5E310816" w14:textId="77777777" w:rsidR="00FF3E70" w:rsidRPr="00CC1EBD" w:rsidRDefault="00FF3E70" w:rsidP="00DC711F">
      <w:pPr>
        <w:spacing w:line="276" w:lineRule="auto"/>
        <w:ind w:right="-574"/>
        <w:contextualSpacing/>
        <w:jc w:val="both"/>
        <w:rPr>
          <w:rFonts w:ascii="Arial" w:eastAsia="Calibri" w:hAnsi="Arial" w:cs="Arial"/>
          <w:sz w:val="20"/>
          <w:szCs w:val="20"/>
        </w:rPr>
      </w:pPr>
      <w:r w:rsidRPr="00CC1EBD">
        <w:rPr>
          <w:rFonts w:ascii="Arial" w:eastAsia="Calibri" w:hAnsi="Arial" w:cs="Arial"/>
          <w:sz w:val="20"/>
          <w:szCs w:val="20"/>
        </w:rPr>
        <w:t xml:space="preserve">Člen opredeljuje vsebino uredbe.  </w:t>
      </w:r>
    </w:p>
    <w:p w14:paraId="76DDDFCE" w14:textId="6D41B19D" w:rsidR="00FF3E70" w:rsidRPr="00CC1EBD" w:rsidRDefault="00FF3E70" w:rsidP="00DC711F">
      <w:pPr>
        <w:spacing w:line="276" w:lineRule="auto"/>
        <w:ind w:right="-574"/>
        <w:contextualSpacing/>
        <w:jc w:val="both"/>
        <w:rPr>
          <w:rFonts w:ascii="Arial" w:eastAsia="Calibri" w:hAnsi="Arial" w:cs="Arial"/>
          <w:sz w:val="20"/>
          <w:szCs w:val="20"/>
        </w:rPr>
      </w:pPr>
    </w:p>
    <w:p w14:paraId="38DFCF4F" w14:textId="77777777" w:rsidR="00FF3E70" w:rsidRPr="00CC1EBD" w:rsidRDefault="00FF3E70" w:rsidP="00DC711F">
      <w:pPr>
        <w:spacing w:line="276" w:lineRule="auto"/>
        <w:ind w:right="-574"/>
        <w:contextualSpacing/>
        <w:rPr>
          <w:rFonts w:ascii="Arial" w:eastAsia="Calibri" w:hAnsi="Arial" w:cs="Arial"/>
          <w:sz w:val="20"/>
          <w:szCs w:val="20"/>
        </w:rPr>
      </w:pPr>
      <w:r w:rsidRPr="00CC1EBD">
        <w:rPr>
          <w:rFonts w:ascii="Arial" w:eastAsia="Calibri" w:hAnsi="Arial" w:cs="Arial"/>
          <w:sz w:val="20"/>
          <w:szCs w:val="20"/>
        </w:rPr>
        <w:t>2. člen</w:t>
      </w:r>
    </w:p>
    <w:p w14:paraId="57228CFE" w14:textId="033CF1DE" w:rsidR="00FF3E70" w:rsidRPr="00CC1EBD" w:rsidRDefault="00FF3E70" w:rsidP="00DC711F">
      <w:pPr>
        <w:spacing w:line="276" w:lineRule="auto"/>
        <w:ind w:right="-574"/>
        <w:contextualSpacing/>
        <w:jc w:val="both"/>
        <w:rPr>
          <w:rFonts w:ascii="Arial" w:eastAsia="Calibri" w:hAnsi="Arial" w:cs="Arial"/>
          <w:sz w:val="20"/>
          <w:szCs w:val="20"/>
        </w:rPr>
      </w:pPr>
    </w:p>
    <w:p w14:paraId="6387DCE4" w14:textId="77777777" w:rsidR="00FF3E70" w:rsidRPr="00CC1EBD" w:rsidRDefault="00FF3E70" w:rsidP="00DC711F">
      <w:pPr>
        <w:spacing w:line="276" w:lineRule="auto"/>
        <w:ind w:right="-574"/>
        <w:contextualSpacing/>
        <w:jc w:val="both"/>
        <w:rPr>
          <w:rFonts w:ascii="Arial" w:eastAsia="Calibri" w:hAnsi="Arial" w:cs="Arial"/>
          <w:sz w:val="20"/>
          <w:szCs w:val="20"/>
        </w:rPr>
      </w:pPr>
      <w:r w:rsidRPr="00CC1EBD">
        <w:rPr>
          <w:rFonts w:ascii="Arial" w:eastAsia="Calibri" w:hAnsi="Arial" w:cs="Arial"/>
          <w:sz w:val="20"/>
          <w:szCs w:val="20"/>
        </w:rPr>
        <w:t>Člen določa kot osnovo za določitev položaja proizvodnih naprav na OVE in s SPTE na trgu z električno energijo, ceno električne energije v obdobju napovedi ter ceno proizvodno povezanih energentov.</w:t>
      </w:r>
    </w:p>
    <w:p w14:paraId="5BCBBACF" w14:textId="5C6F05FB" w:rsidR="00FF3E70" w:rsidRPr="00CC1EBD" w:rsidRDefault="00FF3E70" w:rsidP="00DC711F">
      <w:pPr>
        <w:spacing w:line="276" w:lineRule="auto"/>
        <w:ind w:right="-574"/>
        <w:contextualSpacing/>
        <w:rPr>
          <w:rFonts w:ascii="Arial" w:eastAsia="Calibri" w:hAnsi="Arial" w:cs="Arial"/>
          <w:sz w:val="20"/>
          <w:szCs w:val="20"/>
        </w:rPr>
      </w:pPr>
    </w:p>
    <w:p w14:paraId="6B20FFE1" w14:textId="6E981788" w:rsidR="00FF3E70" w:rsidRPr="00CC1EBD" w:rsidRDefault="00FF3E70" w:rsidP="00DC711F">
      <w:pPr>
        <w:spacing w:line="276" w:lineRule="auto"/>
        <w:ind w:right="-574"/>
        <w:contextualSpacing/>
        <w:rPr>
          <w:rFonts w:ascii="Arial" w:eastAsia="Calibri" w:hAnsi="Arial" w:cs="Arial"/>
          <w:sz w:val="20"/>
          <w:szCs w:val="20"/>
        </w:rPr>
      </w:pPr>
      <w:r w:rsidRPr="00CC1EBD">
        <w:rPr>
          <w:rFonts w:ascii="Arial" w:eastAsia="Calibri" w:hAnsi="Arial" w:cs="Arial"/>
          <w:sz w:val="20"/>
          <w:szCs w:val="20"/>
        </w:rPr>
        <w:t>3. člen</w:t>
      </w:r>
    </w:p>
    <w:p w14:paraId="6C05576B" w14:textId="77777777" w:rsidR="00FF3E70" w:rsidRPr="00CC1EBD" w:rsidRDefault="00FF3E70" w:rsidP="00DC711F">
      <w:pPr>
        <w:spacing w:line="276" w:lineRule="auto"/>
        <w:ind w:right="-574"/>
        <w:contextualSpacing/>
        <w:jc w:val="both"/>
        <w:rPr>
          <w:rFonts w:ascii="Arial" w:eastAsia="Calibri" w:hAnsi="Arial" w:cs="Arial"/>
          <w:sz w:val="20"/>
          <w:szCs w:val="20"/>
        </w:rPr>
      </w:pPr>
    </w:p>
    <w:p w14:paraId="23F7874E" w14:textId="77777777" w:rsidR="00FF3E70" w:rsidRPr="00CC1EBD" w:rsidRDefault="00FF3E70" w:rsidP="00DC711F">
      <w:pPr>
        <w:spacing w:line="276" w:lineRule="auto"/>
        <w:ind w:right="-574"/>
        <w:contextualSpacing/>
        <w:jc w:val="both"/>
        <w:rPr>
          <w:rFonts w:ascii="Arial" w:eastAsia="Calibri" w:hAnsi="Arial" w:cs="Arial"/>
          <w:sz w:val="20"/>
          <w:szCs w:val="20"/>
        </w:rPr>
      </w:pPr>
      <w:r w:rsidRPr="00CC1EBD">
        <w:rPr>
          <w:rFonts w:ascii="Arial" w:eastAsia="Calibri" w:hAnsi="Arial" w:cs="Arial"/>
          <w:sz w:val="20"/>
          <w:szCs w:val="20"/>
        </w:rPr>
        <w:t>Člen podrobneje določa naloge Agencije za energijo kot organa, ki je pristojen za pripravo in objavo napovedi položaja proizvodnih naprav na OVE in s SPTE.</w:t>
      </w:r>
    </w:p>
    <w:p w14:paraId="46F770A6" w14:textId="2D5C7AA7" w:rsidR="00FF3E70" w:rsidRPr="00CC1EBD" w:rsidRDefault="00FF3E70" w:rsidP="00DC711F">
      <w:pPr>
        <w:spacing w:line="276" w:lineRule="auto"/>
        <w:ind w:right="-574"/>
        <w:contextualSpacing/>
        <w:jc w:val="both"/>
        <w:rPr>
          <w:rFonts w:ascii="Arial" w:eastAsia="Calibri" w:hAnsi="Arial" w:cs="Arial"/>
          <w:sz w:val="20"/>
          <w:szCs w:val="20"/>
        </w:rPr>
      </w:pPr>
    </w:p>
    <w:p w14:paraId="1DA96401" w14:textId="77777777" w:rsidR="00FF3E70" w:rsidRPr="00CC1EBD" w:rsidRDefault="00FF3E70" w:rsidP="00DC711F">
      <w:pPr>
        <w:spacing w:line="276" w:lineRule="auto"/>
        <w:ind w:right="-574"/>
        <w:contextualSpacing/>
        <w:rPr>
          <w:rFonts w:ascii="Arial" w:eastAsia="Calibri" w:hAnsi="Arial" w:cs="Arial"/>
          <w:sz w:val="20"/>
          <w:szCs w:val="20"/>
        </w:rPr>
      </w:pPr>
      <w:r w:rsidRPr="00CC1EBD">
        <w:rPr>
          <w:rFonts w:ascii="Arial" w:eastAsia="Calibri" w:hAnsi="Arial" w:cs="Arial"/>
          <w:sz w:val="20"/>
          <w:szCs w:val="20"/>
        </w:rPr>
        <w:t>4. člen</w:t>
      </w:r>
    </w:p>
    <w:p w14:paraId="066E29B9" w14:textId="77777777" w:rsidR="00FF3E70" w:rsidRPr="00CC1EBD" w:rsidRDefault="00FF3E70" w:rsidP="00DC711F">
      <w:pPr>
        <w:spacing w:line="276" w:lineRule="auto"/>
        <w:ind w:right="-574"/>
        <w:contextualSpacing/>
        <w:jc w:val="both"/>
        <w:rPr>
          <w:rFonts w:ascii="Arial" w:eastAsia="Calibri" w:hAnsi="Arial" w:cs="Arial"/>
          <w:sz w:val="20"/>
          <w:szCs w:val="20"/>
        </w:rPr>
      </w:pPr>
    </w:p>
    <w:p w14:paraId="4B4349E4" w14:textId="77777777" w:rsidR="00FF3E70" w:rsidRPr="00CC1EBD" w:rsidRDefault="00FF3E70" w:rsidP="00DC711F">
      <w:pPr>
        <w:spacing w:line="276" w:lineRule="auto"/>
        <w:ind w:right="-574"/>
        <w:contextualSpacing/>
        <w:jc w:val="both"/>
        <w:rPr>
          <w:rFonts w:ascii="Arial" w:eastAsia="Calibri" w:hAnsi="Arial" w:cs="Arial"/>
          <w:sz w:val="20"/>
          <w:szCs w:val="20"/>
        </w:rPr>
      </w:pPr>
      <w:r w:rsidRPr="00CC1EBD">
        <w:rPr>
          <w:rFonts w:ascii="Arial" w:eastAsia="Calibri" w:hAnsi="Arial" w:cs="Arial"/>
          <w:sz w:val="20"/>
          <w:szCs w:val="20"/>
        </w:rPr>
        <w:t xml:space="preserve">Člen določa pravila  za določitev referenčnih cen električne energije in energentov v napovedi. </w:t>
      </w:r>
    </w:p>
    <w:p w14:paraId="6F7685B2" w14:textId="77777777" w:rsidR="00FF3E70" w:rsidRPr="00CC1EBD" w:rsidRDefault="00FF3E70" w:rsidP="00DC711F">
      <w:pPr>
        <w:spacing w:line="276" w:lineRule="auto"/>
        <w:ind w:right="-574"/>
        <w:contextualSpacing/>
        <w:jc w:val="both"/>
        <w:rPr>
          <w:rFonts w:ascii="Arial" w:eastAsia="Calibri" w:hAnsi="Arial" w:cs="Arial"/>
          <w:sz w:val="20"/>
          <w:szCs w:val="20"/>
        </w:rPr>
      </w:pPr>
    </w:p>
    <w:p w14:paraId="30F3DDA6" w14:textId="77777777" w:rsidR="00FF3E70" w:rsidRPr="00CC1EBD" w:rsidRDefault="00FF3E70" w:rsidP="00DC711F">
      <w:pPr>
        <w:spacing w:line="276" w:lineRule="auto"/>
        <w:ind w:right="-574"/>
        <w:contextualSpacing/>
        <w:jc w:val="both"/>
        <w:rPr>
          <w:rFonts w:ascii="Arial" w:hAnsi="Arial" w:cs="Arial"/>
          <w:sz w:val="20"/>
          <w:szCs w:val="20"/>
          <w:lang w:eastAsia="sl-SI"/>
        </w:rPr>
      </w:pPr>
      <w:r w:rsidRPr="00CC1EBD">
        <w:rPr>
          <w:rFonts w:ascii="Arial" w:eastAsia="Calibri" w:hAnsi="Arial" w:cs="Arial"/>
          <w:sz w:val="20"/>
          <w:szCs w:val="20"/>
        </w:rPr>
        <w:t xml:space="preserve">Pravila za napoved referenčne cene električne energije, so določena v 1. točki Priloge I. V okviru te točke se je Evropski energetski borzni indeks EEX nadomestil  z madžarskim </w:t>
      </w:r>
      <w:r w:rsidRPr="00CC1EBD">
        <w:rPr>
          <w:rFonts w:ascii="Arial" w:hAnsi="Arial" w:cs="Arial"/>
          <w:sz w:val="20"/>
          <w:szCs w:val="20"/>
          <w:lang w:eastAsia="sl-SI"/>
        </w:rPr>
        <w:t>borznim indeksom HUDEX.</w:t>
      </w:r>
    </w:p>
    <w:p w14:paraId="168AF702" w14:textId="77777777" w:rsidR="00FF3E70" w:rsidRPr="00CC1EBD" w:rsidRDefault="00FF3E70" w:rsidP="00DC711F">
      <w:pPr>
        <w:spacing w:line="276" w:lineRule="auto"/>
        <w:ind w:right="-574"/>
        <w:contextualSpacing/>
        <w:jc w:val="both"/>
        <w:rPr>
          <w:rFonts w:ascii="Arial" w:hAnsi="Arial" w:cs="Arial"/>
          <w:sz w:val="20"/>
          <w:szCs w:val="20"/>
          <w:lang w:eastAsia="sl-SI"/>
        </w:rPr>
      </w:pPr>
    </w:p>
    <w:p w14:paraId="6C32C910" w14:textId="77777777" w:rsidR="00FF3E70" w:rsidRPr="00CC1EBD" w:rsidRDefault="00FF3E70" w:rsidP="00DC711F">
      <w:pPr>
        <w:spacing w:line="276" w:lineRule="auto"/>
        <w:ind w:right="-574"/>
        <w:contextualSpacing/>
        <w:jc w:val="both"/>
        <w:rPr>
          <w:rFonts w:ascii="Arial" w:hAnsi="Arial" w:cs="Arial"/>
          <w:sz w:val="20"/>
          <w:szCs w:val="20"/>
          <w:lang w:eastAsia="sl-SI"/>
        </w:rPr>
      </w:pPr>
      <w:r w:rsidRPr="00CC1EBD">
        <w:rPr>
          <w:rFonts w:ascii="Arial" w:hAnsi="Arial" w:cs="Arial"/>
          <w:sz w:val="20"/>
          <w:szCs w:val="20"/>
          <w:lang w:eastAsia="sl-SI"/>
        </w:rPr>
        <w:t>Pravila za napoved referenčne cene zemeljskega plina so določena v 2. točki Priloge I. V okviru te točke so se mesečne referenčne cene nadomestile s kvartalnimi cenami tržnih produktov ter stroški zakupa prenosnih zmogljivosti na meji med Republiko Slovenijo in Republiko Avstrijo za prihodnje leto.</w:t>
      </w:r>
    </w:p>
    <w:p w14:paraId="735853A2" w14:textId="77777777" w:rsidR="00FF3E70" w:rsidRPr="00CC1EBD" w:rsidRDefault="00FF3E70" w:rsidP="00DC711F">
      <w:pPr>
        <w:spacing w:line="276" w:lineRule="auto"/>
        <w:ind w:right="-574"/>
        <w:contextualSpacing/>
        <w:jc w:val="both"/>
        <w:rPr>
          <w:rFonts w:ascii="Arial" w:hAnsi="Arial" w:cs="Arial"/>
          <w:sz w:val="20"/>
          <w:szCs w:val="20"/>
          <w:lang w:eastAsia="sl-SI"/>
        </w:rPr>
      </w:pPr>
    </w:p>
    <w:p w14:paraId="1E8D728D" w14:textId="77777777" w:rsidR="00FF3E70" w:rsidRPr="00CC1EBD" w:rsidRDefault="00FF3E70" w:rsidP="00DC711F">
      <w:pPr>
        <w:spacing w:line="276" w:lineRule="auto"/>
        <w:ind w:right="-574"/>
        <w:contextualSpacing/>
        <w:jc w:val="both"/>
        <w:rPr>
          <w:rFonts w:ascii="Arial" w:hAnsi="Arial" w:cs="Arial"/>
          <w:sz w:val="20"/>
          <w:szCs w:val="20"/>
          <w:lang w:eastAsia="sl-SI"/>
        </w:rPr>
      </w:pPr>
      <w:r w:rsidRPr="00CC1EBD">
        <w:rPr>
          <w:rFonts w:ascii="Arial" w:hAnsi="Arial" w:cs="Arial"/>
          <w:sz w:val="20"/>
          <w:szCs w:val="20"/>
          <w:lang w:eastAsia="sl-SI"/>
        </w:rPr>
        <w:t>Pravila za napoved referenčne cene substrata koruzne silaže so določena v 3. točki Priloge I. V okviru te točke se je cena koruze za siliranje nadomestila s stroškom pridelave silažne koruze, zmanjšanem za višino prejetih subvencij .</w:t>
      </w:r>
    </w:p>
    <w:p w14:paraId="33705913" w14:textId="77777777" w:rsidR="00FF3E70" w:rsidRPr="00CC1EBD" w:rsidRDefault="00FF3E70" w:rsidP="00DC711F">
      <w:pPr>
        <w:spacing w:line="276" w:lineRule="auto"/>
        <w:ind w:right="-574"/>
        <w:contextualSpacing/>
        <w:jc w:val="both"/>
        <w:rPr>
          <w:rFonts w:ascii="Arial" w:hAnsi="Arial" w:cs="Arial"/>
          <w:sz w:val="20"/>
          <w:szCs w:val="20"/>
          <w:lang w:eastAsia="sl-SI"/>
        </w:rPr>
      </w:pPr>
    </w:p>
    <w:p w14:paraId="7815FD2C" w14:textId="77777777" w:rsidR="00FF3E70" w:rsidRPr="00CC1EBD" w:rsidRDefault="00FF3E70" w:rsidP="00DC711F">
      <w:pPr>
        <w:spacing w:line="276" w:lineRule="auto"/>
        <w:ind w:right="-574"/>
        <w:contextualSpacing/>
        <w:jc w:val="both"/>
        <w:rPr>
          <w:rFonts w:ascii="Arial" w:eastAsia="Calibri" w:hAnsi="Arial" w:cs="Arial"/>
          <w:sz w:val="20"/>
          <w:szCs w:val="20"/>
        </w:rPr>
      </w:pPr>
      <w:r w:rsidRPr="00CC1EBD">
        <w:rPr>
          <w:rFonts w:ascii="Arial" w:hAnsi="Arial" w:cs="Arial"/>
          <w:sz w:val="20"/>
          <w:szCs w:val="20"/>
          <w:lang w:eastAsia="sl-SI"/>
        </w:rPr>
        <w:t>Pravila za napoved referenčne cene lesne biomase so določena v 4. točki Priloge I. V okviru te točke je referenčna cena lesne biomase določena z razmerjem izvozne vrednosti in količine lesne biomase v letnem obdobju.</w:t>
      </w:r>
    </w:p>
    <w:p w14:paraId="7E9E87ED" w14:textId="77777777" w:rsidR="00FF3E70" w:rsidRPr="00CC1EBD" w:rsidRDefault="00FF3E70" w:rsidP="00DC711F">
      <w:pPr>
        <w:spacing w:line="276" w:lineRule="auto"/>
        <w:ind w:right="-574"/>
        <w:contextualSpacing/>
        <w:jc w:val="both"/>
        <w:rPr>
          <w:rFonts w:ascii="Arial" w:eastAsia="Calibri" w:hAnsi="Arial" w:cs="Arial"/>
          <w:sz w:val="20"/>
          <w:szCs w:val="20"/>
        </w:rPr>
      </w:pPr>
    </w:p>
    <w:p w14:paraId="22D1948C" w14:textId="77777777" w:rsidR="00FF3E70" w:rsidRPr="00CC1EBD" w:rsidRDefault="00FF3E70" w:rsidP="00DC711F">
      <w:pPr>
        <w:spacing w:line="276" w:lineRule="auto"/>
        <w:ind w:right="-574"/>
        <w:contextualSpacing/>
        <w:rPr>
          <w:rFonts w:ascii="Arial" w:eastAsia="Calibri" w:hAnsi="Arial" w:cs="Arial"/>
          <w:sz w:val="20"/>
          <w:szCs w:val="20"/>
        </w:rPr>
      </w:pPr>
      <w:r w:rsidRPr="00CC1EBD">
        <w:rPr>
          <w:rFonts w:ascii="Arial" w:eastAsia="Calibri" w:hAnsi="Arial" w:cs="Arial"/>
          <w:sz w:val="20"/>
          <w:szCs w:val="20"/>
        </w:rPr>
        <w:t>5. člen</w:t>
      </w:r>
    </w:p>
    <w:p w14:paraId="5D3C85AA" w14:textId="77777777" w:rsidR="00FF3E70" w:rsidRPr="00CC1EBD" w:rsidRDefault="00FF3E70" w:rsidP="00DC711F">
      <w:pPr>
        <w:spacing w:line="276" w:lineRule="auto"/>
        <w:ind w:right="-574"/>
        <w:contextualSpacing/>
        <w:rPr>
          <w:rFonts w:ascii="Arial" w:eastAsia="Calibri" w:hAnsi="Arial" w:cs="Arial"/>
          <w:sz w:val="20"/>
          <w:szCs w:val="20"/>
        </w:rPr>
      </w:pPr>
    </w:p>
    <w:p w14:paraId="75E0BD8C" w14:textId="723F57F7" w:rsidR="00FF3E70" w:rsidRPr="00CC1EBD" w:rsidRDefault="00FF3E70" w:rsidP="00DC711F">
      <w:pPr>
        <w:spacing w:line="276" w:lineRule="auto"/>
        <w:ind w:right="-574"/>
        <w:contextualSpacing/>
        <w:jc w:val="both"/>
        <w:rPr>
          <w:rFonts w:ascii="Arial" w:eastAsia="Calibri" w:hAnsi="Arial" w:cs="Arial"/>
          <w:sz w:val="20"/>
          <w:szCs w:val="20"/>
        </w:rPr>
      </w:pPr>
      <w:r w:rsidRPr="00CC1EBD">
        <w:rPr>
          <w:rFonts w:ascii="Arial" w:eastAsia="Calibri" w:hAnsi="Arial" w:cs="Arial"/>
          <w:sz w:val="20"/>
          <w:szCs w:val="20"/>
        </w:rPr>
        <w:t xml:space="preserve">Člen ureja prenehanje uporabe </w:t>
      </w:r>
      <w:r w:rsidR="00C87ED3">
        <w:rPr>
          <w:rFonts w:ascii="Arial" w:hAnsi="Arial" w:cs="Arial"/>
          <w:sz w:val="20"/>
          <w:szCs w:val="20"/>
          <w:lang w:eastAsia="sl-SI"/>
        </w:rPr>
        <w:t>Uredbe</w:t>
      </w:r>
      <w:r w:rsidR="00C87ED3" w:rsidRPr="00CC1EBD">
        <w:rPr>
          <w:rFonts w:ascii="Arial" w:hAnsi="Arial" w:cs="Arial"/>
          <w:sz w:val="20"/>
          <w:szCs w:val="20"/>
          <w:lang w:eastAsia="sl-SI"/>
        </w:rPr>
        <w:t xml:space="preserve"> o pravilih za pripravo napovedi položaja proizvodnih naprav na obnovljive vire energije in s soproizvodnjo toplote in električne energije z visokim izkoristkom na trgu z električno energijo (Uradni list RS, št. 46/19</w:t>
      </w:r>
      <w:r w:rsidR="00C87ED3">
        <w:rPr>
          <w:rFonts w:ascii="Arial" w:eastAsia="Calibri" w:hAnsi="Arial" w:cs="Arial"/>
          <w:sz w:val="20"/>
          <w:szCs w:val="20"/>
        </w:rPr>
        <w:t xml:space="preserve">). </w:t>
      </w:r>
    </w:p>
    <w:p w14:paraId="79797BAA" w14:textId="54E80253" w:rsidR="00FF3E70" w:rsidRPr="00CC1EBD" w:rsidRDefault="00FF3E70" w:rsidP="00DC711F">
      <w:pPr>
        <w:spacing w:line="276" w:lineRule="auto"/>
        <w:ind w:right="-574"/>
        <w:contextualSpacing/>
        <w:jc w:val="both"/>
        <w:rPr>
          <w:rFonts w:ascii="Arial" w:eastAsia="Calibri" w:hAnsi="Arial" w:cs="Arial"/>
          <w:sz w:val="20"/>
          <w:szCs w:val="20"/>
        </w:rPr>
      </w:pPr>
    </w:p>
    <w:p w14:paraId="448A2DFB" w14:textId="77777777" w:rsidR="00FF3E70" w:rsidRPr="00CC1EBD" w:rsidRDefault="00FF3E70" w:rsidP="00DC711F">
      <w:pPr>
        <w:spacing w:line="276" w:lineRule="auto"/>
        <w:ind w:right="-574"/>
        <w:contextualSpacing/>
        <w:rPr>
          <w:rFonts w:ascii="Arial" w:eastAsia="Calibri" w:hAnsi="Arial" w:cs="Arial"/>
          <w:sz w:val="20"/>
          <w:szCs w:val="20"/>
        </w:rPr>
      </w:pPr>
      <w:r w:rsidRPr="00CC1EBD">
        <w:rPr>
          <w:rFonts w:ascii="Arial" w:eastAsia="Calibri" w:hAnsi="Arial" w:cs="Arial"/>
          <w:sz w:val="20"/>
          <w:szCs w:val="20"/>
        </w:rPr>
        <w:t>6. člen</w:t>
      </w:r>
    </w:p>
    <w:p w14:paraId="0412CE87" w14:textId="77777777" w:rsidR="00FF3E70" w:rsidRPr="00CC1EBD" w:rsidRDefault="00FF3E70" w:rsidP="00DC711F">
      <w:pPr>
        <w:spacing w:line="276" w:lineRule="auto"/>
        <w:ind w:right="-574"/>
        <w:contextualSpacing/>
        <w:jc w:val="both"/>
        <w:rPr>
          <w:rFonts w:ascii="Arial" w:eastAsia="Calibri" w:hAnsi="Arial" w:cs="Arial"/>
          <w:sz w:val="20"/>
          <w:szCs w:val="20"/>
        </w:rPr>
      </w:pPr>
    </w:p>
    <w:p w14:paraId="6089CA70" w14:textId="77777777" w:rsidR="00FF3E70" w:rsidRPr="00CC1EBD" w:rsidRDefault="00FF3E70" w:rsidP="00DC711F">
      <w:pPr>
        <w:spacing w:line="276" w:lineRule="auto"/>
        <w:ind w:right="-574"/>
        <w:contextualSpacing/>
        <w:jc w:val="both"/>
        <w:rPr>
          <w:rFonts w:ascii="Arial" w:eastAsia="Calibri" w:hAnsi="Arial" w:cs="Arial"/>
          <w:iCs/>
          <w:sz w:val="20"/>
          <w:szCs w:val="20"/>
        </w:rPr>
      </w:pPr>
      <w:r w:rsidRPr="00CC1EBD">
        <w:rPr>
          <w:rFonts w:ascii="Arial" w:eastAsia="Calibri" w:hAnsi="Arial" w:cs="Arial"/>
          <w:sz w:val="20"/>
          <w:szCs w:val="20"/>
        </w:rPr>
        <w:t>Člen ureja začetek veljavnosti predmetne uredbe.</w:t>
      </w:r>
    </w:p>
    <w:p w14:paraId="521B3987" w14:textId="2F146DC1" w:rsidR="00BD75AC" w:rsidRPr="00CC1EBD" w:rsidRDefault="00BD75AC" w:rsidP="00DC711F">
      <w:pPr>
        <w:spacing w:after="0" w:line="276" w:lineRule="auto"/>
        <w:jc w:val="both"/>
        <w:rPr>
          <w:rFonts w:ascii="Arial" w:eastAsia="Times New Roman" w:hAnsi="Arial" w:cs="Arial"/>
          <w:sz w:val="20"/>
          <w:szCs w:val="20"/>
          <w:lang w:eastAsia="sl-SI"/>
        </w:rPr>
      </w:pPr>
    </w:p>
    <w:sectPr w:rsidR="00BD75AC" w:rsidRPr="00CC1EBD">
      <w:headerReference w:type="default" r:id="rId11"/>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A75B7A" w14:textId="77777777" w:rsidR="00EC42DD" w:rsidRDefault="00EC42DD" w:rsidP="000B65BA">
      <w:pPr>
        <w:spacing w:after="0" w:line="240" w:lineRule="auto"/>
      </w:pPr>
      <w:r>
        <w:separator/>
      </w:r>
    </w:p>
  </w:endnote>
  <w:endnote w:type="continuationSeparator" w:id="0">
    <w:p w14:paraId="280A05D7" w14:textId="77777777" w:rsidR="00EC42DD" w:rsidRDefault="00EC42DD" w:rsidP="000B65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Calibri Light">
    <w:panose1 w:val="020F0302020204030204"/>
    <w:charset w:val="EE"/>
    <w:family w:val="swiss"/>
    <w:pitch w:val="variable"/>
    <w:sig w:usb0="A0002AEF" w:usb1="4000207B" w:usb2="00000000"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0458828"/>
      <w:docPartObj>
        <w:docPartGallery w:val="Page Numbers (Bottom of Page)"/>
        <w:docPartUnique/>
      </w:docPartObj>
    </w:sdtPr>
    <w:sdtEndPr/>
    <w:sdtContent>
      <w:p w14:paraId="164344A1" w14:textId="20BD8E7E" w:rsidR="00150D41" w:rsidRDefault="00150D41">
        <w:pPr>
          <w:pStyle w:val="Noga"/>
          <w:jc w:val="right"/>
        </w:pPr>
        <w:r>
          <w:fldChar w:fldCharType="begin"/>
        </w:r>
        <w:r>
          <w:instrText>PAGE   \* MERGEFORMAT</w:instrText>
        </w:r>
        <w:r>
          <w:fldChar w:fldCharType="separate"/>
        </w:r>
        <w:r w:rsidR="00DB03C7">
          <w:rPr>
            <w:noProof/>
          </w:rPr>
          <w:t>1</w:t>
        </w:r>
        <w:r>
          <w:fldChar w:fldCharType="end"/>
        </w:r>
      </w:p>
    </w:sdtContent>
  </w:sdt>
  <w:p w14:paraId="25454D7B" w14:textId="77777777" w:rsidR="00150D41" w:rsidRDefault="00150D4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1CE467" w14:textId="77777777" w:rsidR="00EC42DD" w:rsidRDefault="00EC42DD" w:rsidP="000B65BA">
      <w:pPr>
        <w:spacing w:after="0" w:line="240" w:lineRule="auto"/>
      </w:pPr>
      <w:r>
        <w:separator/>
      </w:r>
    </w:p>
  </w:footnote>
  <w:footnote w:type="continuationSeparator" w:id="0">
    <w:p w14:paraId="6AF6D5FB" w14:textId="77777777" w:rsidR="00EC42DD" w:rsidRDefault="00EC42DD" w:rsidP="000B65BA">
      <w:pPr>
        <w:spacing w:after="0" w:line="240" w:lineRule="auto"/>
      </w:pPr>
      <w:r>
        <w:continuationSeparator/>
      </w:r>
    </w:p>
  </w:footnote>
  <w:footnote w:id="1">
    <w:p w14:paraId="69795850" w14:textId="77777777" w:rsidR="00FF3E70" w:rsidRPr="00CD6BAA" w:rsidRDefault="00FF3E70" w:rsidP="00FF3E70">
      <w:pPr>
        <w:pStyle w:val="Sprotnaopomba-besedilo"/>
        <w:rPr>
          <w:rFonts w:cs="Arial"/>
        </w:rPr>
      </w:pPr>
      <w:r w:rsidRPr="00CD6BAA">
        <w:rPr>
          <w:rStyle w:val="Sprotnaopomba-sklic"/>
          <w:rFonts w:cs="Arial"/>
          <w:sz w:val="16"/>
        </w:rPr>
        <w:footnoteRef/>
      </w:r>
      <w:r w:rsidRPr="00CD6BAA">
        <w:rPr>
          <w:rFonts w:cs="Arial"/>
          <w:sz w:val="16"/>
        </w:rPr>
        <w:t xml:space="preserve"> http://www.kis.si/Standardni_nabor</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4DE2F" w14:textId="2D51842B" w:rsidR="00150D41" w:rsidRPr="000B65BA" w:rsidRDefault="00150D41" w:rsidP="000B65BA">
    <w:pPr>
      <w:pStyle w:val="Glava"/>
      <w:jc w:val="both"/>
      <w:rPr>
        <w:rFonts w:ascii="Arial" w:hAnsi="Arial" w:cs="Arial"/>
        <w:sz w:val="18"/>
      </w:rPr>
    </w:pPr>
    <w:r w:rsidRPr="000B65BA">
      <w:rPr>
        <w:rFonts w:ascii="Arial" w:hAnsi="Arial" w:cs="Arial"/>
        <w:sz w:val="18"/>
      </w:rPr>
      <w:t>O</w:t>
    </w:r>
    <w:r>
      <w:rPr>
        <w:rFonts w:ascii="Arial" w:hAnsi="Arial" w:cs="Arial"/>
        <w:sz w:val="18"/>
      </w:rPr>
      <w:t xml:space="preserve">snutek za javno obravnavo - </w:t>
    </w:r>
    <w:r w:rsidR="00FF3E70">
      <w:rPr>
        <w:rFonts w:ascii="Arial" w:hAnsi="Arial" w:cs="Arial"/>
        <w:sz w:val="18"/>
      </w:rPr>
      <w:t>13</w:t>
    </w:r>
    <w:r w:rsidRPr="000B65BA">
      <w:rPr>
        <w:rFonts w:ascii="Arial" w:hAnsi="Arial" w:cs="Arial"/>
        <w:sz w:val="18"/>
      </w:rPr>
      <w:t>.</w:t>
    </w:r>
    <w:r>
      <w:rPr>
        <w:rFonts w:ascii="Arial" w:hAnsi="Arial" w:cs="Arial"/>
        <w:sz w:val="18"/>
      </w:rPr>
      <w:t xml:space="preserve"> 1</w:t>
    </w:r>
    <w:r w:rsidR="00FF3E70">
      <w:rPr>
        <w:rFonts w:ascii="Arial" w:hAnsi="Arial" w:cs="Arial"/>
        <w:sz w:val="18"/>
      </w:rPr>
      <w:t>0</w:t>
    </w:r>
    <w:r w:rsidRPr="000B65BA">
      <w:rPr>
        <w:rFonts w:ascii="Arial" w:hAnsi="Arial" w:cs="Arial"/>
        <w:sz w:val="18"/>
      </w:rPr>
      <w:t>.</w:t>
    </w:r>
    <w:r>
      <w:rPr>
        <w:rFonts w:ascii="Arial" w:hAnsi="Arial" w:cs="Arial"/>
        <w:sz w:val="18"/>
      </w:rPr>
      <w:t xml:space="preserve"> </w:t>
    </w:r>
    <w:r w:rsidR="00FF3E70">
      <w:rPr>
        <w:rFonts w:ascii="Arial" w:hAnsi="Arial" w:cs="Arial"/>
        <w:sz w:val="18"/>
      </w:rPr>
      <w:t>2021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1D7252"/>
    <w:multiLevelType w:val="hybridMultilevel"/>
    <w:tmpl w:val="BC46665C"/>
    <w:lvl w:ilvl="0" w:tplc="1C74F95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279249A5"/>
    <w:multiLevelType w:val="hybridMultilevel"/>
    <w:tmpl w:val="09847372"/>
    <w:lvl w:ilvl="0" w:tplc="7DFED80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31C34A69"/>
    <w:multiLevelType w:val="hybridMultilevel"/>
    <w:tmpl w:val="157CB8DE"/>
    <w:lvl w:ilvl="0" w:tplc="E0747536">
      <w:start w:val="1"/>
      <w:numFmt w:val="decimal"/>
      <w:lvlText w:val="(%1)"/>
      <w:lvlJc w:val="left"/>
      <w:pPr>
        <w:ind w:left="1509" w:hanging="375"/>
      </w:pPr>
      <w:rPr>
        <w:rFonts w:hint="default"/>
      </w:rPr>
    </w:lvl>
    <w:lvl w:ilvl="1" w:tplc="04240019" w:tentative="1">
      <w:start w:val="1"/>
      <w:numFmt w:val="lowerLetter"/>
      <w:lvlText w:val="%2."/>
      <w:lvlJc w:val="left"/>
      <w:pPr>
        <w:ind w:left="2214" w:hanging="360"/>
      </w:pPr>
    </w:lvl>
    <w:lvl w:ilvl="2" w:tplc="0424001B" w:tentative="1">
      <w:start w:val="1"/>
      <w:numFmt w:val="lowerRoman"/>
      <w:lvlText w:val="%3."/>
      <w:lvlJc w:val="right"/>
      <w:pPr>
        <w:ind w:left="2934" w:hanging="180"/>
      </w:pPr>
    </w:lvl>
    <w:lvl w:ilvl="3" w:tplc="0424000F" w:tentative="1">
      <w:start w:val="1"/>
      <w:numFmt w:val="decimal"/>
      <w:lvlText w:val="%4."/>
      <w:lvlJc w:val="left"/>
      <w:pPr>
        <w:ind w:left="3654" w:hanging="360"/>
      </w:pPr>
    </w:lvl>
    <w:lvl w:ilvl="4" w:tplc="04240019" w:tentative="1">
      <w:start w:val="1"/>
      <w:numFmt w:val="lowerLetter"/>
      <w:lvlText w:val="%5."/>
      <w:lvlJc w:val="left"/>
      <w:pPr>
        <w:ind w:left="4374" w:hanging="360"/>
      </w:pPr>
    </w:lvl>
    <w:lvl w:ilvl="5" w:tplc="0424001B" w:tentative="1">
      <w:start w:val="1"/>
      <w:numFmt w:val="lowerRoman"/>
      <w:lvlText w:val="%6."/>
      <w:lvlJc w:val="right"/>
      <w:pPr>
        <w:ind w:left="5094" w:hanging="180"/>
      </w:pPr>
    </w:lvl>
    <w:lvl w:ilvl="6" w:tplc="0424000F" w:tentative="1">
      <w:start w:val="1"/>
      <w:numFmt w:val="decimal"/>
      <w:lvlText w:val="%7."/>
      <w:lvlJc w:val="left"/>
      <w:pPr>
        <w:ind w:left="5814" w:hanging="360"/>
      </w:pPr>
    </w:lvl>
    <w:lvl w:ilvl="7" w:tplc="04240019" w:tentative="1">
      <w:start w:val="1"/>
      <w:numFmt w:val="lowerLetter"/>
      <w:lvlText w:val="%8."/>
      <w:lvlJc w:val="left"/>
      <w:pPr>
        <w:ind w:left="6534" w:hanging="360"/>
      </w:pPr>
    </w:lvl>
    <w:lvl w:ilvl="8" w:tplc="0424001B" w:tentative="1">
      <w:start w:val="1"/>
      <w:numFmt w:val="lowerRoman"/>
      <w:lvlText w:val="%9."/>
      <w:lvlJc w:val="right"/>
      <w:pPr>
        <w:ind w:left="7254" w:hanging="180"/>
      </w:pPr>
    </w:lvl>
  </w:abstractNum>
  <w:abstractNum w:abstractNumId="3" w15:restartNumberingAfterBreak="0">
    <w:nsid w:val="39926874"/>
    <w:multiLevelType w:val="hybridMultilevel"/>
    <w:tmpl w:val="3656EDA4"/>
    <w:lvl w:ilvl="0" w:tplc="DC3C9D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411807DD"/>
    <w:multiLevelType w:val="hybridMultilevel"/>
    <w:tmpl w:val="1318EE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AAF5BDB"/>
    <w:multiLevelType w:val="hybridMultilevel"/>
    <w:tmpl w:val="C2D628D2"/>
    <w:lvl w:ilvl="0" w:tplc="EDD488C0">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52182C81"/>
    <w:multiLevelType w:val="hybridMultilevel"/>
    <w:tmpl w:val="C924DE2E"/>
    <w:lvl w:ilvl="0" w:tplc="254C20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63795E3B"/>
    <w:multiLevelType w:val="hybridMultilevel"/>
    <w:tmpl w:val="515EEC04"/>
    <w:lvl w:ilvl="0" w:tplc="D92CFFC4">
      <w:start w:val="1"/>
      <w:numFmt w:val="decimal"/>
      <w:lvlText w:val="%1."/>
      <w:lvlJc w:val="left"/>
      <w:pPr>
        <w:ind w:left="4472" w:hanging="360"/>
      </w:pPr>
      <w:rPr>
        <w:rFonts w:ascii="Arial" w:hAnsi="Arial" w:cs="Arial"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rPr>
    </w:lvl>
    <w:lvl w:ilvl="1" w:tplc="04240019" w:tentative="1">
      <w:start w:val="1"/>
      <w:numFmt w:val="lowerLetter"/>
      <w:lvlText w:val="%2."/>
      <w:lvlJc w:val="left"/>
      <w:pPr>
        <w:ind w:left="5192" w:hanging="360"/>
      </w:pPr>
    </w:lvl>
    <w:lvl w:ilvl="2" w:tplc="0424001B" w:tentative="1">
      <w:start w:val="1"/>
      <w:numFmt w:val="lowerRoman"/>
      <w:lvlText w:val="%3."/>
      <w:lvlJc w:val="right"/>
      <w:pPr>
        <w:ind w:left="5912" w:hanging="180"/>
      </w:pPr>
    </w:lvl>
    <w:lvl w:ilvl="3" w:tplc="0424000F" w:tentative="1">
      <w:start w:val="1"/>
      <w:numFmt w:val="decimal"/>
      <w:lvlText w:val="%4."/>
      <w:lvlJc w:val="left"/>
      <w:pPr>
        <w:ind w:left="6632" w:hanging="360"/>
      </w:pPr>
    </w:lvl>
    <w:lvl w:ilvl="4" w:tplc="04240019" w:tentative="1">
      <w:start w:val="1"/>
      <w:numFmt w:val="lowerLetter"/>
      <w:lvlText w:val="%5."/>
      <w:lvlJc w:val="left"/>
      <w:pPr>
        <w:ind w:left="7352" w:hanging="360"/>
      </w:pPr>
    </w:lvl>
    <w:lvl w:ilvl="5" w:tplc="0424001B" w:tentative="1">
      <w:start w:val="1"/>
      <w:numFmt w:val="lowerRoman"/>
      <w:lvlText w:val="%6."/>
      <w:lvlJc w:val="right"/>
      <w:pPr>
        <w:ind w:left="8072" w:hanging="180"/>
      </w:pPr>
    </w:lvl>
    <w:lvl w:ilvl="6" w:tplc="0424000F" w:tentative="1">
      <w:start w:val="1"/>
      <w:numFmt w:val="decimal"/>
      <w:lvlText w:val="%7."/>
      <w:lvlJc w:val="left"/>
      <w:pPr>
        <w:ind w:left="8792" w:hanging="360"/>
      </w:pPr>
    </w:lvl>
    <w:lvl w:ilvl="7" w:tplc="04240019" w:tentative="1">
      <w:start w:val="1"/>
      <w:numFmt w:val="lowerLetter"/>
      <w:lvlText w:val="%8."/>
      <w:lvlJc w:val="left"/>
      <w:pPr>
        <w:ind w:left="9512" w:hanging="360"/>
      </w:pPr>
    </w:lvl>
    <w:lvl w:ilvl="8" w:tplc="0424001B" w:tentative="1">
      <w:start w:val="1"/>
      <w:numFmt w:val="lowerRoman"/>
      <w:lvlText w:val="%9."/>
      <w:lvlJc w:val="right"/>
      <w:pPr>
        <w:ind w:left="10232" w:hanging="180"/>
      </w:pPr>
    </w:lvl>
  </w:abstractNum>
  <w:abstractNum w:abstractNumId="8"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EDA6526"/>
    <w:multiLevelType w:val="hybridMultilevel"/>
    <w:tmpl w:val="D696C45C"/>
    <w:lvl w:ilvl="0" w:tplc="307A492E">
      <w:start w:val="1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7B7D3EA3"/>
    <w:multiLevelType w:val="hybridMultilevel"/>
    <w:tmpl w:val="73A4F158"/>
    <w:lvl w:ilvl="0" w:tplc="B8B69EFE">
      <w:start w:val="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7"/>
  </w:num>
  <w:num w:numId="2">
    <w:abstractNumId w:val="5"/>
  </w:num>
  <w:num w:numId="3">
    <w:abstractNumId w:val="6"/>
  </w:num>
  <w:num w:numId="4">
    <w:abstractNumId w:val="4"/>
  </w:num>
  <w:num w:numId="5">
    <w:abstractNumId w:val="9"/>
  </w:num>
  <w:num w:numId="6">
    <w:abstractNumId w:val="1"/>
  </w:num>
  <w:num w:numId="7">
    <w:abstractNumId w:val="3"/>
  </w:num>
  <w:num w:numId="8">
    <w:abstractNumId w:val="8"/>
  </w:num>
  <w:num w:numId="9">
    <w:abstractNumId w:val="10"/>
  </w:num>
  <w:num w:numId="10">
    <w:abstractNumId w:val="2"/>
  </w:num>
  <w:num w:numId="11">
    <w:abstractNumId w:val="8"/>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6A56"/>
    <w:rsid w:val="00010B65"/>
    <w:rsid w:val="00012EC7"/>
    <w:rsid w:val="00013CD5"/>
    <w:rsid w:val="00014C65"/>
    <w:rsid w:val="000165BA"/>
    <w:rsid w:val="00023875"/>
    <w:rsid w:val="000310E2"/>
    <w:rsid w:val="00040EBB"/>
    <w:rsid w:val="00057DD4"/>
    <w:rsid w:val="00065B66"/>
    <w:rsid w:val="00070496"/>
    <w:rsid w:val="000769B3"/>
    <w:rsid w:val="000827A5"/>
    <w:rsid w:val="0008655D"/>
    <w:rsid w:val="000A19D8"/>
    <w:rsid w:val="000A573D"/>
    <w:rsid w:val="000B31B9"/>
    <w:rsid w:val="000B4652"/>
    <w:rsid w:val="000B531C"/>
    <w:rsid w:val="000B65BA"/>
    <w:rsid w:val="000D1229"/>
    <w:rsid w:val="000D3678"/>
    <w:rsid w:val="000D6386"/>
    <w:rsid w:val="000D679B"/>
    <w:rsid w:val="000D6A20"/>
    <w:rsid w:val="000E3B88"/>
    <w:rsid w:val="000F58FC"/>
    <w:rsid w:val="001030E3"/>
    <w:rsid w:val="00104607"/>
    <w:rsid w:val="00110078"/>
    <w:rsid w:val="001178FC"/>
    <w:rsid w:val="00121D00"/>
    <w:rsid w:val="00130B10"/>
    <w:rsid w:val="00133D94"/>
    <w:rsid w:val="001348A7"/>
    <w:rsid w:val="00150D41"/>
    <w:rsid w:val="00152179"/>
    <w:rsid w:val="0015601A"/>
    <w:rsid w:val="001609D3"/>
    <w:rsid w:val="00174BD8"/>
    <w:rsid w:val="00175AF7"/>
    <w:rsid w:val="00193679"/>
    <w:rsid w:val="001A60AA"/>
    <w:rsid w:val="001A6949"/>
    <w:rsid w:val="001A7B27"/>
    <w:rsid w:val="001B0042"/>
    <w:rsid w:val="001B5D11"/>
    <w:rsid w:val="001B690E"/>
    <w:rsid w:val="001C27CA"/>
    <w:rsid w:val="001C5C66"/>
    <w:rsid w:val="001C5DB0"/>
    <w:rsid w:val="001C7EB8"/>
    <w:rsid w:val="001D21F8"/>
    <w:rsid w:val="001D6CE0"/>
    <w:rsid w:val="001E0591"/>
    <w:rsid w:val="001F1DCA"/>
    <w:rsid w:val="001F22C4"/>
    <w:rsid w:val="001F2840"/>
    <w:rsid w:val="001F6F97"/>
    <w:rsid w:val="00203498"/>
    <w:rsid w:val="002037D3"/>
    <w:rsid w:val="002223EF"/>
    <w:rsid w:val="00222C43"/>
    <w:rsid w:val="00223E46"/>
    <w:rsid w:val="00225593"/>
    <w:rsid w:val="002464B0"/>
    <w:rsid w:val="002615E5"/>
    <w:rsid w:val="00262956"/>
    <w:rsid w:val="002650E2"/>
    <w:rsid w:val="00270343"/>
    <w:rsid w:val="002748A6"/>
    <w:rsid w:val="00283184"/>
    <w:rsid w:val="00290879"/>
    <w:rsid w:val="002A4D96"/>
    <w:rsid w:val="002B085F"/>
    <w:rsid w:val="002B3B40"/>
    <w:rsid w:val="002B46BB"/>
    <w:rsid w:val="002B752E"/>
    <w:rsid w:val="002C3C4D"/>
    <w:rsid w:val="002C78AF"/>
    <w:rsid w:val="002D2E48"/>
    <w:rsid w:val="002D3966"/>
    <w:rsid w:val="002D5FA9"/>
    <w:rsid w:val="002D7962"/>
    <w:rsid w:val="002E2DB6"/>
    <w:rsid w:val="002E34C1"/>
    <w:rsid w:val="002E584F"/>
    <w:rsid w:val="002F0844"/>
    <w:rsid w:val="002F0F7C"/>
    <w:rsid w:val="002F7781"/>
    <w:rsid w:val="00302254"/>
    <w:rsid w:val="00307F97"/>
    <w:rsid w:val="003100FD"/>
    <w:rsid w:val="0031079B"/>
    <w:rsid w:val="00311F7D"/>
    <w:rsid w:val="00312C7B"/>
    <w:rsid w:val="00313E01"/>
    <w:rsid w:val="00322102"/>
    <w:rsid w:val="003229B6"/>
    <w:rsid w:val="003234EB"/>
    <w:rsid w:val="00325A6D"/>
    <w:rsid w:val="003316CC"/>
    <w:rsid w:val="00331930"/>
    <w:rsid w:val="00333025"/>
    <w:rsid w:val="00336D1B"/>
    <w:rsid w:val="00337259"/>
    <w:rsid w:val="00344D60"/>
    <w:rsid w:val="003472E9"/>
    <w:rsid w:val="003552FD"/>
    <w:rsid w:val="0036334D"/>
    <w:rsid w:val="00364120"/>
    <w:rsid w:val="00397D37"/>
    <w:rsid w:val="003A16CD"/>
    <w:rsid w:val="003A7907"/>
    <w:rsid w:val="003B142C"/>
    <w:rsid w:val="003B5047"/>
    <w:rsid w:val="003B7207"/>
    <w:rsid w:val="003C0A12"/>
    <w:rsid w:val="003C4434"/>
    <w:rsid w:val="003C737B"/>
    <w:rsid w:val="003D32C1"/>
    <w:rsid w:val="003E434A"/>
    <w:rsid w:val="003E6ABF"/>
    <w:rsid w:val="003E752C"/>
    <w:rsid w:val="003F0457"/>
    <w:rsid w:val="003F2D8B"/>
    <w:rsid w:val="003F3368"/>
    <w:rsid w:val="003F46C7"/>
    <w:rsid w:val="003F7335"/>
    <w:rsid w:val="0040518D"/>
    <w:rsid w:val="004102AF"/>
    <w:rsid w:val="0041180A"/>
    <w:rsid w:val="004120E7"/>
    <w:rsid w:val="00414C28"/>
    <w:rsid w:val="00415144"/>
    <w:rsid w:val="00421041"/>
    <w:rsid w:val="00421EAD"/>
    <w:rsid w:val="00423989"/>
    <w:rsid w:val="00425274"/>
    <w:rsid w:val="0042709F"/>
    <w:rsid w:val="004325C4"/>
    <w:rsid w:val="00434AD5"/>
    <w:rsid w:val="00436B30"/>
    <w:rsid w:val="00437533"/>
    <w:rsid w:val="00465932"/>
    <w:rsid w:val="00466C56"/>
    <w:rsid w:val="00477B1A"/>
    <w:rsid w:val="004839F5"/>
    <w:rsid w:val="00492D7D"/>
    <w:rsid w:val="00492DBD"/>
    <w:rsid w:val="00495B4B"/>
    <w:rsid w:val="0049654A"/>
    <w:rsid w:val="004968CA"/>
    <w:rsid w:val="00497BC6"/>
    <w:rsid w:val="004A163F"/>
    <w:rsid w:val="004A51CC"/>
    <w:rsid w:val="004B06F4"/>
    <w:rsid w:val="004B121A"/>
    <w:rsid w:val="004C68E2"/>
    <w:rsid w:val="004C718A"/>
    <w:rsid w:val="004E2533"/>
    <w:rsid w:val="004E439B"/>
    <w:rsid w:val="004E7650"/>
    <w:rsid w:val="004F2B80"/>
    <w:rsid w:val="004F4044"/>
    <w:rsid w:val="004F4263"/>
    <w:rsid w:val="004F7AEA"/>
    <w:rsid w:val="00505557"/>
    <w:rsid w:val="0051341C"/>
    <w:rsid w:val="005149B3"/>
    <w:rsid w:val="00520498"/>
    <w:rsid w:val="00531FEC"/>
    <w:rsid w:val="00541C59"/>
    <w:rsid w:val="005426BE"/>
    <w:rsid w:val="00546764"/>
    <w:rsid w:val="00550752"/>
    <w:rsid w:val="005519C4"/>
    <w:rsid w:val="005558E7"/>
    <w:rsid w:val="005562CE"/>
    <w:rsid w:val="005648ED"/>
    <w:rsid w:val="0057153E"/>
    <w:rsid w:val="00571B9B"/>
    <w:rsid w:val="00576A87"/>
    <w:rsid w:val="00577C20"/>
    <w:rsid w:val="005820BA"/>
    <w:rsid w:val="0058308F"/>
    <w:rsid w:val="005A29B1"/>
    <w:rsid w:val="005A2B5A"/>
    <w:rsid w:val="005A78BA"/>
    <w:rsid w:val="005B6732"/>
    <w:rsid w:val="005C21E6"/>
    <w:rsid w:val="005C41CB"/>
    <w:rsid w:val="005C471B"/>
    <w:rsid w:val="005C52EF"/>
    <w:rsid w:val="005D6C38"/>
    <w:rsid w:val="005E6D9F"/>
    <w:rsid w:val="005E7752"/>
    <w:rsid w:val="005F5B2B"/>
    <w:rsid w:val="006066D2"/>
    <w:rsid w:val="006121E3"/>
    <w:rsid w:val="00612E5F"/>
    <w:rsid w:val="00613462"/>
    <w:rsid w:val="006176E8"/>
    <w:rsid w:val="0062495A"/>
    <w:rsid w:val="00631154"/>
    <w:rsid w:val="00642232"/>
    <w:rsid w:val="006462E6"/>
    <w:rsid w:val="00655A4B"/>
    <w:rsid w:val="00660837"/>
    <w:rsid w:val="00664B94"/>
    <w:rsid w:val="00666781"/>
    <w:rsid w:val="00670E10"/>
    <w:rsid w:val="0068087C"/>
    <w:rsid w:val="00686D1C"/>
    <w:rsid w:val="00686E8C"/>
    <w:rsid w:val="00690133"/>
    <w:rsid w:val="00691666"/>
    <w:rsid w:val="00694095"/>
    <w:rsid w:val="006B1030"/>
    <w:rsid w:val="006B31B4"/>
    <w:rsid w:val="006B6502"/>
    <w:rsid w:val="006C010E"/>
    <w:rsid w:val="006C0AE0"/>
    <w:rsid w:val="006D0899"/>
    <w:rsid w:val="006F7122"/>
    <w:rsid w:val="007204D1"/>
    <w:rsid w:val="00730A9F"/>
    <w:rsid w:val="00741821"/>
    <w:rsid w:val="00744D7D"/>
    <w:rsid w:val="00751DCB"/>
    <w:rsid w:val="00752B3B"/>
    <w:rsid w:val="00761438"/>
    <w:rsid w:val="00767270"/>
    <w:rsid w:val="0077463A"/>
    <w:rsid w:val="0077747B"/>
    <w:rsid w:val="0078309F"/>
    <w:rsid w:val="00783312"/>
    <w:rsid w:val="00783B8A"/>
    <w:rsid w:val="007844EB"/>
    <w:rsid w:val="00785E88"/>
    <w:rsid w:val="00786376"/>
    <w:rsid w:val="007A21D5"/>
    <w:rsid w:val="007A4C2C"/>
    <w:rsid w:val="007B0A16"/>
    <w:rsid w:val="007B0DB8"/>
    <w:rsid w:val="007B4B26"/>
    <w:rsid w:val="007C4F8B"/>
    <w:rsid w:val="007E1C76"/>
    <w:rsid w:val="007E5DED"/>
    <w:rsid w:val="007F4D0E"/>
    <w:rsid w:val="008039B6"/>
    <w:rsid w:val="00804528"/>
    <w:rsid w:val="008119DF"/>
    <w:rsid w:val="00812FB2"/>
    <w:rsid w:val="00813155"/>
    <w:rsid w:val="00815AC9"/>
    <w:rsid w:val="0081659D"/>
    <w:rsid w:val="00816D4F"/>
    <w:rsid w:val="00821AD0"/>
    <w:rsid w:val="0082695A"/>
    <w:rsid w:val="00830586"/>
    <w:rsid w:val="00833630"/>
    <w:rsid w:val="00837BD0"/>
    <w:rsid w:val="008537F6"/>
    <w:rsid w:val="00854A82"/>
    <w:rsid w:val="0086076B"/>
    <w:rsid w:val="00860F8E"/>
    <w:rsid w:val="008649D9"/>
    <w:rsid w:val="00867BED"/>
    <w:rsid w:val="00867E6C"/>
    <w:rsid w:val="0088161D"/>
    <w:rsid w:val="00882455"/>
    <w:rsid w:val="00882712"/>
    <w:rsid w:val="00891920"/>
    <w:rsid w:val="00892E69"/>
    <w:rsid w:val="0089376F"/>
    <w:rsid w:val="008A2AA3"/>
    <w:rsid w:val="008A37D7"/>
    <w:rsid w:val="008B3E2D"/>
    <w:rsid w:val="008C1322"/>
    <w:rsid w:val="008D1856"/>
    <w:rsid w:val="008D381D"/>
    <w:rsid w:val="008D3FA9"/>
    <w:rsid w:val="008D6799"/>
    <w:rsid w:val="008E4130"/>
    <w:rsid w:val="008E583D"/>
    <w:rsid w:val="008E6358"/>
    <w:rsid w:val="008F3E3F"/>
    <w:rsid w:val="008F7D50"/>
    <w:rsid w:val="009103CB"/>
    <w:rsid w:val="009105B0"/>
    <w:rsid w:val="00911AA2"/>
    <w:rsid w:val="009140DC"/>
    <w:rsid w:val="00915B77"/>
    <w:rsid w:val="00916503"/>
    <w:rsid w:val="00917149"/>
    <w:rsid w:val="00924E87"/>
    <w:rsid w:val="00930B51"/>
    <w:rsid w:val="00931A04"/>
    <w:rsid w:val="00931C9A"/>
    <w:rsid w:val="00945066"/>
    <w:rsid w:val="00947039"/>
    <w:rsid w:val="00954446"/>
    <w:rsid w:val="00970378"/>
    <w:rsid w:val="00972764"/>
    <w:rsid w:val="00972A18"/>
    <w:rsid w:val="00993CE5"/>
    <w:rsid w:val="009A02C1"/>
    <w:rsid w:val="009A1394"/>
    <w:rsid w:val="009A44C9"/>
    <w:rsid w:val="009A4735"/>
    <w:rsid w:val="009A7C8C"/>
    <w:rsid w:val="009C1489"/>
    <w:rsid w:val="009C3052"/>
    <w:rsid w:val="009D35EB"/>
    <w:rsid w:val="009D3A15"/>
    <w:rsid w:val="009D7957"/>
    <w:rsid w:val="009E354A"/>
    <w:rsid w:val="009E4690"/>
    <w:rsid w:val="009E66FE"/>
    <w:rsid w:val="00A03EE0"/>
    <w:rsid w:val="00A0619B"/>
    <w:rsid w:val="00A0625B"/>
    <w:rsid w:val="00A07F99"/>
    <w:rsid w:val="00A10F27"/>
    <w:rsid w:val="00A131A0"/>
    <w:rsid w:val="00A14FD9"/>
    <w:rsid w:val="00A15801"/>
    <w:rsid w:val="00A233EA"/>
    <w:rsid w:val="00A23BB2"/>
    <w:rsid w:val="00A24C7E"/>
    <w:rsid w:val="00A27035"/>
    <w:rsid w:val="00A30D69"/>
    <w:rsid w:val="00A35C08"/>
    <w:rsid w:val="00A41AA1"/>
    <w:rsid w:val="00A43D0A"/>
    <w:rsid w:val="00A44338"/>
    <w:rsid w:val="00A4586C"/>
    <w:rsid w:val="00A522D5"/>
    <w:rsid w:val="00A52C17"/>
    <w:rsid w:val="00A56EA6"/>
    <w:rsid w:val="00A6442F"/>
    <w:rsid w:val="00A70DE1"/>
    <w:rsid w:val="00A770F4"/>
    <w:rsid w:val="00A8760E"/>
    <w:rsid w:val="00A91365"/>
    <w:rsid w:val="00A97DCB"/>
    <w:rsid w:val="00AA4D66"/>
    <w:rsid w:val="00AC233F"/>
    <w:rsid w:val="00AD0050"/>
    <w:rsid w:val="00AD1335"/>
    <w:rsid w:val="00AD3E0A"/>
    <w:rsid w:val="00AE08E3"/>
    <w:rsid w:val="00AE141E"/>
    <w:rsid w:val="00AE3C22"/>
    <w:rsid w:val="00AE5763"/>
    <w:rsid w:val="00AE589C"/>
    <w:rsid w:val="00AF07BE"/>
    <w:rsid w:val="00AF3AC6"/>
    <w:rsid w:val="00B03587"/>
    <w:rsid w:val="00B04490"/>
    <w:rsid w:val="00B11530"/>
    <w:rsid w:val="00B1272A"/>
    <w:rsid w:val="00B24841"/>
    <w:rsid w:val="00B520D1"/>
    <w:rsid w:val="00B54693"/>
    <w:rsid w:val="00B658B5"/>
    <w:rsid w:val="00B73762"/>
    <w:rsid w:val="00B73EAB"/>
    <w:rsid w:val="00B8593F"/>
    <w:rsid w:val="00B877AB"/>
    <w:rsid w:val="00B9123F"/>
    <w:rsid w:val="00B9284B"/>
    <w:rsid w:val="00B93C9D"/>
    <w:rsid w:val="00B96A1F"/>
    <w:rsid w:val="00B9787E"/>
    <w:rsid w:val="00BA5C97"/>
    <w:rsid w:val="00BB11E2"/>
    <w:rsid w:val="00BB2B00"/>
    <w:rsid w:val="00BC0C97"/>
    <w:rsid w:val="00BC1117"/>
    <w:rsid w:val="00BC50B4"/>
    <w:rsid w:val="00BD0638"/>
    <w:rsid w:val="00BD066A"/>
    <w:rsid w:val="00BD4DD8"/>
    <w:rsid w:val="00BD75AC"/>
    <w:rsid w:val="00BD7AFC"/>
    <w:rsid w:val="00BE31F0"/>
    <w:rsid w:val="00BE6BF5"/>
    <w:rsid w:val="00BF02DB"/>
    <w:rsid w:val="00BF66EF"/>
    <w:rsid w:val="00C0042D"/>
    <w:rsid w:val="00C01E84"/>
    <w:rsid w:val="00C16016"/>
    <w:rsid w:val="00C160A6"/>
    <w:rsid w:val="00C16FF2"/>
    <w:rsid w:val="00C217E0"/>
    <w:rsid w:val="00C26366"/>
    <w:rsid w:val="00C26C1F"/>
    <w:rsid w:val="00C4554E"/>
    <w:rsid w:val="00C51C9C"/>
    <w:rsid w:val="00C54B69"/>
    <w:rsid w:val="00C63FF5"/>
    <w:rsid w:val="00C66A56"/>
    <w:rsid w:val="00C70B9E"/>
    <w:rsid w:val="00C71587"/>
    <w:rsid w:val="00C72ABB"/>
    <w:rsid w:val="00C87ED3"/>
    <w:rsid w:val="00C9463D"/>
    <w:rsid w:val="00CA20D7"/>
    <w:rsid w:val="00CA6A56"/>
    <w:rsid w:val="00CA6AE5"/>
    <w:rsid w:val="00CA7B26"/>
    <w:rsid w:val="00CB4EA9"/>
    <w:rsid w:val="00CC1EBD"/>
    <w:rsid w:val="00CC3675"/>
    <w:rsid w:val="00CC6767"/>
    <w:rsid w:val="00CC7B33"/>
    <w:rsid w:val="00CC7E24"/>
    <w:rsid w:val="00CD6D2E"/>
    <w:rsid w:val="00CE086B"/>
    <w:rsid w:val="00D03D7A"/>
    <w:rsid w:val="00D06A7B"/>
    <w:rsid w:val="00D1072A"/>
    <w:rsid w:val="00D1181B"/>
    <w:rsid w:val="00D17CEB"/>
    <w:rsid w:val="00D2467C"/>
    <w:rsid w:val="00D3401C"/>
    <w:rsid w:val="00D41681"/>
    <w:rsid w:val="00D42AD0"/>
    <w:rsid w:val="00D616A3"/>
    <w:rsid w:val="00D64EDD"/>
    <w:rsid w:val="00D73886"/>
    <w:rsid w:val="00D909EC"/>
    <w:rsid w:val="00D92C5E"/>
    <w:rsid w:val="00D92FC3"/>
    <w:rsid w:val="00D94CF9"/>
    <w:rsid w:val="00D96DD7"/>
    <w:rsid w:val="00D971E8"/>
    <w:rsid w:val="00DA1D3C"/>
    <w:rsid w:val="00DB03C7"/>
    <w:rsid w:val="00DC020E"/>
    <w:rsid w:val="00DC1BBF"/>
    <w:rsid w:val="00DC711F"/>
    <w:rsid w:val="00DE17CA"/>
    <w:rsid w:val="00E06C2A"/>
    <w:rsid w:val="00E12363"/>
    <w:rsid w:val="00E21ED4"/>
    <w:rsid w:val="00E25C83"/>
    <w:rsid w:val="00E275FA"/>
    <w:rsid w:val="00E34C09"/>
    <w:rsid w:val="00E34D53"/>
    <w:rsid w:val="00E413C1"/>
    <w:rsid w:val="00E41FE8"/>
    <w:rsid w:val="00E476BD"/>
    <w:rsid w:val="00E5057B"/>
    <w:rsid w:val="00E528EC"/>
    <w:rsid w:val="00E528F1"/>
    <w:rsid w:val="00E70763"/>
    <w:rsid w:val="00E720F3"/>
    <w:rsid w:val="00E72868"/>
    <w:rsid w:val="00E7554D"/>
    <w:rsid w:val="00E80C11"/>
    <w:rsid w:val="00E876AF"/>
    <w:rsid w:val="00E93C93"/>
    <w:rsid w:val="00E9460F"/>
    <w:rsid w:val="00EA2F7C"/>
    <w:rsid w:val="00EB3CA6"/>
    <w:rsid w:val="00EB4896"/>
    <w:rsid w:val="00EB6B03"/>
    <w:rsid w:val="00EC42DD"/>
    <w:rsid w:val="00EC5EAD"/>
    <w:rsid w:val="00ED224D"/>
    <w:rsid w:val="00ED7951"/>
    <w:rsid w:val="00EE4011"/>
    <w:rsid w:val="00EE5172"/>
    <w:rsid w:val="00EE7B25"/>
    <w:rsid w:val="00F02F58"/>
    <w:rsid w:val="00F105B7"/>
    <w:rsid w:val="00F12C16"/>
    <w:rsid w:val="00F135BD"/>
    <w:rsid w:val="00F14506"/>
    <w:rsid w:val="00F15E9D"/>
    <w:rsid w:val="00F16C7B"/>
    <w:rsid w:val="00F268E1"/>
    <w:rsid w:val="00F34EB1"/>
    <w:rsid w:val="00F3780F"/>
    <w:rsid w:val="00F41BB8"/>
    <w:rsid w:val="00F463C8"/>
    <w:rsid w:val="00F554EF"/>
    <w:rsid w:val="00F56C7F"/>
    <w:rsid w:val="00F61BA8"/>
    <w:rsid w:val="00F65027"/>
    <w:rsid w:val="00F660EA"/>
    <w:rsid w:val="00F66120"/>
    <w:rsid w:val="00F72C36"/>
    <w:rsid w:val="00F734C3"/>
    <w:rsid w:val="00F811BC"/>
    <w:rsid w:val="00F8191C"/>
    <w:rsid w:val="00F86A19"/>
    <w:rsid w:val="00F92057"/>
    <w:rsid w:val="00FB3DB2"/>
    <w:rsid w:val="00FB4E1C"/>
    <w:rsid w:val="00FB7BCE"/>
    <w:rsid w:val="00FC0F98"/>
    <w:rsid w:val="00FC1A61"/>
    <w:rsid w:val="00FC7A5E"/>
    <w:rsid w:val="00FD45D7"/>
    <w:rsid w:val="00FE126E"/>
    <w:rsid w:val="00FF3E70"/>
    <w:rsid w:val="00FF631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68C66D"/>
  <w15:chartTrackingRefBased/>
  <w15:docId w15:val="{D67937EE-0278-44A2-972D-63B72E3B39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A6A56"/>
    <w:pPr>
      <w:spacing w:after="160" w:line="259" w:lineRule="auto"/>
    </w:pPr>
    <w:rPr>
      <w:rFonts w:asciiTheme="minorHAnsi" w:eastAsiaTheme="minorHAnsi" w:hAnsiTheme="minorHAnsi" w:cstheme="minorBidi"/>
      <w:sz w:val="22"/>
      <w:szCs w:val="22"/>
      <w:lang w:eastAsia="en-US"/>
    </w:rPr>
  </w:style>
  <w:style w:type="paragraph" w:styleId="Naslov5">
    <w:name w:val="heading 5"/>
    <w:basedOn w:val="Navaden"/>
    <w:next w:val="Navaden"/>
    <w:link w:val="Naslov5Znak"/>
    <w:uiPriority w:val="9"/>
    <w:unhideWhenUsed/>
    <w:qFormat/>
    <w:rsid w:val="00CA6A56"/>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5Znak">
    <w:name w:val="Naslov 5 Znak"/>
    <w:basedOn w:val="Privzetapisavaodstavka"/>
    <w:link w:val="Naslov5"/>
    <w:uiPriority w:val="9"/>
    <w:rsid w:val="00CA6A56"/>
    <w:rPr>
      <w:rFonts w:asciiTheme="majorHAnsi" w:eastAsiaTheme="majorEastAsia" w:hAnsiTheme="majorHAnsi" w:cstheme="majorBidi"/>
      <w:color w:val="2E74B5" w:themeColor="accent1" w:themeShade="BF"/>
      <w:sz w:val="22"/>
      <w:szCs w:val="22"/>
      <w:lang w:eastAsia="en-US"/>
    </w:rPr>
  </w:style>
  <w:style w:type="paragraph" w:customStyle="1" w:styleId="Neotevilenodstavek">
    <w:name w:val="Neoštevilčen odstavek"/>
    <w:basedOn w:val="Navaden"/>
    <w:link w:val="NeotevilenodstavekZnak"/>
    <w:qFormat/>
    <w:rsid w:val="00CA6A56"/>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CA6A56"/>
    <w:rPr>
      <w:rFonts w:ascii="Arial" w:hAnsi="Arial" w:cs="Arial"/>
      <w:sz w:val="22"/>
      <w:szCs w:val="22"/>
    </w:rPr>
  </w:style>
  <w:style w:type="character" w:styleId="Hiperpovezava">
    <w:name w:val="Hyperlink"/>
    <w:rsid w:val="00CA6A56"/>
    <w:rPr>
      <w:color w:val="000080"/>
      <w:u w:val="single"/>
    </w:rPr>
  </w:style>
  <w:style w:type="paragraph" w:styleId="Glava">
    <w:name w:val="header"/>
    <w:basedOn w:val="Navaden"/>
    <w:link w:val="GlavaZnak"/>
    <w:uiPriority w:val="99"/>
    <w:rsid w:val="000B65BA"/>
    <w:pPr>
      <w:tabs>
        <w:tab w:val="center" w:pos="4536"/>
        <w:tab w:val="right" w:pos="9072"/>
      </w:tabs>
      <w:spacing w:after="0" w:line="240" w:lineRule="auto"/>
    </w:pPr>
  </w:style>
  <w:style w:type="character" w:customStyle="1" w:styleId="GlavaZnak">
    <w:name w:val="Glava Znak"/>
    <w:basedOn w:val="Privzetapisavaodstavka"/>
    <w:link w:val="Glava"/>
    <w:uiPriority w:val="99"/>
    <w:rsid w:val="000B65BA"/>
    <w:rPr>
      <w:rFonts w:asciiTheme="minorHAnsi" w:eastAsiaTheme="minorHAnsi" w:hAnsiTheme="minorHAnsi" w:cstheme="minorBidi"/>
      <w:sz w:val="22"/>
      <w:szCs w:val="22"/>
      <w:lang w:eastAsia="en-US"/>
    </w:rPr>
  </w:style>
  <w:style w:type="paragraph" w:styleId="Noga">
    <w:name w:val="footer"/>
    <w:basedOn w:val="Navaden"/>
    <w:link w:val="NogaZnak"/>
    <w:uiPriority w:val="99"/>
    <w:rsid w:val="000B65BA"/>
    <w:pPr>
      <w:tabs>
        <w:tab w:val="center" w:pos="4536"/>
        <w:tab w:val="right" w:pos="9072"/>
      </w:tabs>
      <w:spacing w:after="0" w:line="240" w:lineRule="auto"/>
    </w:pPr>
  </w:style>
  <w:style w:type="character" w:customStyle="1" w:styleId="NogaZnak">
    <w:name w:val="Noga Znak"/>
    <w:basedOn w:val="Privzetapisavaodstavka"/>
    <w:link w:val="Noga"/>
    <w:uiPriority w:val="99"/>
    <w:rsid w:val="000B65BA"/>
    <w:rPr>
      <w:rFonts w:asciiTheme="minorHAnsi" w:eastAsiaTheme="minorHAnsi" w:hAnsiTheme="minorHAnsi" w:cstheme="minorBidi"/>
      <w:sz w:val="22"/>
      <w:szCs w:val="22"/>
      <w:lang w:eastAsia="en-US"/>
    </w:rPr>
  </w:style>
  <w:style w:type="paragraph" w:styleId="Besedilooblaka">
    <w:name w:val="Balloon Text"/>
    <w:basedOn w:val="Navaden"/>
    <w:link w:val="BesedilooblakaZnak"/>
    <w:rsid w:val="00A131A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A131A0"/>
    <w:rPr>
      <w:rFonts w:ascii="Segoe UI" w:eastAsiaTheme="minorHAnsi" w:hAnsi="Segoe UI" w:cs="Segoe UI"/>
      <w:sz w:val="18"/>
      <w:szCs w:val="18"/>
      <w:lang w:eastAsia="en-US"/>
    </w:rPr>
  </w:style>
  <w:style w:type="character" w:styleId="Pripombasklic">
    <w:name w:val="annotation reference"/>
    <w:basedOn w:val="Privzetapisavaodstavka"/>
    <w:rsid w:val="00F41BB8"/>
    <w:rPr>
      <w:sz w:val="16"/>
      <w:szCs w:val="16"/>
    </w:rPr>
  </w:style>
  <w:style w:type="paragraph" w:styleId="Pripombabesedilo">
    <w:name w:val="annotation text"/>
    <w:basedOn w:val="Navaden"/>
    <w:link w:val="PripombabesediloZnak"/>
    <w:rsid w:val="00F41BB8"/>
    <w:pPr>
      <w:spacing w:line="240" w:lineRule="auto"/>
    </w:pPr>
    <w:rPr>
      <w:sz w:val="20"/>
      <w:szCs w:val="20"/>
    </w:rPr>
  </w:style>
  <w:style w:type="character" w:customStyle="1" w:styleId="PripombabesediloZnak">
    <w:name w:val="Pripomba – besedilo Znak"/>
    <w:basedOn w:val="Privzetapisavaodstavka"/>
    <w:link w:val="Pripombabesedilo"/>
    <w:rsid w:val="00F41BB8"/>
    <w:rPr>
      <w:rFonts w:asciiTheme="minorHAnsi" w:eastAsiaTheme="minorHAnsi" w:hAnsiTheme="minorHAnsi" w:cstheme="minorBidi"/>
      <w:lang w:eastAsia="en-US"/>
    </w:rPr>
  </w:style>
  <w:style w:type="paragraph" w:styleId="Zadevapripombe">
    <w:name w:val="annotation subject"/>
    <w:basedOn w:val="Pripombabesedilo"/>
    <w:next w:val="Pripombabesedilo"/>
    <w:link w:val="ZadevapripombeZnak"/>
    <w:rsid w:val="00F41BB8"/>
    <w:rPr>
      <w:b/>
      <w:bCs/>
    </w:rPr>
  </w:style>
  <w:style w:type="character" w:customStyle="1" w:styleId="ZadevapripombeZnak">
    <w:name w:val="Zadeva pripombe Znak"/>
    <w:basedOn w:val="PripombabesediloZnak"/>
    <w:link w:val="Zadevapripombe"/>
    <w:rsid w:val="00F41BB8"/>
    <w:rPr>
      <w:rFonts w:asciiTheme="minorHAnsi" w:eastAsiaTheme="minorHAnsi" w:hAnsiTheme="minorHAnsi" w:cstheme="minorBidi"/>
      <w:b/>
      <w:bCs/>
      <w:lang w:eastAsia="en-US"/>
    </w:rPr>
  </w:style>
  <w:style w:type="paragraph" w:styleId="Odstavekseznama">
    <w:name w:val="List Paragraph"/>
    <w:basedOn w:val="Navaden"/>
    <w:link w:val="OdstavekseznamaZnak"/>
    <w:uiPriority w:val="34"/>
    <w:qFormat/>
    <w:rsid w:val="00415144"/>
    <w:pPr>
      <w:ind w:left="720"/>
      <w:contextualSpacing/>
    </w:pPr>
  </w:style>
  <w:style w:type="paragraph" w:customStyle="1" w:styleId="Alineazaodstavkom">
    <w:name w:val="Alinea za odstavkom"/>
    <w:basedOn w:val="Navaden"/>
    <w:link w:val="AlineazaodstavkomZnak"/>
    <w:qFormat/>
    <w:rsid w:val="00CC7E24"/>
    <w:pPr>
      <w:numPr>
        <w:numId w:val="8"/>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CC7E24"/>
    <w:rPr>
      <w:rFonts w:ascii="Arial" w:hAnsi="Arial" w:cs="Arial"/>
      <w:sz w:val="22"/>
      <w:szCs w:val="22"/>
    </w:rPr>
  </w:style>
  <w:style w:type="paragraph" w:customStyle="1" w:styleId="len">
    <w:name w:val="Člen"/>
    <w:basedOn w:val="Navaden"/>
    <w:link w:val="lenZnak"/>
    <w:qFormat/>
    <w:rsid w:val="00CC7E2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CC7E24"/>
    <w:rPr>
      <w:rFonts w:ascii="Arial" w:hAnsi="Arial" w:cs="Arial"/>
      <w:b/>
      <w:sz w:val="22"/>
      <w:szCs w:val="22"/>
    </w:rPr>
  </w:style>
  <w:style w:type="character" w:customStyle="1" w:styleId="fontstyle01">
    <w:name w:val="fontstyle01"/>
    <w:basedOn w:val="Privzetapisavaodstavka"/>
    <w:rsid w:val="00694095"/>
    <w:rPr>
      <w:rFonts w:ascii="Arial" w:hAnsi="Arial" w:cs="Arial" w:hint="default"/>
      <w:b w:val="0"/>
      <w:bCs w:val="0"/>
      <w:i w:val="0"/>
      <w:iCs w:val="0"/>
      <w:color w:val="000000"/>
      <w:sz w:val="20"/>
      <w:szCs w:val="20"/>
    </w:rPr>
  </w:style>
  <w:style w:type="paragraph" w:customStyle="1" w:styleId="Odstavek">
    <w:name w:val="Odstavek"/>
    <w:basedOn w:val="Navaden"/>
    <w:link w:val="OdstavekZnak"/>
    <w:qFormat/>
    <w:rsid w:val="00313E01"/>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313E01"/>
    <w:rPr>
      <w:rFonts w:ascii="Arial" w:hAnsi="Arial" w:cs="Arial"/>
      <w:sz w:val="22"/>
      <w:szCs w:val="22"/>
    </w:rPr>
  </w:style>
  <w:style w:type="paragraph" w:customStyle="1" w:styleId="lennaslov">
    <w:name w:val="Člen_naslov"/>
    <w:basedOn w:val="len"/>
    <w:qFormat/>
    <w:rsid w:val="00313E01"/>
    <w:pPr>
      <w:spacing w:before="0"/>
    </w:pPr>
  </w:style>
  <w:style w:type="paragraph" w:customStyle="1" w:styleId="a">
    <w:basedOn w:val="Navaden"/>
    <w:next w:val="Pripombabesedilo"/>
    <w:link w:val="Komentar-besediloZnak"/>
    <w:rsid w:val="00313E01"/>
    <w:pPr>
      <w:spacing w:after="0" w:line="240" w:lineRule="auto"/>
      <w:jc w:val="both"/>
    </w:pPr>
    <w:rPr>
      <w:rFonts w:ascii="Arial" w:eastAsia="Times New Roman" w:hAnsi="Arial" w:cs="Times New Roman"/>
      <w:sz w:val="20"/>
      <w:szCs w:val="20"/>
    </w:rPr>
  </w:style>
  <w:style w:type="character" w:customStyle="1" w:styleId="Komentar-besediloZnak">
    <w:name w:val="Komentar - besedilo Znak"/>
    <w:link w:val="a"/>
    <w:rsid w:val="00313E01"/>
    <w:rPr>
      <w:rFonts w:ascii="Arial" w:hAnsi="Arial"/>
      <w:lang w:eastAsia="en-US"/>
    </w:rPr>
  </w:style>
  <w:style w:type="character" w:customStyle="1" w:styleId="OdstavekseznamaZnak">
    <w:name w:val="Odstavek seznama Znak"/>
    <w:link w:val="Odstavekseznama"/>
    <w:uiPriority w:val="34"/>
    <w:rsid w:val="00FF3E70"/>
    <w:rPr>
      <w:rFonts w:asciiTheme="minorHAnsi" w:eastAsiaTheme="minorHAnsi" w:hAnsiTheme="minorHAnsi" w:cstheme="minorBidi"/>
      <w:sz w:val="22"/>
      <w:szCs w:val="22"/>
      <w:lang w:eastAsia="en-US"/>
    </w:rPr>
  </w:style>
  <w:style w:type="paragraph" w:styleId="Sprotnaopomba-besedilo">
    <w:name w:val="footnote text"/>
    <w:basedOn w:val="Navaden"/>
    <w:link w:val="Sprotnaopomba-besediloZnak"/>
    <w:uiPriority w:val="99"/>
    <w:rsid w:val="00FF3E70"/>
    <w:pPr>
      <w:spacing w:after="0" w:line="260" w:lineRule="atLeast"/>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uiPriority w:val="99"/>
    <w:rsid w:val="00FF3E70"/>
    <w:rPr>
      <w:rFonts w:ascii="Arial" w:hAnsi="Arial"/>
      <w:lang w:eastAsia="en-US"/>
    </w:rPr>
  </w:style>
  <w:style w:type="character" w:styleId="Sprotnaopomba-sklic">
    <w:name w:val="footnote reference"/>
    <w:rsid w:val="00FF3E7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703900">
      <w:bodyDiv w:val="1"/>
      <w:marLeft w:val="0"/>
      <w:marRight w:val="0"/>
      <w:marTop w:val="0"/>
      <w:marBottom w:val="0"/>
      <w:divBdr>
        <w:top w:val="none" w:sz="0" w:space="0" w:color="auto"/>
        <w:left w:val="none" w:sz="0" w:space="0" w:color="auto"/>
        <w:bottom w:val="none" w:sz="0" w:space="0" w:color="auto"/>
        <w:right w:val="none" w:sz="0" w:space="0" w:color="auto"/>
      </w:divBdr>
    </w:div>
    <w:div w:id="164175077">
      <w:bodyDiv w:val="1"/>
      <w:marLeft w:val="0"/>
      <w:marRight w:val="0"/>
      <w:marTop w:val="0"/>
      <w:marBottom w:val="0"/>
      <w:divBdr>
        <w:top w:val="none" w:sz="0" w:space="0" w:color="auto"/>
        <w:left w:val="none" w:sz="0" w:space="0" w:color="auto"/>
        <w:bottom w:val="none" w:sz="0" w:space="0" w:color="auto"/>
        <w:right w:val="none" w:sz="0" w:space="0" w:color="auto"/>
      </w:divBdr>
    </w:div>
    <w:div w:id="252319867">
      <w:bodyDiv w:val="1"/>
      <w:marLeft w:val="0"/>
      <w:marRight w:val="0"/>
      <w:marTop w:val="0"/>
      <w:marBottom w:val="0"/>
      <w:divBdr>
        <w:top w:val="none" w:sz="0" w:space="0" w:color="auto"/>
        <w:left w:val="none" w:sz="0" w:space="0" w:color="auto"/>
        <w:bottom w:val="none" w:sz="0" w:space="0" w:color="auto"/>
        <w:right w:val="none" w:sz="0" w:space="0" w:color="auto"/>
      </w:divBdr>
    </w:div>
    <w:div w:id="491793463">
      <w:bodyDiv w:val="1"/>
      <w:marLeft w:val="0"/>
      <w:marRight w:val="0"/>
      <w:marTop w:val="0"/>
      <w:marBottom w:val="0"/>
      <w:divBdr>
        <w:top w:val="none" w:sz="0" w:space="0" w:color="auto"/>
        <w:left w:val="none" w:sz="0" w:space="0" w:color="auto"/>
        <w:bottom w:val="none" w:sz="0" w:space="0" w:color="auto"/>
        <w:right w:val="none" w:sz="0" w:space="0" w:color="auto"/>
      </w:divBdr>
    </w:div>
    <w:div w:id="637149655">
      <w:bodyDiv w:val="1"/>
      <w:marLeft w:val="0"/>
      <w:marRight w:val="0"/>
      <w:marTop w:val="0"/>
      <w:marBottom w:val="0"/>
      <w:divBdr>
        <w:top w:val="none" w:sz="0" w:space="0" w:color="auto"/>
        <w:left w:val="none" w:sz="0" w:space="0" w:color="auto"/>
        <w:bottom w:val="none" w:sz="0" w:space="0" w:color="auto"/>
        <w:right w:val="none" w:sz="0" w:space="0" w:color="auto"/>
      </w:divBdr>
    </w:div>
    <w:div w:id="707486279">
      <w:bodyDiv w:val="1"/>
      <w:marLeft w:val="0"/>
      <w:marRight w:val="0"/>
      <w:marTop w:val="0"/>
      <w:marBottom w:val="0"/>
      <w:divBdr>
        <w:top w:val="none" w:sz="0" w:space="0" w:color="auto"/>
        <w:left w:val="none" w:sz="0" w:space="0" w:color="auto"/>
        <w:bottom w:val="none" w:sz="0" w:space="0" w:color="auto"/>
        <w:right w:val="none" w:sz="0" w:space="0" w:color="auto"/>
      </w:divBdr>
    </w:div>
    <w:div w:id="1358315285">
      <w:bodyDiv w:val="1"/>
      <w:marLeft w:val="0"/>
      <w:marRight w:val="0"/>
      <w:marTop w:val="0"/>
      <w:marBottom w:val="0"/>
      <w:divBdr>
        <w:top w:val="none" w:sz="0" w:space="0" w:color="auto"/>
        <w:left w:val="none" w:sz="0" w:space="0" w:color="auto"/>
        <w:bottom w:val="none" w:sz="0" w:space="0" w:color="auto"/>
        <w:right w:val="none" w:sz="0" w:space="0" w:color="auto"/>
      </w:divBdr>
    </w:div>
    <w:div w:id="1739091945">
      <w:bodyDiv w:val="1"/>
      <w:marLeft w:val="0"/>
      <w:marRight w:val="0"/>
      <w:marTop w:val="0"/>
      <w:marBottom w:val="0"/>
      <w:divBdr>
        <w:top w:val="none" w:sz="0" w:space="0" w:color="auto"/>
        <w:left w:val="none" w:sz="0" w:space="0" w:color="auto"/>
        <w:bottom w:val="none" w:sz="0" w:space="0" w:color="auto"/>
        <w:right w:val="none" w:sz="0" w:space="0" w:color="auto"/>
      </w:divBdr>
    </w:div>
    <w:div w:id="1862628344">
      <w:bodyDiv w:val="1"/>
      <w:marLeft w:val="0"/>
      <w:marRight w:val="0"/>
      <w:marTop w:val="0"/>
      <w:marBottom w:val="0"/>
      <w:divBdr>
        <w:top w:val="none" w:sz="0" w:space="0" w:color="auto"/>
        <w:left w:val="none" w:sz="0" w:space="0" w:color="auto"/>
        <w:bottom w:val="none" w:sz="0" w:space="0" w:color="auto"/>
        <w:right w:val="none" w:sz="0" w:space="0" w:color="auto"/>
      </w:divBdr>
      <w:divsChild>
        <w:div w:id="86655751">
          <w:marLeft w:val="0"/>
          <w:marRight w:val="0"/>
          <w:marTop w:val="0"/>
          <w:marBottom w:val="0"/>
          <w:divBdr>
            <w:top w:val="none" w:sz="0" w:space="0" w:color="auto"/>
            <w:left w:val="none" w:sz="0" w:space="0" w:color="auto"/>
            <w:bottom w:val="none" w:sz="0" w:space="0" w:color="auto"/>
            <w:right w:val="none" w:sz="0" w:space="0" w:color="auto"/>
          </w:divBdr>
          <w:divsChild>
            <w:div w:id="1087118755">
              <w:marLeft w:val="0"/>
              <w:marRight w:val="0"/>
              <w:marTop w:val="0"/>
              <w:marBottom w:val="0"/>
              <w:divBdr>
                <w:top w:val="none" w:sz="0" w:space="0" w:color="auto"/>
                <w:left w:val="none" w:sz="0" w:space="0" w:color="auto"/>
                <w:bottom w:val="none" w:sz="0" w:space="0" w:color="auto"/>
                <w:right w:val="none" w:sz="0" w:space="0" w:color="auto"/>
              </w:divBdr>
              <w:divsChild>
                <w:div w:id="238055317">
                  <w:marLeft w:val="-225"/>
                  <w:marRight w:val="-225"/>
                  <w:marTop w:val="0"/>
                  <w:marBottom w:val="0"/>
                  <w:divBdr>
                    <w:top w:val="none" w:sz="0" w:space="0" w:color="auto"/>
                    <w:left w:val="none" w:sz="0" w:space="0" w:color="auto"/>
                    <w:bottom w:val="none" w:sz="0" w:space="0" w:color="auto"/>
                    <w:right w:val="none" w:sz="0" w:space="0" w:color="auto"/>
                  </w:divBdr>
                  <w:divsChild>
                    <w:div w:id="548998809">
                      <w:marLeft w:val="0"/>
                      <w:marRight w:val="0"/>
                      <w:marTop w:val="0"/>
                      <w:marBottom w:val="0"/>
                      <w:divBdr>
                        <w:top w:val="none" w:sz="0" w:space="0" w:color="auto"/>
                        <w:left w:val="none" w:sz="0" w:space="0" w:color="auto"/>
                        <w:bottom w:val="none" w:sz="0" w:space="0" w:color="auto"/>
                        <w:right w:val="none" w:sz="0" w:space="0" w:color="auto"/>
                      </w:divBdr>
                      <w:divsChild>
                        <w:div w:id="974262511">
                          <w:marLeft w:val="0"/>
                          <w:marRight w:val="0"/>
                          <w:marTop w:val="0"/>
                          <w:marBottom w:val="0"/>
                          <w:divBdr>
                            <w:top w:val="none" w:sz="0" w:space="0" w:color="auto"/>
                            <w:left w:val="none" w:sz="0" w:space="0" w:color="auto"/>
                            <w:bottom w:val="none" w:sz="0" w:space="0" w:color="auto"/>
                            <w:right w:val="none" w:sz="0" w:space="0" w:color="auto"/>
                          </w:divBdr>
                          <w:divsChild>
                            <w:div w:id="2099710151">
                              <w:marLeft w:val="-225"/>
                              <w:marRight w:val="-225"/>
                              <w:marTop w:val="0"/>
                              <w:marBottom w:val="0"/>
                              <w:divBdr>
                                <w:top w:val="none" w:sz="0" w:space="0" w:color="auto"/>
                                <w:left w:val="none" w:sz="0" w:space="0" w:color="auto"/>
                                <w:bottom w:val="none" w:sz="0" w:space="0" w:color="auto"/>
                                <w:right w:val="none" w:sz="0" w:space="0" w:color="auto"/>
                              </w:divBdr>
                              <w:divsChild>
                                <w:div w:id="471144126">
                                  <w:marLeft w:val="0"/>
                                  <w:marRight w:val="0"/>
                                  <w:marTop w:val="0"/>
                                  <w:marBottom w:val="0"/>
                                  <w:divBdr>
                                    <w:top w:val="none" w:sz="0" w:space="0" w:color="auto"/>
                                    <w:left w:val="none" w:sz="0" w:space="0" w:color="auto"/>
                                    <w:bottom w:val="none" w:sz="0" w:space="0" w:color="auto"/>
                                    <w:right w:val="none" w:sz="0" w:space="0" w:color="auto"/>
                                  </w:divBdr>
                                  <w:divsChild>
                                    <w:div w:id="1722629272">
                                      <w:marLeft w:val="0"/>
                                      <w:marRight w:val="0"/>
                                      <w:marTop w:val="0"/>
                                      <w:marBottom w:val="0"/>
                                      <w:divBdr>
                                        <w:top w:val="none" w:sz="0" w:space="0" w:color="auto"/>
                                        <w:left w:val="none" w:sz="0" w:space="0" w:color="auto"/>
                                        <w:bottom w:val="none" w:sz="0" w:space="0" w:color="auto"/>
                                        <w:right w:val="none" w:sz="0" w:space="0" w:color="auto"/>
                                      </w:divBdr>
                                      <w:divsChild>
                                        <w:div w:id="1155874802">
                                          <w:marLeft w:val="0"/>
                                          <w:marRight w:val="0"/>
                                          <w:marTop w:val="240"/>
                                          <w:marBottom w:val="120"/>
                                          <w:divBdr>
                                            <w:top w:val="none" w:sz="0" w:space="0" w:color="auto"/>
                                            <w:left w:val="none" w:sz="0" w:space="0" w:color="auto"/>
                                            <w:bottom w:val="none" w:sz="0" w:space="0" w:color="auto"/>
                                            <w:right w:val="none" w:sz="0" w:space="0" w:color="auto"/>
                                          </w:divBdr>
                                        </w:div>
                                        <w:div w:id="82243199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23112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6-01-3198"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uradni-list.si/1/objava.jsp?sop=2021-01-2570" TargetMode="External"/><Relationship Id="rId4" Type="http://schemas.openxmlformats.org/officeDocument/2006/relationships/settings" Target="settings.xml"/><Relationship Id="rId9" Type="http://schemas.openxmlformats.org/officeDocument/2006/relationships/hyperlink" Target="http://www.uradni-list.si/1/objava.jsp?sop=2020-01-1102"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EDCB634-9341-4567-BFF2-40358698BE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1447</TotalTime>
  <Pages>6</Pages>
  <Words>2311</Words>
  <Characters>13177</Characters>
  <Application>Microsoft Office Word</Application>
  <DocSecurity>0</DocSecurity>
  <Lines>109</Lines>
  <Paragraphs>30</Paragraphs>
  <ScaleCrop>false</ScaleCrop>
  <HeadingPairs>
    <vt:vector size="2" baseType="variant">
      <vt:variant>
        <vt:lpstr>Naslov</vt:lpstr>
      </vt:variant>
      <vt:variant>
        <vt:i4>1</vt:i4>
      </vt:variant>
    </vt:vector>
  </HeadingPairs>
  <TitlesOfParts>
    <vt:vector size="1" baseType="lpstr">
      <vt:lpstr/>
    </vt:vector>
  </TitlesOfParts>
  <Company>MZP-SC</Company>
  <LinksUpToDate>false</LinksUpToDate>
  <CharactersWithSpaces>15458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Jurij V</dc:creator>
  <cp:keywords/>
  <dc:description/>
  <cp:lastModifiedBy>Igor Luzar</cp:lastModifiedBy>
  <cp:revision>112</cp:revision>
  <cp:lastPrinted>2021-10-13T13:20:00Z</cp:lastPrinted>
  <dcterms:created xsi:type="dcterms:W3CDTF">2020-01-29T15:20:00Z</dcterms:created>
  <dcterms:modified xsi:type="dcterms:W3CDTF">2021-10-15T10:13:00Z</dcterms:modified>
</cp:coreProperties>
</file>