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1B09CC" w14:textId="212C712F" w:rsidR="007A01FD" w:rsidRDefault="00D80E44" w:rsidP="00D80E44">
      <w:pPr>
        <w:tabs>
          <w:tab w:val="left" w:pos="1701"/>
        </w:tabs>
        <w:spacing w:after="0" w:line="260" w:lineRule="exact"/>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PREDLOG</w:t>
      </w:r>
    </w:p>
    <w:p w14:paraId="7BE1D16E" w14:textId="09F8B4E1" w:rsidR="00D80E44" w:rsidRDefault="00D80E44" w:rsidP="00D80E44">
      <w:pPr>
        <w:tabs>
          <w:tab w:val="left" w:pos="1701"/>
        </w:tabs>
        <w:spacing w:after="0" w:line="260" w:lineRule="exact"/>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EVA 2021-2711-0080</w:t>
      </w:r>
    </w:p>
    <w:p w14:paraId="40FED43E" w14:textId="114472E7" w:rsidR="00D80E44" w:rsidRDefault="00D80E44" w:rsidP="00D80E44">
      <w:pPr>
        <w:tabs>
          <w:tab w:val="left" w:pos="1701"/>
        </w:tabs>
        <w:spacing w:after="0" w:line="260" w:lineRule="exact"/>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TRETJA OBRAVNAVA</w:t>
      </w:r>
    </w:p>
    <w:p w14:paraId="4CE20299" w14:textId="77777777" w:rsidR="00D80E44" w:rsidRDefault="00D80E44" w:rsidP="007A01FD">
      <w:pPr>
        <w:tabs>
          <w:tab w:val="left" w:pos="1701"/>
        </w:tabs>
        <w:spacing w:after="0" w:line="260" w:lineRule="exact"/>
        <w:rPr>
          <w:rFonts w:ascii="Arial" w:eastAsia="Times New Roman" w:hAnsi="Arial" w:cs="Arial"/>
          <w:color w:val="000000"/>
          <w:sz w:val="20"/>
          <w:szCs w:val="20"/>
          <w:lang w:eastAsia="sl-SI"/>
        </w:rPr>
      </w:pPr>
    </w:p>
    <w:p w14:paraId="158A761C" w14:textId="77777777" w:rsidR="00D80E44" w:rsidRPr="002255DD" w:rsidRDefault="00D80E44" w:rsidP="007A01FD">
      <w:pPr>
        <w:tabs>
          <w:tab w:val="left" w:pos="1701"/>
        </w:tabs>
        <w:spacing w:after="0" w:line="260" w:lineRule="exact"/>
        <w:rPr>
          <w:rFonts w:ascii="Arial" w:eastAsia="Times New Roman" w:hAnsi="Arial" w:cs="Arial"/>
          <w:color w:val="000000"/>
          <w:sz w:val="20"/>
          <w:szCs w:val="20"/>
          <w:lang w:eastAsia="sl-SI"/>
        </w:rPr>
      </w:pPr>
    </w:p>
    <w:p w14:paraId="23539A8C" w14:textId="77777777" w:rsidR="0020455F" w:rsidRPr="006A7B13" w:rsidRDefault="007A01FD" w:rsidP="0020455F">
      <w:pPr>
        <w:spacing w:after="0" w:line="260" w:lineRule="exact"/>
        <w:jc w:val="center"/>
        <w:rPr>
          <w:rFonts w:ascii="Arial" w:hAnsi="Arial" w:cs="Arial"/>
          <w:b/>
          <w:sz w:val="20"/>
          <w:szCs w:val="20"/>
        </w:rPr>
      </w:pPr>
      <w:r w:rsidRPr="00525A69">
        <w:rPr>
          <w:rFonts w:ascii="Arial" w:hAnsi="Arial" w:cs="Arial"/>
          <w:b/>
          <w:sz w:val="20"/>
          <w:szCs w:val="20"/>
        </w:rPr>
        <w:t xml:space="preserve">PREDLOG </w:t>
      </w:r>
      <w:r w:rsidR="0020455F" w:rsidRPr="006A7B13">
        <w:rPr>
          <w:rFonts w:ascii="Arial" w:hAnsi="Arial" w:cs="Arial"/>
          <w:b/>
          <w:sz w:val="20"/>
          <w:szCs w:val="20"/>
        </w:rPr>
        <w:t>ZAKONA</w:t>
      </w:r>
    </w:p>
    <w:p w14:paraId="595CB29E" w14:textId="77777777" w:rsidR="0020455F" w:rsidRPr="006A7B13" w:rsidRDefault="0020455F" w:rsidP="0020455F">
      <w:pPr>
        <w:spacing w:after="0" w:line="260" w:lineRule="exact"/>
        <w:jc w:val="center"/>
        <w:rPr>
          <w:rFonts w:ascii="Arial" w:hAnsi="Arial" w:cs="Arial"/>
          <w:b/>
          <w:sz w:val="20"/>
          <w:szCs w:val="20"/>
        </w:rPr>
      </w:pPr>
      <w:r w:rsidRPr="006A7B13">
        <w:rPr>
          <w:rFonts w:ascii="Arial" w:hAnsi="Arial" w:cs="Arial"/>
          <w:b/>
          <w:sz w:val="20"/>
          <w:szCs w:val="20"/>
        </w:rPr>
        <w:t xml:space="preserve">O ZAGOTAVLJANJU </w:t>
      </w:r>
      <w:r>
        <w:rPr>
          <w:rFonts w:ascii="Arial" w:hAnsi="Arial" w:cs="Arial"/>
          <w:b/>
          <w:sz w:val="20"/>
          <w:szCs w:val="20"/>
        </w:rPr>
        <w:t xml:space="preserve">FINANČNIH </w:t>
      </w:r>
      <w:r w:rsidRPr="006A7B13">
        <w:rPr>
          <w:rFonts w:ascii="Arial" w:hAnsi="Arial" w:cs="Arial"/>
          <w:b/>
          <w:sz w:val="20"/>
          <w:szCs w:val="20"/>
        </w:rPr>
        <w:t>SREDSTEV ZA INVESTICIJE V SLOVENSKO ZDRAVSTVO</w:t>
      </w:r>
    </w:p>
    <w:p w14:paraId="543D355C" w14:textId="44BD3B4C" w:rsidR="007A01FD" w:rsidRDefault="0020455F" w:rsidP="0020455F">
      <w:pPr>
        <w:spacing w:after="0" w:line="260" w:lineRule="exact"/>
        <w:jc w:val="center"/>
        <w:rPr>
          <w:rFonts w:ascii="Arial" w:hAnsi="Arial" w:cs="Arial"/>
          <w:b/>
          <w:sz w:val="20"/>
          <w:szCs w:val="20"/>
        </w:rPr>
      </w:pPr>
      <w:r w:rsidRPr="006A7B13">
        <w:rPr>
          <w:rFonts w:ascii="Arial" w:hAnsi="Arial" w:cs="Arial"/>
          <w:b/>
          <w:sz w:val="20"/>
          <w:szCs w:val="20"/>
        </w:rPr>
        <w:t xml:space="preserve">V LETIH </w:t>
      </w:r>
      <w:r>
        <w:rPr>
          <w:rFonts w:ascii="Arial" w:hAnsi="Arial" w:cs="Arial"/>
          <w:b/>
          <w:sz w:val="20"/>
          <w:szCs w:val="20"/>
        </w:rPr>
        <w:t xml:space="preserve">OD </w:t>
      </w:r>
      <w:r w:rsidRPr="006A7B13">
        <w:rPr>
          <w:rFonts w:ascii="Arial" w:hAnsi="Arial" w:cs="Arial"/>
          <w:b/>
          <w:sz w:val="20"/>
          <w:szCs w:val="20"/>
        </w:rPr>
        <w:t>2021 DO 2031</w:t>
      </w:r>
      <w:r w:rsidR="005A024E">
        <w:rPr>
          <w:rFonts w:ascii="Arial" w:hAnsi="Arial" w:cs="Arial"/>
          <w:b/>
          <w:sz w:val="20"/>
          <w:szCs w:val="20"/>
        </w:rPr>
        <w:t xml:space="preserve"> </w:t>
      </w:r>
      <w:r w:rsidR="005A024E" w:rsidRPr="005A024E">
        <w:rPr>
          <w:rFonts w:ascii="Arial" w:hAnsi="Arial" w:cs="Arial"/>
          <w:b/>
          <w:sz w:val="20"/>
          <w:szCs w:val="20"/>
        </w:rPr>
        <w:t>(ZZSISZ</w:t>
      </w:r>
      <w:r w:rsidR="005A024E">
        <w:rPr>
          <w:rFonts w:ascii="Arial" w:hAnsi="Arial" w:cs="Arial"/>
          <w:b/>
          <w:sz w:val="20"/>
          <w:szCs w:val="20"/>
        </w:rPr>
        <w:t>)</w:t>
      </w:r>
      <w:r>
        <w:rPr>
          <w:rFonts w:ascii="Arial" w:hAnsi="Arial" w:cs="Arial"/>
          <w:b/>
          <w:sz w:val="20"/>
          <w:szCs w:val="20"/>
        </w:rPr>
        <w:t>,</w:t>
      </w:r>
      <w:r w:rsidR="007A01FD" w:rsidRPr="00525A69">
        <w:rPr>
          <w:rFonts w:ascii="Arial" w:hAnsi="Arial" w:cs="Arial"/>
          <w:b/>
          <w:sz w:val="20"/>
          <w:szCs w:val="20"/>
        </w:rPr>
        <w:t xml:space="preserve"> </w:t>
      </w:r>
      <w:r w:rsidR="0046550D">
        <w:rPr>
          <w:rFonts w:ascii="Arial" w:hAnsi="Arial" w:cs="Arial"/>
          <w:b/>
          <w:sz w:val="20"/>
          <w:szCs w:val="20"/>
        </w:rPr>
        <w:t>tretja</w:t>
      </w:r>
      <w:r w:rsidR="007A01FD" w:rsidRPr="00525A69">
        <w:rPr>
          <w:rFonts w:ascii="Arial" w:hAnsi="Arial" w:cs="Arial"/>
          <w:b/>
          <w:sz w:val="20"/>
          <w:szCs w:val="20"/>
        </w:rPr>
        <w:t xml:space="preserve"> obravnava, EPA </w:t>
      </w:r>
      <w:r w:rsidR="00594935">
        <w:rPr>
          <w:rFonts w:ascii="Arial" w:hAnsi="Arial" w:cs="Arial"/>
          <w:b/>
          <w:sz w:val="20"/>
          <w:szCs w:val="20"/>
        </w:rPr>
        <w:t>1973-VIII</w:t>
      </w:r>
    </w:p>
    <w:p w14:paraId="4B34DBB8" w14:textId="77777777" w:rsidR="001E487F" w:rsidRDefault="001E487F" w:rsidP="00261466">
      <w:pPr>
        <w:spacing w:after="0" w:line="260" w:lineRule="exact"/>
        <w:rPr>
          <w:rFonts w:cs="Arial"/>
          <w:szCs w:val="20"/>
        </w:rPr>
      </w:pPr>
    </w:p>
    <w:p w14:paraId="45DDFEC1" w14:textId="77777777" w:rsidR="0054587D" w:rsidRDefault="0054587D" w:rsidP="00261466">
      <w:pPr>
        <w:spacing w:after="0" w:line="260" w:lineRule="exact"/>
        <w:rPr>
          <w:rFonts w:cs="Arial"/>
          <w:szCs w:val="20"/>
        </w:rPr>
      </w:pPr>
    </w:p>
    <w:p w14:paraId="708314F1" w14:textId="77777777" w:rsidR="0020455F" w:rsidRPr="0020455F" w:rsidRDefault="0020455F" w:rsidP="0020455F">
      <w:pPr>
        <w:pStyle w:val="Odstavekseznama"/>
        <w:keepNext/>
        <w:numPr>
          <w:ilvl w:val="0"/>
          <w:numId w:val="18"/>
        </w:numPr>
        <w:jc w:val="center"/>
        <w:outlineLvl w:val="0"/>
        <w:rPr>
          <w:bCs/>
          <w:kern w:val="32"/>
          <w:szCs w:val="20"/>
        </w:rPr>
      </w:pPr>
      <w:r w:rsidRPr="0020455F">
        <w:rPr>
          <w:bCs/>
          <w:kern w:val="32"/>
          <w:szCs w:val="20"/>
        </w:rPr>
        <w:t>člen</w:t>
      </w:r>
    </w:p>
    <w:p w14:paraId="6FC751CA" w14:textId="77777777" w:rsidR="0020455F" w:rsidRPr="0020455F" w:rsidRDefault="0020455F" w:rsidP="0020455F">
      <w:pPr>
        <w:spacing w:after="0" w:line="260" w:lineRule="exact"/>
        <w:jc w:val="center"/>
        <w:rPr>
          <w:rFonts w:ascii="Arial" w:eastAsia="Calibri" w:hAnsi="Arial" w:cs="Arial"/>
          <w:sz w:val="20"/>
          <w:szCs w:val="20"/>
        </w:rPr>
      </w:pPr>
      <w:r w:rsidRPr="0020455F">
        <w:rPr>
          <w:rFonts w:ascii="Arial" w:eastAsia="Calibri" w:hAnsi="Arial" w:cs="Arial"/>
          <w:sz w:val="20"/>
          <w:szCs w:val="20"/>
        </w:rPr>
        <w:t>(vsebina zakona)</w:t>
      </w:r>
    </w:p>
    <w:p w14:paraId="4C99B67B" w14:textId="77777777" w:rsidR="0020455F" w:rsidRPr="0020455F" w:rsidRDefault="0020455F" w:rsidP="0020455F">
      <w:pPr>
        <w:spacing w:after="0" w:line="260" w:lineRule="exact"/>
        <w:jc w:val="center"/>
        <w:rPr>
          <w:rFonts w:ascii="Arial" w:eastAsia="Calibri" w:hAnsi="Arial" w:cs="Arial"/>
          <w:sz w:val="20"/>
          <w:szCs w:val="20"/>
        </w:rPr>
      </w:pPr>
    </w:p>
    <w:p w14:paraId="3FFA6F84" w14:textId="77777777" w:rsidR="0020455F" w:rsidRPr="0020455F" w:rsidRDefault="0020455F" w:rsidP="0020455F">
      <w:pPr>
        <w:spacing w:after="0" w:line="260" w:lineRule="exact"/>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 xml:space="preserve">(1) S tem zakonom se ureja zagotavljanje finančnih sredstev za izvedbo najpomembnejših investicij v slovensko zdravstvo v letih od 2021 do 2031 (v nadaljnjem besedilu: investicije), ki so določene z Resolucijo o nacionalnem planu zdravstvenega varstva 2016–2025  »Skupaj za družbo zdravja« (Uradni  list. RS, št. 25/16; v nadaljnjem besedilu: ReNPZV16 - 25) in načrtom razvojnih programov za področje zdravstvenega varstva in javne srednje in višje strokovne šole ter visokošolske zavode (v nadaljnjem besedilu: izobraževalni zavodi) s področja zdravstva, zaradi zagotavljanja vzdržnega in odpornega zdravstvenega sistema za učinkovito uresničevanje pravic do zdravstvenega varstva. </w:t>
      </w:r>
    </w:p>
    <w:p w14:paraId="0594E4D6" w14:textId="77777777" w:rsidR="0020455F" w:rsidRPr="0020455F" w:rsidRDefault="0020455F" w:rsidP="0020455F">
      <w:pPr>
        <w:spacing w:after="0" w:line="260" w:lineRule="exact"/>
        <w:jc w:val="both"/>
        <w:rPr>
          <w:rFonts w:ascii="Arial" w:eastAsia="Times New Roman" w:hAnsi="Arial" w:cs="Arial"/>
          <w:sz w:val="20"/>
          <w:szCs w:val="20"/>
          <w:lang w:eastAsia="sl-SI"/>
        </w:rPr>
      </w:pPr>
    </w:p>
    <w:p w14:paraId="3C1B9CF7" w14:textId="58153CAA" w:rsidR="0020455F" w:rsidRPr="0020455F" w:rsidRDefault="0020455F" w:rsidP="0020455F">
      <w:pPr>
        <w:spacing w:after="0" w:line="260" w:lineRule="exact"/>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 xml:space="preserve">(2) </w:t>
      </w:r>
      <w:r w:rsidR="00661BB5">
        <w:rPr>
          <w:rFonts w:ascii="Arial" w:eastAsia="Times New Roman" w:hAnsi="Arial" w:cs="Arial"/>
          <w:sz w:val="20"/>
          <w:szCs w:val="20"/>
          <w:lang w:eastAsia="sl-SI"/>
        </w:rPr>
        <w:t>Finančna s</w:t>
      </w:r>
      <w:r w:rsidRPr="0020455F">
        <w:rPr>
          <w:rFonts w:ascii="Arial" w:eastAsia="Times New Roman" w:hAnsi="Arial" w:cs="Arial"/>
          <w:sz w:val="20"/>
          <w:szCs w:val="20"/>
          <w:lang w:eastAsia="sl-SI"/>
        </w:rPr>
        <w:t xml:space="preserve">redstva na podlagi tega zakona so namenjena javnim zdravstvenim zavodom, izobraževalnim zavodom </w:t>
      </w:r>
      <w:r w:rsidR="00661BB5">
        <w:rPr>
          <w:rFonts w:ascii="Arial" w:eastAsia="Times New Roman" w:hAnsi="Arial" w:cs="Arial"/>
          <w:sz w:val="20"/>
          <w:szCs w:val="20"/>
          <w:lang w:eastAsia="sl-SI"/>
        </w:rPr>
        <w:t xml:space="preserve">s področja </w:t>
      </w:r>
      <w:r w:rsidRPr="0020455F">
        <w:rPr>
          <w:rFonts w:ascii="Arial" w:eastAsia="Times New Roman" w:hAnsi="Arial" w:cs="Arial"/>
          <w:sz w:val="20"/>
          <w:szCs w:val="20"/>
          <w:lang w:eastAsia="sl-SI"/>
        </w:rPr>
        <w:t>zdravstva ter negovalnim bolnišnicam in negovalnim domovom v okviru sistema dolgotrajne oskrbe.</w:t>
      </w:r>
    </w:p>
    <w:p w14:paraId="0A61848E" w14:textId="77777777" w:rsidR="0020455F" w:rsidRPr="0020455F" w:rsidRDefault="0020455F" w:rsidP="0020455F">
      <w:pPr>
        <w:spacing w:after="0" w:line="260" w:lineRule="exact"/>
        <w:ind w:left="708"/>
        <w:contextualSpacing/>
        <w:jc w:val="both"/>
        <w:rPr>
          <w:rFonts w:ascii="Arial" w:eastAsia="Times New Roman" w:hAnsi="Arial" w:cs="Arial"/>
          <w:sz w:val="20"/>
          <w:szCs w:val="20"/>
          <w:lang w:eastAsia="sl-SI"/>
        </w:rPr>
      </w:pPr>
    </w:p>
    <w:p w14:paraId="5A26E060" w14:textId="77777777" w:rsidR="0020455F" w:rsidRPr="00A73E7C" w:rsidRDefault="0020455F" w:rsidP="0020455F">
      <w:pPr>
        <w:spacing w:after="0" w:line="260" w:lineRule="exact"/>
        <w:ind w:left="360"/>
        <w:contextualSpacing/>
        <w:jc w:val="both"/>
        <w:rPr>
          <w:rFonts w:ascii="Arial" w:eastAsia="Times New Roman" w:hAnsi="Arial" w:cs="Arial"/>
          <w:b/>
          <w:sz w:val="20"/>
          <w:szCs w:val="20"/>
          <w:lang w:eastAsia="sl-SI"/>
        </w:rPr>
      </w:pPr>
    </w:p>
    <w:p w14:paraId="207AA3D6" w14:textId="77777777" w:rsidR="0020455F" w:rsidRPr="009B2AB1" w:rsidRDefault="0054587D" w:rsidP="0020455F">
      <w:pPr>
        <w:pStyle w:val="Odstavekseznama"/>
        <w:keepNext/>
        <w:numPr>
          <w:ilvl w:val="0"/>
          <w:numId w:val="18"/>
        </w:numPr>
        <w:jc w:val="center"/>
        <w:outlineLvl w:val="0"/>
        <w:rPr>
          <w:b/>
          <w:kern w:val="32"/>
          <w:szCs w:val="20"/>
        </w:rPr>
      </w:pPr>
      <w:r w:rsidRPr="009B2AB1">
        <w:rPr>
          <w:b/>
          <w:kern w:val="32"/>
          <w:szCs w:val="20"/>
        </w:rPr>
        <w:t>č</w:t>
      </w:r>
      <w:r w:rsidR="0020455F" w:rsidRPr="009B2AB1">
        <w:rPr>
          <w:b/>
          <w:kern w:val="32"/>
          <w:szCs w:val="20"/>
        </w:rPr>
        <w:t>len</w:t>
      </w:r>
    </w:p>
    <w:p w14:paraId="1BEBFDDE" w14:textId="77777777" w:rsidR="00434490" w:rsidRPr="009B2AB1" w:rsidRDefault="00434490" w:rsidP="00434490">
      <w:pPr>
        <w:pStyle w:val="Odstavekseznama"/>
        <w:keepNext/>
        <w:ind w:left="502"/>
        <w:outlineLvl w:val="0"/>
        <w:rPr>
          <w:b/>
          <w:kern w:val="32"/>
          <w:szCs w:val="20"/>
        </w:rPr>
      </w:pPr>
      <w:r w:rsidRPr="009B2AB1">
        <w:rPr>
          <w:rFonts w:cs="Arial"/>
          <w:b/>
          <w:szCs w:val="20"/>
        </w:rPr>
        <w:t xml:space="preserve">                                             (zagotavljanje finančnih sredstev)</w:t>
      </w:r>
    </w:p>
    <w:p w14:paraId="4776FF2C" w14:textId="77777777" w:rsidR="0054587D" w:rsidRPr="009B2AB1" w:rsidRDefault="0054587D" w:rsidP="0054587D">
      <w:pPr>
        <w:pStyle w:val="Odstavekseznama"/>
        <w:keepNext/>
        <w:ind w:left="502"/>
        <w:outlineLvl w:val="0"/>
        <w:rPr>
          <w:b/>
          <w:kern w:val="32"/>
          <w:szCs w:val="20"/>
        </w:rPr>
      </w:pPr>
    </w:p>
    <w:p w14:paraId="534A4289" w14:textId="0B83409A" w:rsidR="0020455F" w:rsidRPr="009B2AB1" w:rsidRDefault="0054587D" w:rsidP="0054587D">
      <w:pPr>
        <w:pStyle w:val="Odstavekseznama"/>
        <w:keepNext/>
        <w:ind w:left="0"/>
        <w:outlineLvl w:val="0"/>
        <w:rPr>
          <w:rFonts w:cs="Arial"/>
          <w:b/>
          <w:color w:val="000000"/>
          <w:szCs w:val="20"/>
          <w:lang w:eastAsia="sl-SI"/>
        </w:rPr>
      </w:pPr>
      <w:r w:rsidRPr="009B2AB1">
        <w:rPr>
          <w:rFonts w:cs="Arial"/>
          <w:b/>
          <w:szCs w:val="20"/>
        </w:rPr>
        <w:t xml:space="preserve">(1) </w:t>
      </w:r>
      <w:r w:rsidR="0020455F" w:rsidRPr="009B2AB1">
        <w:rPr>
          <w:rFonts w:cs="Arial"/>
          <w:b/>
          <w:szCs w:val="20"/>
          <w:lang w:eastAsia="sl-SI"/>
        </w:rPr>
        <w:t xml:space="preserve">Za izvajanje investicij iz prejšnjega člena se v proračunu Republike Slovenije zagotovi skupno </w:t>
      </w:r>
      <w:r w:rsidRPr="009B2AB1">
        <w:rPr>
          <w:b/>
        </w:rPr>
        <w:t>2.093 milijonov eurov</w:t>
      </w:r>
      <w:r w:rsidR="0020455F" w:rsidRPr="009B2AB1">
        <w:rPr>
          <w:rFonts w:cs="Arial"/>
          <w:b/>
          <w:color w:val="000000"/>
          <w:szCs w:val="20"/>
          <w:lang w:eastAsia="sl-SI"/>
        </w:rPr>
        <w:t xml:space="preserve">, </w:t>
      </w:r>
      <w:r w:rsidR="0020455F" w:rsidRPr="009B2AB1">
        <w:rPr>
          <w:rFonts w:cs="Arial"/>
          <w:b/>
          <w:szCs w:val="20"/>
          <w:lang w:eastAsia="sl-SI"/>
        </w:rPr>
        <w:t>in sicer na posebni proračunski postavki pri ministrstvu, pristojnem za zdravje, od tega za:</w:t>
      </w:r>
    </w:p>
    <w:p w14:paraId="62E754CA"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univerzitetna klinična centra Ljubljana in Maribor 763 milijonov eurov,</w:t>
      </w:r>
    </w:p>
    <w:p w14:paraId="5FACAD1C"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splošne bolnišnice, negovalne bolnišnice in negovalne domove 557 milijonov eurov,</w:t>
      </w:r>
    </w:p>
    <w:p w14:paraId="7E7A024E"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specialne bolnišnice 214 milijonov eurov,</w:t>
      </w:r>
    </w:p>
    <w:p w14:paraId="29B76332"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psihiatrične bolnišnice 50 milijonov eurov,</w:t>
      </w:r>
    </w:p>
    <w:p w14:paraId="7B654E8D"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porodnišnice 26 milijonov eurov,</w:t>
      </w:r>
    </w:p>
    <w:p w14:paraId="78836BCF"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 xml:space="preserve">zdravstveno dejavnost na primarni ravni </w:t>
      </w:r>
      <w:r w:rsidR="0054587D" w:rsidRPr="009B2AB1">
        <w:rPr>
          <w:rFonts w:ascii="Arial" w:eastAsia="Times New Roman" w:hAnsi="Arial" w:cs="Arial"/>
          <w:b/>
          <w:sz w:val="20"/>
          <w:szCs w:val="20"/>
          <w:lang w:eastAsia="sl-SI"/>
        </w:rPr>
        <w:t>200</w:t>
      </w:r>
      <w:r w:rsidRPr="009B2AB1">
        <w:rPr>
          <w:rFonts w:ascii="Arial" w:eastAsia="Times New Roman" w:hAnsi="Arial" w:cs="Arial"/>
          <w:b/>
          <w:sz w:val="20"/>
          <w:szCs w:val="20"/>
          <w:lang w:eastAsia="sl-SI"/>
        </w:rPr>
        <w:t xml:space="preserve"> milijonov eurov,</w:t>
      </w:r>
    </w:p>
    <w:p w14:paraId="64CBD650"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lastRenderedPageBreak/>
        <w:t>Nacionalni laboratorij za zdravje, okolje in hrano, Nacionalni inštitut za javno zdravje in Zavod Republike Slovenije za transfuzijsko medicino 33 milijonov eurov,</w:t>
      </w:r>
    </w:p>
    <w:p w14:paraId="7AE9AD7A" w14:textId="77777777"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visokošolske zavode za enoviti magistrski študijski program medicine, dentalne medicine in farmacije ter pripadajoče študijske in raziskovalne dejavnosti 200 milijonov eurov, ter</w:t>
      </w:r>
    </w:p>
    <w:p w14:paraId="71B1092B" w14:textId="67B3E7B2" w:rsidR="0020455F" w:rsidRPr="009B2AB1" w:rsidRDefault="0020455F" w:rsidP="0020455F">
      <w:pPr>
        <w:numPr>
          <w:ilvl w:val="0"/>
          <w:numId w:val="14"/>
        </w:num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 xml:space="preserve">srednje šole, višje strokovne šole in visokošolske zavode </w:t>
      </w:r>
      <w:r w:rsidR="00661BB5">
        <w:rPr>
          <w:rFonts w:ascii="Arial" w:eastAsia="Times New Roman" w:hAnsi="Arial" w:cs="Arial"/>
          <w:b/>
          <w:sz w:val="20"/>
          <w:szCs w:val="20"/>
          <w:lang w:eastAsia="sl-SI"/>
        </w:rPr>
        <w:t xml:space="preserve">s </w:t>
      </w:r>
      <w:r w:rsidRPr="009B2AB1">
        <w:rPr>
          <w:rFonts w:ascii="Arial" w:eastAsia="Times New Roman" w:hAnsi="Arial" w:cs="Arial"/>
          <w:b/>
          <w:sz w:val="20"/>
          <w:szCs w:val="20"/>
          <w:lang w:eastAsia="sl-SI"/>
        </w:rPr>
        <w:t>področj</w:t>
      </w:r>
      <w:r w:rsidR="00661BB5">
        <w:rPr>
          <w:rFonts w:ascii="Arial" w:eastAsia="Times New Roman" w:hAnsi="Arial" w:cs="Arial"/>
          <w:b/>
          <w:sz w:val="20"/>
          <w:szCs w:val="20"/>
          <w:lang w:eastAsia="sl-SI"/>
        </w:rPr>
        <w:t>a</w:t>
      </w:r>
      <w:r w:rsidRPr="009B2AB1">
        <w:rPr>
          <w:rFonts w:ascii="Arial" w:eastAsia="Times New Roman" w:hAnsi="Arial" w:cs="Arial"/>
          <w:b/>
          <w:sz w:val="20"/>
          <w:szCs w:val="20"/>
          <w:lang w:eastAsia="sl-SI"/>
        </w:rPr>
        <w:t xml:space="preserve"> zdravstva, ki niso navedeni v prejšnji točki, v višini 50 milijonov eurov.</w:t>
      </w:r>
      <w:r w:rsidR="00A73E7C" w:rsidRPr="009B2AB1">
        <w:rPr>
          <w:rFonts w:ascii="Arial" w:eastAsia="Times New Roman" w:hAnsi="Arial" w:cs="Arial"/>
          <w:b/>
          <w:sz w:val="20"/>
          <w:szCs w:val="20"/>
          <w:lang w:eastAsia="sl-SI"/>
        </w:rPr>
        <w:t>«</w:t>
      </w:r>
    </w:p>
    <w:p w14:paraId="2FB9AD89" w14:textId="77777777" w:rsidR="00A73E7C" w:rsidRPr="009B2AB1" w:rsidRDefault="00A73E7C" w:rsidP="00A73E7C">
      <w:pPr>
        <w:spacing w:after="0" w:line="260" w:lineRule="exact"/>
        <w:contextualSpacing/>
        <w:jc w:val="both"/>
        <w:rPr>
          <w:rFonts w:ascii="Arial" w:eastAsia="Times New Roman" w:hAnsi="Arial" w:cs="Arial"/>
          <w:b/>
          <w:sz w:val="20"/>
          <w:szCs w:val="20"/>
          <w:lang w:eastAsia="sl-SI"/>
        </w:rPr>
      </w:pPr>
    </w:p>
    <w:p w14:paraId="01431E71" w14:textId="77777777" w:rsidR="00A73E7C" w:rsidRPr="009B2AB1" w:rsidRDefault="00A73E7C" w:rsidP="00A73E7C">
      <w:pPr>
        <w:rPr>
          <w:b/>
        </w:rPr>
      </w:pPr>
    </w:p>
    <w:p w14:paraId="06F374F9" w14:textId="77777777" w:rsidR="00A73E7C" w:rsidRPr="009B2AB1" w:rsidRDefault="00A73E7C" w:rsidP="00A73E7C">
      <w:pPr>
        <w:rPr>
          <w:b/>
        </w:rPr>
      </w:pPr>
    </w:p>
    <w:p w14:paraId="44DB3678" w14:textId="77777777" w:rsidR="00A73E7C" w:rsidRPr="009B2AB1" w:rsidRDefault="00A73E7C" w:rsidP="00A73E7C">
      <w:pPr>
        <w:rPr>
          <w:rFonts w:ascii="Arial" w:hAnsi="Arial" w:cs="Arial"/>
          <w:b/>
          <w:sz w:val="20"/>
          <w:szCs w:val="20"/>
        </w:rPr>
      </w:pPr>
    </w:p>
    <w:p w14:paraId="3BC8D56D" w14:textId="77777777" w:rsidR="0020455F" w:rsidRPr="009B2AB1" w:rsidRDefault="0020455F" w:rsidP="0020455F">
      <w:pPr>
        <w:spacing w:after="0" w:line="260" w:lineRule="exact"/>
        <w:ind w:left="1080"/>
        <w:contextualSpacing/>
        <w:jc w:val="both"/>
        <w:rPr>
          <w:rFonts w:ascii="Arial" w:eastAsia="Times New Roman" w:hAnsi="Arial" w:cs="Arial"/>
          <w:b/>
          <w:sz w:val="20"/>
          <w:szCs w:val="20"/>
          <w:lang w:eastAsia="sl-SI"/>
        </w:rPr>
      </w:pPr>
    </w:p>
    <w:p w14:paraId="22B090E3" w14:textId="25E53B3D" w:rsidR="0020455F" w:rsidRPr="009B2AB1" w:rsidRDefault="00A73E7C" w:rsidP="00A73E7C">
      <w:pPr>
        <w:spacing w:after="0" w:line="260" w:lineRule="exact"/>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(2) V letu 2021 se zagotovi 127,27 milijona eurov iz prejšnjega odstavka, v letu 2022 197,62 milijona eurov, v letu 2023 219,66 milijona eurov, v letu 2024 233,22 milijona eurov, v letu 2025 227,74 milijona eurov, v letu 2026 252,64 milijona eurov, v letu 2027 220,44 milijona eurov, v letu 2028 172,12 milijona eurov, v letu 2029 169,91 milijona eurov, v letu 2030 136,84 milijona eurov in v letu 2031 135,51 milijona eurov, in sicer:</w:t>
      </w:r>
    </w:p>
    <w:tbl>
      <w:tblPr>
        <w:tblW w:w="8494" w:type="dxa"/>
        <w:tblInd w:w="496" w:type="dxa"/>
        <w:tblCellMar>
          <w:left w:w="70" w:type="dxa"/>
          <w:right w:w="70" w:type="dxa"/>
        </w:tblCellMar>
        <w:tblLook w:val="04A0" w:firstRow="1" w:lastRow="0" w:firstColumn="1" w:lastColumn="0" w:noHBand="0" w:noVBand="1"/>
      </w:tblPr>
      <w:tblGrid>
        <w:gridCol w:w="1581"/>
        <w:gridCol w:w="2362"/>
        <w:gridCol w:w="2187"/>
        <w:gridCol w:w="2364"/>
      </w:tblGrid>
      <w:tr w:rsidR="0020455F" w:rsidRPr="009B2AB1" w14:paraId="54916F01" w14:textId="77777777" w:rsidTr="0054587D">
        <w:trPr>
          <w:trHeight w:val="274"/>
        </w:trPr>
        <w:tc>
          <w:tcPr>
            <w:tcW w:w="8494" w:type="dxa"/>
            <w:gridSpan w:val="4"/>
            <w:tcBorders>
              <w:top w:val="nil"/>
              <w:left w:val="nil"/>
              <w:bottom w:val="nil"/>
              <w:right w:val="nil"/>
            </w:tcBorders>
            <w:shd w:val="clear" w:color="auto" w:fill="auto"/>
            <w:noWrap/>
            <w:vAlign w:val="bottom"/>
            <w:hideMark/>
          </w:tcPr>
          <w:p w14:paraId="764F2027" w14:textId="77777777" w:rsidR="0020455F" w:rsidRPr="009B2AB1" w:rsidRDefault="0020455F" w:rsidP="00A73E7C">
            <w:pPr>
              <w:spacing w:after="0" w:line="240" w:lineRule="auto"/>
              <w:rPr>
                <w:rFonts w:ascii="Arial" w:eastAsia="Times New Roman" w:hAnsi="Arial" w:cs="Arial"/>
                <w:b/>
                <w:sz w:val="20"/>
                <w:szCs w:val="20"/>
                <w:lang w:eastAsia="sl-SI"/>
              </w:rPr>
            </w:pPr>
          </w:p>
        </w:tc>
      </w:tr>
      <w:tr w:rsidR="0020455F" w:rsidRPr="009B2AB1" w14:paraId="1F560C42" w14:textId="77777777" w:rsidTr="00A73E7C">
        <w:trPr>
          <w:trHeight w:val="259"/>
        </w:trPr>
        <w:tc>
          <w:tcPr>
            <w:tcW w:w="1581" w:type="dxa"/>
            <w:tcBorders>
              <w:top w:val="nil"/>
              <w:left w:val="nil"/>
              <w:bottom w:val="nil"/>
              <w:right w:val="nil"/>
            </w:tcBorders>
            <w:shd w:val="clear" w:color="auto" w:fill="auto"/>
            <w:noWrap/>
            <w:vAlign w:val="bottom"/>
            <w:hideMark/>
          </w:tcPr>
          <w:p w14:paraId="6A5C567F" w14:textId="77777777" w:rsidR="0020455F" w:rsidRPr="009B2AB1" w:rsidRDefault="0020455F" w:rsidP="0020455F">
            <w:pPr>
              <w:spacing w:after="0" w:line="240" w:lineRule="auto"/>
              <w:ind w:left="557"/>
              <w:rPr>
                <w:rFonts w:ascii="Arial" w:eastAsia="Times New Roman" w:hAnsi="Arial" w:cs="Arial"/>
                <w:b/>
                <w:sz w:val="20"/>
                <w:szCs w:val="20"/>
                <w:lang w:eastAsia="sl-SI"/>
              </w:rPr>
            </w:pPr>
          </w:p>
        </w:tc>
        <w:tc>
          <w:tcPr>
            <w:tcW w:w="2362" w:type="dxa"/>
            <w:tcBorders>
              <w:top w:val="nil"/>
              <w:left w:val="nil"/>
              <w:bottom w:val="nil"/>
              <w:right w:val="nil"/>
            </w:tcBorders>
            <w:shd w:val="clear" w:color="auto" w:fill="auto"/>
            <w:noWrap/>
            <w:vAlign w:val="bottom"/>
            <w:hideMark/>
          </w:tcPr>
          <w:p w14:paraId="736F3DDF" w14:textId="77777777" w:rsidR="0020455F" w:rsidRPr="009B2AB1" w:rsidRDefault="0020455F" w:rsidP="0020455F">
            <w:pPr>
              <w:spacing w:after="0" w:line="240" w:lineRule="auto"/>
              <w:ind w:left="557"/>
              <w:rPr>
                <w:rFonts w:ascii="Times New Roman" w:eastAsia="Times New Roman" w:hAnsi="Times New Roman" w:cs="Times New Roman"/>
                <w:b/>
                <w:sz w:val="20"/>
                <w:szCs w:val="20"/>
                <w:lang w:eastAsia="sl-SI"/>
              </w:rPr>
            </w:pPr>
          </w:p>
        </w:tc>
        <w:tc>
          <w:tcPr>
            <w:tcW w:w="2187" w:type="dxa"/>
            <w:tcBorders>
              <w:top w:val="nil"/>
              <w:left w:val="nil"/>
              <w:bottom w:val="nil"/>
              <w:right w:val="nil"/>
            </w:tcBorders>
            <w:shd w:val="clear" w:color="auto" w:fill="auto"/>
            <w:noWrap/>
            <w:vAlign w:val="bottom"/>
            <w:hideMark/>
          </w:tcPr>
          <w:p w14:paraId="0DA577E5" w14:textId="77777777" w:rsidR="0020455F" w:rsidRPr="009B2AB1" w:rsidRDefault="0020455F" w:rsidP="0020455F">
            <w:pPr>
              <w:spacing w:after="0" w:line="240" w:lineRule="auto"/>
              <w:ind w:left="557"/>
              <w:rPr>
                <w:rFonts w:ascii="Times New Roman" w:eastAsia="Times New Roman" w:hAnsi="Times New Roman" w:cs="Times New Roman"/>
                <w:b/>
                <w:sz w:val="20"/>
                <w:szCs w:val="20"/>
                <w:lang w:eastAsia="sl-SI"/>
              </w:rPr>
            </w:pPr>
          </w:p>
        </w:tc>
        <w:tc>
          <w:tcPr>
            <w:tcW w:w="2364" w:type="dxa"/>
            <w:tcBorders>
              <w:top w:val="nil"/>
              <w:left w:val="nil"/>
              <w:bottom w:val="nil"/>
              <w:right w:val="nil"/>
            </w:tcBorders>
            <w:shd w:val="clear" w:color="auto" w:fill="auto"/>
            <w:noWrap/>
            <w:vAlign w:val="bottom"/>
            <w:hideMark/>
          </w:tcPr>
          <w:p w14:paraId="1FF5449D" w14:textId="77777777" w:rsidR="0020455F" w:rsidRPr="009B2AB1" w:rsidRDefault="0020455F" w:rsidP="0020455F">
            <w:pPr>
              <w:spacing w:after="0" w:line="240" w:lineRule="auto"/>
              <w:ind w:left="557"/>
              <w:rPr>
                <w:rFonts w:ascii="Times New Roman" w:eastAsia="Times New Roman" w:hAnsi="Times New Roman" w:cs="Times New Roman"/>
                <w:b/>
                <w:sz w:val="20"/>
                <w:szCs w:val="20"/>
                <w:lang w:eastAsia="sl-SI"/>
              </w:rPr>
            </w:pPr>
          </w:p>
        </w:tc>
      </w:tr>
      <w:tr w:rsidR="0020455F" w:rsidRPr="009B2AB1" w14:paraId="21B1BA24" w14:textId="77777777" w:rsidTr="00A73E7C">
        <w:trPr>
          <w:trHeight w:val="793"/>
        </w:trPr>
        <w:tc>
          <w:tcPr>
            <w:tcW w:w="15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2115EB" w14:textId="77777777" w:rsidR="0020455F" w:rsidRPr="009B2AB1" w:rsidRDefault="0020455F" w:rsidP="0020455F">
            <w:pPr>
              <w:spacing w:after="0" w:line="240" w:lineRule="auto"/>
              <w:ind w:left="557"/>
              <w:rPr>
                <w:rFonts w:ascii="Arial" w:eastAsia="Times New Roman" w:hAnsi="Arial" w:cs="Arial"/>
                <w:b/>
                <w:sz w:val="20"/>
                <w:szCs w:val="20"/>
                <w:lang w:eastAsia="sl-SI"/>
              </w:rPr>
            </w:pPr>
            <w:r w:rsidRPr="009B2AB1">
              <w:rPr>
                <w:rFonts w:ascii="Arial" w:eastAsia="Times New Roman" w:hAnsi="Arial" w:cs="Arial"/>
                <w:b/>
                <w:sz w:val="20"/>
                <w:szCs w:val="20"/>
                <w:lang w:eastAsia="sl-SI"/>
              </w:rPr>
              <w:t> </w:t>
            </w:r>
          </w:p>
        </w:tc>
        <w:tc>
          <w:tcPr>
            <w:tcW w:w="2362" w:type="dxa"/>
            <w:tcBorders>
              <w:top w:val="single" w:sz="4" w:space="0" w:color="auto"/>
              <w:left w:val="nil"/>
              <w:bottom w:val="single" w:sz="4" w:space="0" w:color="auto"/>
              <w:right w:val="single" w:sz="4" w:space="0" w:color="auto"/>
            </w:tcBorders>
            <w:shd w:val="clear" w:color="auto" w:fill="auto"/>
            <w:vAlign w:val="bottom"/>
            <w:hideMark/>
          </w:tcPr>
          <w:p w14:paraId="6752BF52"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Ministrstvo za zdravje</w:t>
            </w:r>
          </w:p>
        </w:tc>
        <w:tc>
          <w:tcPr>
            <w:tcW w:w="2187" w:type="dxa"/>
            <w:tcBorders>
              <w:top w:val="single" w:sz="4" w:space="0" w:color="auto"/>
              <w:left w:val="nil"/>
              <w:bottom w:val="single" w:sz="4" w:space="0" w:color="auto"/>
              <w:right w:val="single" w:sz="4" w:space="0" w:color="auto"/>
            </w:tcBorders>
            <w:shd w:val="clear" w:color="auto" w:fill="auto"/>
            <w:vAlign w:val="bottom"/>
            <w:hideMark/>
          </w:tcPr>
          <w:p w14:paraId="6C829CA8"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Ministrstvo za izobraževanje, znanost in šport</w:t>
            </w:r>
          </w:p>
        </w:tc>
        <w:tc>
          <w:tcPr>
            <w:tcW w:w="2364" w:type="dxa"/>
            <w:tcBorders>
              <w:top w:val="single" w:sz="4" w:space="0" w:color="auto"/>
              <w:left w:val="nil"/>
              <w:bottom w:val="single" w:sz="4" w:space="0" w:color="auto"/>
              <w:right w:val="single" w:sz="4" w:space="0" w:color="auto"/>
            </w:tcBorders>
            <w:shd w:val="clear" w:color="auto" w:fill="auto"/>
            <w:vAlign w:val="bottom"/>
            <w:hideMark/>
          </w:tcPr>
          <w:p w14:paraId="69C0BA23"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Skupaj</w:t>
            </w:r>
          </w:p>
        </w:tc>
      </w:tr>
      <w:tr w:rsidR="0020455F" w:rsidRPr="009B2AB1" w14:paraId="55B17F01" w14:textId="77777777" w:rsidTr="00A73E7C">
        <w:trPr>
          <w:trHeight w:val="793"/>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14:paraId="3A3EC05C" w14:textId="77777777" w:rsidR="0020455F" w:rsidRPr="009B2AB1" w:rsidRDefault="0020455F" w:rsidP="0020455F">
            <w:pPr>
              <w:spacing w:after="0" w:line="240" w:lineRule="auto"/>
              <w:ind w:left="557"/>
              <w:rPr>
                <w:rFonts w:ascii="Arial" w:eastAsia="Times New Roman" w:hAnsi="Arial" w:cs="Arial"/>
                <w:b/>
                <w:sz w:val="20"/>
                <w:szCs w:val="20"/>
                <w:lang w:eastAsia="sl-SI"/>
              </w:rPr>
            </w:pPr>
            <w:r w:rsidRPr="009B2AB1">
              <w:rPr>
                <w:rFonts w:ascii="Arial" w:eastAsia="Times New Roman" w:hAnsi="Arial" w:cs="Arial"/>
                <w:b/>
                <w:sz w:val="20"/>
                <w:szCs w:val="20"/>
                <w:lang w:eastAsia="sl-SI"/>
              </w:rPr>
              <w:t> </w:t>
            </w:r>
          </w:p>
        </w:tc>
        <w:tc>
          <w:tcPr>
            <w:tcW w:w="2362" w:type="dxa"/>
            <w:tcBorders>
              <w:top w:val="nil"/>
              <w:left w:val="nil"/>
              <w:bottom w:val="single" w:sz="4" w:space="0" w:color="auto"/>
              <w:right w:val="single" w:sz="4" w:space="0" w:color="auto"/>
            </w:tcBorders>
            <w:shd w:val="clear" w:color="auto" w:fill="auto"/>
            <w:vAlign w:val="bottom"/>
            <w:hideMark/>
          </w:tcPr>
          <w:p w14:paraId="146655A0"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Postavke 1, 2, 3, 4, 5, 6, 7</w:t>
            </w:r>
          </w:p>
        </w:tc>
        <w:tc>
          <w:tcPr>
            <w:tcW w:w="2187" w:type="dxa"/>
            <w:tcBorders>
              <w:top w:val="nil"/>
              <w:left w:val="nil"/>
              <w:bottom w:val="single" w:sz="4" w:space="0" w:color="auto"/>
              <w:right w:val="single" w:sz="4" w:space="0" w:color="auto"/>
            </w:tcBorders>
            <w:shd w:val="clear" w:color="auto" w:fill="auto"/>
            <w:vAlign w:val="bottom"/>
            <w:hideMark/>
          </w:tcPr>
          <w:p w14:paraId="34EFAA8D"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 xml:space="preserve">Postavke 8,9 </w:t>
            </w:r>
          </w:p>
        </w:tc>
        <w:tc>
          <w:tcPr>
            <w:tcW w:w="2364" w:type="dxa"/>
            <w:tcBorders>
              <w:top w:val="nil"/>
              <w:left w:val="nil"/>
              <w:bottom w:val="single" w:sz="4" w:space="0" w:color="auto"/>
              <w:right w:val="single" w:sz="4" w:space="0" w:color="auto"/>
            </w:tcBorders>
            <w:shd w:val="clear" w:color="auto" w:fill="auto"/>
            <w:vAlign w:val="bottom"/>
            <w:hideMark/>
          </w:tcPr>
          <w:p w14:paraId="696EAB60"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 </w:t>
            </w:r>
          </w:p>
        </w:tc>
      </w:tr>
      <w:tr w:rsidR="0020455F" w:rsidRPr="009B2AB1" w14:paraId="73723A39" w14:textId="77777777" w:rsidTr="00A73E7C">
        <w:trPr>
          <w:trHeight w:val="274"/>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14:paraId="1562303E" w14:textId="77777777" w:rsidR="0020455F" w:rsidRPr="009B2AB1" w:rsidRDefault="0020455F" w:rsidP="0020455F">
            <w:pPr>
              <w:spacing w:after="0" w:line="240" w:lineRule="auto"/>
              <w:ind w:left="557"/>
              <w:rPr>
                <w:rFonts w:ascii="Arial" w:eastAsia="Times New Roman" w:hAnsi="Arial" w:cs="Arial"/>
                <w:b/>
                <w:sz w:val="20"/>
                <w:szCs w:val="20"/>
                <w:lang w:eastAsia="sl-SI"/>
              </w:rPr>
            </w:pPr>
            <w:r w:rsidRPr="009B2AB1">
              <w:rPr>
                <w:rFonts w:ascii="Arial" w:eastAsia="Times New Roman" w:hAnsi="Arial" w:cs="Arial"/>
                <w:b/>
                <w:sz w:val="20"/>
                <w:szCs w:val="20"/>
                <w:lang w:eastAsia="sl-SI"/>
              </w:rPr>
              <w:t>Leto</w:t>
            </w:r>
          </w:p>
        </w:tc>
        <w:tc>
          <w:tcPr>
            <w:tcW w:w="2362" w:type="dxa"/>
            <w:tcBorders>
              <w:top w:val="nil"/>
              <w:left w:val="nil"/>
              <w:bottom w:val="single" w:sz="4" w:space="0" w:color="auto"/>
              <w:right w:val="single" w:sz="4" w:space="0" w:color="auto"/>
            </w:tcBorders>
            <w:shd w:val="clear" w:color="auto" w:fill="auto"/>
            <w:noWrap/>
            <w:vAlign w:val="bottom"/>
            <w:hideMark/>
          </w:tcPr>
          <w:p w14:paraId="72E17D0F"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EUR</w:t>
            </w:r>
          </w:p>
        </w:tc>
        <w:tc>
          <w:tcPr>
            <w:tcW w:w="2187" w:type="dxa"/>
            <w:tcBorders>
              <w:top w:val="nil"/>
              <w:left w:val="nil"/>
              <w:bottom w:val="single" w:sz="4" w:space="0" w:color="auto"/>
              <w:right w:val="single" w:sz="4" w:space="0" w:color="auto"/>
            </w:tcBorders>
            <w:shd w:val="clear" w:color="auto" w:fill="auto"/>
            <w:noWrap/>
            <w:vAlign w:val="bottom"/>
            <w:hideMark/>
          </w:tcPr>
          <w:p w14:paraId="4F878DAD"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EUR</w:t>
            </w:r>
          </w:p>
        </w:tc>
        <w:tc>
          <w:tcPr>
            <w:tcW w:w="2364" w:type="dxa"/>
            <w:tcBorders>
              <w:top w:val="nil"/>
              <w:left w:val="nil"/>
              <w:bottom w:val="single" w:sz="4" w:space="0" w:color="auto"/>
              <w:right w:val="single" w:sz="4" w:space="0" w:color="auto"/>
            </w:tcBorders>
            <w:shd w:val="clear" w:color="auto" w:fill="auto"/>
            <w:noWrap/>
            <w:vAlign w:val="bottom"/>
            <w:hideMark/>
          </w:tcPr>
          <w:p w14:paraId="1E530EF9" w14:textId="77777777" w:rsidR="0020455F" w:rsidRPr="009B2AB1" w:rsidRDefault="0020455F" w:rsidP="0020455F">
            <w:pPr>
              <w:spacing w:after="0" w:line="240" w:lineRule="auto"/>
              <w:ind w:left="557"/>
              <w:jc w:val="center"/>
              <w:rPr>
                <w:rFonts w:ascii="Arial" w:eastAsia="Times New Roman" w:hAnsi="Arial" w:cs="Arial"/>
                <w:b/>
                <w:sz w:val="20"/>
                <w:szCs w:val="20"/>
                <w:lang w:eastAsia="sl-SI"/>
              </w:rPr>
            </w:pPr>
            <w:r w:rsidRPr="009B2AB1">
              <w:rPr>
                <w:rFonts w:ascii="Arial" w:eastAsia="Times New Roman" w:hAnsi="Arial" w:cs="Arial"/>
                <w:b/>
                <w:sz w:val="20"/>
                <w:szCs w:val="20"/>
                <w:lang w:eastAsia="sl-SI"/>
              </w:rPr>
              <w:t>EUR</w:t>
            </w:r>
          </w:p>
        </w:tc>
      </w:tr>
      <w:tr w:rsidR="00A73E7C" w:rsidRPr="009B2AB1" w14:paraId="421A5751"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00309FC3"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2021 </w:t>
            </w:r>
          </w:p>
        </w:tc>
        <w:tc>
          <w:tcPr>
            <w:tcW w:w="2362" w:type="dxa"/>
            <w:tcBorders>
              <w:top w:val="nil"/>
              <w:left w:val="nil"/>
              <w:bottom w:val="single" w:sz="4" w:space="0" w:color="auto"/>
              <w:right w:val="single" w:sz="4" w:space="0" w:color="auto"/>
            </w:tcBorders>
            <w:shd w:val="clear" w:color="auto" w:fill="auto"/>
            <w:noWrap/>
            <w:hideMark/>
          </w:tcPr>
          <w:p w14:paraId="646DA37A"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127.278.136,30 </w:t>
            </w:r>
          </w:p>
        </w:tc>
        <w:tc>
          <w:tcPr>
            <w:tcW w:w="2187" w:type="dxa"/>
            <w:tcBorders>
              <w:top w:val="nil"/>
              <w:left w:val="nil"/>
              <w:bottom w:val="single" w:sz="4" w:space="0" w:color="auto"/>
              <w:right w:val="single" w:sz="4" w:space="0" w:color="auto"/>
            </w:tcBorders>
            <w:shd w:val="clear" w:color="auto" w:fill="auto"/>
            <w:noWrap/>
            <w:hideMark/>
          </w:tcPr>
          <w:p w14:paraId="5D255C88"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0,00 </w:t>
            </w:r>
          </w:p>
        </w:tc>
        <w:tc>
          <w:tcPr>
            <w:tcW w:w="2364" w:type="dxa"/>
            <w:tcBorders>
              <w:top w:val="nil"/>
              <w:left w:val="nil"/>
              <w:bottom w:val="single" w:sz="4" w:space="0" w:color="auto"/>
              <w:right w:val="single" w:sz="4" w:space="0" w:color="auto"/>
            </w:tcBorders>
            <w:shd w:val="clear" w:color="auto" w:fill="auto"/>
            <w:noWrap/>
            <w:hideMark/>
          </w:tcPr>
          <w:p w14:paraId="7D5BB421"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127.278.136,30 </w:t>
            </w:r>
          </w:p>
        </w:tc>
      </w:tr>
      <w:tr w:rsidR="00A73E7C" w:rsidRPr="009B2AB1" w14:paraId="389756B4"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079485B0"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2022 </w:t>
            </w:r>
          </w:p>
        </w:tc>
        <w:tc>
          <w:tcPr>
            <w:tcW w:w="2362" w:type="dxa"/>
            <w:tcBorders>
              <w:top w:val="nil"/>
              <w:left w:val="nil"/>
              <w:bottom w:val="single" w:sz="4" w:space="0" w:color="auto"/>
              <w:right w:val="single" w:sz="4" w:space="0" w:color="auto"/>
            </w:tcBorders>
            <w:shd w:val="clear" w:color="auto" w:fill="auto"/>
            <w:noWrap/>
            <w:hideMark/>
          </w:tcPr>
          <w:p w14:paraId="67D95A72"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194.625.842,60 </w:t>
            </w:r>
          </w:p>
        </w:tc>
        <w:tc>
          <w:tcPr>
            <w:tcW w:w="2187" w:type="dxa"/>
            <w:tcBorders>
              <w:top w:val="nil"/>
              <w:left w:val="nil"/>
              <w:bottom w:val="single" w:sz="4" w:space="0" w:color="auto"/>
              <w:right w:val="single" w:sz="4" w:space="0" w:color="auto"/>
            </w:tcBorders>
            <w:shd w:val="clear" w:color="auto" w:fill="auto"/>
            <w:noWrap/>
            <w:hideMark/>
          </w:tcPr>
          <w:p w14:paraId="186FB962"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3.000.000,00 </w:t>
            </w:r>
          </w:p>
        </w:tc>
        <w:tc>
          <w:tcPr>
            <w:tcW w:w="2364" w:type="dxa"/>
            <w:tcBorders>
              <w:top w:val="nil"/>
              <w:left w:val="nil"/>
              <w:bottom w:val="single" w:sz="4" w:space="0" w:color="auto"/>
              <w:right w:val="single" w:sz="4" w:space="0" w:color="auto"/>
            </w:tcBorders>
            <w:shd w:val="clear" w:color="auto" w:fill="auto"/>
            <w:noWrap/>
            <w:hideMark/>
          </w:tcPr>
          <w:p w14:paraId="1127A2A5"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197.625.842,60 </w:t>
            </w:r>
          </w:p>
        </w:tc>
      </w:tr>
      <w:tr w:rsidR="00A73E7C" w:rsidRPr="009B2AB1" w14:paraId="4112F7FA"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20E60B2A"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2023 </w:t>
            </w:r>
          </w:p>
        </w:tc>
        <w:tc>
          <w:tcPr>
            <w:tcW w:w="2362" w:type="dxa"/>
            <w:tcBorders>
              <w:top w:val="nil"/>
              <w:left w:val="nil"/>
              <w:bottom w:val="single" w:sz="4" w:space="0" w:color="auto"/>
              <w:right w:val="single" w:sz="4" w:space="0" w:color="auto"/>
            </w:tcBorders>
            <w:shd w:val="clear" w:color="auto" w:fill="auto"/>
            <w:noWrap/>
            <w:hideMark/>
          </w:tcPr>
          <w:p w14:paraId="34470095"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205.665.180,14 </w:t>
            </w:r>
          </w:p>
        </w:tc>
        <w:tc>
          <w:tcPr>
            <w:tcW w:w="2187" w:type="dxa"/>
            <w:tcBorders>
              <w:top w:val="nil"/>
              <w:left w:val="nil"/>
              <w:bottom w:val="single" w:sz="4" w:space="0" w:color="auto"/>
              <w:right w:val="single" w:sz="4" w:space="0" w:color="auto"/>
            </w:tcBorders>
            <w:shd w:val="clear" w:color="auto" w:fill="auto"/>
            <w:noWrap/>
            <w:hideMark/>
          </w:tcPr>
          <w:p w14:paraId="22EE220E"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14.000.000,00 </w:t>
            </w:r>
          </w:p>
        </w:tc>
        <w:tc>
          <w:tcPr>
            <w:tcW w:w="2364" w:type="dxa"/>
            <w:tcBorders>
              <w:top w:val="nil"/>
              <w:left w:val="nil"/>
              <w:bottom w:val="single" w:sz="4" w:space="0" w:color="auto"/>
              <w:right w:val="single" w:sz="4" w:space="0" w:color="auto"/>
            </w:tcBorders>
            <w:shd w:val="clear" w:color="auto" w:fill="auto"/>
            <w:noWrap/>
            <w:hideMark/>
          </w:tcPr>
          <w:p w14:paraId="249D4955"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219.665.180,14 </w:t>
            </w:r>
          </w:p>
        </w:tc>
      </w:tr>
      <w:tr w:rsidR="00A73E7C" w:rsidRPr="009B2AB1" w14:paraId="4CED13FA"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0FC01135"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2024 </w:t>
            </w:r>
          </w:p>
        </w:tc>
        <w:tc>
          <w:tcPr>
            <w:tcW w:w="2362" w:type="dxa"/>
            <w:tcBorders>
              <w:top w:val="nil"/>
              <w:left w:val="nil"/>
              <w:bottom w:val="single" w:sz="4" w:space="0" w:color="auto"/>
              <w:right w:val="single" w:sz="4" w:space="0" w:color="auto"/>
            </w:tcBorders>
            <w:shd w:val="clear" w:color="auto" w:fill="auto"/>
            <w:noWrap/>
            <w:hideMark/>
          </w:tcPr>
          <w:p w14:paraId="5660DA7F"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213.224.157,63 </w:t>
            </w:r>
          </w:p>
        </w:tc>
        <w:tc>
          <w:tcPr>
            <w:tcW w:w="2187" w:type="dxa"/>
            <w:tcBorders>
              <w:top w:val="nil"/>
              <w:left w:val="nil"/>
              <w:bottom w:val="single" w:sz="4" w:space="0" w:color="auto"/>
              <w:right w:val="single" w:sz="4" w:space="0" w:color="auto"/>
            </w:tcBorders>
            <w:shd w:val="clear" w:color="auto" w:fill="auto"/>
            <w:noWrap/>
            <w:hideMark/>
          </w:tcPr>
          <w:p w14:paraId="5CAB1579"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20.000.000,00 </w:t>
            </w:r>
          </w:p>
        </w:tc>
        <w:tc>
          <w:tcPr>
            <w:tcW w:w="2364" w:type="dxa"/>
            <w:tcBorders>
              <w:top w:val="nil"/>
              <w:left w:val="nil"/>
              <w:bottom w:val="single" w:sz="4" w:space="0" w:color="auto"/>
              <w:right w:val="single" w:sz="4" w:space="0" w:color="auto"/>
            </w:tcBorders>
            <w:shd w:val="clear" w:color="auto" w:fill="auto"/>
            <w:noWrap/>
            <w:hideMark/>
          </w:tcPr>
          <w:p w14:paraId="2A63ACE8"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233.224.157,63 </w:t>
            </w:r>
          </w:p>
        </w:tc>
      </w:tr>
      <w:tr w:rsidR="00A73E7C" w:rsidRPr="009B2AB1" w14:paraId="235C7961"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3E24338A"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2025 </w:t>
            </w:r>
          </w:p>
        </w:tc>
        <w:tc>
          <w:tcPr>
            <w:tcW w:w="2362" w:type="dxa"/>
            <w:tcBorders>
              <w:top w:val="nil"/>
              <w:left w:val="nil"/>
              <w:bottom w:val="single" w:sz="4" w:space="0" w:color="auto"/>
              <w:right w:val="single" w:sz="4" w:space="0" w:color="auto"/>
            </w:tcBorders>
            <w:shd w:val="clear" w:color="auto" w:fill="auto"/>
            <w:noWrap/>
            <w:hideMark/>
          </w:tcPr>
          <w:p w14:paraId="0DDA072F"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204.740.732,92 </w:t>
            </w:r>
          </w:p>
        </w:tc>
        <w:tc>
          <w:tcPr>
            <w:tcW w:w="2187" w:type="dxa"/>
            <w:tcBorders>
              <w:top w:val="nil"/>
              <w:left w:val="nil"/>
              <w:bottom w:val="single" w:sz="4" w:space="0" w:color="auto"/>
              <w:right w:val="single" w:sz="4" w:space="0" w:color="auto"/>
            </w:tcBorders>
            <w:shd w:val="clear" w:color="auto" w:fill="auto"/>
            <w:noWrap/>
            <w:hideMark/>
          </w:tcPr>
          <w:p w14:paraId="00524595"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23.000.000,00 </w:t>
            </w:r>
          </w:p>
        </w:tc>
        <w:tc>
          <w:tcPr>
            <w:tcW w:w="2364" w:type="dxa"/>
            <w:tcBorders>
              <w:top w:val="nil"/>
              <w:left w:val="nil"/>
              <w:bottom w:val="single" w:sz="4" w:space="0" w:color="auto"/>
              <w:right w:val="single" w:sz="4" w:space="0" w:color="auto"/>
            </w:tcBorders>
            <w:shd w:val="clear" w:color="auto" w:fill="auto"/>
            <w:noWrap/>
            <w:hideMark/>
          </w:tcPr>
          <w:p w14:paraId="6F441EBF"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227.740.732,92 </w:t>
            </w:r>
          </w:p>
        </w:tc>
      </w:tr>
      <w:tr w:rsidR="00A73E7C" w:rsidRPr="009B2AB1" w14:paraId="0F4572E6"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2DA946FF"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2026 </w:t>
            </w:r>
          </w:p>
        </w:tc>
        <w:tc>
          <w:tcPr>
            <w:tcW w:w="2362" w:type="dxa"/>
            <w:tcBorders>
              <w:top w:val="nil"/>
              <w:left w:val="nil"/>
              <w:bottom w:val="single" w:sz="4" w:space="0" w:color="auto"/>
              <w:right w:val="single" w:sz="4" w:space="0" w:color="auto"/>
            </w:tcBorders>
            <w:shd w:val="clear" w:color="auto" w:fill="auto"/>
            <w:noWrap/>
            <w:hideMark/>
          </w:tcPr>
          <w:p w14:paraId="5215666C"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210.141.720,88 </w:t>
            </w:r>
          </w:p>
        </w:tc>
        <w:tc>
          <w:tcPr>
            <w:tcW w:w="2187" w:type="dxa"/>
            <w:tcBorders>
              <w:top w:val="nil"/>
              <w:left w:val="nil"/>
              <w:bottom w:val="single" w:sz="4" w:space="0" w:color="auto"/>
              <w:right w:val="single" w:sz="4" w:space="0" w:color="auto"/>
            </w:tcBorders>
            <w:shd w:val="clear" w:color="auto" w:fill="auto"/>
            <w:noWrap/>
            <w:hideMark/>
          </w:tcPr>
          <w:p w14:paraId="1A072982"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42.500.000,00 </w:t>
            </w:r>
          </w:p>
        </w:tc>
        <w:tc>
          <w:tcPr>
            <w:tcW w:w="2364" w:type="dxa"/>
            <w:tcBorders>
              <w:top w:val="nil"/>
              <w:left w:val="nil"/>
              <w:bottom w:val="single" w:sz="4" w:space="0" w:color="auto"/>
              <w:right w:val="single" w:sz="4" w:space="0" w:color="auto"/>
            </w:tcBorders>
            <w:shd w:val="clear" w:color="auto" w:fill="auto"/>
            <w:noWrap/>
            <w:hideMark/>
          </w:tcPr>
          <w:p w14:paraId="1FD025C3"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252.641.720,88 </w:t>
            </w:r>
          </w:p>
        </w:tc>
      </w:tr>
      <w:tr w:rsidR="00A73E7C" w:rsidRPr="009B2AB1" w14:paraId="507A83F0"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765598D9"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2027 </w:t>
            </w:r>
          </w:p>
        </w:tc>
        <w:tc>
          <w:tcPr>
            <w:tcW w:w="2362" w:type="dxa"/>
            <w:tcBorders>
              <w:top w:val="nil"/>
              <w:left w:val="nil"/>
              <w:bottom w:val="single" w:sz="4" w:space="0" w:color="auto"/>
              <w:right w:val="single" w:sz="4" w:space="0" w:color="auto"/>
            </w:tcBorders>
            <w:shd w:val="clear" w:color="auto" w:fill="auto"/>
            <w:noWrap/>
            <w:hideMark/>
          </w:tcPr>
          <w:p w14:paraId="4CD5BEFB"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162.941.630,88 </w:t>
            </w:r>
          </w:p>
        </w:tc>
        <w:tc>
          <w:tcPr>
            <w:tcW w:w="2187" w:type="dxa"/>
            <w:tcBorders>
              <w:top w:val="nil"/>
              <w:left w:val="nil"/>
              <w:bottom w:val="single" w:sz="4" w:space="0" w:color="auto"/>
              <w:right w:val="single" w:sz="4" w:space="0" w:color="auto"/>
            </w:tcBorders>
            <w:shd w:val="clear" w:color="auto" w:fill="auto"/>
            <w:noWrap/>
            <w:hideMark/>
          </w:tcPr>
          <w:p w14:paraId="3F0C90A7"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57.500.000,00 </w:t>
            </w:r>
          </w:p>
        </w:tc>
        <w:tc>
          <w:tcPr>
            <w:tcW w:w="2364" w:type="dxa"/>
            <w:tcBorders>
              <w:top w:val="nil"/>
              <w:left w:val="nil"/>
              <w:bottom w:val="single" w:sz="4" w:space="0" w:color="auto"/>
              <w:right w:val="single" w:sz="4" w:space="0" w:color="auto"/>
            </w:tcBorders>
            <w:shd w:val="clear" w:color="auto" w:fill="auto"/>
            <w:noWrap/>
            <w:hideMark/>
          </w:tcPr>
          <w:p w14:paraId="60163EF7"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220.441.630,88 </w:t>
            </w:r>
          </w:p>
        </w:tc>
      </w:tr>
      <w:tr w:rsidR="00A73E7C" w:rsidRPr="009B2AB1" w14:paraId="2B9642C1"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072471D9"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2028 </w:t>
            </w:r>
          </w:p>
        </w:tc>
        <w:tc>
          <w:tcPr>
            <w:tcW w:w="2362" w:type="dxa"/>
            <w:tcBorders>
              <w:top w:val="nil"/>
              <w:left w:val="nil"/>
              <w:bottom w:val="single" w:sz="4" w:space="0" w:color="auto"/>
              <w:right w:val="single" w:sz="4" w:space="0" w:color="auto"/>
            </w:tcBorders>
            <w:shd w:val="clear" w:color="auto" w:fill="auto"/>
            <w:noWrap/>
            <w:hideMark/>
          </w:tcPr>
          <w:p w14:paraId="1C303547"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152.120.027,31 </w:t>
            </w:r>
          </w:p>
        </w:tc>
        <w:tc>
          <w:tcPr>
            <w:tcW w:w="2187" w:type="dxa"/>
            <w:tcBorders>
              <w:top w:val="nil"/>
              <w:left w:val="nil"/>
              <w:bottom w:val="single" w:sz="4" w:space="0" w:color="auto"/>
              <w:right w:val="single" w:sz="4" w:space="0" w:color="auto"/>
            </w:tcBorders>
            <w:shd w:val="clear" w:color="auto" w:fill="auto"/>
            <w:noWrap/>
            <w:hideMark/>
          </w:tcPr>
          <w:p w14:paraId="0078950D"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20.000.000,00 </w:t>
            </w:r>
          </w:p>
        </w:tc>
        <w:tc>
          <w:tcPr>
            <w:tcW w:w="2364" w:type="dxa"/>
            <w:tcBorders>
              <w:top w:val="nil"/>
              <w:left w:val="nil"/>
              <w:bottom w:val="single" w:sz="4" w:space="0" w:color="auto"/>
              <w:right w:val="single" w:sz="4" w:space="0" w:color="auto"/>
            </w:tcBorders>
            <w:shd w:val="clear" w:color="auto" w:fill="auto"/>
            <w:noWrap/>
            <w:hideMark/>
          </w:tcPr>
          <w:p w14:paraId="2CFAC64D"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172.120.027,31 </w:t>
            </w:r>
          </w:p>
        </w:tc>
      </w:tr>
      <w:tr w:rsidR="00A73E7C" w:rsidRPr="009B2AB1" w14:paraId="70FDD891"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3E8BAFBB"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2029 </w:t>
            </w:r>
          </w:p>
        </w:tc>
        <w:tc>
          <w:tcPr>
            <w:tcW w:w="2362" w:type="dxa"/>
            <w:tcBorders>
              <w:top w:val="nil"/>
              <w:left w:val="nil"/>
              <w:bottom w:val="single" w:sz="4" w:space="0" w:color="auto"/>
              <w:right w:val="single" w:sz="4" w:space="0" w:color="auto"/>
            </w:tcBorders>
            <w:shd w:val="clear" w:color="auto" w:fill="auto"/>
            <w:noWrap/>
            <w:hideMark/>
          </w:tcPr>
          <w:p w14:paraId="0FE17151"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144.908.686.42 </w:t>
            </w:r>
          </w:p>
        </w:tc>
        <w:tc>
          <w:tcPr>
            <w:tcW w:w="2187" w:type="dxa"/>
            <w:tcBorders>
              <w:top w:val="nil"/>
              <w:left w:val="nil"/>
              <w:bottom w:val="single" w:sz="4" w:space="0" w:color="auto"/>
              <w:right w:val="single" w:sz="4" w:space="0" w:color="auto"/>
            </w:tcBorders>
            <w:shd w:val="clear" w:color="auto" w:fill="auto"/>
            <w:noWrap/>
            <w:hideMark/>
          </w:tcPr>
          <w:p w14:paraId="56C4DA16"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25.000.000.00 </w:t>
            </w:r>
          </w:p>
        </w:tc>
        <w:tc>
          <w:tcPr>
            <w:tcW w:w="2364" w:type="dxa"/>
            <w:tcBorders>
              <w:top w:val="nil"/>
              <w:left w:val="nil"/>
              <w:bottom w:val="single" w:sz="4" w:space="0" w:color="auto"/>
              <w:right w:val="single" w:sz="4" w:space="0" w:color="auto"/>
            </w:tcBorders>
            <w:shd w:val="clear" w:color="auto" w:fill="auto"/>
            <w:noWrap/>
            <w:hideMark/>
          </w:tcPr>
          <w:p w14:paraId="58EF5788"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169.908.686.42 </w:t>
            </w:r>
          </w:p>
        </w:tc>
      </w:tr>
      <w:tr w:rsidR="00A73E7C" w:rsidRPr="009B2AB1" w14:paraId="4731FBA2"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556A1C8C"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2030 </w:t>
            </w:r>
          </w:p>
        </w:tc>
        <w:tc>
          <w:tcPr>
            <w:tcW w:w="2362" w:type="dxa"/>
            <w:tcBorders>
              <w:top w:val="nil"/>
              <w:left w:val="nil"/>
              <w:bottom w:val="single" w:sz="4" w:space="0" w:color="auto"/>
              <w:right w:val="single" w:sz="4" w:space="0" w:color="auto"/>
            </w:tcBorders>
            <w:shd w:val="clear" w:color="auto" w:fill="auto"/>
            <w:noWrap/>
            <w:hideMark/>
          </w:tcPr>
          <w:p w14:paraId="62D61A06"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111.839.493,01 </w:t>
            </w:r>
          </w:p>
        </w:tc>
        <w:tc>
          <w:tcPr>
            <w:tcW w:w="2187" w:type="dxa"/>
            <w:tcBorders>
              <w:top w:val="nil"/>
              <w:left w:val="nil"/>
              <w:bottom w:val="single" w:sz="4" w:space="0" w:color="auto"/>
              <w:right w:val="single" w:sz="4" w:space="0" w:color="auto"/>
            </w:tcBorders>
            <w:shd w:val="clear" w:color="auto" w:fill="auto"/>
            <w:noWrap/>
            <w:hideMark/>
          </w:tcPr>
          <w:p w14:paraId="4AB138FD"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25.000.000,00 </w:t>
            </w:r>
          </w:p>
        </w:tc>
        <w:tc>
          <w:tcPr>
            <w:tcW w:w="2364" w:type="dxa"/>
            <w:tcBorders>
              <w:top w:val="nil"/>
              <w:left w:val="nil"/>
              <w:bottom w:val="single" w:sz="4" w:space="0" w:color="auto"/>
              <w:right w:val="single" w:sz="4" w:space="0" w:color="auto"/>
            </w:tcBorders>
            <w:shd w:val="clear" w:color="auto" w:fill="auto"/>
            <w:noWrap/>
            <w:hideMark/>
          </w:tcPr>
          <w:p w14:paraId="0BE40F77"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136.839.493,01 </w:t>
            </w:r>
          </w:p>
        </w:tc>
      </w:tr>
      <w:tr w:rsidR="00A73E7C" w:rsidRPr="009B2AB1" w14:paraId="3D1AA4AA"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hideMark/>
          </w:tcPr>
          <w:p w14:paraId="638F408E"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2031 </w:t>
            </w:r>
          </w:p>
        </w:tc>
        <w:tc>
          <w:tcPr>
            <w:tcW w:w="2362" w:type="dxa"/>
            <w:tcBorders>
              <w:top w:val="nil"/>
              <w:left w:val="nil"/>
              <w:bottom w:val="single" w:sz="4" w:space="0" w:color="auto"/>
              <w:right w:val="single" w:sz="4" w:space="0" w:color="auto"/>
            </w:tcBorders>
            <w:shd w:val="clear" w:color="auto" w:fill="auto"/>
            <w:noWrap/>
            <w:hideMark/>
          </w:tcPr>
          <w:p w14:paraId="09AC651A"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115.514.391,92 </w:t>
            </w:r>
          </w:p>
        </w:tc>
        <w:tc>
          <w:tcPr>
            <w:tcW w:w="2187" w:type="dxa"/>
            <w:tcBorders>
              <w:top w:val="nil"/>
              <w:left w:val="nil"/>
              <w:bottom w:val="single" w:sz="4" w:space="0" w:color="auto"/>
              <w:right w:val="single" w:sz="4" w:space="0" w:color="auto"/>
            </w:tcBorders>
            <w:shd w:val="clear" w:color="auto" w:fill="auto"/>
            <w:noWrap/>
            <w:hideMark/>
          </w:tcPr>
          <w:p w14:paraId="35AF3DEF"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20.000.000,00 </w:t>
            </w:r>
          </w:p>
        </w:tc>
        <w:tc>
          <w:tcPr>
            <w:tcW w:w="2364" w:type="dxa"/>
            <w:tcBorders>
              <w:top w:val="nil"/>
              <w:left w:val="nil"/>
              <w:bottom w:val="single" w:sz="4" w:space="0" w:color="auto"/>
              <w:right w:val="single" w:sz="4" w:space="0" w:color="auto"/>
            </w:tcBorders>
            <w:shd w:val="clear" w:color="auto" w:fill="auto"/>
            <w:noWrap/>
            <w:hideMark/>
          </w:tcPr>
          <w:p w14:paraId="1EE7C91A"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hAnsi="Arial" w:cs="Arial"/>
                <w:b/>
                <w:sz w:val="20"/>
                <w:szCs w:val="20"/>
              </w:rPr>
              <w:t xml:space="preserve">135.514.391,92 </w:t>
            </w:r>
          </w:p>
        </w:tc>
      </w:tr>
      <w:tr w:rsidR="00A73E7C" w:rsidRPr="009B2AB1" w14:paraId="3154FE12" w14:textId="77777777" w:rsidTr="00A73E7C">
        <w:trPr>
          <w:trHeight w:val="259"/>
        </w:trPr>
        <w:tc>
          <w:tcPr>
            <w:tcW w:w="1581" w:type="dxa"/>
            <w:tcBorders>
              <w:top w:val="nil"/>
              <w:left w:val="single" w:sz="4" w:space="0" w:color="auto"/>
              <w:bottom w:val="single" w:sz="4" w:space="0" w:color="auto"/>
              <w:right w:val="single" w:sz="4" w:space="0" w:color="auto"/>
            </w:tcBorders>
            <w:shd w:val="clear" w:color="auto" w:fill="auto"/>
            <w:noWrap/>
            <w:vAlign w:val="center"/>
            <w:hideMark/>
          </w:tcPr>
          <w:p w14:paraId="422BECC4" w14:textId="77777777" w:rsidR="00A73E7C" w:rsidRPr="009B2AB1" w:rsidRDefault="00A73E7C" w:rsidP="00A73E7C">
            <w:pPr>
              <w:spacing w:after="0" w:line="240" w:lineRule="auto"/>
              <w:ind w:left="557"/>
              <w:rPr>
                <w:rFonts w:ascii="Arial" w:eastAsia="Times New Roman" w:hAnsi="Arial" w:cs="Arial"/>
                <w:b/>
                <w:sz w:val="20"/>
                <w:szCs w:val="20"/>
                <w:lang w:eastAsia="sl-SI"/>
              </w:rPr>
            </w:pPr>
            <w:r w:rsidRPr="009B2AB1">
              <w:rPr>
                <w:rFonts w:ascii="Arial" w:eastAsia="Arial" w:hAnsi="Arial" w:cs="Arial"/>
                <w:b/>
                <w:sz w:val="20"/>
                <w:szCs w:val="20"/>
              </w:rPr>
              <w:t xml:space="preserve">SKUPAJ </w:t>
            </w:r>
          </w:p>
        </w:tc>
        <w:tc>
          <w:tcPr>
            <w:tcW w:w="2362" w:type="dxa"/>
            <w:tcBorders>
              <w:top w:val="nil"/>
              <w:left w:val="nil"/>
              <w:bottom w:val="single" w:sz="4" w:space="0" w:color="auto"/>
              <w:right w:val="single" w:sz="4" w:space="0" w:color="auto"/>
            </w:tcBorders>
            <w:shd w:val="clear" w:color="auto" w:fill="auto"/>
            <w:noWrap/>
            <w:vAlign w:val="center"/>
            <w:hideMark/>
          </w:tcPr>
          <w:p w14:paraId="2A270155"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eastAsia="Arial" w:hAnsi="Arial" w:cs="Arial"/>
                <w:b/>
                <w:sz w:val="20"/>
                <w:szCs w:val="20"/>
              </w:rPr>
              <w:t xml:space="preserve">1.843.000.000,00 </w:t>
            </w:r>
          </w:p>
        </w:tc>
        <w:tc>
          <w:tcPr>
            <w:tcW w:w="2187" w:type="dxa"/>
            <w:tcBorders>
              <w:top w:val="nil"/>
              <w:left w:val="nil"/>
              <w:bottom w:val="single" w:sz="4" w:space="0" w:color="auto"/>
              <w:right w:val="single" w:sz="4" w:space="0" w:color="auto"/>
            </w:tcBorders>
            <w:shd w:val="clear" w:color="auto" w:fill="auto"/>
            <w:noWrap/>
            <w:vAlign w:val="center"/>
            <w:hideMark/>
          </w:tcPr>
          <w:p w14:paraId="356AE376"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eastAsia="Arial" w:hAnsi="Arial" w:cs="Arial"/>
                <w:b/>
                <w:sz w:val="20"/>
                <w:szCs w:val="20"/>
              </w:rPr>
              <w:t xml:space="preserve">250.000.000,00 </w:t>
            </w:r>
          </w:p>
        </w:tc>
        <w:tc>
          <w:tcPr>
            <w:tcW w:w="2364" w:type="dxa"/>
            <w:tcBorders>
              <w:top w:val="nil"/>
              <w:left w:val="nil"/>
              <w:bottom w:val="single" w:sz="4" w:space="0" w:color="auto"/>
              <w:right w:val="single" w:sz="4" w:space="0" w:color="auto"/>
            </w:tcBorders>
            <w:shd w:val="clear" w:color="auto" w:fill="auto"/>
            <w:noWrap/>
            <w:vAlign w:val="center"/>
            <w:hideMark/>
          </w:tcPr>
          <w:p w14:paraId="60A4E794" w14:textId="77777777" w:rsidR="00A73E7C" w:rsidRPr="009B2AB1" w:rsidRDefault="00A73E7C" w:rsidP="00A73E7C">
            <w:pPr>
              <w:spacing w:after="0" w:line="240" w:lineRule="auto"/>
              <w:ind w:left="557"/>
              <w:jc w:val="right"/>
              <w:rPr>
                <w:rFonts w:ascii="Arial" w:eastAsia="Times New Roman" w:hAnsi="Arial" w:cs="Arial"/>
                <w:b/>
                <w:sz w:val="20"/>
                <w:szCs w:val="20"/>
                <w:lang w:eastAsia="sl-SI"/>
              </w:rPr>
            </w:pPr>
            <w:r w:rsidRPr="009B2AB1">
              <w:rPr>
                <w:rFonts w:ascii="Arial" w:eastAsia="Arial" w:hAnsi="Arial" w:cs="Arial"/>
                <w:b/>
                <w:sz w:val="20"/>
                <w:szCs w:val="20"/>
              </w:rPr>
              <w:t xml:space="preserve">2.093.000.000,00 </w:t>
            </w:r>
          </w:p>
        </w:tc>
      </w:tr>
    </w:tbl>
    <w:p w14:paraId="24A3C232" w14:textId="77777777" w:rsidR="0020455F" w:rsidRPr="009B2AB1" w:rsidRDefault="0020455F" w:rsidP="0020455F">
      <w:pPr>
        <w:spacing w:after="0" w:line="260" w:lineRule="exact"/>
        <w:ind w:left="708"/>
        <w:contextualSpacing/>
        <w:jc w:val="both"/>
        <w:rPr>
          <w:rFonts w:ascii="Arial" w:eastAsia="Times New Roman" w:hAnsi="Arial" w:cs="Arial"/>
          <w:b/>
          <w:sz w:val="20"/>
          <w:szCs w:val="20"/>
          <w:lang w:eastAsia="sl-SI"/>
        </w:rPr>
      </w:pPr>
    </w:p>
    <w:p w14:paraId="395DC0D8" w14:textId="77777777" w:rsidR="0020455F" w:rsidRPr="009B2AB1" w:rsidRDefault="0020455F" w:rsidP="0020455F">
      <w:pPr>
        <w:spacing w:after="0" w:line="260" w:lineRule="exact"/>
        <w:contextualSpacing/>
        <w:jc w:val="both"/>
        <w:rPr>
          <w:rFonts w:ascii="Arial" w:eastAsia="Times New Roman" w:hAnsi="Arial" w:cs="Arial"/>
          <w:b/>
          <w:sz w:val="20"/>
          <w:szCs w:val="20"/>
          <w:lang w:eastAsia="sl-SI"/>
        </w:rPr>
      </w:pPr>
    </w:p>
    <w:p w14:paraId="5CBBFFA6" w14:textId="5F88D662" w:rsidR="0020455F" w:rsidRPr="009B2AB1" w:rsidRDefault="0020455F" w:rsidP="004D348A">
      <w:pPr>
        <w:numPr>
          <w:ilvl w:val="0"/>
          <w:numId w:val="22"/>
        </w:numPr>
        <w:spacing w:after="0" w:line="260" w:lineRule="exact"/>
        <w:ind w:left="284"/>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 xml:space="preserve">Ne glede na prejšnji odstavek je letni znesek zagotovljenih finančnih sredstev lahko tudi višji za znesek, ki ga ni bilo mogoče izvesti v preteklih letih. Neporabljene pravice porabe proračunske postavke ministrstva, pristojnega za zdravje za izvajanje investicij iz 1. , 2. , 3., 4., 5., 6. (kolikor se nanašajo na zdravstveni dom za študente) in 7. točke prvega odstavka tega člena  se v celoti prenesejo in izločijo na poseben račun – podračun proračunskega sklada pri ministrstvu, pristojnem za zdravje, ne glede na posebno ureditev iz 2. in 3. točke prvega odstavka 5. člena Zakona o investicijah v javne </w:t>
      </w:r>
      <w:r w:rsidRPr="009B2AB1">
        <w:rPr>
          <w:rFonts w:ascii="Arial" w:eastAsia="Times New Roman" w:hAnsi="Arial" w:cs="Arial"/>
          <w:b/>
          <w:sz w:val="20"/>
          <w:szCs w:val="20"/>
          <w:lang w:eastAsia="sl-SI"/>
        </w:rPr>
        <w:lastRenderedPageBreak/>
        <w:t xml:space="preserve">zdravstvene zavode, katerih ustanovitelj je Republika Slovenija (Uradni list RS, št. 90/15), pri čemer se kot neporabljene pravice porabe štejejo razlike med sprejetim proračunom tekočega leta in podpisanimi odredbami po stanju na dan 8. decembra tekočega leta. Skupni znesek porabe finančnih sredstev v letih od 2021 do 2031 ne sme presegati zneskov iz prvega odstavka tega člena, razen če gre za temeljno financiranje </w:t>
      </w:r>
      <w:r w:rsidR="00661BB5">
        <w:rPr>
          <w:rFonts w:ascii="Arial" w:eastAsia="Times New Roman" w:hAnsi="Arial" w:cs="Arial"/>
          <w:b/>
          <w:sz w:val="20"/>
          <w:szCs w:val="20"/>
          <w:lang w:eastAsia="sl-SI"/>
        </w:rPr>
        <w:t xml:space="preserve">na podlagi petega odstavka </w:t>
      </w:r>
      <w:r w:rsidRPr="009B2AB1">
        <w:rPr>
          <w:rFonts w:ascii="Arial" w:eastAsia="Times New Roman" w:hAnsi="Arial" w:cs="Arial"/>
          <w:b/>
          <w:sz w:val="20"/>
          <w:szCs w:val="20"/>
          <w:lang w:eastAsia="sl-SI"/>
        </w:rPr>
        <w:t>ali za dodatno financiranje</w:t>
      </w:r>
      <w:r w:rsidR="00661BB5">
        <w:rPr>
          <w:rFonts w:ascii="Arial" w:eastAsia="Times New Roman" w:hAnsi="Arial" w:cs="Arial"/>
          <w:b/>
          <w:sz w:val="20"/>
          <w:szCs w:val="20"/>
          <w:lang w:eastAsia="sl-SI"/>
        </w:rPr>
        <w:t xml:space="preserve"> na podlagi šestega</w:t>
      </w:r>
      <w:r w:rsidRPr="009B2AB1">
        <w:rPr>
          <w:rFonts w:ascii="Arial" w:eastAsia="Times New Roman" w:hAnsi="Arial" w:cs="Arial"/>
          <w:b/>
          <w:sz w:val="20"/>
          <w:szCs w:val="20"/>
          <w:lang w:eastAsia="sl-SI"/>
        </w:rPr>
        <w:t xml:space="preserve"> odstavk</w:t>
      </w:r>
      <w:r w:rsidR="00661BB5">
        <w:rPr>
          <w:rFonts w:ascii="Arial" w:eastAsia="Times New Roman" w:hAnsi="Arial" w:cs="Arial"/>
          <w:b/>
          <w:sz w:val="20"/>
          <w:szCs w:val="20"/>
          <w:lang w:eastAsia="sl-SI"/>
        </w:rPr>
        <w:t>a</w:t>
      </w:r>
      <w:r w:rsidRPr="009B2AB1">
        <w:rPr>
          <w:rFonts w:ascii="Arial" w:eastAsia="Times New Roman" w:hAnsi="Arial" w:cs="Arial"/>
          <w:b/>
          <w:sz w:val="20"/>
          <w:szCs w:val="20"/>
          <w:lang w:eastAsia="sl-SI"/>
        </w:rPr>
        <w:t xml:space="preserve"> tega člena.  </w:t>
      </w:r>
    </w:p>
    <w:p w14:paraId="334B73B3" w14:textId="77777777" w:rsidR="004D348A" w:rsidRPr="009B2AB1" w:rsidRDefault="004D348A" w:rsidP="004D348A">
      <w:pPr>
        <w:spacing w:after="0" w:line="260" w:lineRule="exact"/>
        <w:contextualSpacing/>
        <w:jc w:val="both"/>
        <w:rPr>
          <w:rFonts w:ascii="Arial" w:eastAsia="Times New Roman" w:hAnsi="Arial" w:cs="Arial"/>
          <w:b/>
          <w:sz w:val="20"/>
          <w:szCs w:val="20"/>
          <w:lang w:eastAsia="sl-SI"/>
        </w:rPr>
      </w:pPr>
    </w:p>
    <w:p w14:paraId="70A25F2F" w14:textId="7DA78B7B" w:rsidR="0020455F" w:rsidRPr="009B2AB1" w:rsidRDefault="0020455F" w:rsidP="004D348A">
      <w:pPr>
        <w:numPr>
          <w:ilvl w:val="0"/>
          <w:numId w:val="22"/>
        </w:numPr>
        <w:spacing w:after="0" w:line="260" w:lineRule="exact"/>
        <w:ind w:left="284" w:hanging="284"/>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 xml:space="preserve">Če se za investicije projektov iz letnega načrta iz 3. člena tega zakona zagotovijo </w:t>
      </w:r>
      <w:r w:rsidR="007B6B6F">
        <w:rPr>
          <w:rFonts w:ascii="Arial" w:eastAsia="Times New Roman" w:hAnsi="Arial" w:cs="Arial"/>
          <w:b/>
          <w:sz w:val="20"/>
          <w:szCs w:val="20"/>
          <w:lang w:eastAsia="sl-SI"/>
        </w:rPr>
        <w:t xml:space="preserve">finančna </w:t>
      </w:r>
      <w:r w:rsidRPr="009B2AB1">
        <w:rPr>
          <w:rFonts w:ascii="Arial" w:eastAsia="Times New Roman" w:hAnsi="Arial" w:cs="Arial"/>
          <w:b/>
          <w:sz w:val="20"/>
          <w:szCs w:val="20"/>
          <w:lang w:eastAsia="sl-SI"/>
        </w:rPr>
        <w:t xml:space="preserve">sredstva iz drugega vira, ki neposredno ne pomeni črpanja iz državnega proračuna (na primer iz strukturnih skladov ali proračuna Evropske unije), se obveznost Republike Slovenije iz prvega in drugega odstavka tega člena sorazmerno zmanjša. </w:t>
      </w:r>
    </w:p>
    <w:p w14:paraId="202A8104" w14:textId="77777777" w:rsidR="0020455F" w:rsidRPr="009B2AB1" w:rsidRDefault="0020455F" w:rsidP="0020455F">
      <w:pPr>
        <w:spacing w:after="0" w:line="260" w:lineRule="exact"/>
        <w:ind w:left="360"/>
        <w:contextualSpacing/>
        <w:jc w:val="both"/>
        <w:rPr>
          <w:rFonts w:ascii="Arial" w:eastAsia="Times New Roman" w:hAnsi="Arial" w:cs="Arial"/>
          <w:b/>
          <w:sz w:val="20"/>
          <w:szCs w:val="20"/>
          <w:lang w:eastAsia="sl-SI"/>
        </w:rPr>
      </w:pPr>
    </w:p>
    <w:p w14:paraId="19A44282" w14:textId="0E23DD09" w:rsidR="0020455F" w:rsidRPr="009B2AB1" w:rsidRDefault="00661BB5" w:rsidP="004D348A">
      <w:pPr>
        <w:numPr>
          <w:ilvl w:val="0"/>
          <w:numId w:val="22"/>
        </w:numPr>
        <w:spacing w:after="0" w:line="260" w:lineRule="exact"/>
        <w:ind w:left="284"/>
        <w:contextualSpacing/>
        <w:jc w:val="both"/>
        <w:rPr>
          <w:rFonts w:ascii="Arial" w:eastAsia="Times New Roman" w:hAnsi="Arial" w:cs="Arial"/>
          <w:b/>
          <w:sz w:val="20"/>
          <w:szCs w:val="20"/>
          <w:lang w:eastAsia="sl-SI"/>
        </w:rPr>
      </w:pPr>
      <w:r>
        <w:rPr>
          <w:rFonts w:ascii="Arial" w:eastAsia="Times New Roman" w:hAnsi="Arial" w:cs="Arial"/>
          <w:b/>
          <w:sz w:val="20"/>
          <w:szCs w:val="20"/>
          <w:lang w:eastAsia="sl-SI"/>
        </w:rPr>
        <w:t>Finančna s</w:t>
      </w:r>
      <w:r w:rsidR="0020455F" w:rsidRPr="009B2AB1">
        <w:rPr>
          <w:rFonts w:ascii="Arial" w:eastAsia="Times New Roman" w:hAnsi="Arial" w:cs="Arial"/>
          <w:b/>
          <w:sz w:val="20"/>
          <w:szCs w:val="20"/>
          <w:lang w:eastAsia="sl-SI"/>
        </w:rPr>
        <w:t xml:space="preserve">redstva iz prvega in drugega odstavka tega člena, ki se nanašajo na dejavnost iz 6. točke prvega odstavka tega člena, pomenijo za njeno financiranje največji dovoljeni obseg </w:t>
      </w:r>
      <w:r>
        <w:rPr>
          <w:rFonts w:ascii="Arial" w:eastAsia="Times New Roman" w:hAnsi="Arial" w:cs="Arial"/>
          <w:b/>
          <w:sz w:val="20"/>
          <w:szCs w:val="20"/>
          <w:lang w:eastAsia="sl-SI"/>
        </w:rPr>
        <w:t xml:space="preserve">finančnih </w:t>
      </w:r>
      <w:r w:rsidR="0020455F" w:rsidRPr="009B2AB1">
        <w:rPr>
          <w:rFonts w:ascii="Arial" w:eastAsia="Times New Roman" w:hAnsi="Arial" w:cs="Arial"/>
          <w:b/>
          <w:sz w:val="20"/>
          <w:szCs w:val="20"/>
          <w:lang w:eastAsia="sl-SI"/>
        </w:rPr>
        <w:t>sredstev iz državnega proračuna.</w:t>
      </w:r>
    </w:p>
    <w:p w14:paraId="4D9836B7" w14:textId="77777777" w:rsidR="0020455F" w:rsidRPr="009B2AB1" w:rsidRDefault="0020455F" w:rsidP="004D348A">
      <w:pPr>
        <w:spacing w:after="0" w:line="260" w:lineRule="exact"/>
        <w:ind w:left="284"/>
        <w:contextualSpacing/>
        <w:jc w:val="both"/>
        <w:rPr>
          <w:rFonts w:ascii="Arial" w:eastAsia="Times New Roman" w:hAnsi="Arial" w:cs="Arial"/>
          <w:b/>
          <w:sz w:val="20"/>
          <w:szCs w:val="20"/>
          <w:lang w:eastAsia="sl-SI"/>
        </w:rPr>
      </w:pPr>
    </w:p>
    <w:p w14:paraId="6377DAE0" w14:textId="77777777" w:rsidR="0020455F" w:rsidRPr="009B2AB1" w:rsidRDefault="0020455F" w:rsidP="004D348A">
      <w:pPr>
        <w:numPr>
          <w:ilvl w:val="0"/>
          <w:numId w:val="22"/>
        </w:numPr>
        <w:spacing w:after="0" w:line="260" w:lineRule="exact"/>
        <w:ind w:left="284"/>
        <w:contextualSpacing/>
        <w:jc w:val="both"/>
        <w:rPr>
          <w:rFonts w:ascii="Arial" w:eastAsia="Times New Roman" w:hAnsi="Arial" w:cs="Arial"/>
          <w:b/>
          <w:sz w:val="20"/>
          <w:szCs w:val="20"/>
          <w:lang w:eastAsia="sl-SI"/>
        </w:rPr>
      </w:pPr>
      <w:r w:rsidRPr="009B2AB1">
        <w:rPr>
          <w:rFonts w:ascii="Arial" w:eastAsia="Times New Roman" w:hAnsi="Arial" w:cs="Arial"/>
          <w:b/>
          <w:sz w:val="20"/>
          <w:szCs w:val="20"/>
          <w:lang w:eastAsia="sl-SI"/>
        </w:rPr>
        <w:t xml:space="preserve">Dodatno financiranje investicij za dejavnosti iz 8. in 9. točke prvega odstavka tega člena se lahko izvede na drugi pravni podlagi, v okviru proračunskega uporabnika ali v okviru sredstev Evropske unije. </w:t>
      </w:r>
    </w:p>
    <w:p w14:paraId="0814BFC2" w14:textId="77777777" w:rsidR="0020455F" w:rsidRPr="0020455F" w:rsidRDefault="0020455F" w:rsidP="0020455F">
      <w:pPr>
        <w:spacing w:after="0" w:line="260" w:lineRule="exact"/>
        <w:ind w:left="360"/>
        <w:contextualSpacing/>
        <w:jc w:val="both"/>
        <w:rPr>
          <w:rFonts w:ascii="Arial" w:eastAsia="Times New Roman" w:hAnsi="Arial" w:cs="Arial"/>
          <w:sz w:val="20"/>
          <w:szCs w:val="20"/>
          <w:lang w:eastAsia="sl-SI"/>
        </w:rPr>
      </w:pPr>
    </w:p>
    <w:p w14:paraId="1F0D3D09" w14:textId="77777777" w:rsidR="0020455F" w:rsidRPr="0020455F" w:rsidRDefault="0020455F" w:rsidP="00572B20">
      <w:pPr>
        <w:spacing w:after="0" w:line="260" w:lineRule="exact"/>
        <w:jc w:val="center"/>
        <w:rPr>
          <w:rFonts w:ascii="Arial" w:eastAsia="Calibri" w:hAnsi="Arial" w:cs="Arial"/>
          <w:b/>
          <w:sz w:val="20"/>
          <w:szCs w:val="20"/>
        </w:rPr>
      </w:pPr>
    </w:p>
    <w:p w14:paraId="59EB47A7" w14:textId="77777777" w:rsidR="0020455F" w:rsidRPr="0020455F" w:rsidRDefault="0020455F" w:rsidP="00572B20">
      <w:pPr>
        <w:pStyle w:val="Odstavekseznama"/>
        <w:keepNext/>
        <w:numPr>
          <w:ilvl w:val="0"/>
          <w:numId w:val="23"/>
        </w:numPr>
        <w:jc w:val="center"/>
        <w:outlineLvl w:val="0"/>
        <w:rPr>
          <w:bCs/>
          <w:kern w:val="32"/>
          <w:szCs w:val="20"/>
        </w:rPr>
      </w:pPr>
      <w:r w:rsidRPr="0020455F">
        <w:rPr>
          <w:bCs/>
          <w:kern w:val="32"/>
          <w:szCs w:val="20"/>
        </w:rPr>
        <w:t>člen</w:t>
      </w:r>
    </w:p>
    <w:p w14:paraId="3228B327" w14:textId="77777777" w:rsidR="0020455F" w:rsidRPr="0020455F" w:rsidRDefault="0020455F" w:rsidP="00E9769D">
      <w:pPr>
        <w:spacing w:after="0" w:line="260" w:lineRule="exact"/>
        <w:ind w:left="709"/>
        <w:jc w:val="center"/>
        <w:rPr>
          <w:rFonts w:ascii="Arial" w:eastAsia="Calibri" w:hAnsi="Arial" w:cs="Arial"/>
          <w:sz w:val="20"/>
          <w:szCs w:val="20"/>
        </w:rPr>
      </w:pPr>
      <w:r w:rsidRPr="0020455F">
        <w:rPr>
          <w:rFonts w:ascii="Arial" w:eastAsia="Calibri" w:hAnsi="Arial" w:cs="Arial"/>
          <w:sz w:val="20"/>
          <w:szCs w:val="20"/>
        </w:rPr>
        <w:t>(letni načrt)</w:t>
      </w:r>
    </w:p>
    <w:p w14:paraId="5E6D9EB5" w14:textId="77777777" w:rsidR="0020455F" w:rsidRPr="0020455F" w:rsidRDefault="0020455F" w:rsidP="0020455F">
      <w:pPr>
        <w:spacing w:after="0" w:line="260" w:lineRule="exact"/>
        <w:jc w:val="center"/>
        <w:rPr>
          <w:rFonts w:ascii="Arial" w:eastAsia="Calibri" w:hAnsi="Arial" w:cs="Arial"/>
          <w:sz w:val="20"/>
          <w:szCs w:val="20"/>
        </w:rPr>
      </w:pPr>
    </w:p>
    <w:p w14:paraId="2E6E60CB" w14:textId="51A226B7" w:rsidR="0020455F" w:rsidRPr="0020455F" w:rsidRDefault="0020455F" w:rsidP="0020455F">
      <w:pPr>
        <w:numPr>
          <w:ilvl w:val="0"/>
          <w:numId w:val="16"/>
        </w:numPr>
        <w:spacing w:after="0" w:line="260" w:lineRule="exact"/>
        <w:contextualSpacing/>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Investicije iz 1. člena tega zakona se v posameznem letu določijo z letnim načrtom, ki ga sprejme Vlada Republike Slovenije na podlagi ReNPZV16-25 in načrtom razvojnih programov za področje zdravstvenega varstva in izobraževalnih zavodov s področja zdravstva. V letni načrt iz prejšnjega stavka se vključijo projekti, s katerimi se zagotavljajo operativne zmogljivosti zdravstvene dejavnosti (na primarni, sekundarni in terciarni ravni) ter izobraževalnih zavodov</w:t>
      </w:r>
      <w:r w:rsidR="00661BB5">
        <w:rPr>
          <w:rFonts w:ascii="Arial" w:eastAsia="Times New Roman" w:hAnsi="Arial" w:cs="Arial"/>
          <w:sz w:val="20"/>
          <w:szCs w:val="20"/>
          <w:lang w:eastAsia="sl-SI"/>
        </w:rPr>
        <w:t xml:space="preserve"> s področja zdravstva</w:t>
      </w:r>
      <w:r w:rsidRPr="0020455F">
        <w:rPr>
          <w:rFonts w:ascii="Arial" w:eastAsia="Times New Roman" w:hAnsi="Arial" w:cs="Arial"/>
          <w:sz w:val="20"/>
          <w:szCs w:val="20"/>
          <w:lang w:eastAsia="sl-SI"/>
        </w:rPr>
        <w:t xml:space="preserve"> zaradi povečanja števila vpisnih mest v programe medicinske, farmacevtske in zdravstvene smeri. Pri določitvi teh projektov se poleg investicij v obnovo sedanjih in zgraditev novih prostorov in objektov ter nakup potrebne medicinske opreme upoštevajo tudi kadrovske, logistične, infrastrukturne in druge potrebe.</w:t>
      </w:r>
    </w:p>
    <w:p w14:paraId="5B8419D2" w14:textId="77777777" w:rsidR="0020455F" w:rsidRPr="0020455F" w:rsidRDefault="0020455F" w:rsidP="0020455F">
      <w:pPr>
        <w:spacing w:after="0" w:line="260" w:lineRule="exact"/>
        <w:ind w:left="360"/>
        <w:contextualSpacing/>
        <w:jc w:val="both"/>
        <w:rPr>
          <w:rFonts w:ascii="Arial" w:eastAsia="Times New Roman" w:hAnsi="Arial" w:cs="Arial"/>
          <w:sz w:val="20"/>
          <w:szCs w:val="20"/>
          <w:lang w:eastAsia="sl-SI"/>
        </w:rPr>
      </w:pPr>
    </w:p>
    <w:p w14:paraId="75DF7177" w14:textId="77777777" w:rsidR="0020455F" w:rsidRPr="0020455F" w:rsidRDefault="0020455F" w:rsidP="0020455F">
      <w:pPr>
        <w:numPr>
          <w:ilvl w:val="0"/>
          <w:numId w:val="16"/>
        </w:numPr>
        <w:spacing w:after="0" w:line="260" w:lineRule="exact"/>
        <w:contextualSpacing/>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Letni načrt investicij iz prejšnjega odstavka  mora biti usklajen z načrtom razvojnih programov za področje zdravstvenega varstva in izobraževalnih zavodov s področja zdravstva, kot ga določa zakon, ki ureja javne finance.</w:t>
      </w:r>
    </w:p>
    <w:p w14:paraId="1810DCD1" w14:textId="77777777" w:rsidR="0020455F" w:rsidRPr="0020455F" w:rsidRDefault="0020455F" w:rsidP="0020455F">
      <w:pPr>
        <w:spacing w:after="0" w:line="260" w:lineRule="exact"/>
        <w:rPr>
          <w:rFonts w:ascii="Arial" w:eastAsia="Calibri" w:hAnsi="Arial" w:cs="Arial"/>
          <w:b/>
          <w:sz w:val="20"/>
          <w:szCs w:val="20"/>
        </w:rPr>
      </w:pPr>
    </w:p>
    <w:p w14:paraId="59F3F7B2" w14:textId="77777777" w:rsidR="0020455F" w:rsidRPr="0020455F" w:rsidRDefault="0020455F" w:rsidP="00434490">
      <w:pPr>
        <w:pStyle w:val="Odstavekseznama"/>
        <w:keepNext/>
        <w:numPr>
          <w:ilvl w:val="0"/>
          <w:numId w:val="23"/>
        </w:numPr>
        <w:jc w:val="center"/>
        <w:outlineLvl w:val="0"/>
        <w:rPr>
          <w:bCs/>
          <w:kern w:val="32"/>
          <w:szCs w:val="20"/>
        </w:rPr>
      </w:pPr>
      <w:r w:rsidRPr="0020455F">
        <w:rPr>
          <w:bCs/>
          <w:kern w:val="32"/>
          <w:szCs w:val="20"/>
        </w:rPr>
        <w:t>člen</w:t>
      </w:r>
    </w:p>
    <w:p w14:paraId="7F724339" w14:textId="77777777" w:rsidR="0020455F" w:rsidRPr="0020455F" w:rsidRDefault="0020455F" w:rsidP="00E9769D">
      <w:pPr>
        <w:spacing w:after="0" w:line="260" w:lineRule="exact"/>
        <w:ind w:left="709"/>
        <w:jc w:val="center"/>
        <w:rPr>
          <w:rFonts w:ascii="Arial" w:eastAsia="Calibri" w:hAnsi="Arial" w:cs="Arial"/>
          <w:sz w:val="20"/>
          <w:szCs w:val="20"/>
        </w:rPr>
      </w:pPr>
      <w:r w:rsidRPr="0020455F">
        <w:rPr>
          <w:rFonts w:ascii="Arial" w:eastAsia="Calibri" w:hAnsi="Arial" w:cs="Arial"/>
          <w:sz w:val="20"/>
          <w:szCs w:val="20"/>
        </w:rPr>
        <w:t>(prevzemanje obveznosti)</w:t>
      </w:r>
    </w:p>
    <w:p w14:paraId="5D89E08F" w14:textId="77777777" w:rsidR="0020455F" w:rsidRPr="0020455F" w:rsidRDefault="0020455F" w:rsidP="0020455F">
      <w:pPr>
        <w:spacing w:after="0" w:line="260" w:lineRule="exact"/>
        <w:jc w:val="center"/>
        <w:rPr>
          <w:rFonts w:ascii="Arial" w:eastAsia="Calibri" w:hAnsi="Arial" w:cs="Arial"/>
          <w:sz w:val="20"/>
          <w:szCs w:val="20"/>
        </w:rPr>
      </w:pPr>
    </w:p>
    <w:p w14:paraId="0D78BBB9" w14:textId="77777777" w:rsidR="0020455F" w:rsidRPr="0020455F" w:rsidRDefault="0020455F" w:rsidP="0020455F">
      <w:pPr>
        <w:numPr>
          <w:ilvl w:val="0"/>
          <w:numId w:val="17"/>
        </w:numPr>
        <w:spacing w:after="0" w:line="260" w:lineRule="exact"/>
        <w:contextualSpacing/>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Ministrstvo, pristojno za zdravje, za izvajanje investicij v skladu s tem zakonom lahko sklepa pogodbe, s katerimi prevzema obveznosti za celotno obdobje veljavnosti tega zakona.</w:t>
      </w:r>
    </w:p>
    <w:p w14:paraId="6BC65FA7" w14:textId="77777777" w:rsidR="0020455F" w:rsidRPr="0020455F" w:rsidRDefault="0020455F" w:rsidP="0020455F">
      <w:pPr>
        <w:spacing w:after="0" w:line="260" w:lineRule="exact"/>
        <w:ind w:left="360"/>
        <w:contextualSpacing/>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 xml:space="preserve"> </w:t>
      </w:r>
    </w:p>
    <w:p w14:paraId="34507365" w14:textId="77777777" w:rsidR="0020455F" w:rsidRPr="0020455F" w:rsidRDefault="0020455F" w:rsidP="0020455F">
      <w:pPr>
        <w:numPr>
          <w:ilvl w:val="0"/>
          <w:numId w:val="17"/>
        </w:numPr>
        <w:spacing w:after="0" w:line="260" w:lineRule="exact"/>
        <w:contextualSpacing/>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 xml:space="preserve">Razen če s posebnimi predpisi ni določeno drugače, pogodbe za izvajanje investicij v skladu s tem zakonom lahko neposredno sklene tudi posamezni upravičenec iz tega zakona na podlagi predhodnega pisnega pooblastila ministra, pristojnega za zdravje. </w:t>
      </w:r>
    </w:p>
    <w:p w14:paraId="0D67A88F" w14:textId="77777777" w:rsidR="0020455F" w:rsidRPr="0020455F" w:rsidRDefault="0020455F" w:rsidP="0020455F">
      <w:pPr>
        <w:spacing w:after="0" w:line="260" w:lineRule="exact"/>
        <w:ind w:left="708"/>
        <w:contextualSpacing/>
        <w:jc w:val="both"/>
        <w:rPr>
          <w:rFonts w:ascii="Arial" w:eastAsia="Times New Roman" w:hAnsi="Arial" w:cs="Arial"/>
          <w:sz w:val="20"/>
          <w:szCs w:val="20"/>
          <w:lang w:eastAsia="sl-SI"/>
        </w:rPr>
      </w:pPr>
    </w:p>
    <w:p w14:paraId="5CBA38A2" w14:textId="77777777" w:rsidR="0020455F" w:rsidRPr="0020455F" w:rsidRDefault="0020455F" w:rsidP="0020455F">
      <w:pPr>
        <w:numPr>
          <w:ilvl w:val="0"/>
          <w:numId w:val="17"/>
        </w:numPr>
        <w:spacing w:after="0" w:line="260" w:lineRule="exact"/>
        <w:contextualSpacing/>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Določbe prvega in drugega odstavka tega člena ne izključujejo uporabe zakona, ki ureja javno naročanje.</w:t>
      </w:r>
    </w:p>
    <w:p w14:paraId="6F1B9204" w14:textId="77777777" w:rsidR="0020455F" w:rsidRDefault="0020455F" w:rsidP="0020455F">
      <w:pPr>
        <w:spacing w:after="0" w:line="260" w:lineRule="exact"/>
        <w:contextualSpacing/>
        <w:jc w:val="both"/>
        <w:rPr>
          <w:rFonts w:ascii="Arial" w:eastAsia="Times New Roman" w:hAnsi="Arial" w:cs="Arial"/>
          <w:sz w:val="20"/>
          <w:szCs w:val="20"/>
          <w:lang w:eastAsia="sl-SI"/>
        </w:rPr>
      </w:pPr>
    </w:p>
    <w:p w14:paraId="0FBD8444" w14:textId="77777777" w:rsidR="0054587D" w:rsidRPr="0020455F" w:rsidRDefault="0054587D" w:rsidP="0020455F">
      <w:pPr>
        <w:spacing w:after="0" w:line="260" w:lineRule="exact"/>
        <w:contextualSpacing/>
        <w:jc w:val="both"/>
        <w:rPr>
          <w:rFonts w:ascii="Arial" w:eastAsia="Times New Roman" w:hAnsi="Arial" w:cs="Arial"/>
          <w:sz w:val="20"/>
          <w:szCs w:val="20"/>
          <w:lang w:eastAsia="sl-SI"/>
        </w:rPr>
      </w:pPr>
    </w:p>
    <w:p w14:paraId="7487CBE3" w14:textId="77777777" w:rsidR="0020455F" w:rsidRPr="0020455F" w:rsidRDefault="0020455F" w:rsidP="00434490">
      <w:pPr>
        <w:pStyle w:val="Odstavekseznama"/>
        <w:keepNext/>
        <w:numPr>
          <w:ilvl w:val="0"/>
          <w:numId w:val="23"/>
        </w:numPr>
        <w:jc w:val="center"/>
        <w:outlineLvl w:val="0"/>
        <w:rPr>
          <w:bCs/>
          <w:kern w:val="32"/>
          <w:szCs w:val="20"/>
        </w:rPr>
      </w:pPr>
      <w:r w:rsidRPr="0020455F">
        <w:rPr>
          <w:bCs/>
          <w:kern w:val="32"/>
          <w:szCs w:val="20"/>
        </w:rPr>
        <w:t>člen</w:t>
      </w:r>
    </w:p>
    <w:p w14:paraId="18A5C398" w14:textId="77777777" w:rsidR="0020455F" w:rsidRPr="0020455F" w:rsidRDefault="0020455F" w:rsidP="00E9769D">
      <w:pPr>
        <w:spacing w:after="0" w:line="260" w:lineRule="exact"/>
        <w:ind w:left="567"/>
        <w:jc w:val="center"/>
        <w:rPr>
          <w:rFonts w:ascii="Arial" w:eastAsia="Calibri" w:hAnsi="Arial" w:cs="Arial"/>
          <w:sz w:val="20"/>
          <w:szCs w:val="20"/>
        </w:rPr>
      </w:pPr>
      <w:r w:rsidRPr="0020455F">
        <w:rPr>
          <w:rFonts w:ascii="Arial" w:eastAsia="Calibri" w:hAnsi="Arial" w:cs="Arial"/>
          <w:sz w:val="20"/>
          <w:szCs w:val="20"/>
        </w:rPr>
        <w:t>(evidenca sredstev)</w:t>
      </w:r>
    </w:p>
    <w:p w14:paraId="2A4D6913" w14:textId="77777777" w:rsidR="0020455F" w:rsidRPr="0020455F" w:rsidRDefault="0020455F" w:rsidP="0020455F">
      <w:pPr>
        <w:spacing w:after="0" w:line="260" w:lineRule="exact"/>
        <w:jc w:val="both"/>
        <w:rPr>
          <w:rFonts w:ascii="Arial" w:eastAsia="Times New Roman" w:hAnsi="Arial" w:cs="Arial"/>
          <w:sz w:val="20"/>
          <w:szCs w:val="20"/>
          <w:lang w:eastAsia="sl-SI"/>
        </w:rPr>
      </w:pPr>
    </w:p>
    <w:p w14:paraId="76C4C2FC" w14:textId="77777777" w:rsidR="0054587D" w:rsidRDefault="0020455F" w:rsidP="0020455F">
      <w:pPr>
        <w:spacing w:after="0" w:line="260" w:lineRule="exact"/>
        <w:jc w:val="both"/>
        <w:rPr>
          <w:rFonts w:ascii="Arial" w:eastAsia="Times New Roman" w:hAnsi="Arial" w:cs="Arial"/>
          <w:sz w:val="20"/>
          <w:szCs w:val="20"/>
          <w:lang w:eastAsia="sl-SI"/>
        </w:rPr>
      </w:pPr>
      <w:r w:rsidRPr="0020455F">
        <w:rPr>
          <w:rFonts w:ascii="Arial" w:eastAsia="Times New Roman" w:hAnsi="Arial" w:cs="Arial"/>
          <w:sz w:val="20"/>
          <w:szCs w:val="20"/>
          <w:lang w:eastAsia="sl-SI"/>
        </w:rPr>
        <w:t>Ministrstvo, pristojno za zdravje, zagotovi ločeno evidenco investicij v obnovo sedanjih in gradnjo novih prostorov in objektov ter v nakupe potrebne medicinske opreme v ta namen, vključno z investicijami za kadrovske, logistične, infrastrukturne in druge potrebe, za katere se zagotavljajo finančna sredstva na podlagi tega zakona.</w:t>
      </w:r>
    </w:p>
    <w:p w14:paraId="75792984" w14:textId="77777777" w:rsidR="0054587D" w:rsidRDefault="0054587D" w:rsidP="0020455F">
      <w:pPr>
        <w:spacing w:after="0" w:line="260" w:lineRule="exact"/>
        <w:jc w:val="both"/>
        <w:rPr>
          <w:rFonts w:ascii="Arial" w:eastAsia="Times New Roman" w:hAnsi="Arial" w:cs="Arial"/>
          <w:sz w:val="20"/>
          <w:szCs w:val="20"/>
          <w:lang w:eastAsia="sl-SI"/>
        </w:rPr>
      </w:pPr>
    </w:p>
    <w:p w14:paraId="443AA36A" w14:textId="77777777" w:rsidR="0054587D" w:rsidRDefault="0054587D" w:rsidP="0020455F">
      <w:pPr>
        <w:spacing w:after="0" w:line="260" w:lineRule="exact"/>
        <w:jc w:val="both"/>
        <w:rPr>
          <w:rFonts w:ascii="Arial" w:eastAsia="Times New Roman" w:hAnsi="Arial" w:cs="Arial"/>
          <w:sz w:val="20"/>
          <w:szCs w:val="20"/>
          <w:lang w:eastAsia="sl-SI"/>
        </w:rPr>
      </w:pPr>
    </w:p>
    <w:p w14:paraId="189BFA18" w14:textId="77777777" w:rsidR="0054587D" w:rsidRPr="0020455F" w:rsidRDefault="0054587D" w:rsidP="0020455F">
      <w:pPr>
        <w:spacing w:after="0" w:line="260" w:lineRule="exact"/>
        <w:jc w:val="both"/>
        <w:rPr>
          <w:rFonts w:ascii="Arial" w:eastAsia="Times New Roman" w:hAnsi="Arial" w:cs="Arial"/>
          <w:sz w:val="20"/>
          <w:szCs w:val="20"/>
          <w:lang w:eastAsia="sl-SI"/>
        </w:rPr>
      </w:pPr>
    </w:p>
    <w:p w14:paraId="32D6235E" w14:textId="77777777" w:rsidR="0020455F" w:rsidRPr="0020455F" w:rsidRDefault="0020455F" w:rsidP="00434490">
      <w:pPr>
        <w:pStyle w:val="Odstavekseznama"/>
        <w:keepNext/>
        <w:numPr>
          <w:ilvl w:val="0"/>
          <w:numId w:val="23"/>
        </w:numPr>
        <w:jc w:val="center"/>
        <w:outlineLvl w:val="0"/>
        <w:rPr>
          <w:bCs/>
          <w:kern w:val="32"/>
          <w:szCs w:val="20"/>
        </w:rPr>
      </w:pPr>
      <w:r w:rsidRPr="0020455F">
        <w:rPr>
          <w:bCs/>
          <w:kern w:val="32"/>
          <w:szCs w:val="20"/>
        </w:rPr>
        <w:t xml:space="preserve">člen </w:t>
      </w:r>
      <w:r w:rsidRPr="0020455F">
        <w:rPr>
          <w:bCs/>
          <w:kern w:val="32"/>
          <w:szCs w:val="20"/>
        </w:rPr>
        <w:br/>
        <w:t xml:space="preserve">(storitve investicijskega inženiringa) </w:t>
      </w:r>
      <w:r w:rsidRPr="0020455F">
        <w:rPr>
          <w:bCs/>
          <w:kern w:val="32"/>
          <w:szCs w:val="20"/>
        </w:rPr>
        <w:br/>
        <w:t> </w:t>
      </w:r>
    </w:p>
    <w:p w14:paraId="5C178CE9" w14:textId="1108191E" w:rsidR="0020455F" w:rsidRPr="0020455F" w:rsidRDefault="0020455F" w:rsidP="0020455F">
      <w:pPr>
        <w:keepNext/>
        <w:spacing w:after="0" w:line="260" w:lineRule="exact"/>
        <w:ind w:left="-76"/>
        <w:jc w:val="both"/>
        <w:outlineLvl w:val="0"/>
        <w:rPr>
          <w:rFonts w:ascii="Arial" w:eastAsia="Times New Roman" w:hAnsi="Arial" w:cs="Times New Roman"/>
          <w:bCs/>
          <w:kern w:val="32"/>
          <w:sz w:val="20"/>
          <w:szCs w:val="20"/>
        </w:rPr>
      </w:pPr>
      <w:r w:rsidRPr="0020455F">
        <w:rPr>
          <w:rFonts w:ascii="Arial" w:eastAsia="Times New Roman" w:hAnsi="Arial" w:cs="Times New Roman"/>
          <w:bCs/>
          <w:kern w:val="32"/>
          <w:sz w:val="20"/>
          <w:szCs w:val="20"/>
        </w:rPr>
        <w:br/>
        <w:t xml:space="preserve">(1) Inženiring v zvezi z izvedbo investicij </w:t>
      </w:r>
      <w:r w:rsidR="00661BB5">
        <w:rPr>
          <w:rFonts w:ascii="Arial" w:eastAsia="Times New Roman" w:hAnsi="Arial" w:cs="Times New Roman"/>
          <w:bCs/>
          <w:kern w:val="32"/>
          <w:sz w:val="20"/>
          <w:szCs w:val="20"/>
        </w:rPr>
        <w:t>na podlagi tega zakona</w:t>
      </w:r>
      <w:r w:rsidRPr="0020455F">
        <w:rPr>
          <w:rFonts w:ascii="Arial" w:eastAsia="Times New Roman" w:hAnsi="Arial" w:cs="Times New Roman"/>
          <w:bCs/>
          <w:kern w:val="32"/>
          <w:sz w:val="20"/>
          <w:szCs w:val="20"/>
        </w:rPr>
        <w:t xml:space="preserve"> lahko izvaja tudi gospodarska družba v 100 odstotni lasti Republike Slovenije, ki je ustanovljena, da kot notranji izvajalec za državo, njene organe in pravne osebe javnega prava, opravlja storitve investicijskega inženiringa. </w:t>
      </w:r>
      <w:r w:rsidRPr="0020455F">
        <w:rPr>
          <w:rFonts w:ascii="Arial" w:eastAsia="Times New Roman" w:hAnsi="Arial" w:cs="Times New Roman"/>
          <w:bCs/>
          <w:kern w:val="32"/>
          <w:sz w:val="20"/>
          <w:szCs w:val="20"/>
        </w:rPr>
        <w:br/>
        <w:t xml:space="preserve">  </w:t>
      </w:r>
      <w:r w:rsidRPr="0020455F">
        <w:rPr>
          <w:rFonts w:ascii="Arial" w:eastAsia="Times New Roman" w:hAnsi="Arial" w:cs="Times New Roman"/>
          <w:bCs/>
          <w:kern w:val="32"/>
          <w:sz w:val="20"/>
          <w:szCs w:val="20"/>
        </w:rPr>
        <w:br/>
        <w:t>(2) Inženiring iz prejšnjega odstavka obsega zlasti pripravo, organiziranje in koordinacijo investicij v vseh fazah investicijskega procesa ter organiziranje in izvajanje recenzij ali revizij projektne</w:t>
      </w:r>
      <w:r w:rsidR="0054587D">
        <w:rPr>
          <w:rFonts w:ascii="Arial" w:eastAsia="Times New Roman" w:hAnsi="Arial" w:cs="Times New Roman"/>
          <w:bCs/>
          <w:kern w:val="32"/>
          <w:sz w:val="20"/>
          <w:szCs w:val="20"/>
        </w:rPr>
        <w:t xml:space="preserve"> d</w:t>
      </w:r>
      <w:r w:rsidRPr="0020455F">
        <w:rPr>
          <w:rFonts w:ascii="Arial" w:eastAsia="Times New Roman" w:hAnsi="Arial" w:cs="Times New Roman"/>
          <w:bCs/>
          <w:kern w:val="32"/>
          <w:sz w:val="20"/>
          <w:szCs w:val="20"/>
        </w:rPr>
        <w:t xml:space="preserve">okumentacije. </w:t>
      </w:r>
      <w:r w:rsidRPr="0020455F">
        <w:rPr>
          <w:rFonts w:ascii="Arial" w:eastAsia="Times New Roman" w:hAnsi="Arial" w:cs="Times New Roman"/>
          <w:bCs/>
          <w:kern w:val="32"/>
          <w:sz w:val="20"/>
          <w:szCs w:val="20"/>
        </w:rPr>
        <w:br/>
      </w:r>
    </w:p>
    <w:p w14:paraId="0E85B697" w14:textId="77777777" w:rsidR="0020455F" w:rsidRPr="0020455F" w:rsidRDefault="0020455F" w:rsidP="00434490">
      <w:pPr>
        <w:pStyle w:val="Odstavekseznama"/>
        <w:keepNext/>
        <w:numPr>
          <w:ilvl w:val="0"/>
          <w:numId w:val="23"/>
        </w:numPr>
        <w:jc w:val="center"/>
        <w:outlineLvl w:val="0"/>
        <w:rPr>
          <w:bCs/>
          <w:kern w:val="32"/>
          <w:szCs w:val="20"/>
        </w:rPr>
      </w:pPr>
      <w:r w:rsidRPr="0020455F">
        <w:rPr>
          <w:bCs/>
          <w:kern w:val="32"/>
          <w:szCs w:val="20"/>
        </w:rPr>
        <w:t>člen</w:t>
      </w:r>
    </w:p>
    <w:p w14:paraId="3ABA8091" w14:textId="77777777" w:rsidR="0020455F" w:rsidRPr="0020455F" w:rsidRDefault="0020455F" w:rsidP="00E9769D">
      <w:pPr>
        <w:spacing w:after="0" w:line="260" w:lineRule="exact"/>
        <w:ind w:left="709"/>
        <w:jc w:val="center"/>
        <w:rPr>
          <w:rFonts w:ascii="Arial" w:eastAsia="Calibri" w:hAnsi="Arial" w:cs="Arial"/>
          <w:sz w:val="20"/>
          <w:szCs w:val="20"/>
        </w:rPr>
      </w:pPr>
      <w:r w:rsidRPr="0020455F">
        <w:rPr>
          <w:rFonts w:ascii="Arial" w:eastAsia="Calibri" w:hAnsi="Arial" w:cs="Arial"/>
          <w:sz w:val="20"/>
          <w:szCs w:val="20"/>
        </w:rPr>
        <w:t xml:space="preserve"> (poročanje)</w:t>
      </w:r>
    </w:p>
    <w:p w14:paraId="1FE31FFB" w14:textId="77777777" w:rsidR="0020455F" w:rsidRPr="0020455F" w:rsidRDefault="0020455F" w:rsidP="0020455F">
      <w:pPr>
        <w:spacing w:after="0" w:line="260" w:lineRule="exact"/>
        <w:jc w:val="center"/>
        <w:rPr>
          <w:rFonts w:ascii="Arial" w:eastAsia="Calibri" w:hAnsi="Arial" w:cs="Arial"/>
          <w:sz w:val="20"/>
          <w:szCs w:val="20"/>
        </w:rPr>
      </w:pPr>
    </w:p>
    <w:p w14:paraId="674EA9D6" w14:textId="77777777" w:rsidR="0020455F" w:rsidRPr="0020455F" w:rsidRDefault="0020455F" w:rsidP="0020455F">
      <w:pPr>
        <w:spacing w:after="0" w:line="260" w:lineRule="exact"/>
        <w:jc w:val="both"/>
        <w:rPr>
          <w:rFonts w:ascii="Arial" w:eastAsia="Calibri" w:hAnsi="Arial" w:cs="Arial"/>
          <w:sz w:val="20"/>
          <w:szCs w:val="20"/>
        </w:rPr>
      </w:pPr>
      <w:r w:rsidRPr="0020455F">
        <w:rPr>
          <w:rFonts w:ascii="Arial" w:eastAsia="Calibri" w:hAnsi="Arial" w:cs="Arial"/>
          <w:sz w:val="20"/>
          <w:szCs w:val="20"/>
        </w:rPr>
        <w:t>Vlada Republike Slovenije Državnemu zboru Republike Slovenije enkrat letno poroča o izvajanju tega zakona, najpozneje do konca maja za preteklo leto.</w:t>
      </w:r>
    </w:p>
    <w:p w14:paraId="4FD665C9" w14:textId="77777777" w:rsidR="0020455F" w:rsidRPr="0020455F" w:rsidRDefault="0020455F" w:rsidP="0020455F">
      <w:pPr>
        <w:spacing w:after="0" w:line="260" w:lineRule="exact"/>
        <w:jc w:val="both"/>
        <w:rPr>
          <w:rFonts w:ascii="Arial" w:eastAsia="Calibri" w:hAnsi="Arial" w:cs="Arial"/>
          <w:sz w:val="20"/>
          <w:szCs w:val="20"/>
        </w:rPr>
      </w:pPr>
    </w:p>
    <w:p w14:paraId="6F0BB133" w14:textId="77777777" w:rsidR="0020455F" w:rsidRPr="0020455F" w:rsidRDefault="0020455F" w:rsidP="00434490">
      <w:pPr>
        <w:pStyle w:val="Odstavekseznama"/>
        <w:keepNext/>
        <w:numPr>
          <w:ilvl w:val="0"/>
          <w:numId w:val="23"/>
        </w:numPr>
        <w:jc w:val="center"/>
        <w:outlineLvl w:val="0"/>
        <w:rPr>
          <w:bCs/>
          <w:kern w:val="32"/>
          <w:szCs w:val="20"/>
        </w:rPr>
      </w:pPr>
      <w:r w:rsidRPr="0020455F">
        <w:rPr>
          <w:bCs/>
          <w:kern w:val="32"/>
          <w:szCs w:val="20"/>
        </w:rPr>
        <w:t>člen</w:t>
      </w:r>
    </w:p>
    <w:p w14:paraId="2E99E1EC" w14:textId="77777777" w:rsidR="0020455F" w:rsidRPr="0020455F" w:rsidRDefault="0020455F" w:rsidP="00E9769D">
      <w:pPr>
        <w:spacing w:after="0" w:line="260" w:lineRule="exact"/>
        <w:ind w:firstLine="567"/>
        <w:jc w:val="center"/>
        <w:rPr>
          <w:rFonts w:ascii="Arial" w:eastAsia="Calibri" w:hAnsi="Arial" w:cs="Arial"/>
          <w:sz w:val="20"/>
          <w:szCs w:val="20"/>
        </w:rPr>
      </w:pPr>
      <w:bookmarkStart w:id="0" w:name="_GoBack"/>
      <w:bookmarkEnd w:id="0"/>
      <w:r w:rsidRPr="0020455F">
        <w:rPr>
          <w:rFonts w:ascii="Arial" w:eastAsia="Calibri" w:hAnsi="Arial" w:cs="Arial"/>
          <w:sz w:val="20"/>
          <w:szCs w:val="20"/>
        </w:rPr>
        <w:t>(začetek veljavnosti)</w:t>
      </w:r>
    </w:p>
    <w:p w14:paraId="607CDFE4" w14:textId="77777777" w:rsidR="0020455F" w:rsidRPr="0020455F" w:rsidRDefault="0020455F" w:rsidP="0020455F">
      <w:pPr>
        <w:spacing w:after="0" w:line="260" w:lineRule="exact"/>
        <w:jc w:val="both"/>
        <w:rPr>
          <w:rFonts w:ascii="Arial" w:eastAsia="Calibri" w:hAnsi="Arial" w:cs="Arial"/>
          <w:sz w:val="20"/>
          <w:szCs w:val="20"/>
        </w:rPr>
      </w:pPr>
    </w:p>
    <w:p w14:paraId="31A620C5" w14:textId="77777777" w:rsidR="0020455F" w:rsidRPr="0020455F" w:rsidRDefault="0020455F" w:rsidP="0020455F">
      <w:pPr>
        <w:spacing w:after="0" w:line="260" w:lineRule="exact"/>
        <w:jc w:val="both"/>
        <w:rPr>
          <w:rFonts w:ascii="Arial" w:eastAsia="Calibri" w:hAnsi="Arial" w:cs="Arial"/>
          <w:sz w:val="20"/>
          <w:szCs w:val="20"/>
        </w:rPr>
      </w:pPr>
      <w:r w:rsidRPr="0020455F">
        <w:rPr>
          <w:rFonts w:ascii="Arial" w:eastAsia="Calibri" w:hAnsi="Arial" w:cs="Arial"/>
          <w:sz w:val="20"/>
          <w:szCs w:val="20"/>
        </w:rPr>
        <w:t>Ta zakon začne veljati petnajsti dan po objavi v Uradnem listu Republike Slovenije.</w:t>
      </w:r>
    </w:p>
    <w:p w14:paraId="4D43F178" w14:textId="77777777" w:rsidR="0020455F" w:rsidRPr="0020455F" w:rsidRDefault="0020455F" w:rsidP="0020455F">
      <w:pPr>
        <w:spacing w:after="0" w:line="260" w:lineRule="exact"/>
        <w:rPr>
          <w:rFonts w:ascii="Arial" w:eastAsia="Calibri" w:hAnsi="Arial" w:cs="Arial"/>
          <w:b/>
          <w:sz w:val="20"/>
          <w:szCs w:val="20"/>
        </w:rPr>
      </w:pPr>
    </w:p>
    <w:p w14:paraId="42936282" w14:textId="77777777" w:rsidR="0020455F" w:rsidRPr="0020455F" w:rsidRDefault="0020455F" w:rsidP="0020455F">
      <w:pPr>
        <w:spacing w:after="0" w:line="260" w:lineRule="exact"/>
        <w:rPr>
          <w:rFonts w:ascii="Arial" w:eastAsia="Calibri" w:hAnsi="Arial" w:cs="Arial"/>
          <w:b/>
          <w:sz w:val="20"/>
          <w:szCs w:val="20"/>
        </w:rPr>
      </w:pPr>
    </w:p>
    <w:p w14:paraId="2B36EDDE" w14:textId="77777777" w:rsidR="005C0EDA" w:rsidRDefault="005C0EDA">
      <w:pPr>
        <w:rPr>
          <w:rFonts w:ascii="Arial" w:hAnsi="Arial" w:cs="Arial"/>
          <w:sz w:val="20"/>
          <w:szCs w:val="20"/>
        </w:rPr>
      </w:pPr>
      <w:r>
        <w:rPr>
          <w:rFonts w:ascii="Arial" w:hAnsi="Arial" w:cs="Arial"/>
          <w:sz w:val="20"/>
          <w:szCs w:val="20"/>
        </w:rPr>
        <w:br w:type="page"/>
      </w:r>
    </w:p>
    <w:p w14:paraId="755032EA" w14:textId="77777777" w:rsidR="005C0EDA" w:rsidRPr="00E25637" w:rsidRDefault="005C0EDA" w:rsidP="005C0EDA">
      <w:pPr>
        <w:spacing w:after="0" w:line="260" w:lineRule="exact"/>
        <w:rPr>
          <w:rFonts w:ascii="Arial" w:eastAsia="Times New Roman" w:hAnsi="Arial" w:cs="Arial"/>
          <w:b/>
          <w:sz w:val="20"/>
          <w:szCs w:val="20"/>
          <w:lang w:eastAsia="sl-SI"/>
        </w:rPr>
      </w:pPr>
      <w:r w:rsidRPr="00E25637">
        <w:rPr>
          <w:rFonts w:ascii="Arial" w:eastAsia="Times New Roman" w:hAnsi="Arial" w:cs="Arial"/>
          <w:b/>
          <w:sz w:val="20"/>
          <w:szCs w:val="20"/>
          <w:lang w:eastAsia="sl-SI"/>
        </w:rPr>
        <w:lastRenderedPageBreak/>
        <w:t>OBRAZLOŽITEV</w:t>
      </w:r>
    </w:p>
    <w:p w14:paraId="20BE2FF9" w14:textId="35895590" w:rsidR="00567CF0" w:rsidRDefault="00567CF0" w:rsidP="00567CF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Državni zbor Republike Slovenije je na 81. izredni seji 14. septembra 2021 sprejel sklep,</w:t>
      </w:r>
      <w:r w:rsidR="00907B06" w:rsidRPr="00907B06">
        <w:t xml:space="preserve"> </w:t>
      </w:r>
      <w:r w:rsidR="00907B06" w:rsidRPr="00907B06">
        <w:rPr>
          <w:rFonts w:ascii="Arial" w:eastAsia="Times New Roman" w:hAnsi="Arial" w:cs="Arial"/>
          <w:sz w:val="20"/>
          <w:szCs w:val="20"/>
          <w:lang w:eastAsia="sl-SI"/>
        </w:rPr>
        <w:t>št. 411-05/21-0009</w:t>
      </w:r>
      <w:r w:rsidR="00907B06">
        <w:rPr>
          <w:rFonts w:ascii="Arial" w:eastAsia="Times New Roman" w:hAnsi="Arial" w:cs="Arial"/>
          <w:sz w:val="20"/>
          <w:szCs w:val="20"/>
          <w:lang w:eastAsia="sl-SI"/>
        </w:rPr>
        <w:t>/18</w:t>
      </w:r>
      <w:r w:rsidR="00907B06" w:rsidRPr="00907B06">
        <w:rPr>
          <w:rFonts w:ascii="Arial" w:eastAsia="Times New Roman" w:hAnsi="Arial" w:cs="Arial"/>
          <w:sz w:val="20"/>
          <w:szCs w:val="20"/>
          <w:lang w:eastAsia="sl-SI"/>
        </w:rPr>
        <w:t xml:space="preserve"> z dne 15. 9. 2021, </w:t>
      </w:r>
      <w:r>
        <w:rPr>
          <w:rFonts w:ascii="Arial" w:eastAsia="Times New Roman" w:hAnsi="Arial" w:cs="Arial"/>
          <w:sz w:val="20"/>
          <w:szCs w:val="20"/>
          <w:lang w:eastAsia="sl-SI"/>
        </w:rPr>
        <w:t xml:space="preserve">da Predlog </w:t>
      </w:r>
      <w:r w:rsidRPr="0080360C">
        <w:rPr>
          <w:rFonts w:ascii="Arial" w:eastAsia="Times New Roman" w:hAnsi="Arial" w:cs="Arial"/>
          <w:sz w:val="20"/>
          <w:szCs w:val="20"/>
          <w:lang w:eastAsia="sl-SI"/>
        </w:rPr>
        <w:t xml:space="preserve">Zakona o zagotavljanju finančnih sredstev za investicije v slovensko zdravstvo v letih od 2021 do 2031 </w:t>
      </w:r>
      <w:r>
        <w:rPr>
          <w:rFonts w:ascii="Arial" w:eastAsia="Times New Roman" w:hAnsi="Arial" w:cs="Arial"/>
          <w:sz w:val="20"/>
          <w:szCs w:val="20"/>
          <w:lang w:eastAsia="sl-SI"/>
        </w:rPr>
        <w:t xml:space="preserve">za tretjo obravnavo pripravi Vlada Republike Slovenije. Predlog zakona za tretjo obravnavo je pripravljen na podlagi Pregleda sprejetih amandmajev k Dopolnjenemu predlogu </w:t>
      </w:r>
      <w:r w:rsidRPr="0080360C">
        <w:rPr>
          <w:rFonts w:ascii="Arial" w:eastAsia="Times New Roman" w:hAnsi="Arial" w:cs="Arial"/>
          <w:sz w:val="20"/>
          <w:szCs w:val="20"/>
          <w:lang w:eastAsia="sl-SI"/>
        </w:rPr>
        <w:t>Zakona o zagotavljanju finančnih sredstev za investicije v slovensko zdravstvo v letih od 2021 do 2031</w:t>
      </w:r>
      <w:r>
        <w:rPr>
          <w:rFonts w:ascii="Arial" w:eastAsia="Times New Roman" w:hAnsi="Arial" w:cs="Arial"/>
          <w:sz w:val="20"/>
          <w:szCs w:val="20"/>
          <w:lang w:eastAsia="sl-SI"/>
        </w:rPr>
        <w:t xml:space="preserve">, </w:t>
      </w:r>
      <w:r>
        <w:rPr>
          <w:rFonts w:ascii="Arial" w:eastAsia="Times New Roman" w:hAnsi="Arial" w:cs="Arial"/>
          <w:sz w:val="20"/>
          <w:szCs w:val="20"/>
        </w:rPr>
        <w:t>EPA 1973-VIII in pregleda členov, h katerim so bili amandmaji sprejeti, št. 411-05/21-0009 dne 15. 9. 2021.</w:t>
      </w:r>
      <w:r w:rsidR="009B2AB1">
        <w:rPr>
          <w:rFonts w:ascii="Arial" w:eastAsia="Times New Roman" w:hAnsi="Arial" w:cs="Arial"/>
          <w:sz w:val="20"/>
          <w:szCs w:val="20"/>
        </w:rPr>
        <w:t xml:space="preserve"> V besedilu predloga zakona je vključen sprejet amandma k 2. členu.</w:t>
      </w:r>
    </w:p>
    <w:p w14:paraId="3B432BC3" w14:textId="77777777" w:rsidR="005C0EDA" w:rsidRPr="00EE2C11" w:rsidRDefault="005C0EDA" w:rsidP="00261466">
      <w:pPr>
        <w:spacing w:after="0" w:line="260" w:lineRule="exact"/>
        <w:jc w:val="both"/>
        <w:rPr>
          <w:rFonts w:ascii="Arial" w:hAnsi="Arial" w:cs="Arial"/>
          <w:sz w:val="20"/>
          <w:szCs w:val="20"/>
        </w:rPr>
      </w:pPr>
    </w:p>
    <w:sectPr w:rsidR="005C0EDA" w:rsidRPr="00EE2C11" w:rsidSect="001E487F">
      <w:footerReference w:type="default" r:id="rId8"/>
      <w:headerReference w:type="first" r:id="rId9"/>
      <w:footerReference w:type="first" r:id="rId10"/>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D41BFF" w14:textId="77777777" w:rsidR="006175A7" w:rsidRDefault="006175A7">
      <w:pPr>
        <w:spacing w:after="0" w:line="240" w:lineRule="auto"/>
      </w:pPr>
      <w:r>
        <w:separator/>
      </w:r>
    </w:p>
  </w:endnote>
  <w:endnote w:type="continuationSeparator" w:id="0">
    <w:p w14:paraId="32A8F8C8" w14:textId="77777777" w:rsidR="006175A7" w:rsidRDefault="006175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18A1C1" w14:textId="77777777" w:rsidR="00727AB6" w:rsidRDefault="007B0A3D">
    <w:pPr>
      <w:pStyle w:val="Noga"/>
      <w:jc w:val="right"/>
    </w:pPr>
    <w:r>
      <w:fldChar w:fldCharType="begin"/>
    </w:r>
    <w:r w:rsidR="00727AB6">
      <w:instrText>PAGE   \* MERGEFORMAT</w:instrText>
    </w:r>
    <w:r>
      <w:fldChar w:fldCharType="separate"/>
    </w:r>
    <w:r w:rsidR="004A0E15">
      <w:rPr>
        <w:noProof/>
      </w:rPr>
      <w:t>4</w:t>
    </w:r>
    <w:r>
      <w:rPr>
        <w:noProof/>
      </w:rPr>
      <w:fldChar w:fldCharType="end"/>
    </w:r>
  </w:p>
  <w:p w14:paraId="6602669E" w14:textId="77777777" w:rsidR="00727AB6" w:rsidRDefault="00727AB6">
    <w:pPr>
      <w:pStyle w:val="Noga"/>
    </w:pPr>
  </w:p>
  <w:p w14:paraId="05279EC2" w14:textId="77777777" w:rsidR="00727AB6" w:rsidRDefault="00727AB6"/>
  <w:p w14:paraId="5C022668" w14:textId="77777777" w:rsidR="00727AB6" w:rsidRDefault="00727AB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09366" w14:textId="77777777" w:rsidR="00727AB6" w:rsidRDefault="007B0A3D">
    <w:pPr>
      <w:pStyle w:val="Noga"/>
      <w:jc w:val="right"/>
    </w:pPr>
    <w:r>
      <w:fldChar w:fldCharType="begin"/>
    </w:r>
    <w:r w:rsidR="00727AB6">
      <w:instrText>PAGE   \* MERGEFORMAT</w:instrText>
    </w:r>
    <w:r>
      <w:fldChar w:fldCharType="separate"/>
    </w:r>
    <w:r w:rsidR="00E9769D">
      <w:rPr>
        <w:noProof/>
      </w:rPr>
      <w:t>1</w:t>
    </w:r>
    <w:r>
      <w:rPr>
        <w:noProof/>
      </w:rPr>
      <w:fldChar w:fldCharType="end"/>
    </w:r>
  </w:p>
  <w:p w14:paraId="2D8390A4" w14:textId="77777777" w:rsidR="00727AB6" w:rsidRDefault="00727AB6">
    <w:pPr>
      <w:pStyle w:val="Noga"/>
    </w:pPr>
  </w:p>
  <w:p w14:paraId="2B509C3A" w14:textId="77777777" w:rsidR="00727AB6" w:rsidRDefault="00727AB6"/>
  <w:p w14:paraId="4E861CD5" w14:textId="77777777" w:rsidR="00727AB6" w:rsidRDefault="00727AB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F2BC8C" w14:textId="77777777" w:rsidR="006175A7" w:rsidRDefault="006175A7">
      <w:pPr>
        <w:spacing w:after="0" w:line="240" w:lineRule="auto"/>
      </w:pPr>
      <w:r>
        <w:separator/>
      </w:r>
    </w:p>
  </w:footnote>
  <w:footnote w:type="continuationSeparator" w:id="0">
    <w:p w14:paraId="18437EA4" w14:textId="77777777" w:rsidR="006175A7" w:rsidRDefault="006175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27AB6" w:rsidRPr="008F3500" w14:paraId="0A9B885D" w14:textId="77777777">
      <w:trPr>
        <w:cantSplit/>
        <w:trHeight w:hRule="exact" w:val="847"/>
      </w:trPr>
      <w:tc>
        <w:tcPr>
          <w:tcW w:w="567" w:type="dxa"/>
        </w:tcPr>
        <w:p w14:paraId="5CAD978B" w14:textId="77777777" w:rsidR="00727AB6" w:rsidRPr="008F3500" w:rsidRDefault="00727AB6" w:rsidP="001E487F">
          <w:pPr>
            <w:autoSpaceDE w:val="0"/>
            <w:autoSpaceDN w:val="0"/>
            <w:adjustRightInd w:val="0"/>
            <w:spacing w:line="240" w:lineRule="auto"/>
            <w:rPr>
              <w:rFonts w:ascii="Republika" w:hAnsi="Republika"/>
              <w:color w:val="529DBA"/>
              <w:sz w:val="60"/>
              <w:szCs w:val="60"/>
            </w:rPr>
          </w:pPr>
        </w:p>
      </w:tc>
    </w:tr>
  </w:tbl>
  <w:p w14:paraId="67DC974C" w14:textId="28CFF475" w:rsidR="00D80E44" w:rsidRDefault="00D80E44" w:rsidP="00D80E44">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6286C912" wp14:editId="533B664A">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14A51DB2" w14:textId="77777777" w:rsidR="00D80E44" w:rsidRDefault="00D80E44" w:rsidP="00D80E44">
    <w:pPr>
      <w:pStyle w:val="Glava"/>
      <w:tabs>
        <w:tab w:val="clear" w:pos="4320"/>
        <w:tab w:val="left" w:pos="5112"/>
      </w:tabs>
      <w:spacing w:line="240" w:lineRule="exact"/>
      <w:rPr>
        <w:rFonts w:cs="Arial"/>
        <w:sz w:val="16"/>
      </w:rPr>
    </w:pPr>
    <w:r>
      <w:rPr>
        <w:rFonts w:cs="Arial"/>
        <w:sz w:val="16"/>
      </w:rPr>
      <w:tab/>
      <w:t>F: +386 1 478 1607</w:t>
    </w:r>
  </w:p>
  <w:p w14:paraId="1D70FC66" w14:textId="77777777" w:rsidR="00D80E44" w:rsidRDefault="00D80E44" w:rsidP="00D80E44">
    <w:pPr>
      <w:pStyle w:val="Glava"/>
      <w:tabs>
        <w:tab w:val="clear" w:pos="4320"/>
        <w:tab w:val="left" w:pos="5112"/>
      </w:tabs>
      <w:spacing w:line="240" w:lineRule="exact"/>
      <w:rPr>
        <w:rFonts w:cs="Arial"/>
        <w:sz w:val="16"/>
      </w:rPr>
    </w:pPr>
    <w:r>
      <w:rPr>
        <w:rFonts w:cs="Arial"/>
        <w:sz w:val="16"/>
      </w:rPr>
      <w:tab/>
      <w:t>E: gp.gs@gov.si</w:t>
    </w:r>
  </w:p>
  <w:p w14:paraId="128F9A84" w14:textId="77777777" w:rsidR="00D80E44" w:rsidRDefault="00D80E44" w:rsidP="00D80E44">
    <w:pPr>
      <w:pStyle w:val="Glava"/>
      <w:tabs>
        <w:tab w:val="clear" w:pos="4320"/>
        <w:tab w:val="left" w:pos="5112"/>
      </w:tabs>
      <w:spacing w:line="240" w:lineRule="exact"/>
      <w:rPr>
        <w:rFonts w:cs="Arial"/>
        <w:sz w:val="16"/>
      </w:rPr>
    </w:pPr>
    <w:r>
      <w:rPr>
        <w:rFonts w:cs="Arial"/>
        <w:sz w:val="16"/>
      </w:rPr>
      <w:tab/>
      <w:t>http://www.vlada.si/</w:t>
    </w:r>
  </w:p>
  <w:p w14:paraId="36398FB6" w14:textId="77777777" w:rsidR="00727AB6" w:rsidRPr="008F3500" w:rsidRDefault="00727AB6" w:rsidP="00FC7969">
    <w:pPr>
      <w:pStyle w:val="Glava"/>
      <w:tabs>
        <w:tab w:val="clear" w:pos="4320"/>
        <w:tab w:val="clear" w:pos="8640"/>
        <w:tab w:val="left" w:pos="5112"/>
      </w:tabs>
      <w:spacing w:before="120" w:line="240" w:lineRule="exact"/>
    </w:pPr>
  </w:p>
  <w:p w14:paraId="594B1354" w14:textId="77777777" w:rsidR="00727AB6" w:rsidRDefault="00727AB6"/>
  <w:p w14:paraId="30317208" w14:textId="77777777" w:rsidR="00727AB6" w:rsidRDefault="00727AB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A76A6"/>
    <w:multiLevelType w:val="hybridMultilevel"/>
    <w:tmpl w:val="2FD43E38"/>
    <w:lvl w:ilvl="0" w:tplc="D700C758">
      <w:start w:val="3"/>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241826"/>
    <w:multiLevelType w:val="hybridMultilevel"/>
    <w:tmpl w:val="B4D03CC4"/>
    <w:lvl w:ilvl="0" w:tplc="0424000F">
      <w:start w:val="1"/>
      <w:numFmt w:val="decimal"/>
      <w:lvlText w:val="%1."/>
      <w:lvlJc w:val="left"/>
      <w:pPr>
        <w:ind w:left="4330" w:hanging="360"/>
      </w:pPr>
      <w:rPr>
        <w:rFonts w:hint="default"/>
      </w:rPr>
    </w:lvl>
    <w:lvl w:ilvl="1" w:tplc="04240019" w:tentative="1">
      <w:start w:val="1"/>
      <w:numFmt w:val="lowerLetter"/>
      <w:lvlText w:val="%2."/>
      <w:lvlJc w:val="left"/>
      <w:pPr>
        <w:ind w:left="5050" w:hanging="360"/>
      </w:pPr>
    </w:lvl>
    <w:lvl w:ilvl="2" w:tplc="0424001B" w:tentative="1">
      <w:start w:val="1"/>
      <w:numFmt w:val="lowerRoman"/>
      <w:lvlText w:val="%3."/>
      <w:lvlJc w:val="right"/>
      <w:pPr>
        <w:ind w:left="5770" w:hanging="180"/>
      </w:pPr>
    </w:lvl>
    <w:lvl w:ilvl="3" w:tplc="0424000F" w:tentative="1">
      <w:start w:val="1"/>
      <w:numFmt w:val="decimal"/>
      <w:lvlText w:val="%4."/>
      <w:lvlJc w:val="left"/>
      <w:pPr>
        <w:ind w:left="6490" w:hanging="360"/>
      </w:pPr>
    </w:lvl>
    <w:lvl w:ilvl="4" w:tplc="04240019" w:tentative="1">
      <w:start w:val="1"/>
      <w:numFmt w:val="lowerLetter"/>
      <w:lvlText w:val="%5."/>
      <w:lvlJc w:val="left"/>
      <w:pPr>
        <w:ind w:left="7210" w:hanging="360"/>
      </w:pPr>
    </w:lvl>
    <w:lvl w:ilvl="5" w:tplc="0424001B" w:tentative="1">
      <w:start w:val="1"/>
      <w:numFmt w:val="lowerRoman"/>
      <w:lvlText w:val="%6."/>
      <w:lvlJc w:val="right"/>
      <w:pPr>
        <w:ind w:left="7930" w:hanging="180"/>
      </w:pPr>
    </w:lvl>
    <w:lvl w:ilvl="6" w:tplc="0424000F" w:tentative="1">
      <w:start w:val="1"/>
      <w:numFmt w:val="decimal"/>
      <w:lvlText w:val="%7."/>
      <w:lvlJc w:val="left"/>
      <w:pPr>
        <w:ind w:left="8650" w:hanging="360"/>
      </w:pPr>
    </w:lvl>
    <w:lvl w:ilvl="7" w:tplc="04240019" w:tentative="1">
      <w:start w:val="1"/>
      <w:numFmt w:val="lowerLetter"/>
      <w:lvlText w:val="%8."/>
      <w:lvlJc w:val="left"/>
      <w:pPr>
        <w:ind w:left="9370" w:hanging="360"/>
      </w:pPr>
    </w:lvl>
    <w:lvl w:ilvl="8" w:tplc="0424001B" w:tentative="1">
      <w:start w:val="1"/>
      <w:numFmt w:val="lowerRoman"/>
      <w:lvlText w:val="%9."/>
      <w:lvlJc w:val="right"/>
      <w:pPr>
        <w:ind w:left="10090" w:hanging="180"/>
      </w:pPr>
    </w:lvl>
  </w:abstractNum>
  <w:abstractNum w:abstractNumId="2" w15:restartNumberingAfterBreak="0">
    <w:nsid w:val="18F06E8E"/>
    <w:multiLevelType w:val="hybridMultilevel"/>
    <w:tmpl w:val="8F88B8FA"/>
    <w:lvl w:ilvl="0" w:tplc="98A45D0A">
      <w:start w:val="1"/>
      <w:numFmt w:val="bullet"/>
      <w:lvlText w:val="–"/>
      <w:lvlJc w:val="left"/>
      <w:pPr>
        <w:ind w:left="1800" w:hanging="360"/>
      </w:pPr>
      <w:rPr>
        <w:rFonts w:ascii="Times New Roman" w:eastAsiaTheme="minorHAnsi" w:hAnsi="Times New Roman" w:cs="Times New Roman" w:hint="default"/>
        <w:b/>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0692580"/>
    <w:multiLevelType w:val="hybridMultilevel"/>
    <w:tmpl w:val="439E9510"/>
    <w:lvl w:ilvl="0" w:tplc="1D629EB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BA3EC0"/>
    <w:multiLevelType w:val="hybridMultilevel"/>
    <w:tmpl w:val="4238C1A8"/>
    <w:lvl w:ilvl="0" w:tplc="2346AF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474C78EE"/>
    <w:multiLevelType w:val="hybridMultilevel"/>
    <w:tmpl w:val="46221002"/>
    <w:lvl w:ilvl="0" w:tplc="6FEC299C">
      <w:start w:val="3"/>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7D87C80"/>
    <w:multiLevelType w:val="hybridMultilevel"/>
    <w:tmpl w:val="66A2AE68"/>
    <w:lvl w:ilvl="0" w:tplc="76AC1A70">
      <w:start w:val="49"/>
      <w:numFmt w:val="bullet"/>
      <w:lvlText w:val=""/>
      <w:lvlJc w:val="left"/>
      <w:pPr>
        <w:ind w:left="644" w:hanging="360"/>
      </w:pPr>
      <w:rPr>
        <w:rFonts w:ascii="Symbol" w:eastAsia="Times New Roman" w:hAnsi="Symbol" w:hint="default"/>
      </w:rPr>
    </w:lvl>
    <w:lvl w:ilvl="1" w:tplc="67D01EF0">
      <w:start w:val="1"/>
      <w:numFmt w:val="decimal"/>
      <w:lvlText w:val="%2."/>
      <w:lvlJc w:val="left"/>
      <w:pPr>
        <w:ind w:left="1440" w:hanging="360"/>
      </w:pPr>
      <w:rPr>
        <w:rFonts w:ascii="Arial" w:eastAsia="Times New Roman" w:hAnsi="Arial" w:cs="Arial"/>
        <w:sz w:val="20"/>
        <w:szCs w:val="20"/>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start w:val="1"/>
      <w:numFmt w:val="lowerLetter"/>
      <w:lvlText w:val="%5."/>
      <w:lvlJc w:val="left"/>
      <w:pPr>
        <w:ind w:left="3600" w:hanging="360"/>
      </w:pPr>
      <w:rPr>
        <w:rFonts w:cs="Times New Roman"/>
      </w:rPr>
    </w:lvl>
    <w:lvl w:ilvl="5" w:tplc="0424001B">
      <w:start w:val="1"/>
      <w:numFmt w:val="lowerRoman"/>
      <w:lvlText w:val="%6."/>
      <w:lvlJc w:val="right"/>
      <w:pPr>
        <w:ind w:left="4320" w:hanging="180"/>
      </w:pPr>
      <w:rPr>
        <w:rFonts w:cs="Times New Roman"/>
      </w:rPr>
    </w:lvl>
    <w:lvl w:ilvl="6" w:tplc="61206746">
      <w:start w:val="1"/>
      <w:numFmt w:val="decimal"/>
      <w:lvlText w:val="%7."/>
      <w:lvlJc w:val="left"/>
      <w:pPr>
        <w:ind w:left="4471"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1" w15:restartNumberingAfterBreak="0">
    <w:nsid w:val="5126747C"/>
    <w:multiLevelType w:val="hybridMultilevel"/>
    <w:tmpl w:val="8ED618AA"/>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665385C"/>
    <w:multiLevelType w:val="hybridMultilevel"/>
    <w:tmpl w:val="67F6D4EC"/>
    <w:lvl w:ilvl="0" w:tplc="0424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31E4BF8"/>
    <w:multiLevelType w:val="hybridMultilevel"/>
    <w:tmpl w:val="BB8C8B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4294496"/>
    <w:multiLevelType w:val="hybridMultilevel"/>
    <w:tmpl w:val="28F4970C"/>
    <w:lvl w:ilvl="0" w:tplc="7718481E">
      <w:start w:val="2"/>
      <w:numFmt w:val="decimal"/>
      <w:lvlText w:val="%1."/>
      <w:lvlJc w:val="left"/>
      <w:pPr>
        <w:ind w:left="4282" w:hanging="360"/>
      </w:pPr>
      <w:rPr>
        <w:rFonts w:hint="default"/>
      </w:rPr>
    </w:lvl>
    <w:lvl w:ilvl="1" w:tplc="04240019" w:tentative="1">
      <w:start w:val="1"/>
      <w:numFmt w:val="lowerLetter"/>
      <w:lvlText w:val="%2."/>
      <w:lvlJc w:val="left"/>
      <w:pPr>
        <w:ind w:left="5002" w:hanging="360"/>
      </w:pPr>
    </w:lvl>
    <w:lvl w:ilvl="2" w:tplc="0424001B" w:tentative="1">
      <w:start w:val="1"/>
      <w:numFmt w:val="lowerRoman"/>
      <w:lvlText w:val="%3."/>
      <w:lvlJc w:val="right"/>
      <w:pPr>
        <w:ind w:left="5722" w:hanging="180"/>
      </w:pPr>
    </w:lvl>
    <w:lvl w:ilvl="3" w:tplc="0424000F" w:tentative="1">
      <w:start w:val="1"/>
      <w:numFmt w:val="decimal"/>
      <w:lvlText w:val="%4."/>
      <w:lvlJc w:val="left"/>
      <w:pPr>
        <w:ind w:left="6442" w:hanging="360"/>
      </w:pPr>
    </w:lvl>
    <w:lvl w:ilvl="4" w:tplc="04240019" w:tentative="1">
      <w:start w:val="1"/>
      <w:numFmt w:val="lowerLetter"/>
      <w:lvlText w:val="%5."/>
      <w:lvlJc w:val="left"/>
      <w:pPr>
        <w:ind w:left="7162" w:hanging="360"/>
      </w:pPr>
    </w:lvl>
    <w:lvl w:ilvl="5" w:tplc="0424001B" w:tentative="1">
      <w:start w:val="1"/>
      <w:numFmt w:val="lowerRoman"/>
      <w:lvlText w:val="%6."/>
      <w:lvlJc w:val="right"/>
      <w:pPr>
        <w:ind w:left="7882" w:hanging="180"/>
      </w:pPr>
    </w:lvl>
    <w:lvl w:ilvl="6" w:tplc="0424000F" w:tentative="1">
      <w:start w:val="1"/>
      <w:numFmt w:val="decimal"/>
      <w:lvlText w:val="%7."/>
      <w:lvlJc w:val="left"/>
      <w:pPr>
        <w:ind w:left="8602" w:hanging="360"/>
      </w:pPr>
    </w:lvl>
    <w:lvl w:ilvl="7" w:tplc="04240019" w:tentative="1">
      <w:start w:val="1"/>
      <w:numFmt w:val="lowerLetter"/>
      <w:lvlText w:val="%8."/>
      <w:lvlJc w:val="left"/>
      <w:pPr>
        <w:ind w:left="9322" w:hanging="360"/>
      </w:pPr>
    </w:lvl>
    <w:lvl w:ilvl="8" w:tplc="0424001B" w:tentative="1">
      <w:start w:val="1"/>
      <w:numFmt w:val="lowerRoman"/>
      <w:lvlText w:val="%9."/>
      <w:lvlJc w:val="right"/>
      <w:pPr>
        <w:ind w:left="10042" w:hanging="180"/>
      </w:p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67D68A9"/>
    <w:multiLevelType w:val="hybridMultilevel"/>
    <w:tmpl w:val="E7646AB4"/>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844253A"/>
    <w:multiLevelType w:val="hybridMultilevel"/>
    <w:tmpl w:val="A9104FB4"/>
    <w:lvl w:ilvl="0" w:tplc="76AC1A70">
      <w:start w:val="49"/>
      <w:numFmt w:val="bullet"/>
      <w:lvlText w:val=""/>
      <w:lvlJc w:val="left"/>
      <w:pPr>
        <w:ind w:left="644" w:hanging="360"/>
      </w:pPr>
      <w:rPr>
        <w:rFonts w:ascii="Symbol" w:eastAsia="Times New Roman" w:hAnsi="Symbol" w:hint="default"/>
      </w:rPr>
    </w:lvl>
    <w:lvl w:ilvl="1" w:tplc="A58C7284">
      <w:start w:val="9"/>
      <w:numFmt w:val="bullet"/>
      <w:lvlText w:val="-"/>
      <w:lvlJc w:val="left"/>
      <w:pPr>
        <w:ind w:left="1440" w:hanging="360"/>
      </w:pPr>
      <w:rPr>
        <w:rFonts w:ascii="Arial" w:eastAsia="Times New Roman" w:hAnsi="Arial"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0" w15:restartNumberingAfterBreak="0">
    <w:nsid w:val="7994732E"/>
    <w:multiLevelType w:val="hybridMultilevel"/>
    <w:tmpl w:val="E77C0DC4"/>
    <w:lvl w:ilvl="0" w:tplc="0424000F">
      <w:start w:val="1"/>
      <w:numFmt w:val="decimal"/>
      <w:lvlText w:val="%1."/>
      <w:lvlJc w:val="left"/>
      <w:pPr>
        <w:ind w:left="502" w:hanging="360"/>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1" w15:restartNumberingAfterBreak="0">
    <w:nsid w:val="7A8818BC"/>
    <w:multiLevelType w:val="hybridMultilevel"/>
    <w:tmpl w:val="30B4D436"/>
    <w:lvl w:ilvl="0" w:tplc="C9ECE858">
      <w:start w:val="2"/>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17"/>
  </w:num>
  <w:num w:numId="4">
    <w:abstractNumId w:val="7"/>
  </w:num>
  <w:num w:numId="5">
    <w:abstractNumId w:val="6"/>
  </w:num>
  <w:num w:numId="6">
    <w:abstractNumId w:val="3"/>
  </w:num>
  <w:num w:numId="7">
    <w:abstractNumId w:val="2"/>
  </w:num>
  <w:num w:numId="8">
    <w:abstractNumId w:val="22"/>
  </w:num>
  <w:num w:numId="9">
    <w:abstractNumId w:val="1"/>
  </w:num>
  <w:num w:numId="10">
    <w:abstractNumId w:val="15"/>
  </w:num>
  <w:num w:numId="11">
    <w:abstractNumId w:val="8"/>
  </w:num>
  <w:num w:numId="12">
    <w:abstractNumId w:val="19"/>
  </w:num>
  <w:num w:numId="13">
    <w:abstractNumId w:val="4"/>
  </w:num>
  <w:num w:numId="14">
    <w:abstractNumId w:val="12"/>
  </w:num>
  <w:num w:numId="15">
    <w:abstractNumId w:val="5"/>
  </w:num>
  <w:num w:numId="16">
    <w:abstractNumId w:val="18"/>
  </w:num>
  <w:num w:numId="17">
    <w:abstractNumId w:val="11"/>
  </w:num>
  <w:num w:numId="18">
    <w:abstractNumId w:val="20"/>
  </w:num>
  <w:num w:numId="19">
    <w:abstractNumId w:val="10"/>
  </w:num>
  <w:num w:numId="20">
    <w:abstractNumId w:val="16"/>
  </w:num>
  <w:num w:numId="21">
    <w:abstractNumId w:val="21"/>
  </w:num>
  <w:num w:numId="22">
    <w:abstractNumId w:val="0"/>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1FD"/>
    <w:rsid w:val="000953C3"/>
    <w:rsid w:val="000E07B4"/>
    <w:rsid w:val="00126618"/>
    <w:rsid w:val="001761D7"/>
    <w:rsid w:val="001A2176"/>
    <w:rsid w:val="001B743C"/>
    <w:rsid w:val="001E487F"/>
    <w:rsid w:val="0020455F"/>
    <w:rsid w:val="00206426"/>
    <w:rsid w:val="00242AAD"/>
    <w:rsid w:val="00261466"/>
    <w:rsid w:val="0034631B"/>
    <w:rsid w:val="0040532D"/>
    <w:rsid w:val="00434490"/>
    <w:rsid w:val="0046550D"/>
    <w:rsid w:val="00467A4C"/>
    <w:rsid w:val="004A0E15"/>
    <w:rsid w:val="004C453A"/>
    <w:rsid w:val="004D348A"/>
    <w:rsid w:val="00516F86"/>
    <w:rsid w:val="0054587D"/>
    <w:rsid w:val="00567CF0"/>
    <w:rsid w:val="00572B20"/>
    <w:rsid w:val="00594935"/>
    <w:rsid w:val="005A024E"/>
    <w:rsid w:val="005C0EDA"/>
    <w:rsid w:val="006175A7"/>
    <w:rsid w:val="00622F75"/>
    <w:rsid w:val="00644D6C"/>
    <w:rsid w:val="00656602"/>
    <w:rsid w:val="00661BB5"/>
    <w:rsid w:val="00673D75"/>
    <w:rsid w:val="0067781D"/>
    <w:rsid w:val="00727AB6"/>
    <w:rsid w:val="007A01FD"/>
    <w:rsid w:val="007B0A3D"/>
    <w:rsid w:val="007B6B6F"/>
    <w:rsid w:val="0080310A"/>
    <w:rsid w:val="00803512"/>
    <w:rsid w:val="0080360C"/>
    <w:rsid w:val="0080671B"/>
    <w:rsid w:val="008070E8"/>
    <w:rsid w:val="00814C1B"/>
    <w:rsid w:val="008F5DE3"/>
    <w:rsid w:val="00907B06"/>
    <w:rsid w:val="009634ED"/>
    <w:rsid w:val="009B2AB1"/>
    <w:rsid w:val="00A06839"/>
    <w:rsid w:val="00A73E7C"/>
    <w:rsid w:val="00AA575C"/>
    <w:rsid w:val="00AB5A44"/>
    <w:rsid w:val="00AF59F8"/>
    <w:rsid w:val="00B742D2"/>
    <w:rsid w:val="00B8323E"/>
    <w:rsid w:val="00BE2E41"/>
    <w:rsid w:val="00C60E17"/>
    <w:rsid w:val="00C658EB"/>
    <w:rsid w:val="00C82C9B"/>
    <w:rsid w:val="00CF068A"/>
    <w:rsid w:val="00D45FDB"/>
    <w:rsid w:val="00D74686"/>
    <w:rsid w:val="00D76FE3"/>
    <w:rsid w:val="00D80E44"/>
    <w:rsid w:val="00DE0646"/>
    <w:rsid w:val="00E9769D"/>
    <w:rsid w:val="00EE2C11"/>
    <w:rsid w:val="00F14C55"/>
    <w:rsid w:val="00F322DF"/>
    <w:rsid w:val="00F5026E"/>
    <w:rsid w:val="00FC79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6665F1E"/>
  <w15:docId w15:val="{218E8F4F-FBDD-40E8-8BC4-C71A3B70F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A01FD"/>
  </w:style>
  <w:style w:type="paragraph" w:styleId="Naslov1">
    <w:name w:val="heading 1"/>
    <w:aliases w:val="NASLOV"/>
    <w:basedOn w:val="Navaden"/>
    <w:next w:val="Navaden"/>
    <w:link w:val="Naslov1Znak"/>
    <w:autoRedefine/>
    <w:qFormat/>
    <w:rsid w:val="00FC7969"/>
    <w:pPr>
      <w:keepNext/>
      <w:spacing w:before="240" w:after="60" w:line="260" w:lineRule="exact"/>
      <w:outlineLvl w:val="0"/>
    </w:pPr>
    <w:rPr>
      <w:rFonts w:ascii="Arial" w:eastAsia="Times New Roman" w:hAnsi="Arial" w:cs="Times New Roman"/>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7A01FD"/>
    <w:rPr>
      <w:rFonts w:ascii="Arial" w:eastAsia="Times New Roman" w:hAnsi="Arial" w:cs="Times New Roman"/>
      <w:sz w:val="20"/>
      <w:szCs w:val="24"/>
    </w:rPr>
  </w:style>
  <w:style w:type="paragraph" w:styleId="Noga">
    <w:name w:val="footer"/>
    <w:basedOn w:val="Navaden"/>
    <w:link w:val="NogaZnak"/>
    <w:uiPriority w:val="99"/>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7A01FD"/>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7A01FD"/>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7A01FD"/>
    <w:rPr>
      <w:rFonts w:ascii="Arial" w:eastAsia="Times New Roman" w:hAnsi="Arial" w:cs="Times New Roman"/>
      <w:sz w:val="20"/>
      <w:szCs w:val="20"/>
      <w:lang w:eastAsia="sl-SI"/>
    </w:rPr>
  </w:style>
  <w:style w:type="paragraph" w:styleId="Odstavekseznama">
    <w:name w:val="List Paragraph"/>
    <w:aliases w:val="ne-puščica,Alineje"/>
    <w:basedOn w:val="Navaden"/>
    <w:link w:val="OdstavekseznamaZnak"/>
    <w:uiPriority w:val="34"/>
    <w:qFormat/>
    <w:rsid w:val="007A01FD"/>
    <w:pPr>
      <w:spacing w:after="0" w:line="260" w:lineRule="exact"/>
      <w:ind w:left="708"/>
    </w:pPr>
    <w:rPr>
      <w:rFonts w:ascii="Arial" w:eastAsia="Times New Roman" w:hAnsi="Arial" w:cs="Times New Roman"/>
      <w:sz w:val="20"/>
      <w:szCs w:val="24"/>
    </w:rPr>
  </w:style>
  <w:style w:type="character" w:customStyle="1" w:styleId="OdstavekseznamaZnak">
    <w:name w:val="Odstavek seznama Znak"/>
    <w:aliases w:val="ne-puščica Znak,Alineje Znak"/>
    <w:link w:val="Odstavekseznama"/>
    <w:uiPriority w:val="34"/>
    <w:rsid w:val="007A01FD"/>
    <w:rPr>
      <w:rFonts w:ascii="Arial" w:eastAsia="Times New Roman" w:hAnsi="Arial" w:cs="Times New Roman"/>
      <w:sz w:val="20"/>
      <w:szCs w:val="24"/>
    </w:rPr>
  </w:style>
  <w:style w:type="character" w:customStyle="1" w:styleId="TelobesedilaZnak">
    <w:name w:val="Telo besedila Znak"/>
    <w:basedOn w:val="Privzetapisavaodstavka"/>
    <w:link w:val="Telobesedila"/>
    <w:rsid w:val="001E487F"/>
    <w:rPr>
      <w:rFonts w:ascii="Arial" w:eastAsia="Arial" w:hAnsi="Arial" w:cs="Arial"/>
      <w:b/>
      <w:bCs/>
    </w:rPr>
  </w:style>
  <w:style w:type="paragraph" w:styleId="Telobesedila">
    <w:name w:val="Body Text"/>
    <w:basedOn w:val="Navaden"/>
    <w:link w:val="TelobesedilaZnak"/>
    <w:qFormat/>
    <w:rsid w:val="001E487F"/>
    <w:pPr>
      <w:widowControl w:val="0"/>
      <w:spacing w:after="240" w:line="240" w:lineRule="auto"/>
    </w:pPr>
    <w:rPr>
      <w:rFonts w:ascii="Arial" w:eastAsia="Arial" w:hAnsi="Arial" w:cs="Arial"/>
      <w:b/>
      <w:bCs/>
    </w:rPr>
  </w:style>
  <w:style w:type="character" w:customStyle="1" w:styleId="TelobesedilaZnak1">
    <w:name w:val="Telo besedila Znak1"/>
    <w:basedOn w:val="Privzetapisavaodstavka"/>
    <w:uiPriority w:val="99"/>
    <w:semiHidden/>
    <w:rsid w:val="001E487F"/>
  </w:style>
  <w:style w:type="paragraph" w:styleId="Besedilooblaka">
    <w:name w:val="Balloon Text"/>
    <w:basedOn w:val="Navaden"/>
    <w:link w:val="BesedilooblakaZnak"/>
    <w:uiPriority w:val="99"/>
    <w:semiHidden/>
    <w:unhideWhenUsed/>
    <w:rsid w:val="00EE2C1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E2C11"/>
    <w:rPr>
      <w:rFonts w:ascii="Segoe UI" w:hAnsi="Segoe UI" w:cs="Segoe UI"/>
      <w:sz w:val="18"/>
      <w:szCs w:val="18"/>
    </w:rPr>
  </w:style>
  <w:style w:type="character" w:customStyle="1" w:styleId="Naslov1Znak">
    <w:name w:val="Naslov 1 Znak"/>
    <w:aliases w:val="NASLOV Znak"/>
    <w:basedOn w:val="Privzetapisavaodstavka"/>
    <w:link w:val="Naslov1"/>
    <w:rsid w:val="00FC7969"/>
    <w:rPr>
      <w:rFonts w:ascii="Arial" w:eastAsia="Times New Roman" w:hAnsi="Arial" w:cs="Times New Roman"/>
      <w:b/>
      <w:kern w:val="32"/>
      <w:sz w:val="28"/>
      <w:szCs w:val="32"/>
    </w:rPr>
  </w:style>
  <w:style w:type="character" w:styleId="Pripombasklic">
    <w:name w:val="annotation reference"/>
    <w:basedOn w:val="Privzetapisavaodstavka"/>
    <w:uiPriority w:val="99"/>
    <w:semiHidden/>
    <w:unhideWhenUsed/>
    <w:rsid w:val="00727AB6"/>
    <w:rPr>
      <w:sz w:val="16"/>
      <w:szCs w:val="16"/>
    </w:rPr>
  </w:style>
  <w:style w:type="paragraph" w:styleId="Pripombabesedilo">
    <w:name w:val="annotation text"/>
    <w:basedOn w:val="Navaden"/>
    <w:link w:val="PripombabesediloZnak"/>
    <w:uiPriority w:val="99"/>
    <w:semiHidden/>
    <w:unhideWhenUsed/>
    <w:rsid w:val="00727AB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27AB6"/>
    <w:rPr>
      <w:sz w:val="20"/>
      <w:szCs w:val="20"/>
    </w:rPr>
  </w:style>
  <w:style w:type="paragraph" w:styleId="Zadevapripombe">
    <w:name w:val="annotation subject"/>
    <w:basedOn w:val="Pripombabesedilo"/>
    <w:next w:val="Pripombabesedilo"/>
    <w:link w:val="ZadevapripombeZnak"/>
    <w:uiPriority w:val="99"/>
    <w:semiHidden/>
    <w:unhideWhenUsed/>
    <w:rsid w:val="00727AB6"/>
    <w:rPr>
      <w:b/>
      <w:bCs/>
    </w:rPr>
  </w:style>
  <w:style w:type="character" w:customStyle="1" w:styleId="ZadevapripombeZnak">
    <w:name w:val="Zadeva pripombe Znak"/>
    <w:basedOn w:val="PripombabesediloZnak"/>
    <w:link w:val="Zadevapripombe"/>
    <w:uiPriority w:val="99"/>
    <w:semiHidden/>
    <w:rsid w:val="00727AB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A61129-A786-4B8D-991E-F814FC077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1332</Words>
  <Characters>7593</Characters>
  <Application>Microsoft Office Word</Application>
  <DocSecurity>0</DocSecurity>
  <Lines>63</Lines>
  <Paragraphs>17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8908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SZO</dc:creator>
  <cp:lastModifiedBy>Sabina Podržaj</cp:lastModifiedBy>
  <cp:revision>2</cp:revision>
  <dcterms:created xsi:type="dcterms:W3CDTF">2021-09-16T11:55:00Z</dcterms:created>
  <dcterms:modified xsi:type="dcterms:W3CDTF">2021-09-16T11:55:00Z</dcterms:modified>
</cp:coreProperties>
</file>