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F03A00">
      <w:pPr>
        <w:pStyle w:val="datumtevilka"/>
      </w:pPr>
      <w:bookmarkStart w:id="0" w:name="_Hlk61014710"/>
      <w:bookmarkEnd w:id="0"/>
      <w:r w:rsidRPr="002760DC">
        <w:rPr>
          <w:rFonts w:cs="Arial"/>
          <w:color w:val="000000"/>
        </w:rPr>
        <w:t>EVA:</w:t>
      </w:r>
      <w:r w:rsidRPr="002760DC">
        <w:rPr>
          <w:rFonts w:cs="Arial"/>
          <w:color w:val="000000"/>
        </w:rPr>
        <w:tab/>
      </w:r>
      <w:r w:rsidR="00437130">
        <w:rPr>
          <w:rFonts w:cs="Arial"/>
          <w:color w:val="000000"/>
        </w:rPr>
        <w:t>2020-2030-0003</w:t>
      </w:r>
    </w:p>
    <w:p w:rsidR="009C657E" w:rsidRPr="002760DC" w:rsidRDefault="009C657E" w:rsidP="00F03A00">
      <w:pPr>
        <w:pStyle w:val="datumtevilka"/>
      </w:pPr>
      <w:r w:rsidRPr="002760DC">
        <w:t xml:space="preserve">Številka: </w:t>
      </w:r>
      <w:r w:rsidRPr="002760DC">
        <w:tab/>
      </w:r>
      <w:r w:rsidR="00437130">
        <w:rPr>
          <w:rFonts w:cs="Arial"/>
          <w:color w:val="000000"/>
        </w:rPr>
        <w:t>00720-14/2021/15</w:t>
      </w:r>
    </w:p>
    <w:p w:rsidR="009C657E" w:rsidRPr="002760DC" w:rsidRDefault="009C657E" w:rsidP="00F03A00">
      <w:pPr>
        <w:pStyle w:val="datumtevilka"/>
      </w:pPr>
      <w:r>
        <w:t>Datum:</w:t>
      </w:r>
      <w:r w:rsidRPr="002760DC">
        <w:tab/>
      </w:r>
      <w:r w:rsidR="00437130">
        <w:rPr>
          <w:rFonts w:cs="Arial"/>
          <w:color w:val="000000"/>
        </w:rPr>
        <w:t>15. 6. 2021</w:t>
      </w:r>
      <w:r w:rsidRPr="002760DC">
        <w:t xml:space="preserve"> </w:t>
      </w:r>
    </w:p>
    <w:p w:rsidR="009C657E" w:rsidRDefault="009C657E" w:rsidP="00F03A00"/>
    <w:p w:rsidR="0051585C" w:rsidRPr="002760DC" w:rsidRDefault="0051585C" w:rsidP="00F03A00"/>
    <w:p w:rsidR="009C657E" w:rsidRDefault="009C657E" w:rsidP="00F03A00">
      <w:pPr>
        <w:autoSpaceDE w:val="0"/>
        <w:autoSpaceDN w:val="0"/>
        <w:adjustRightInd w:val="0"/>
        <w:rPr>
          <w:rFonts w:cs="Arial"/>
          <w:color w:val="000000"/>
          <w:szCs w:val="20"/>
        </w:rPr>
      </w:pPr>
    </w:p>
    <w:p w:rsidR="009C657E" w:rsidRPr="0051585C" w:rsidRDefault="00437130" w:rsidP="0051585C">
      <w:pPr>
        <w:autoSpaceDE w:val="0"/>
        <w:autoSpaceDN w:val="0"/>
        <w:adjustRightInd w:val="0"/>
        <w:jc w:val="center"/>
        <w:rPr>
          <w:rFonts w:cs="Arial"/>
          <w:b/>
          <w:color w:val="000000"/>
          <w:szCs w:val="20"/>
        </w:rPr>
      </w:pPr>
      <w:r w:rsidRPr="0051585C">
        <w:rPr>
          <w:rFonts w:cs="Arial"/>
          <w:b/>
          <w:color w:val="000000"/>
          <w:szCs w:val="20"/>
        </w:rPr>
        <w:t>Predlog</w:t>
      </w:r>
      <w:r w:rsidR="00F03A00" w:rsidRPr="0051585C">
        <w:rPr>
          <w:rFonts w:cs="Arial"/>
          <w:b/>
          <w:color w:val="000000"/>
          <w:szCs w:val="20"/>
        </w:rPr>
        <w:t>i</w:t>
      </w:r>
      <w:r w:rsidRPr="0051585C">
        <w:rPr>
          <w:rFonts w:cs="Arial"/>
          <w:b/>
          <w:color w:val="000000"/>
          <w:szCs w:val="20"/>
        </w:rPr>
        <w:t xml:space="preserve"> amandmajev k Predlogu Zakona o spremembah in dopolnitvah Zakona o zemljiški knjigi</w:t>
      </w:r>
    </w:p>
    <w:p w:rsidR="009C657E" w:rsidRDefault="009C657E" w:rsidP="00F03A00">
      <w:pPr>
        <w:autoSpaceDE w:val="0"/>
        <w:autoSpaceDN w:val="0"/>
        <w:adjustRightInd w:val="0"/>
        <w:jc w:val="both"/>
        <w:rPr>
          <w:rFonts w:cs="Arial"/>
          <w:color w:val="000000"/>
          <w:szCs w:val="20"/>
          <w:lang w:eastAsia="sl-SI"/>
        </w:rPr>
      </w:pPr>
    </w:p>
    <w:p w:rsidR="009C657E" w:rsidRDefault="009C657E" w:rsidP="00F03A00">
      <w:pPr>
        <w:tabs>
          <w:tab w:val="left" w:pos="7920"/>
        </w:tabs>
        <w:autoSpaceDE w:val="0"/>
        <w:autoSpaceDN w:val="0"/>
        <w:adjustRightInd w:val="0"/>
        <w:jc w:val="both"/>
        <w:rPr>
          <w:rFonts w:cs="Arial"/>
          <w:color w:val="000000"/>
          <w:szCs w:val="20"/>
        </w:rPr>
      </w:pPr>
    </w:p>
    <w:p w:rsidR="0051585C" w:rsidRDefault="0051585C" w:rsidP="0051585C">
      <w:pPr>
        <w:rPr>
          <w:rFonts w:cs="Arial"/>
          <w:b/>
          <w:bCs/>
          <w:sz w:val="22"/>
          <w:szCs w:val="22"/>
          <w:lang w:eastAsia="sl-SI"/>
        </w:rPr>
      </w:pPr>
    </w:p>
    <w:p w:rsidR="0051585C" w:rsidRDefault="0051585C" w:rsidP="0051585C">
      <w:pPr>
        <w:spacing w:line="240" w:lineRule="auto"/>
        <w:jc w:val="both"/>
        <w:rPr>
          <w:rFonts w:cs="Arial"/>
          <w:b/>
          <w:bCs/>
          <w:szCs w:val="20"/>
          <w:u w:val="single"/>
        </w:rPr>
      </w:pPr>
      <w:r>
        <w:rPr>
          <w:rFonts w:cs="Arial"/>
          <w:b/>
          <w:bCs/>
          <w:szCs w:val="20"/>
          <w:u w:val="single"/>
        </w:rPr>
        <w:t>K 14. členu:</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szCs w:val="20"/>
        </w:rPr>
      </w:pPr>
      <w:r>
        <w:rPr>
          <w:rFonts w:cs="Arial"/>
          <w:szCs w:val="20"/>
        </w:rPr>
        <w:t>V 14. členu se v spremenjenemu 58. členu v 2. točki prvega odstavka črta beseda »pravnomočno«.</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szCs w:val="20"/>
        </w:rPr>
      </w:pPr>
      <w:r>
        <w:rPr>
          <w:rFonts w:cs="Arial"/>
          <w:szCs w:val="20"/>
        </w:rPr>
        <w:t>V 2. točki spremenjenega drugega odstavka se črta beseda »pravnomočen«.</w:t>
      </w:r>
    </w:p>
    <w:p w:rsidR="0051585C" w:rsidRDefault="0051585C" w:rsidP="0051585C">
      <w:pPr>
        <w:spacing w:line="240" w:lineRule="auto"/>
        <w:jc w:val="both"/>
        <w:rPr>
          <w:rFonts w:cs="Arial"/>
          <w:b/>
          <w:bCs/>
          <w:szCs w:val="20"/>
        </w:rPr>
      </w:pPr>
    </w:p>
    <w:p w:rsidR="0051585C" w:rsidRDefault="0051585C" w:rsidP="0051585C">
      <w:pPr>
        <w:spacing w:line="240" w:lineRule="auto"/>
        <w:jc w:val="both"/>
        <w:rPr>
          <w:rFonts w:cs="Arial"/>
          <w:b/>
          <w:bCs/>
          <w:szCs w:val="20"/>
        </w:rPr>
      </w:pPr>
      <w:r>
        <w:rPr>
          <w:rFonts w:cs="Arial"/>
          <w:b/>
          <w:bCs/>
          <w:szCs w:val="20"/>
        </w:rPr>
        <w:t>Obrazložitev:</w:t>
      </w:r>
    </w:p>
    <w:p w:rsidR="0051585C" w:rsidRDefault="0051585C" w:rsidP="0051585C">
      <w:pPr>
        <w:spacing w:line="240" w:lineRule="auto"/>
        <w:jc w:val="both"/>
        <w:rPr>
          <w:rFonts w:cs="Arial"/>
          <w:szCs w:val="20"/>
        </w:rPr>
      </w:pPr>
      <w:r>
        <w:rPr>
          <w:rFonts w:cs="Arial"/>
          <w:szCs w:val="20"/>
        </w:rPr>
        <w:t>Na podlagi pripombe Zakonodajno-pravne službe (v nadaljevanju ZPS) se v določbah, ki urejajo zavrnitev ali zavrženje predloga za dopustitev revizije kot pogoja za izbris predznambe, z amandmajem črta pogoj pravnomočnosti te odločitve. V skladu z Zakonom o pravdnem postopku, ki ureja institut revizije, zoper odločitev Vrhovnega sodišča, da se predlog za revizijo zavrže ali zavrne, namreč ni pravnega sredstva.</w:t>
      </w:r>
    </w:p>
    <w:p w:rsidR="0051585C" w:rsidRDefault="0051585C" w:rsidP="0051585C">
      <w:pPr>
        <w:spacing w:line="240" w:lineRule="auto"/>
        <w:jc w:val="both"/>
        <w:rPr>
          <w:rFonts w:cs="Arial"/>
          <w:b/>
          <w:bCs/>
          <w:szCs w:val="20"/>
          <w:u w:val="single"/>
        </w:rPr>
      </w:pPr>
    </w:p>
    <w:p w:rsidR="0051585C" w:rsidRDefault="0051585C" w:rsidP="0051585C">
      <w:pPr>
        <w:spacing w:line="240" w:lineRule="auto"/>
        <w:jc w:val="both"/>
        <w:rPr>
          <w:rFonts w:cs="Arial"/>
          <w:b/>
          <w:bCs/>
          <w:szCs w:val="20"/>
          <w:u w:val="single"/>
        </w:rPr>
      </w:pPr>
      <w:r>
        <w:rPr>
          <w:rFonts w:cs="Arial"/>
          <w:b/>
          <w:bCs/>
          <w:szCs w:val="20"/>
          <w:u w:val="single"/>
        </w:rPr>
        <w:t>K 16. členu:</w:t>
      </w:r>
    </w:p>
    <w:p w:rsidR="0051585C" w:rsidRDefault="0051585C" w:rsidP="0051585C">
      <w:pPr>
        <w:spacing w:line="240" w:lineRule="auto"/>
        <w:jc w:val="both"/>
        <w:rPr>
          <w:rFonts w:cs="Arial"/>
          <w:b/>
          <w:bCs/>
          <w:szCs w:val="20"/>
          <w:u w:val="single"/>
        </w:rPr>
      </w:pPr>
    </w:p>
    <w:p w:rsidR="0051585C" w:rsidRDefault="0051585C" w:rsidP="0051585C">
      <w:pPr>
        <w:spacing w:line="240" w:lineRule="auto"/>
        <w:jc w:val="both"/>
        <w:rPr>
          <w:rFonts w:cs="Arial"/>
          <w:szCs w:val="20"/>
        </w:rPr>
      </w:pPr>
      <w:r>
        <w:rPr>
          <w:rFonts w:cs="Arial"/>
          <w:szCs w:val="20"/>
        </w:rPr>
        <w:t>V 16. členu se v spremenjen četrtem odstavku 70. člena črtata besedi »zoper predlagatelja« in besedi »ali stečaja«, za besedama »odtujitve nepremičnine« pa se doda vejica in besedilo »ki učinkuje zoper predlagatelja,«.</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b/>
          <w:bCs/>
          <w:szCs w:val="20"/>
        </w:rPr>
      </w:pPr>
      <w:r>
        <w:rPr>
          <w:rFonts w:cs="Arial"/>
          <w:b/>
          <w:bCs/>
          <w:szCs w:val="20"/>
        </w:rPr>
        <w:t>Obrazložitev:</w:t>
      </w:r>
    </w:p>
    <w:p w:rsidR="0051585C" w:rsidRDefault="0051585C" w:rsidP="0051585C">
      <w:pPr>
        <w:spacing w:line="240" w:lineRule="auto"/>
        <w:jc w:val="both"/>
        <w:rPr>
          <w:rFonts w:cs="Arial"/>
          <w:szCs w:val="20"/>
        </w:rPr>
      </w:pPr>
      <w:r>
        <w:rPr>
          <w:rFonts w:cs="Arial"/>
          <w:szCs w:val="20"/>
        </w:rPr>
        <w:t>Po ponovni proučitvi predlagane določbe in na podlagi pripombe ZPS, da je treba pojasniti razloge za prepoved razpolaganja z zaznamovanim vrstnim redom pri zaznambi stečaja, amandma jasneje določa, da prenos zaznambe vrstnega reda ni mogoč, če prepoved odtujitve in obremenitve učinkuje zoper predlagatelja, saj tovrstna zaznamba ni vpisana zoper predlagatelja. Prav tako se z amandmajem črta možnost prenosa zaznambe vrstnega reda v stečaju, saj v primeru, da je začet stečajni postopek, ta dejanja ne opravlja več dolžnik (ki bi lahko s tem otežil potek postopka), ampak v imenu stečajnega dolžnika kot njegov zakoniti zastopnik stečajni upravitelj. Če je dolžnik prenesel razpolaganje z zaznamovanim vrstnim redom na novega upravičenca, se bo novi upravičenec lahko vpisal v zemljiško knjigo le, če v bo roku, v katerem zaznamba vrstnega reda učinkuje, predlagal vknjižbo ali predznambo lastninske pravice ali hipoteko. Za vknjižbo ali predznambo lastninske pravice ali hipoteke bo moral v skladu s 40. členom ZZK-1 priložiti ustrezno listino, ki jo po začetku stečajnega postopka lahko izda  le stečajni upravitelj. Ker je stečajni upravitelj v postopkih zaradi insolventnosti organ postopka zaradi insolventnosti in hkrati zakoniti zastopnik stečajnega dolžnika, predlagatelj ocenjuje, da je pravilno, da se mu tako omogoči razpolaganje z zaznamovanim vrstnim redom, saj bo tudi on oziroma sodišče tisto, ki bo kasneje izdalo listino, ki bo podlaga za vpis v zaznamovanem vrstnem redu.</w:t>
      </w:r>
    </w:p>
    <w:p w:rsidR="0051585C" w:rsidRDefault="0051585C" w:rsidP="0051585C">
      <w:pPr>
        <w:spacing w:line="240" w:lineRule="auto"/>
        <w:jc w:val="both"/>
        <w:rPr>
          <w:rFonts w:cs="Arial"/>
          <w:b/>
          <w:bCs/>
          <w:szCs w:val="20"/>
          <w:u w:val="single"/>
        </w:rPr>
      </w:pPr>
    </w:p>
    <w:p w:rsidR="0051585C" w:rsidRDefault="0051585C" w:rsidP="0051585C">
      <w:pPr>
        <w:spacing w:line="240" w:lineRule="auto"/>
        <w:jc w:val="both"/>
        <w:rPr>
          <w:rFonts w:cs="Arial"/>
          <w:b/>
          <w:bCs/>
          <w:szCs w:val="20"/>
          <w:u w:val="single"/>
        </w:rPr>
      </w:pPr>
      <w:r>
        <w:rPr>
          <w:rFonts w:cs="Arial"/>
          <w:b/>
          <w:bCs/>
          <w:szCs w:val="20"/>
          <w:u w:val="single"/>
        </w:rPr>
        <w:t>K 17. členu:</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szCs w:val="20"/>
        </w:rPr>
      </w:pPr>
      <w:r>
        <w:rPr>
          <w:rFonts w:cs="Arial"/>
          <w:szCs w:val="20"/>
        </w:rPr>
        <w:t>V 17. členu se v spremenjenemu 84. členu v 2. točki prvega odstavka črta beseda »pravnomočno«.</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szCs w:val="20"/>
        </w:rPr>
      </w:pPr>
      <w:r>
        <w:rPr>
          <w:rFonts w:cs="Arial"/>
          <w:szCs w:val="20"/>
        </w:rPr>
        <w:t>V 2. točki spremenjenega drugega odstavka se črta beseda »pravnomočen«.</w:t>
      </w:r>
    </w:p>
    <w:p w:rsidR="0051585C" w:rsidRDefault="0051585C" w:rsidP="0051585C">
      <w:pPr>
        <w:spacing w:line="240" w:lineRule="auto"/>
        <w:jc w:val="both"/>
        <w:rPr>
          <w:rFonts w:cs="Arial"/>
          <w:b/>
          <w:bCs/>
          <w:szCs w:val="20"/>
        </w:rPr>
      </w:pPr>
    </w:p>
    <w:p w:rsidR="0051585C" w:rsidRDefault="0051585C" w:rsidP="0051585C">
      <w:pPr>
        <w:spacing w:line="240" w:lineRule="auto"/>
        <w:jc w:val="both"/>
        <w:rPr>
          <w:rFonts w:cs="Arial"/>
          <w:b/>
          <w:bCs/>
          <w:szCs w:val="20"/>
        </w:rPr>
      </w:pPr>
      <w:r>
        <w:rPr>
          <w:rFonts w:cs="Arial"/>
          <w:b/>
          <w:bCs/>
          <w:szCs w:val="20"/>
        </w:rPr>
        <w:t>Obrazložitev:</w:t>
      </w:r>
    </w:p>
    <w:p w:rsidR="0051585C" w:rsidRDefault="0051585C" w:rsidP="0051585C">
      <w:pPr>
        <w:spacing w:line="240" w:lineRule="auto"/>
        <w:jc w:val="both"/>
        <w:rPr>
          <w:rFonts w:cs="Arial"/>
          <w:szCs w:val="20"/>
        </w:rPr>
      </w:pPr>
      <w:r>
        <w:rPr>
          <w:rFonts w:cs="Arial"/>
          <w:szCs w:val="20"/>
        </w:rPr>
        <w:t xml:space="preserve">Na podlagi pripombe ZPS se v določbah, ki urejajo zavrnitev ali zavrženje predloga za dopustitev revizije kot pogoja za izbris zaznambe spora, z amandmajem črta pogoj pravnomočnosti te odločitve. V skladu z Zakonom o pravdnem postopku, ki ureja institut revizije, zoper odločitev Vrhovnega sodišča, da se predlog za revizijo zavrže ali zavrne, namreč ni pravnega sredstva. </w:t>
      </w:r>
    </w:p>
    <w:p w:rsidR="0051585C" w:rsidRDefault="0051585C" w:rsidP="0051585C">
      <w:pPr>
        <w:spacing w:line="240" w:lineRule="auto"/>
        <w:jc w:val="both"/>
        <w:rPr>
          <w:rFonts w:cs="Arial"/>
          <w:b/>
          <w:bCs/>
          <w:szCs w:val="20"/>
          <w:u w:val="single"/>
        </w:rPr>
      </w:pPr>
    </w:p>
    <w:p w:rsidR="0051585C" w:rsidRDefault="0051585C" w:rsidP="0051585C">
      <w:pPr>
        <w:spacing w:line="240" w:lineRule="auto"/>
        <w:jc w:val="both"/>
        <w:rPr>
          <w:rFonts w:cs="Arial"/>
          <w:b/>
          <w:bCs/>
          <w:szCs w:val="20"/>
          <w:u w:val="single"/>
        </w:rPr>
      </w:pPr>
      <w:r>
        <w:rPr>
          <w:rFonts w:cs="Arial"/>
          <w:b/>
          <w:bCs/>
          <w:szCs w:val="20"/>
          <w:u w:val="single"/>
        </w:rPr>
        <w:t>K 23. členu:</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szCs w:val="20"/>
        </w:rPr>
      </w:pPr>
      <w:r>
        <w:rPr>
          <w:rFonts w:cs="Arial"/>
          <w:szCs w:val="20"/>
        </w:rPr>
        <w:t>V 23. členu se v spremenjenem prvem odstavku 109. člena v 2. točki črta beseda »pravnomočno«.</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szCs w:val="20"/>
        </w:rPr>
      </w:pPr>
      <w:r>
        <w:rPr>
          <w:rFonts w:cs="Arial"/>
          <w:szCs w:val="20"/>
        </w:rPr>
        <w:t>V 2. točki spremenjenega drugega odstavka se črta beseda »pravnomočen«.</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szCs w:val="20"/>
        </w:rPr>
      </w:pPr>
      <w:r>
        <w:rPr>
          <w:rFonts w:cs="Arial"/>
          <w:szCs w:val="20"/>
        </w:rPr>
        <w:t>Za prvim odstavkom 23. člena se doda nov drugi odstavek, ki se glasi:</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szCs w:val="20"/>
        </w:rPr>
      </w:pPr>
      <w:r>
        <w:rPr>
          <w:rFonts w:cs="Arial"/>
          <w:szCs w:val="20"/>
        </w:rPr>
        <w:t>»V tretjem odstavku se v 2. točki besedilo »2. točke« nadomesti z besedilom »3. točke«.«.</w:t>
      </w:r>
    </w:p>
    <w:p w:rsidR="0051585C" w:rsidRDefault="0051585C" w:rsidP="0051585C">
      <w:pPr>
        <w:spacing w:line="240" w:lineRule="auto"/>
        <w:jc w:val="both"/>
        <w:rPr>
          <w:rFonts w:cs="Arial"/>
          <w:b/>
          <w:bCs/>
          <w:szCs w:val="20"/>
        </w:rPr>
      </w:pPr>
    </w:p>
    <w:p w:rsidR="0051585C" w:rsidRDefault="0051585C" w:rsidP="0051585C">
      <w:pPr>
        <w:spacing w:line="240" w:lineRule="auto"/>
        <w:jc w:val="both"/>
        <w:rPr>
          <w:rFonts w:cs="Arial"/>
          <w:b/>
          <w:bCs/>
          <w:szCs w:val="20"/>
        </w:rPr>
      </w:pPr>
      <w:r>
        <w:rPr>
          <w:rFonts w:cs="Arial"/>
          <w:b/>
          <w:bCs/>
          <w:szCs w:val="20"/>
        </w:rPr>
        <w:t>Obrazložitev:</w:t>
      </w:r>
    </w:p>
    <w:p w:rsidR="0051585C" w:rsidRDefault="0051585C" w:rsidP="0051585C">
      <w:pPr>
        <w:spacing w:line="240" w:lineRule="auto"/>
        <w:jc w:val="both"/>
        <w:rPr>
          <w:rFonts w:cs="Arial"/>
          <w:szCs w:val="20"/>
        </w:rPr>
      </w:pPr>
      <w:r>
        <w:rPr>
          <w:rFonts w:cs="Arial"/>
          <w:szCs w:val="20"/>
        </w:rPr>
        <w:t xml:space="preserve">Na podlagi pripombe ZPS se pri določbah, ki urejajo zavrnitev ali zavrženje predloga za dopustitev revizije kot pogoja za izbris zaznambe izrednega pravnega sredstva, z amandmajem črta pogoj pravnomočnosti te odločitve. V skladu z Zakonom o pravdnem postopku, ki ureja institut revizije, zoper odločitev Vrhovnega sodišča, da se predlog za revizijo zavrže ali zavrne, namreč ni pravnega sredstva. </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szCs w:val="20"/>
        </w:rPr>
      </w:pPr>
      <w:r>
        <w:rPr>
          <w:rFonts w:cs="Arial"/>
          <w:szCs w:val="20"/>
        </w:rPr>
        <w:t>Zaradi spremembe prvega odstavka 109. člena ZZK-1 se z amandmajem v tretjem odstavku 109. člena ZZK-1 popravlja sklic na 3. točko prvega odstavka.</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b/>
          <w:bCs/>
          <w:szCs w:val="20"/>
          <w:u w:val="single"/>
        </w:rPr>
      </w:pPr>
      <w:r>
        <w:rPr>
          <w:rFonts w:cs="Arial"/>
          <w:b/>
          <w:bCs/>
          <w:szCs w:val="20"/>
          <w:u w:val="single"/>
        </w:rPr>
        <w:t>K 24. členu:</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szCs w:val="20"/>
        </w:rPr>
      </w:pPr>
      <w:r>
        <w:rPr>
          <w:rFonts w:cs="Arial"/>
          <w:szCs w:val="20"/>
        </w:rPr>
        <w:t>24. člen se črta.</w:t>
      </w:r>
    </w:p>
    <w:p w:rsidR="0051585C" w:rsidRDefault="0051585C" w:rsidP="0051585C">
      <w:pPr>
        <w:spacing w:line="240" w:lineRule="auto"/>
        <w:jc w:val="both"/>
        <w:rPr>
          <w:rFonts w:cs="Arial"/>
          <w:b/>
          <w:bCs/>
          <w:szCs w:val="20"/>
        </w:rPr>
      </w:pPr>
    </w:p>
    <w:p w:rsidR="0051585C" w:rsidRDefault="0051585C" w:rsidP="0051585C">
      <w:pPr>
        <w:spacing w:line="240" w:lineRule="auto"/>
        <w:jc w:val="both"/>
        <w:rPr>
          <w:rFonts w:cs="Arial"/>
          <w:b/>
          <w:bCs/>
          <w:szCs w:val="20"/>
        </w:rPr>
      </w:pPr>
      <w:r>
        <w:rPr>
          <w:rFonts w:cs="Arial"/>
          <w:b/>
          <w:bCs/>
          <w:szCs w:val="20"/>
        </w:rPr>
        <w:t>Obrazložitev:</w:t>
      </w:r>
    </w:p>
    <w:p w:rsidR="0051585C" w:rsidRDefault="0051585C" w:rsidP="0051585C">
      <w:pPr>
        <w:spacing w:line="240" w:lineRule="auto"/>
        <w:jc w:val="both"/>
        <w:rPr>
          <w:rFonts w:cs="Arial"/>
          <w:szCs w:val="20"/>
        </w:rPr>
      </w:pPr>
      <w:r>
        <w:rPr>
          <w:rFonts w:cs="Arial"/>
          <w:szCs w:val="20"/>
        </w:rPr>
        <w:t>24. člen Predloga zakona uvaja nov 110.a člen, s katerim se določa smiselna uporaba določb ZZK-1, ki urejajo zaznambo izrednega pravnega sredstva, za primere, ko je vloženo izredno pravno sredstvo zoper pravnomočni sklep zemljiškoknjižnega sodišča. Vrhovno sodišče je opozorilo, da napotitev na smiselno uporabo določb glede zaznambe izrednih pravnih sredstev ni ustrezna in da bi lahko privedla do zelo različnih razlag in posledično zelo raznotere uporabe tega instituta, kar bi lahko pomembno ogrozilo pravno varnost pri prometu z nepremičninami. Nadalje bi taka določba po oceni Vrhovnega sodišča zahtevala tudi obsežnejše prilagoditve informacijskega sistema zemljiške knjige, ki jih ni moč izvesti prej kot v enem letu, kar bi terjalo posebno prehodno rešitev, v ta namen pa tudi ni zagotovljenih finančnih in kadrovskih sredstev. Poleg tega je vprašljiva tudi sama smotrnost uvedbe te zaznambe. Podatki namreč izkazujejo, da so pritožbe vložene samo v 0,16% vseh zadev, ki jih rešijo sodišča, zahteve za varstvo zakonitosti pa v 0,0008% zadev, ki jih rešijo sodišča. Po oceni Vrhovnega sodišča je zato moč pričakovati, da bo število dopuščenih revizij proti pravnomočnim sklepom zemljiškoknjižnih sodišč primerljivo s številom do sedaj vloženih zahtev za varstvo zakonitosti v zemljiškoknjižnih zadevah.</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szCs w:val="20"/>
        </w:rPr>
      </w:pPr>
      <w:r>
        <w:rPr>
          <w:rFonts w:cs="Arial"/>
          <w:szCs w:val="20"/>
        </w:rPr>
        <w:t xml:space="preserve">Na podlagi teh opozoril in podatkov Vrhovnega sodišča se z amandmajem predlaga črtanje 24. člena Predloga zakona. </w:t>
      </w:r>
      <w:proofErr w:type="spellStart"/>
      <w:r>
        <w:rPr>
          <w:rFonts w:cs="Arial"/>
          <w:szCs w:val="20"/>
        </w:rPr>
        <w:t>Pripad</w:t>
      </w:r>
      <w:proofErr w:type="spellEnd"/>
      <w:r>
        <w:rPr>
          <w:rFonts w:cs="Arial"/>
          <w:szCs w:val="20"/>
        </w:rPr>
        <w:t xml:space="preserve"> zadev namreč ne upravičuje vseh potrebnih normativnih in izvedbenih prilagoditev, posameznik pa lahko varstvo svojih pravic proti </w:t>
      </w:r>
      <w:proofErr w:type="spellStart"/>
      <w:r>
        <w:rPr>
          <w:rFonts w:cs="Arial"/>
          <w:szCs w:val="20"/>
        </w:rPr>
        <w:t>nedobrovernemu</w:t>
      </w:r>
      <w:proofErr w:type="spellEnd"/>
      <w:r>
        <w:rPr>
          <w:rFonts w:cs="Arial"/>
          <w:szCs w:val="20"/>
        </w:rPr>
        <w:t xml:space="preserve"> pridobitelju pravice, ki se vpisuje v zemljiško knjigo, doseže že v okviru obstoječe izbrisne tožbe in zaznambe njene vložitve v zemljiški knjigi. </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b/>
          <w:bCs/>
          <w:szCs w:val="20"/>
          <w:u w:val="single"/>
        </w:rPr>
      </w:pPr>
      <w:r>
        <w:rPr>
          <w:rFonts w:cs="Arial"/>
          <w:b/>
          <w:bCs/>
          <w:szCs w:val="20"/>
          <w:u w:val="single"/>
        </w:rPr>
        <w:t>K 25. členu:</w:t>
      </w:r>
    </w:p>
    <w:p w:rsidR="0051585C" w:rsidRDefault="0051585C" w:rsidP="0051585C">
      <w:pPr>
        <w:spacing w:line="240" w:lineRule="auto"/>
        <w:jc w:val="both"/>
        <w:rPr>
          <w:rFonts w:cs="Arial"/>
          <w:b/>
          <w:bCs/>
          <w:szCs w:val="20"/>
          <w:u w:val="single"/>
        </w:rPr>
      </w:pPr>
    </w:p>
    <w:p w:rsidR="0051585C" w:rsidRDefault="0051585C" w:rsidP="0051585C">
      <w:pPr>
        <w:spacing w:line="240" w:lineRule="auto"/>
        <w:jc w:val="both"/>
        <w:rPr>
          <w:rFonts w:cs="Arial"/>
          <w:szCs w:val="20"/>
        </w:rPr>
      </w:pPr>
      <w:r>
        <w:rPr>
          <w:rFonts w:cs="Arial"/>
          <w:szCs w:val="20"/>
        </w:rPr>
        <w:t>V 25. členu se drugi odstavek spremeni tako, da se glasi:</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szCs w:val="20"/>
        </w:rPr>
      </w:pPr>
      <w:r>
        <w:rPr>
          <w:rFonts w:cs="Arial"/>
          <w:szCs w:val="20"/>
        </w:rPr>
        <w:lastRenderedPageBreak/>
        <w:t xml:space="preserve">»Za tretjim odstavkom se dodajo novi četrti, peti in šesti odstavek, ki se glasijo: </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color w:val="000000" w:themeColor="text1"/>
          <w:szCs w:val="20"/>
        </w:rPr>
      </w:pPr>
      <w:r>
        <w:rPr>
          <w:rFonts w:cs="Arial"/>
          <w:color w:val="000000" w:themeColor="text1"/>
          <w:szCs w:val="20"/>
        </w:rPr>
        <w:t>»(4) Če je vložena zahteva za varstvo zakonitosti in vrhovno sodišče spozna, da je utemeljena, se ne uporablja določba zakona, ki ureja pravdni postopek, ki določa, da vrhovno sodišče ugotovi le, da je bil zakon prekršen, ne da bi posegalo v pravnomočno odločbo.</w:t>
      </w:r>
    </w:p>
    <w:p w:rsidR="0051585C" w:rsidRDefault="0051585C" w:rsidP="0051585C">
      <w:pPr>
        <w:spacing w:line="240" w:lineRule="auto"/>
        <w:jc w:val="both"/>
        <w:rPr>
          <w:rFonts w:cs="Arial"/>
          <w:color w:val="000000" w:themeColor="text1"/>
          <w:szCs w:val="20"/>
        </w:rPr>
      </w:pPr>
    </w:p>
    <w:p w:rsidR="0051585C" w:rsidRDefault="0051585C" w:rsidP="0051585C">
      <w:pPr>
        <w:spacing w:line="240" w:lineRule="auto"/>
        <w:jc w:val="both"/>
        <w:rPr>
          <w:rFonts w:cs="Arial"/>
          <w:szCs w:val="20"/>
        </w:rPr>
      </w:pPr>
      <w:r>
        <w:rPr>
          <w:rFonts w:cs="Arial"/>
          <w:szCs w:val="20"/>
        </w:rPr>
        <w:t>(5) Za odločanje o reviziji se smiselno uporabljajo določbe drugega in tretjega odstavka 161. člena tega zakona.</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szCs w:val="20"/>
        </w:rPr>
      </w:pPr>
      <w:r>
        <w:rPr>
          <w:rFonts w:cs="Arial"/>
          <w:szCs w:val="20"/>
        </w:rPr>
        <w:t>(6) O vpisih na podlagi odločbe, s katero sodišče odloči o reviziji, odloča zemljiškoknjižno sodišče po uradni dolžnosti na podlagi stanja vpisov v zemljiški knjigi v trenutku, ko je prejelo to odločbo.«.«.</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b/>
          <w:bCs/>
          <w:szCs w:val="20"/>
        </w:rPr>
      </w:pPr>
      <w:r>
        <w:rPr>
          <w:rFonts w:cs="Arial"/>
          <w:b/>
          <w:bCs/>
          <w:szCs w:val="20"/>
        </w:rPr>
        <w:t>Obrazložitev:</w:t>
      </w:r>
    </w:p>
    <w:p w:rsidR="0051585C" w:rsidRDefault="0051585C" w:rsidP="0051585C">
      <w:pPr>
        <w:spacing w:line="240" w:lineRule="auto"/>
        <w:jc w:val="both"/>
        <w:rPr>
          <w:rFonts w:cs="Arial"/>
          <w:szCs w:val="20"/>
        </w:rPr>
      </w:pPr>
      <w:r>
        <w:rPr>
          <w:rFonts w:cs="Arial"/>
          <w:szCs w:val="20"/>
        </w:rPr>
        <w:t>Ker Predlog zakona kot izredno pravno sredstvo dopušča tudi revizijo, je treba urediti tudi pravila odločanja oziroma ravnanja pristojnega sodišča v zvezi z njo. Medtem ko je za odločanje o zahtevi za varstvo zakonitosti to urejeno v četrtem odstavku 161. člena ZZK-1, se zaradi omejitev, določenih v prvem odstavku 132. člena Poslovnika državnega zbora, z amandmajem ta pravila določajo v 120. členu ZZK-1. Pri tem se, enako kot pri zahtevi za varstvo zakonitosti, predlaga, da se za odločanje o reviziji smiselno uporabljajo določbe drugega in tretjega odstavka 161. člena ZZK-1. Prav tako se z amandmajem določa pravilo o ravnanju zemljiškoknjižnega sodišča, ko prejme odločbo Vrhovnega sodišča o reviziji. Enako kot je v petem odstavku 161. člena ZZK-1 določeno za postopanje zemljiškoknjižnega sodišča po prejemu odločbe o zahtevi za varstvo zakonitosti, se tudi v primeru revizije nalaga zemljiškoknjižnemu sodišču izvedba vpisov, ki izhajajo iz odločbe o reviziji, po uradni dolžnosti in na podlagi stanja vpisov v trenutku, ko je zemljiškoknjižno sodišče prejelo odločbo o reviziji.</w:t>
      </w:r>
    </w:p>
    <w:p w:rsidR="0051585C" w:rsidRDefault="0051585C" w:rsidP="0051585C">
      <w:pPr>
        <w:spacing w:line="240" w:lineRule="auto"/>
        <w:jc w:val="both"/>
        <w:rPr>
          <w:rFonts w:cs="Arial"/>
          <w:b/>
          <w:bCs/>
          <w:szCs w:val="20"/>
          <w:u w:val="single"/>
        </w:rPr>
      </w:pPr>
    </w:p>
    <w:p w:rsidR="0051585C" w:rsidRDefault="0051585C" w:rsidP="0051585C">
      <w:pPr>
        <w:spacing w:line="240" w:lineRule="auto"/>
        <w:jc w:val="both"/>
        <w:rPr>
          <w:rFonts w:cs="Arial"/>
          <w:b/>
          <w:bCs/>
          <w:szCs w:val="20"/>
          <w:u w:val="single"/>
        </w:rPr>
      </w:pPr>
      <w:r>
        <w:rPr>
          <w:rFonts w:cs="Arial"/>
          <w:b/>
          <w:bCs/>
          <w:szCs w:val="20"/>
          <w:u w:val="single"/>
        </w:rPr>
        <w:t>K 26. členu:</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szCs w:val="20"/>
        </w:rPr>
      </w:pPr>
      <w:r>
        <w:rPr>
          <w:rFonts w:cs="Arial"/>
          <w:szCs w:val="20"/>
        </w:rPr>
        <w:t>V 26. členu se pred zaklepajem doda presledek in besedilo »ali občinski odvetnik«.</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b/>
          <w:bCs/>
          <w:szCs w:val="20"/>
        </w:rPr>
      </w:pPr>
      <w:r>
        <w:rPr>
          <w:rFonts w:cs="Arial"/>
          <w:b/>
          <w:bCs/>
          <w:szCs w:val="20"/>
        </w:rPr>
        <w:t>Obrazložitev:</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szCs w:val="20"/>
        </w:rPr>
      </w:pPr>
      <w:r>
        <w:rPr>
          <w:rFonts w:cs="Arial"/>
          <w:szCs w:val="20"/>
        </w:rPr>
        <w:t>Ker lahko v skladu s prvim odstavkom 50.a člena Zakona o lokalni samoupravi občina v primeru, če ne ustanovi občinskega odvetništva, z odlokom odloči, da njegove naloge opravlja občinski odvetnik, se na podlagi pripombe ZPS z amandmajem predlaga ustrezna dopolnitev člena.</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b/>
          <w:bCs/>
          <w:szCs w:val="20"/>
          <w:u w:val="single"/>
        </w:rPr>
      </w:pPr>
      <w:r>
        <w:rPr>
          <w:rFonts w:cs="Arial"/>
          <w:b/>
          <w:bCs/>
          <w:szCs w:val="20"/>
          <w:u w:val="single"/>
        </w:rPr>
        <w:t>K 35. členu:</w:t>
      </w:r>
    </w:p>
    <w:p w:rsidR="0051585C" w:rsidRDefault="0051585C" w:rsidP="0051585C">
      <w:pPr>
        <w:spacing w:line="240" w:lineRule="auto"/>
        <w:jc w:val="both"/>
        <w:rPr>
          <w:rFonts w:cs="Arial"/>
          <w:b/>
          <w:bCs/>
          <w:szCs w:val="20"/>
          <w:u w:val="single"/>
        </w:rPr>
      </w:pPr>
    </w:p>
    <w:p w:rsidR="0051585C" w:rsidRDefault="0051585C" w:rsidP="0051585C">
      <w:pPr>
        <w:spacing w:line="240" w:lineRule="auto"/>
        <w:jc w:val="both"/>
        <w:rPr>
          <w:rFonts w:cs="Arial"/>
          <w:szCs w:val="20"/>
        </w:rPr>
      </w:pPr>
      <w:r>
        <w:rPr>
          <w:rFonts w:cs="Arial"/>
          <w:szCs w:val="20"/>
        </w:rPr>
        <w:t>V 35. členu se drugi in tretji odstavek spremenita tako, da se glasita:</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szCs w:val="20"/>
        </w:rPr>
      </w:pPr>
      <w:r>
        <w:rPr>
          <w:rFonts w:cs="Arial"/>
          <w:szCs w:val="20"/>
        </w:rPr>
        <w:t>»(2) Do začetka uporabe določb iz prejšnjega odstavka se uporabljata drugi in tretji odstavek 37. člena Zakona o zemljiški knjigi (Uradni list RS, št. 58/03, 37/08 – ZST-1, 45/08, 28/09, 25/11, 14/15 – ZUUJFO, 69/17, 11/18 – ZIZ-L in 16/19 – ZNP-1).</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szCs w:val="20"/>
        </w:rPr>
      </w:pPr>
      <w:r>
        <w:rPr>
          <w:rFonts w:cs="Arial"/>
          <w:szCs w:val="20"/>
        </w:rPr>
        <w:t xml:space="preserve">(3) Minister, pristojen za finance, ob tehnični izpolnitvi pogojev izda odredbo, v kateri določi datum, od katerega se uporabljajo določbe iz prvega odstavka tega člena. </w:t>
      </w:r>
      <w:r>
        <w:rPr>
          <w:rFonts w:cs="Arial"/>
          <w:szCs w:val="20"/>
          <w:lang w:val="x-none"/>
        </w:rPr>
        <w:t>Odredba se objavi v Uradnem listu Republike Slovenije.</w:t>
      </w:r>
      <w:r>
        <w:rPr>
          <w:rFonts w:cs="Arial"/>
          <w:szCs w:val="20"/>
        </w:rPr>
        <w:t>«.</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b/>
          <w:bCs/>
          <w:szCs w:val="20"/>
        </w:rPr>
      </w:pPr>
      <w:r>
        <w:rPr>
          <w:rFonts w:cs="Arial"/>
          <w:b/>
          <w:bCs/>
          <w:szCs w:val="20"/>
        </w:rPr>
        <w:t>Obrazložitev:</w:t>
      </w:r>
    </w:p>
    <w:p w:rsidR="0051585C" w:rsidRDefault="0051585C" w:rsidP="0051585C">
      <w:pPr>
        <w:spacing w:line="240" w:lineRule="auto"/>
        <w:jc w:val="both"/>
        <w:rPr>
          <w:rFonts w:cs="Arial"/>
          <w:szCs w:val="20"/>
        </w:rPr>
      </w:pPr>
      <w:r>
        <w:rPr>
          <w:rFonts w:cs="Arial"/>
          <w:szCs w:val="20"/>
        </w:rPr>
        <w:t xml:space="preserve">Na podlagi pripombe ZPS se z amandmajem </w:t>
      </w:r>
      <w:proofErr w:type="spellStart"/>
      <w:r>
        <w:rPr>
          <w:rFonts w:cs="Arial"/>
          <w:szCs w:val="20"/>
        </w:rPr>
        <w:t>nomotehnično</w:t>
      </w:r>
      <w:proofErr w:type="spellEnd"/>
      <w:r>
        <w:rPr>
          <w:rFonts w:cs="Arial"/>
          <w:szCs w:val="20"/>
        </w:rPr>
        <w:t xml:space="preserve"> ustrezneje zapiše določba drugega odstavka, ki zaradi zamika uporabe nekaterih določb preprečuje nastanek pravne praznine.  Prav tako se z amandmajem predlaga, da se odredba, v kateri minister določi datum, od katerega se uporabljajo določbe prvega odstavka tega člena, objavi v Uradnem listu Republike Slovenije, saj načelo pravne države zahteva določnost začetka in prenehanja veljave oziroma uporabe predpisov.</w:t>
      </w:r>
    </w:p>
    <w:p w:rsidR="0051585C" w:rsidRDefault="0051585C" w:rsidP="0051585C">
      <w:pPr>
        <w:tabs>
          <w:tab w:val="left" w:pos="2540"/>
        </w:tabs>
        <w:spacing w:line="240" w:lineRule="auto"/>
        <w:jc w:val="both"/>
        <w:rPr>
          <w:rFonts w:cs="Arial"/>
          <w:szCs w:val="20"/>
        </w:rPr>
      </w:pPr>
    </w:p>
    <w:p w:rsidR="0051585C" w:rsidRDefault="0051585C" w:rsidP="0051585C">
      <w:pPr>
        <w:tabs>
          <w:tab w:val="left" w:pos="2540"/>
        </w:tabs>
        <w:spacing w:line="240" w:lineRule="auto"/>
        <w:jc w:val="both"/>
        <w:rPr>
          <w:rFonts w:cs="Arial"/>
          <w:szCs w:val="20"/>
        </w:rPr>
      </w:pPr>
    </w:p>
    <w:p w:rsidR="0051585C" w:rsidRDefault="0051585C" w:rsidP="0051585C">
      <w:pPr>
        <w:tabs>
          <w:tab w:val="left" w:pos="2540"/>
        </w:tabs>
        <w:spacing w:line="240" w:lineRule="auto"/>
        <w:jc w:val="both"/>
        <w:rPr>
          <w:rFonts w:cs="Arial"/>
          <w:szCs w:val="20"/>
        </w:rPr>
      </w:pPr>
    </w:p>
    <w:p w:rsidR="0051585C" w:rsidRDefault="0051585C" w:rsidP="0051585C">
      <w:pPr>
        <w:tabs>
          <w:tab w:val="left" w:pos="2540"/>
        </w:tabs>
        <w:spacing w:line="240" w:lineRule="auto"/>
        <w:jc w:val="both"/>
        <w:rPr>
          <w:rFonts w:cs="Arial"/>
          <w:szCs w:val="20"/>
        </w:rPr>
      </w:pPr>
      <w:bookmarkStart w:id="1" w:name="_GoBack"/>
      <w:bookmarkEnd w:id="1"/>
    </w:p>
    <w:p w:rsidR="0051585C" w:rsidRDefault="0051585C" w:rsidP="0051585C">
      <w:pPr>
        <w:spacing w:line="240" w:lineRule="auto"/>
        <w:jc w:val="both"/>
        <w:rPr>
          <w:rFonts w:cs="Arial"/>
          <w:b/>
          <w:bCs/>
          <w:szCs w:val="20"/>
          <w:u w:val="single"/>
        </w:rPr>
      </w:pPr>
      <w:r>
        <w:rPr>
          <w:rFonts w:cs="Arial"/>
          <w:b/>
          <w:bCs/>
          <w:szCs w:val="20"/>
          <w:u w:val="single"/>
        </w:rPr>
        <w:lastRenderedPageBreak/>
        <w:t>K 36. členu:</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szCs w:val="20"/>
        </w:rPr>
      </w:pPr>
      <w:r>
        <w:rPr>
          <w:rFonts w:cs="Arial"/>
          <w:szCs w:val="20"/>
        </w:rPr>
        <w:t>V 36. členu se besedilo »z dnem uveljavitve tega zakona« nadomesti z besedilom »na dan uveljavitve tega zakona«.</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b/>
          <w:bCs/>
          <w:szCs w:val="20"/>
        </w:rPr>
      </w:pPr>
      <w:r>
        <w:rPr>
          <w:rFonts w:cs="Arial"/>
          <w:b/>
          <w:bCs/>
          <w:szCs w:val="20"/>
        </w:rPr>
        <w:t>Obrazložitev:</w:t>
      </w:r>
    </w:p>
    <w:p w:rsidR="0051585C" w:rsidRDefault="0051585C" w:rsidP="0051585C">
      <w:pPr>
        <w:spacing w:line="240" w:lineRule="auto"/>
        <w:jc w:val="both"/>
        <w:rPr>
          <w:rFonts w:cs="Arial"/>
          <w:szCs w:val="20"/>
        </w:rPr>
      </w:pPr>
      <w:r>
        <w:rPr>
          <w:rFonts w:cs="Arial"/>
          <w:szCs w:val="20"/>
        </w:rPr>
        <w:t>Ker je za nadaljnjo uporabo določb ZZK-1 o zemljiškem dolgu ključno, da je zemljiški dolg vpisan v zemljiško knjigo na dan uveljavitve tega Predloga zakona, se na podlagi pripombe ZPS z amandmajem del besedila določbe 36. člena Predloga zakona precizira.</w:t>
      </w:r>
    </w:p>
    <w:p w:rsidR="0051585C" w:rsidRDefault="0051585C" w:rsidP="0051585C">
      <w:pPr>
        <w:spacing w:line="240" w:lineRule="auto"/>
        <w:jc w:val="both"/>
        <w:rPr>
          <w:rFonts w:cs="Arial"/>
          <w:b/>
          <w:bCs/>
          <w:szCs w:val="20"/>
          <w:u w:val="single"/>
        </w:rPr>
      </w:pPr>
    </w:p>
    <w:p w:rsidR="0051585C" w:rsidRDefault="0051585C" w:rsidP="0051585C">
      <w:pPr>
        <w:spacing w:line="240" w:lineRule="auto"/>
        <w:jc w:val="both"/>
        <w:rPr>
          <w:rFonts w:cs="Arial"/>
          <w:b/>
          <w:bCs/>
          <w:szCs w:val="20"/>
          <w:u w:val="single"/>
        </w:rPr>
      </w:pPr>
      <w:r>
        <w:rPr>
          <w:rFonts w:cs="Arial"/>
          <w:b/>
          <w:bCs/>
          <w:szCs w:val="20"/>
          <w:u w:val="single"/>
        </w:rPr>
        <w:t>K 37. členu:</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szCs w:val="20"/>
        </w:rPr>
      </w:pPr>
      <w:r>
        <w:rPr>
          <w:rFonts w:cs="Arial"/>
          <w:szCs w:val="20"/>
        </w:rPr>
        <w:t>Besedilo 37. člena se spremeni tako, da se glasi:</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szCs w:val="20"/>
        </w:rPr>
      </w:pPr>
      <w:r>
        <w:rPr>
          <w:rFonts w:cs="Arial"/>
          <w:szCs w:val="20"/>
        </w:rPr>
        <w:t>»Ta zakon začne veljati trideseti dan po objavi v Uradnem listu Republike Slovenije, razen določb 1., 3., 4. in 5. člena tega zakona, ki začnejo veljati naslednji dan po objavi.«.</w:t>
      </w:r>
    </w:p>
    <w:p w:rsidR="0051585C" w:rsidRDefault="0051585C" w:rsidP="0051585C">
      <w:pPr>
        <w:spacing w:line="240" w:lineRule="auto"/>
        <w:jc w:val="both"/>
        <w:rPr>
          <w:rFonts w:cs="Arial"/>
          <w:szCs w:val="20"/>
        </w:rPr>
      </w:pPr>
    </w:p>
    <w:p w:rsidR="0051585C" w:rsidRDefault="0051585C" w:rsidP="0051585C">
      <w:pPr>
        <w:spacing w:line="240" w:lineRule="auto"/>
        <w:jc w:val="both"/>
        <w:rPr>
          <w:rFonts w:cs="Arial"/>
          <w:b/>
          <w:bCs/>
          <w:szCs w:val="20"/>
        </w:rPr>
      </w:pPr>
      <w:r>
        <w:rPr>
          <w:rFonts w:cs="Arial"/>
          <w:b/>
          <w:bCs/>
          <w:szCs w:val="20"/>
        </w:rPr>
        <w:t>Obrazložitev:</w:t>
      </w:r>
    </w:p>
    <w:p w:rsidR="0051585C" w:rsidRDefault="0051585C" w:rsidP="0051585C">
      <w:pPr>
        <w:spacing w:line="240" w:lineRule="auto"/>
        <w:jc w:val="both"/>
        <w:rPr>
          <w:rFonts w:cs="Arial"/>
          <w:szCs w:val="20"/>
        </w:rPr>
      </w:pPr>
      <w:r>
        <w:rPr>
          <w:rFonts w:cs="Arial"/>
          <w:szCs w:val="20"/>
        </w:rPr>
        <w:t>Ker je začetek uporabe določb Stvarnopravnega zakonika, ki urejajo nov institut povezanih nepremičnin, določen na 1. julij 2021, dejansko pa odvisen od predlaganih sprememb in dopolnitev ZZK-1, ki bodo omogočile njegovo izvajanje v praksi, se z amandmajem uveljavitev tistih določb Predloga zakona, ki so potrebne za implementacijo instituta povezanih nepremičnin, določa za naslednji dan po objavi tega zakona v Uradnem listu Republike Slovenije, medtem ko je za ostale določbe predlagan tridesetdnevni uveljavitveni rok.</w:t>
      </w:r>
    </w:p>
    <w:p w:rsidR="0051585C" w:rsidRDefault="0051585C" w:rsidP="0051585C">
      <w:pPr>
        <w:tabs>
          <w:tab w:val="left" w:pos="2540"/>
        </w:tabs>
        <w:spacing w:line="240" w:lineRule="auto"/>
        <w:jc w:val="both"/>
        <w:rPr>
          <w:rFonts w:cs="Arial"/>
          <w:szCs w:val="20"/>
        </w:rPr>
      </w:pPr>
    </w:p>
    <w:p w:rsidR="0051585C" w:rsidRDefault="0051585C" w:rsidP="0051585C">
      <w:pPr>
        <w:rPr>
          <w:rFonts w:cs="Arial"/>
          <w:b/>
          <w:bCs/>
          <w:sz w:val="22"/>
          <w:szCs w:val="22"/>
          <w:lang w:eastAsia="sl-SI"/>
        </w:rPr>
      </w:pPr>
    </w:p>
    <w:p w:rsidR="007E1230" w:rsidRDefault="007E1230" w:rsidP="0051585C">
      <w:pPr>
        <w:tabs>
          <w:tab w:val="left" w:pos="7920"/>
        </w:tabs>
        <w:autoSpaceDE w:val="0"/>
        <w:autoSpaceDN w:val="0"/>
        <w:adjustRightInd w:val="0"/>
        <w:jc w:val="both"/>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6AAF" w:rsidRDefault="00936AAF" w:rsidP="00767987">
      <w:pPr>
        <w:spacing w:line="240" w:lineRule="auto"/>
      </w:pPr>
      <w:r>
        <w:separator/>
      </w:r>
    </w:p>
  </w:endnote>
  <w:endnote w:type="continuationSeparator" w:id="0">
    <w:p w:rsidR="00936AAF" w:rsidRDefault="00936AAF"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0E6C" w:rsidRDefault="008F0E6C">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0E6C" w:rsidRDefault="008F0E6C">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0E6C" w:rsidRDefault="008F0E6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6AAF" w:rsidRDefault="00936AAF" w:rsidP="00767987">
      <w:pPr>
        <w:spacing w:line="240" w:lineRule="auto"/>
      </w:pPr>
      <w:r>
        <w:separator/>
      </w:r>
    </w:p>
  </w:footnote>
  <w:footnote w:type="continuationSeparator" w:id="0">
    <w:p w:rsidR="00936AAF" w:rsidRDefault="00936AAF"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0E6C" w:rsidRDefault="008F0E6C">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0E6C" w:rsidRDefault="008F0E6C">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FE6"/>
    <w:rsid w:val="00366636"/>
    <w:rsid w:val="00367DE6"/>
    <w:rsid w:val="003B3E19"/>
    <w:rsid w:val="004076C6"/>
    <w:rsid w:val="00437130"/>
    <w:rsid w:val="00457A58"/>
    <w:rsid w:val="004B7F76"/>
    <w:rsid w:val="004C6A89"/>
    <w:rsid w:val="004E1BCE"/>
    <w:rsid w:val="0051585C"/>
    <w:rsid w:val="00592079"/>
    <w:rsid w:val="00682FFE"/>
    <w:rsid w:val="00684751"/>
    <w:rsid w:val="006C69EC"/>
    <w:rsid w:val="007039D0"/>
    <w:rsid w:val="00767987"/>
    <w:rsid w:val="00782FD4"/>
    <w:rsid w:val="007E1230"/>
    <w:rsid w:val="00811140"/>
    <w:rsid w:val="00837818"/>
    <w:rsid w:val="008F0E6C"/>
    <w:rsid w:val="00904A48"/>
    <w:rsid w:val="00932554"/>
    <w:rsid w:val="00936AAF"/>
    <w:rsid w:val="00980294"/>
    <w:rsid w:val="009C5392"/>
    <w:rsid w:val="009C657E"/>
    <w:rsid w:val="00A16E6F"/>
    <w:rsid w:val="00A50E4B"/>
    <w:rsid w:val="00A56EFB"/>
    <w:rsid w:val="00A9231D"/>
    <w:rsid w:val="00AD3BB3"/>
    <w:rsid w:val="00C0216A"/>
    <w:rsid w:val="00CD6077"/>
    <w:rsid w:val="00CE234E"/>
    <w:rsid w:val="00D02973"/>
    <w:rsid w:val="00DA09BE"/>
    <w:rsid w:val="00E83A83"/>
    <w:rsid w:val="00F03A00"/>
    <w:rsid w:val="00F502C5"/>
    <w:rsid w:val="00FB00DD"/>
    <w:rsid w:val="00FD24A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59347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1528</Words>
  <Characters>8712</Characters>
  <Application>Microsoft Office Word</Application>
  <DocSecurity>0</DocSecurity>
  <Lines>72</Lines>
  <Paragraphs>20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10220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2021-06-15T09:29:00Z</dcterms:created>
  <dcterms:modified xsi:type="dcterms:W3CDTF">2021-06-15T09:29:00Z</dcterms:modified>
</cp:coreProperties>
</file>