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F03A00">
      <w:pPr>
        <w:pStyle w:val="datumtevilka"/>
      </w:pPr>
      <w:bookmarkStart w:id="0" w:name="_Hlk61014710"/>
      <w:bookmarkEnd w:id="0"/>
      <w:r w:rsidRPr="002760DC">
        <w:rPr>
          <w:rFonts w:cs="Arial"/>
          <w:color w:val="000000"/>
        </w:rPr>
        <w:t>EVA:</w:t>
      </w:r>
      <w:r w:rsidRPr="002760DC">
        <w:rPr>
          <w:rFonts w:cs="Arial"/>
          <w:color w:val="000000"/>
        </w:rPr>
        <w:tab/>
      </w:r>
      <w:r w:rsidR="00437130">
        <w:rPr>
          <w:rFonts w:cs="Arial"/>
          <w:color w:val="000000"/>
        </w:rPr>
        <w:t>2020-2030-0003</w:t>
      </w:r>
    </w:p>
    <w:p w:rsidR="009C657E" w:rsidRPr="002760DC" w:rsidRDefault="009C657E" w:rsidP="00F03A00">
      <w:pPr>
        <w:pStyle w:val="datumtevilka"/>
      </w:pPr>
      <w:r w:rsidRPr="002760DC">
        <w:t xml:space="preserve">Številka: </w:t>
      </w:r>
      <w:r w:rsidRPr="002760DC">
        <w:tab/>
      </w:r>
      <w:r w:rsidR="00437130">
        <w:rPr>
          <w:rFonts w:cs="Arial"/>
          <w:color w:val="000000"/>
        </w:rPr>
        <w:t>00720-14/2021/15</w:t>
      </w:r>
    </w:p>
    <w:p w:rsidR="009C657E" w:rsidRPr="002760DC" w:rsidRDefault="009C657E" w:rsidP="00F03A00">
      <w:pPr>
        <w:pStyle w:val="datumtevilka"/>
      </w:pPr>
      <w:r>
        <w:t>Datum:</w:t>
      </w:r>
      <w:r w:rsidRPr="002760DC">
        <w:tab/>
      </w:r>
      <w:r w:rsidR="00437130">
        <w:rPr>
          <w:rFonts w:cs="Arial"/>
          <w:color w:val="000000"/>
        </w:rPr>
        <w:t>15. 6. 2021</w:t>
      </w:r>
      <w:r w:rsidRPr="002760DC">
        <w:t xml:space="preserve"> </w:t>
      </w:r>
    </w:p>
    <w:p w:rsidR="009C657E" w:rsidRDefault="009C657E" w:rsidP="00F03A00"/>
    <w:p w:rsidR="0051585C" w:rsidRPr="002760DC" w:rsidRDefault="0051585C" w:rsidP="00F03A00"/>
    <w:p w:rsidR="009C657E" w:rsidRDefault="009C657E" w:rsidP="00F03A00">
      <w:pPr>
        <w:autoSpaceDE w:val="0"/>
        <w:autoSpaceDN w:val="0"/>
        <w:adjustRightInd w:val="0"/>
        <w:rPr>
          <w:rFonts w:cs="Arial"/>
          <w:color w:val="000000"/>
          <w:szCs w:val="20"/>
        </w:rPr>
      </w:pPr>
    </w:p>
    <w:p w:rsidR="009C657E" w:rsidRPr="0051585C" w:rsidRDefault="00437130" w:rsidP="0051585C">
      <w:pPr>
        <w:autoSpaceDE w:val="0"/>
        <w:autoSpaceDN w:val="0"/>
        <w:adjustRightInd w:val="0"/>
        <w:jc w:val="center"/>
        <w:rPr>
          <w:rFonts w:cs="Arial"/>
          <w:b/>
          <w:color w:val="000000"/>
          <w:szCs w:val="20"/>
        </w:rPr>
      </w:pPr>
      <w:r w:rsidRPr="0051585C">
        <w:rPr>
          <w:rFonts w:cs="Arial"/>
          <w:b/>
          <w:color w:val="000000"/>
          <w:szCs w:val="20"/>
        </w:rPr>
        <w:t>Predlog</w:t>
      </w:r>
      <w:r w:rsidR="00F03A00" w:rsidRPr="0051585C">
        <w:rPr>
          <w:rFonts w:cs="Arial"/>
          <w:b/>
          <w:color w:val="000000"/>
          <w:szCs w:val="20"/>
        </w:rPr>
        <w:t>i</w:t>
      </w:r>
      <w:r w:rsidRPr="0051585C">
        <w:rPr>
          <w:rFonts w:cs="Arial"/>
          <w:b/>
          <w:color w:val="000000"/>
          <w:szCs w:val="20"/>
        </w:rPr>
        <w:t xml:space="preserve"> amandmajev k Predlogu Zakona o spremembah in dopolnitvah Zakona o zemljiški knjigi</w:t>
      </w:r>
    </w:p>
    <w:p w:rsidR="009C657E" w:rsidRDefault="009C657E" w:rsidP="00F03A00">
      <w:pPr>
        <w:autoSpaceDE w:val="0"/>
        <w:autoSpaceDN w:val="0"/>
        <w:adjustRightInd w:val="0"/>
        <w:jc w:val="both"/>
        <w:rPr>
          <w:rFonts w:cs="Arial"/>
          <w:color w:val="000000"/>
          <w:szCs w:val="20"/>
          <w:lang w:eastAsia="sl-SI"/>
        </w:rPr>
      </w:pPr>
    </w:p>
    <w:p w:rsidR="009C657E" w:rsidRDefault="009C657E" w:rsidP="00F03A00">
      <w:pPr>
        <w:tabs>
          <w:tab w:val="left" w:pos="7920"/>
        </w:tabs>
        <w:autoSpaceDE w:val="0"/>
        <w:autoSpaceDN w:val="0"/>
        <w:adjustRightInd w:val="0"/>
        <w:jc w:val="both"/>
        <w:rPr>
          <w:rFonts w:cs="Arial"/>
          <w:color w:val="000000"/>
          <w:szCs w:val="20"/>
        </w:rPr>
      </w:pPr>
    </w:p>
    <w:p w:rsidR="0051585C" w:rsidRDefault="0051585C" w:rsidP="0051585C">
      <w:pPr>
        <w:rPr>
          <w:rFonts w:cs="Arial"/>
          <w:b/>
          <w:bCs/>
          <w:sz w:val="22"/>
          <w:szCs w:val="22"/>
          <w:lang w:eastAsia="sl-SI"/>
        </w:rPr>
      </w:pPr>
    </w:p>
    <w:p w:rsidR="0051585C" w:rsidRDefault="0051585C" w:rsidP="0051585C">
      <w:pPr>
        <w:spacing w:line="240" w:lineRule="auto"/>
        <w:jc w:val="both"/>
        <w:rPr>
          <w:rFonts w:cs="Arial"/>
          <w:b/>
          <w:bCs/>
          <w:szCs w:val="20"/>
          <w:u w:val="single"/>
        </w:rPr>
      </w:pPr>
      <w:r>
        <w:rPr>
          <w:rFonts w:cs="Arial"/>
          <w:b/>
          <w:bCs/>
          <w:szCs w:val="20"/>
          <w:u w:val="single"/>
        </w:rPr>
        <w:t>K 14.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14. členu se v spremenjenemu 58. členu v 2. točki prvega odstavka črta beseda »pravnomočno«.</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2. točki spremenjenega drugega odstavka se črta beseda »pravnomočen«.</w:t>
      </w:r>
    </w:p>
    <w:p w:rsidR="0051585C" w:rsidRDefault="0051585C" w:rsidP="0051585C">
      <w:pPr>
        <w:spacing w:line="240" w:lineRule="auto"/>
        <w:jc w:val="both"/>
        <w:rPr>
          <w:rFonts w:cs="Arial"/>
          <w:b/>
          <w:bCs/>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Na podlagi pripombe Zakonodajno-pravne službe (v nadaljevanju ZPS) se v določbah, ki urejajo zavrnitev ali zavrženje predloga za dopustitev revizije kot pogoja za izbris predznambe, z amandmajem črta pogoj pravnomočnosti te odločitve. V skladu z Zakonom o pravdnem postopku, ki ureja institut revizije, zoper odločitev Vrhovnega sodišča, da se predlog za revizijo zavrže ali zavrne, namreč ni pravnega sredstva.</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b/>
          <w:bCs/>
          <w:szCs w:val="20"/>
          <w:u w:val="single"/>
        </w:rPr>
      </w:pPr>
      <w:r>
        <w:rPr>
          <w:rFonts w:cs="Arial"/>
          <w:b/>
          <w:bCs/>
          <w:szCs w:val="20"/>
          <w:u w:val="single"/>
        </w:rPr>
        <w:t>K 16. členu:</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szCs w:val="20"/>
        </w:rPr>
      </w:pPr>
      <w:r>
        <w:rPr>
          <w:rFonts w:cs="Arial"/>
          <w:szCs w:val="20"/>
        </w:rPr>
        <w:t>V 16. členu se v spremenjen četrtem odstavku 70. člena črtata besedi »zoper predlagatelja« in besedi »ali stečaja«, za besedama »odtujitve nepremičnine« pa se doda vejica in besedilo »ki učinkuje zoper predlagatelja,«.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Po ponovni proučitvi predlagane določbe in na podlagi pripombe ZPS, da je treba pojasniti razloge za prepoved razpolaganja z zaznamovanim vrstnim redom pri zaznambi stečaja, amandma jasneje določa, da prenos zaznambe vrstnega reda ni mogoč, če prepoved odtujitve in obremenitve učinkuje zoper predlagatelja, saj tovrstna zaznamba ni vpisana zoper predlagatelja. Prav tako se z amandmajem črta možnost prenosa zaznambe vrstnega reda v stečaju, saj v primeru, da je začet stečajni postopek, ta dejanja ne opravlja več dolžnik (ki bi lahko s tem otežil potek postopka), ampak v imenu stečajnega dolžnika kot njegov zakoniti zastopnik stečajni upravitelj. Če je dolžnik prenesel razpolaganje z zaznamovanim vrstnim redom na novega upravičenca, se bo novi upravičenec lahko vpisal v zemljiško knjigo le, če v bo roku, v katerem zaznamba vrstnega reda učinkuje, predlagal vknjižbo ali predznambo lastninske pravice ali hipoteko. Za vknjižbo ali predznambo lastninske pravice ali hipoteke bo moral v skladu s 40. členom ZZK-1 priložiti ustrezno listino, ki jo po začetku stečajnega postopka lahko izda  le stečajni upravitelj. Ker je stečajni upravitelj v postopkih zaradi insolventnosti organ postopka zaradi insolventnosti in hkrati zakoniti zastopnik stečajnega dolžnika, predlagatelj ocenjuje, da je pravilno, da se mu tako omogoči razpolaganje z zaznamovanim vrstnim redom, saj bo tudi on oziroma sodišče tisto, ki bo kasneje izdalo listino, ki bo podlaga za vpis v zaznamovanem vrstnem redu.</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b/>
          <w:bCs/>
          <w:szCs w:val="20"/>
          <w:u w:val="single"/>
        </w:rPr>
      </w:pPr>
      <w:r>
        <w:rPr>
          <w:rFonts w:cs="Arial"/>
          <w:b/>
          <w:bCs/>
          <w:szCs w:val="20"/>
          <w:u w:val="single"/>
        </w:rPr>
        <w:t>K 17.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17. členu se v spremenjenemu 84. členu v 2. točki prvega odstavka črta beseda »pravnomočno«.</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2. točki spremenjenega drugega odstavka se črta beseda »pravnomočen«.</w:t>
      </w:r>
    </w:p>
    <w:p w:rsidR="0051585C" w:rsidRDefault="0051585C" w:rsidP="0051585C">
      <w:pPr>
        <w:spacing w:line="240" w:lineRule="auto"/>
        <w:jc w:val="both"/>
        <w:rPr>
          <w:rFonts w:cs="Arial"/>
          <w:b/>
          <w:bCs/>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 xml:space="preserve">Na podlagi pripombe ZPS se v določbah, ki urejajo zavrnitev ali zavrženje predloga za dopustitev revizije kot pogoja za izbris zaznambe spora, z amandmajem črta pogoj pravnomočnosti te odločitve. V skladu z Zakonom o pravdnem postopku, ki ureja institut revizije, zoper odločitev Vrhovnega sodišča, da se predlog za revizijo zavrže ali zavrne, namreč ni pravnega sredstva. </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b/>
          <w:bCs/>
          <w:szCs w:val="20"/>
          <w:u w:val="single"/>
        </w:rPr>
      </w:pPr>
      <w:r>
        <w:rPr>
          <w:rFonts w:cs="Arial"/>
          <w:b/>
          <w:bCs/>
          <w:szCs w:val="20"/>
          <w:u w:val="single"/>
        </w:rPr>
        <w:t>K 23.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23. členu se v spremenjenem prvem odstavku 109. člena v 2. točki črta beseda »pravnomočno«.</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2. točki spremenjenega drugega odstavka se črta beseda »pravnomočen«.</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Za prvim odstavkom 23. člena se doda nov drugi odstavek, ki se glasi:</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tretjem odstavku se v 2. točki besedilo »2. točke« nadomesti z besedilom »3. točke«.«.</w:t>
      </w:r>
    </w:p>
    <w:p w:rsidR="0051585C" w:rsidRDefault="0051585C" w:rsidP="0051585C">
      <w:pPr>
        <w:spacing w:line="240" w:lineRule="auto"/>
        <w:jc w:val="both"/>
        <w:rPr>
          <w:rFonts w:cs="Arial"/>
          <w:b/>
          <w:bCs/>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 xml:space="preserve">Na podlagi pripombe ZPS se pri določbah, ki urejajo zavrnitev ali zavrženje predloga za dopustitev revizije kot pogoja za izbris zaznambe izrednega pravnega sredstva, z amandmajem črta pogoj pravnomočnosti te odločitve. V skladu z Zakonom o pravdnem postopku, ki ureja institut revizije, zoper odločitev Vrhovnega sodišča, da se predlog za revizijo zavrže ali zavrne, namreč ni pravnega sredstva. </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Zaradi spremembe prvega odstavka 109. člena ZZK-1 se z amandmajem v tretjem odstavku 109. člena ZZK-1 popravlja sklic na 3. točko prvega odstavka.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u w:val="single"/>
        </w:rPr>
      </w:pPr>
      <w:r>
        <w:rPr>
          <w:rFonts w:cs="Arial"/>
          <w:b/>
          <w:bCs/>
          <w:szCs w:val="20"/>
          <w:u w:val="single"/>
        </w:rPr>
        <w:t>K 24.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24. člen se črta.</w:t>
      </w:r>
    </w:p>
    <w:p w:rsidR="0051585C" w:rsidRDefault="0051585C" w:rsidP="0051585C">
      <w:pPr>
        <w:spacing w:line="240" w:lineRule="auto"/>
        <w:jc w:val="both"/>
        <w:rPr>
          <w:rFonts w:cs="Arial"/>
          <w:b/>
          <w:bCs/>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24. člen Predloga zakona uvaja nov 110.a člen, s katerim se določa smiselna uporaba določb ZZK-1, ki urejajo zaznambo izrednega pravnega sredstva, za primere, ko je vloženo izredno pravno sredstvo zoper pravnomočni sklep zemljiškoknjižnega sodišča. Vrhovno sodišče je opozorilo, da napotitev na smiselno uporabo določb glede zaznambe izrednih pravnih sredstev ni ustrezna in da bi lahko privedla do zelo različnih razlag in posledično zelo raznotere uporabe tega instituta, kar bi lahko pomembno ogrozilo pravno varnost pri prometu z nepremičninami. Nadalje bi taka določba po oceni Vrhovnega sodišča zahtevala tudi obsežnejše prilagoditve informacijskega sistema zemljiške knjige, ki jih ni moč izvesti prej kot v enem letu, kar bi terjalo posebno prehodno rešitev, v ta namen pa tudi ni zagotovljenih finančnih in kadrovskih sredstev. Poleg tega je vprašljiva tudi sama smotrnost uvedbe te zaznambe. Podatki namreč izkazujejo, da so pritožbe vložene samo v 0,16% vseh zadev, ki jih rešijo sodišča, zahteve za varstvo zakonitosti pa v 0,0008% zadev, ki jih rešijo sodišča. Po oceni Vrhovnega sodišča je zato moč pričakovati, da bo število dopuščenih revizij proti pravnomočnim sklepom zemljiškoknjižnih sodišč primerljivo s številom do sedaj vloženih zahtev za varstvo zakonitosti v zemljiškoknjižnih zadevah.</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 xml:space="preserve">Na podlagi teh opozoril in podatkov Vrhovnega sodišča se z amandmajem predlaga črtanje 24. člena Predloga zakona. </w:t>
      </w:r>
      <w:proofErr w:type="spellStart"/>
      <w:r>
        <w:rPr>
          <w:rFonts w:cs="Arial"/>
          <w:szCs w:val="20"/>
        </w:rPr>
        <w:t>Pripad</w:t>
      </w:r>
      <w:proofErr w:type="spellEnd"/>
      <w:r>
        <w:rPr>
          <w:rFonts w:cs="Arial"/>
          <w:szCs w:val="20"/>
        </w:rPr>
        <w:t xml:space="preserve"> zadev namreč ne upravičuje vseh potrebnih normativnih in izvedbenih prilagoditev, posameznik pa lahko varstvo svojih pravic proti </w:t>
      </w:r>
      <w:proofErr w:type="spellStart"/>
      <w:r>
        <w:rPr>
          <w:rFonts w:cs="Arial"/>
          <w:szCs w:val="20"/>
        </w:rPr>
        <w:t>nedobrovernemu</w:t>
      </w:r>
      <w:proofErr w:type="spellEnd"/>
      <w:r>
        <w:rPr>
          <w:rFonts w:cs="Arial"/>
          <w:szCs w:val="20"/>
        </w:rPr>
        <w:t xml:space="preserve"> pridobitelju pravice, ki se vpisuje v zemljiško knjigo, doseže že v okviru obstoječe izbrisne tožbe in zaznambe njene vložitve v zemljiški knjigi. </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u w:val="single"/>
        </w:rPr>
      </w:pPr>
      <w:r>
        <w:rPr>
          <w:rFonts w:cs="Arial"/>
          <w:b/>
          <w:bCs/>
          <w:szCs w:val="20"/>
          <w:u w:val="single"/>
        </w:rPr>
        <w:t>K 25. členu:</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szCs w:val="20"/>
        </w:rPr>
      </w:pPr>
      <w:r>
        <w:rPr>
          <w:rFonts w:cs="Arial"/>
          <w:szCs w:val="20"/>
        </w:rPr>
        <w:t>V 25. členu se drugi odstavek spremeni tako, da se glasi:</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lastRenderedPageBreak/>
        <w:t xml:space="preserve">»Za tretjim odstavkom se dodajo novi četrti, peti in šesti odstavek, ki se glasijo: </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color w:val="000000" w:themeColor="text1"/>
          <w:szCs w:val="20"/>
        </w:rPr>
      </w:pPr>
      <w:r>
        <w:rPr>
          <w:rFonts w:cs="Arial"/>
          <w:color w:val="000000" w:themeColor="text1"/>
          <w:szCs w:val="20"/>
        </w:rPr>
        <w:t>»(4) Če je vložena zahteva za varstvo zakonitosti in vrhovno sodišče spozna, da je utemeljena, se ne uporablja določba zakona, ki ureja pravdni postopek, ki določa, da vrhovno sodišče ugotovi le, da je bil zakon prekršen, ne da bi posegalo v pravnomočno odločbo.</w:t>
      </w:r>
    </w:p>
    <w:p w:rsidR="0051585C" w:rsidRDefault="0051585C" w:rsidP="0051585C">
      <w:pPr>
        <w:spacing w:line="240" w:lineRule="auto"/>
        <w:jc w:val="both"/>
        <w:rPr>
          <w:rFonts w:cs="Arial"/>
          <w:color w:val="000000" w:themeColor="text1"/>
          <w:szCs w:val="20"/>
        </w:rPr>
      </w:pPr>
    </w:p>
    <w:p w:rsidR="0051585C" w:rsidRDefault="0051585C" w:rsidP="0051585C">
      <w:pPr>
        <w:spacing w:line="240" w:lineRule="auto"/>
        <w:jc w:val="both"/>
        <w:rPr>
          <w:rFonts w:cs="Arial"/>
          <w:szCs w:val="20"/>
        </w:rPr>
      </w:pPr>
      <w:r>
        <w:rPr>
          <w:rFonts w:cs="Arial"/>
          <w:szCs w:val="20"/>
        </w:rPr>
        <w:t>(5) Za odločanje o reviziji se smiselno uporabljajo določbe drugega in tretjega odstavka 161. člena tega zakona.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(6) O vpisih na podlagi odločbe, s katero sodišče odloči o reviziji, odloča zemljiškoknjižno sodišče po uradni dolžnosti na podlagi stanja vpisov v zemljiški knjigi v trenutku, ko je prejelo to odločbo.«.«.</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Ker Predlog zakona kot izredno pravno sredstvo dopušča tudi revizijo, je treba urediti tudi pravila odločanja oziroma ravnanja pristojnega sodišča v zvezi z njo. Medtem ko je za odločanje o zahtevi za varstvo zakonitosti to urejeno v četrtem odstavku 161. člena ZZK-1, se zaradi omejitev, določenih v prvem odstavku 132. člena Poslovnika državnega zbora, z amandmajem ta pravila določajo v 120. členu ZZK-1. Pri tem se, enako kot pri zahtevi za varstvo zakonitosti, predlaga, da se za odločanje o reviziji smiselno uporabljajo določbe drugega in tretjega odstavka 161. člena ZZK-1. Prav tako se z amandmajem določa pravilo o ravnanju zemljiškoknjižnega sodišča, ko prejme odločbo Vrhovnega sodišča o reviziji. Enako kot je v petem odstavku 161. člena ZZK-1 določeno za postopanje zemljiškoknjižnega sodišča po prejemu odločbe o zahtevi za varstvo zakonitosti, se tudi v primeru revizije nalaga zemljiškoknjižnemu sodišču izvedba vpisov, ki izhajajo iz odločbe o reviziji, po uradni dolžnosti in na podlagi stanja vpisov v trenutku, ko je zemljiškoknjižno sodišče prejelo odločbo o reviziji.</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b/>
          <w:bCs/>
          <w:szCs w:val="20"/>
          <w:u w:val="single"/>
        </w:rPr>
      </w:pPr>
      <w:r>
        <w:rPr>
          <w:rFonts w:cs="Arial"/>
          <w:b/>
          <w:bCs/>
          <w:szCs w:val="20"/>
          <w:u w:val="single"/>
        </w:rPr>
        <w:t>K 26.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26. členu se pred zaklepajem doda presledek in besedilo »ali občinski odvetnik«.</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Ker lahko v skladu s prvim odstavkom 50.a člena Zakona o lokalni samoupravi občina v primeru, če ne ustanovi občinskega odvetništva, z odlokom odloči, da njegove naloge opravlja občinski odvetnik, se na podlagi pripombe ZPS z amandmajem predlaga ustrezna dopolnitev člena.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u w:val="single"/>
        </w:rPr>
      </w:pPr>
      <w:r>
        <w:rPr>
          <w:rFonts w:cs="Arial"/>
          <w:b/>
          <w:bCs/>
          <w:szCs w:val="20"/>
          <w:u w:val="single"/>
        </w:rPr>
        <w:t>K 35. členu:</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szCs w:val="20"/>
        </w:rPr>
      </w:pPr>
      <w:r>
        <w:rPr>
          <w:rFonts w:cs="Arial"/>
          <w:szCs w:val="20"/>
        </w:rPr>
        <w:t>V 35. členu se drugi in tretji odstavek spremenita tako, da se glasita: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»(2) Do začetka uporabe določb iz prejšnjega odstavka se uporabljata drugi in tretji odstavek 37. člena Zakona o zemljiški knjigi (Uradni list RS, št. 58/03, 37/08 – ZST-1, 45/08, 28/09, 25/11, 14/15 – ZUUJFO, 69/17, 11/18 – ZIZ-L in 16/19 – ZNP-1).</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 xml:space="preserve">(3) Minister, pristojen za finance, ob tehnični izpolnitvi pogojev izda odredbo, v kateri določi datum, od katerega se uporabljajo določbe iz prvega odstavka tega člena. </w:t>
      </w:r>
      <w:r>
        <w:rPr>
          <w:rFonts w:cs="Arial"/>
          <w:szCs w:val="20"/>
          <w:lang w:val="x-none"/>
        </w:rPr>
        <w:t>Odredba se objavi v Uradnem listu Republike Slovenije.</w:t>
      </w:r>
      <w:r>
        <w:rPr>
          <w:rFonts w:cs="Arial"/>
          <w:szCs w:val="20"/>
        </w:rPr>
        <w:t>«.</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 xml:space="preserve">Na podlagi pripombe ZPS se z amandmajem </w:t>
      </w:r>
      <w:proofErr w:type="spellStart"/>
      <w:r>
        <w:rPr>
          <w:rFonts w:cs="Arial"/>
          <w:szCs w:val="20"/>
        </w:rPr>
        <w:t>nomotehnično</w:t>
      </w:r>
      <w:proofErr w:type="spellEnd"/>
      <w:r>
        <w:rPr>
          <w:rFonts w:cs="Arial"/>
          <w:szCs w:val="20"/>
        </w:rPr>
        <w:t xml:space="preserve"> ustrezneje zapiše določba drugega odstavka, ki zaradi zamika uporabe nekaterih določb preprečuje nastanek pravne praznine.  Prav tako se z amandmajem predlaga, da se odredba, v kateri minister določi datum, od katerega se uporabljajo določbe prvega odstavka tega člena, objavi v Uradnem listu Republike Slovenije, saj načelo pravne države zahteva določnost začetka in prenehanja veljave oziroma uporabe predpisov.</w:t>
      </w:r>
    </w:p>
    <w:p w:rsidR="0051585C" w:rsidRDefault="0051585C" w:rsidP="0051585C">
      <w:pPr>
        <w:tabs>
          <w:tab w:val="left" w:pos="2540"/>
        </w:tabs>
        <w:spacing w:line="240" w:lineRule="auto"/>
        <w:jc w:val="both"/>
        <w:rPr>
          <w:rFonts w:cs="Arial"/>
          <w:szCs w:val="20"/>
        </w:rPr>
      </w:pPr>
    </w:p>
    <w:p w:rsidR="0051585C" w:rsidRDefault="0051585C" w:rsidP="0051585C">
      <w:pPr>
        <w:tabs>
          <w:tab w:val="left" w:pos="2540"/>
        </w:tabs>
        <w:spacing w:line="240" w:lineRule="auto"/>
        <w:jc w:val="both"/>
        <w:rPr>
          <w:rFonts w:cs="Arial"/>
          <w:szCs w:val="20"/>
        </w:rPr>
      </w:pPr>
    </w:p>
    <w:p w:rsidR="0051585C" w:rsidRDefault="0051585C" w:rsidP="0051585C">
      <w:pPr>
        <w:tabs>
          <w:tab w:val="left" w:pos="2540"/>
        </w:tabs>
        <w:spacing w:line="240" w:lineRule="auto"/>
        <w:jc w:val="both"/>
        <w:rPr>
          <w:rFonts w:cs="Arial"/>
          <w:szCs w:val="20"/>
        </w:rPr>
      </w:pPr>
    </w:p>
    <w:p w:rsidR="0051585C" w:rsidRDefault="0051585C" w:rsidP="0051585C">
      <w:pPr>
        <w:tabs>
          <w:tab w:val="left" w:pos="2540"/>
        </w:tabs>
        <w:spacing w:line="240" w:lineRule="auto"/>
        <w:jc w:val="both"/>
        <w:rPr>
          <w:rFonts w:cs="Arial"/>
          <w:szCs w:val="20"/>
        </w:rPr>
      </w:pPr>
      <w:bookmarkStart w:id="1" w:name="_GoBack"/>
      <w:bookmarkEnd w:id="1"/>
    </w:p>
    <w:p w:rsidR="0051585C" w:rsidRDefault="0051585C" w:rsidP="0051585C">
      <w:pPr>
        <w:spacing w:line="240" w:lineRule="auto"/>
        <w:jc w:val="both"/>
        <w:rPr>
          <w:rFonts w:cs="Arial"/>
          <w:b/>
          <w:bCs/>
          <w:szCs w:val="20"/>
          <w:u w:val="single"/>
        </w:rPr>
      </w:pPr>
      <w:r>
        <w:rPr>
          <w:rFonts w:cs="Arial"/>
          <w:b/>
          <w:bCs/>
          <w:szCs w:val="20"/>
          <w:u w:val="single"/>
        </w:rPr>
        <w:lastRenderedPageBreak/>
        <w:t>K 36.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V 36. členu se besedilo »z dnem uveljavitve tega zakona« nadomesti z besedilom »na dan uveljavitve tega zakona«.</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Ker je za nadaljnjo uporabo določb ZZK-1 o zemljiškem dolgu ključno, da je zemljiški dolg vpisan v zemljiško knjigo na dan uveljavitve tega Predloga zakona, se na podlagi pripombe ZPS z amandmajem del besedila določbe 36. člena Predloga zakona precizira.</w:t>
      </w:r>
    </w:p>
    <w:p w:rsidR="0051585C" w:rsidRDefault="0051585C" w:rsidP="0051585C">
      <w:pPr>
        <w:spacing w:line="240" w:lineRule="auto"/>
        <w:jc w:val="both"/>
        <w:rPr>
          <w:rFonts w:cs="Arial"/>
          <w:b/>
          <w:bCs/>
          <w:szCs w:val="20"/>
          <w:u w:val="single"/>
        </w:rPr>
      </w:pPr>
    </w:p>
    <w:p w:rsidR="0051585C" w:rsidRDefault="0051585C" w:rsidP="0051585C">
      <w:pPr>
        <w:spacing w:line="240" w:lineRule="auto"/>
        <w:jc w:val="both"/>
        <w:rPr>
          <w:rFonts w:cs="Arial"/>
          <w:b/>
          <w:bCs/>
          <w:szCs w:val="20"/>
          <w:u w:val="single"/>
        </w:rPr>
      </w:pPr>
      <w:r>
        <w:rPr>
          <w:rFonts w:cs="Arial"/>
          <w:b/>
          <w:bCs/>
          <w:szCs w:val="20"/>
          <w:u w:val="single"/>
        </w:rPr>
        <w:t>K 37. členu:</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Besedilo 37. člena se spremeni tako, da se glasi:</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szCs w:val="20"/>
        </w:rPr>
      </w:pPr>
      <w:r>
        <w:rPr>
          <w:rFonts w:cs="Arial"/>
          <w:szCs w:val="20"/>
        </w:rPr>
        <w:t>»Ta zakon začne veljati trideseti dan po objavi v Uradnem listu Republike Slovenije, razen določb 1., 3., 4. in 5. člena tega zakona, ki začnejo veljati naslednji dan po objavi.«.</w:t>
      </w:r>
    </w:p>
    <w:p w:rsidR="0051585C" w:rsidRDefault="0051585C" w:rsidP="0051585C">
      <w:pPr>
        <w:spacing w:line="240" w:lineRule="auto"/>
        <w:jc w:val="both"/>
        <w:rPr>
          <w:rFonts w:cs="Arial"/>
          <w:szCs w:val="20"/>
        </w:rPr>
      </w:pPr>
    </w:p>
    <w:p w:rsidR="0051585C" w:rsidRDefault="0051585C" w:rsidP="0051585C">
      <w:pPr>
        <w:spacing w:line="240" w:lineRule="auto"/>
        <w:jc w:val="both"/>
        <w:rPr>
          <w:rFonts w:cs="Arial"/>
          <w:b/>
          <w:bCs/>
          <w:szCs w:val="20"/>
        </w:rPr>
      </w:pPr>
      <w:r>
        <w:rPr>
          <w:rFonts w:cs="Arial"/>
          <w:b/>
          <w:bCs/>
          <w:szCs w:val="20"/>
        </w:rPr>
        <w:t>Obrazložitev:</w:t>
      </w:r>
    </w:p>
    <w:p w:rsidR="0051585C" w:rsidRDefault="0051585C" w:rsidP="0051585C">
      <w:pPr>
        <w:spacing w:line="240" w:lineRule="auto"/>
        <w:jc w:val="both"/>
        <w:rPr>
          <w:rFonts w:cs="Arial"/>
          <w:szCs w:val="20"/>
        </w:rPr>
      </w:pPr>
      <w:r>
        <w:rPr>
          <w:rFonts w:cs="Arial"/>
          <w:szCs w:val="20"/>
        </w:rPr>
        <w:t>Ker je začetek uporabe določb Stvarnopravnega zakonika, ki urejajo nov institut povezanih nepremičnin, določen na 1. julij 2021, dejansko pa odvisen od predlaganih sprememb in dopolnitev ZZK-1, ki bodo omogočile njegovo izvajanje v praksi, se z amandmajem uveljavitev tistih določb Predloga zakona, ki so potrebne za implementacijo instituta povezanih nepremičnin, določa za naslednji dan po objavi tega zakona v Uradnem listu Republike Slovenije, medtem ko je za ostale določbe predlagan tridesetdnevni uveljavitveni rok.</w:t>
      </w:r>
    </w:p>
    <w:p w:rsidR="0051585C" w:rsidRDefault="0051585C" w:rsidP="0051585C">
      <w:pPr>
        <w:tabs>
          <w:tab w:val="left" w:pos="2540"/>
        </w:tabs>
        <w:spacing w:line="240" w:lineRule="auto"/>
        <w:jc w:val="both"/>
        <w:rPr>
          <w:rFonts w:cs="Arial"/>
          <w:szCs w:val="20"/>
        </w:rPr>
      </w:pPr>
    </w:p>
    <w:p w:rsidR="0051585C" w:rsidRDefault="0051585C" w:rsidP="0051585C">
      <w:pPr>
        <w:rPr>
          <w:rFonts w:cs="Arial"/>
          <w:b/>
          <w:bCs/>
          <w:sz w:val="22"/>
          <w:szCs w:val="22"/>
          <w:lang w:eastAsia="sl-SI"/>
        </w:rPr>
      </w:pPr>
    </w:p>
    <w:p w:rsidR="007E1230" w:rsidRDefault="007E1230" w:rsidP="0051585C">
      <w:pPr>
        <w:tabs>
          <w:tab w:val="left" w:pos="7920"/>
        </w:tabs>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AF" w:rsidRDefault="00936AAF" w:rsidP="00767987">
      <w:pPr>
        <w:spacing w:line="240" w:lineRule="auto"/>
      </w:pPr>
      <w:r>
        <w:separator/>
      </w:r>
    </w:p>
  </w:endnote>
  <w:endnote w:type="continuationSeparator" w:id="0">
    <w:p w:rsidR="00936AAF" w:rsidRDefault="00936AA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6C" w:rsidRDefault="008F0E6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6C" w:rsidRDefault="008F0E6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6C" w:rsidRDefault="008F0E6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AF" w:rsidRDefault="00936AAF" w:rsidP="00767987">
      <w:pPr>
        <w:spacing w:line="240" w:lineRule="auto"/>
      </w:pPr>
      <w:r>
        <w:separator/>
      </w:r>
    </w:p>
  </w:footnote>
  <w:footnote w:type="continuationSeparator" w:id="0">
    <w:p w:rsidR="00936AAF" w:rsidRDefault="00936AA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6C" w:rsidRDefault="008F0E6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6C" w:rsidRDefault="008F0E6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66636"/>
    <w:rsid w:val="00367DE6"/>
    <w:rsid w:val="003B3E19"/>
    <w:rsid w:val="004076C6"/>
    <w:rsid w:val="00437130"/>
    <w:rsid w:val="00457A58"/>
    <w:rsid w:val="004B7F76"/>
    <w:rsid w:val="004C6A89"/>
    <w:rsid w:val="004E1BCE"/>
    <w:rsid w:val="0051585C"/>
    <w:rsid w:val="00592079"/>
    <w:rsid w:val="00682FFE"/>
    <w:rsid w:val="00684751"/>
    <w:rsid w:val="006C69EC"/>
    <w:rsid w:val="007039D0"/>
    <w:rsid w:val="00767987"/>
    <w:rsid w:val="00782FD4"/>
    <w:rsid w:val="007E1230"/>
    <w:rsid w:val="00811140"/>
    <w:rsid w:val="00837818"/>
    <w:rsid w:val="008F0E6C"/>
    <w:rsid w:val="00904A48"/>
    <w:rsid w:val="00932554"/>
    <w:rsid w:val="00936AAF"/>
    <w:rsid w:val="00980294"/>
    <w:rsid w:val="009C5392"/>
    <w:rsid w:val="009C657E"/>
    <w:rsid w:val="00A16E6F"/>
    <w:rsid w:val="00A50E4B"/>
    <w:rsid w:val="00A56EFB"/>
    <w:rsid w:val="00A9231D"/>
    <w:rsid w:val="00AD3BB3"/>
    <w:rsid w:val="00C0216A"/>
    <w:rsid w:val="00CD6077"/>
    <w:rsid w:val="00CE234E"/>
    <w:rsid w:val="00D02973"/>
    <w:rsid w:val="00DA09BE"/>
    <w:rsid w:val="00E83A83"/>
    <w:rsid w:val="00F03A00"/>
    <w:rsid w:val="00F502C5"/>
    <w:rsid w:val="00FB00DD"/>
    <w:rsid w:val="00FD24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34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8712</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2021-06-15T09:29:00Z</dcterms:created>
  <dcterms:modified xsi:type="dcterms:W3CDTF">2021-06-15T09:29:00Z</dcterms:modified>
</cp:coreProperties>
</file>