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803E8D" w:rsidRDefault="009C657E" w:rsidP="00803E8D">
      <w:pPr>
        <w:pStyle w:val="datumtevilka"/>
        <w:rPr>
          <w:rFonts w:cs="Arial"/>
        </w:rPr>
      </w:pPr>
      <w:bookmarkStart w:id="0" w:name="_Hlk61014710"/>
      <w:bookmarkEnd w:id="0"/>
      <w:r w:rsidRPr="00803E8D">
        <w:rPr>
          <w:rFonts w:cs="Arial"/>
          <w:color w:val="000000"/>
        </w:rPr>
        <w:t>EVA:</w:t>
      </w:r>
      <w:r w:rsidRPr="00803E8D">
        <w:rPr>
          <w:rFonts w:cs="Arial"/>
          <w:color w:val="000000"/>
        </w:rPr>
        <w:tab/>
      </w:r>
      <w:r w:rsidR="0098192A" w:rsidRPr="00803E8D">
        <w:rPr>
          <w:rFonts w:cs="Arial"/>
          <w:color w:val="000000"/>
        </w:rPr>
        <w:t>2020-2430-0076</w:t>
      </w:r>
    </w:p>
    <w:p w:rsidR="009C657E" w:rsidRPr="00803E8D" w:rsidRDefault="009C657E" w:rsidP="00803E8D">
      <w:pPr>
        <w:pStyle w:val="datumtevilka"/>
        <w:rPr>
          <w:rFonts w:cs="Arial"/>
        </w:rPr>
      </w:pPr>
      <w:r w:rsidRPr="00803E8D">
        <w:rPr>
          <w:rFonts w:cs="Arial"/>
        </w:rPr>
        <w:t xml:space="preserve">Številka: </w:t>
      </w:r>
      <w:r w:rsidRPr="00803E8D">
        <w:rPr>
          <w:rFonts w:cs="Arial"/>
        </w:rPr>
        <w:tab/>
      </w:r>
      <w:r w:rsidR="0098192A" w:rsidRPr="00803E8D">
        <w:rPr>
          <w:rFonts w:cs="Arial"/>
          <w:color w:val="000000"/>
        </w:rPr>
        <w:t>00710-39/2021/14</w:t>
      </w:r>
    </w:p>
    <w:p w:rsidR="009C657E" w:rsidRPr="00803E8D" w:rsidRDefault="009C657E" w:rsidP="00803E8D">
      <w:pPr>
        <w:pStyle w:val="datumtevilka"/>
        <w:rPr>
          <w:rFonts w:cs="Arial"/>
        </w:rPr>
      </w:pPr>
      <w:r w:rsidRPr="00803E8D">
        <w:rPr>
          <w:rFonts w:cs="Arial"/>
        </w:rPr>
        <w:t>Datum:</w:t>
      </w:r>
      <w:r w:rsidRPr="00803E8D">
        <w:rPr>
          <w:rFonts w:cs="Arial"/>
        </w:rPr>
        <w:tab/>
      </w:r>
      <w:r w:rsidR="0098192A" w:rsidRPr="00803E8D">
        <w:rPr>
          <w:rFonts w:cs="Arial"/>
          <w:color w:val="000000"/>
        </w:rPr>
        <w:t>10. 6. 2021</w:t>
      </w:r>
      <w:r w:rsidRPr="00803E8D">
        <w:rPr>
          <w:rFonts w:cs="Arial"/>
        </w:rPr>
        <w:t xml:space="preserve"> </w:t>
      </w:r>
    </w:p>
    <w:p w:rsidR="009C657E" w:rsidRDefault="009C657E" w:rsidP="00803E8D">
      <w:pPr>
        <w:autoSpaceDE w:val="0"/>
        <w:autoSpaceDN w:val="0"/>
        <w:adjustRightInd w:val="0"/>
        <w:rPr>
          <w:rFonts w:cs="Arial"/>
          <w:szCs w:val="20"/>
        </w:rPr>
      </w:pPr>
    </w:p>
    <w:p w:rsidR="00803E8D" w:rsidRDefault="00803E8D" w:rsidP="00803E8D">
      <w:pPr>
        <w:autoSpaceDE w:val="0"/>
        <w:autoSpaceDN w:val="0"/>
        <w:adjustRightInd w:val="0"/>
        <w:rPr>
          <w:rFonts w:cs="Arial"/>
          <w:szCs w:val="20"/>
        </w:rPr>
      </w:pPr>
    </w:p>
    <w:p w:rsidR="00803E8D" w:rsidRPr="00803E8D" w:rsidRDefault="00803E8D" w:rsidP="00803E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803E8D" w:rsidRDefault="0098192A" w:rsidP="00803E8D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803E8D">
        <w:rPr>
          <w:rFonts w:cs="Arial"/>
          <w:b/>
          <w:color w:val="000000"/>
          <w:szCs w:val="20"/>
        </w:rPr>
        <w:t>Predlog</w:t>
      </w:r>
      <w:r w:rsidR="00220BDC" w:rsidRPr="00803E8D">
        <w:rPr>
          <w:rFonts w:cs="Arial"/>
          <w:b/>
          <w:color w:val="000000"/>
          <w:szCs w:val="20"/>
        </w:rPr>
        <w:t>i</w:t>
      </w:r>
      <w:r w:rsidRPr="00803E8D">
        <w:rPr>
          <w:rFonts w:cs="Arial"/>
          <w:b/>
          <w:color w:val="000000"/>
          <w:szCs w:val="20"/>
        </w:rPr>
        <w:t xml:space="preserve"> amandmajev k Predlogu zakona o spodbujanju rabe obnovljivih virov energije</w:t>
      </w:r>
      <w:r w:rsidR="00803E8D" w:rsidRPr="00803E8D">
        <w:rPr>
          <w:rFonts w:cs="Arial"/>
          <w:b/>
          <w:color w:val="000000"/>
          <w:szCs w:val="20"/>
        </w:rPr>
        <w:t>, EPA 1830-VIII</w:t>
      </w:r>
    </w:p>
    <w:p w:rsidR="00803E8D" w:rsidRPr="00803E8D" w:rsidRDefault="00803E8D" w:rsidP="00803E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803E8D" w:rsidRDefault="009C657E" w:rsidP="00803E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803E8D" w:rsidRDefault="009C657E" w:rsidP="00803E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24. členu</w:t>
      </w: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24. členu se četrti odstavek spremeni tako, da se glasi: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»(4) Posamezna podpora se lahko izvaja največ 15 let od začetka obratovanja.«.</w:t>
      </w: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Obrazložitev: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Amandma je pripravljen na podlagi mnenja Zakonodajno-pravne službe Državnega zbora. Obdobje izvajanja podpore na največ 15 let se nanaša na vse oblike energije, ki so navedene v prvem odstavku tega člena. Zapis se tudi uskladi z osmim odstavkom tega člena, kjer je določena pravna podlaga za uredbo, s katero se določi čas trajanja upravičenosti do podpore, ki ne sme biti daljša od 15 let.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27.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27. členu se v četrtem odstavku za besedilom »do katerih prejemnik podpore ni upravičen« doda besedilo »ter vračilo preveč izplačanih sredstev«.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Obrazložitev: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Amandma je pripravljen na podlagi mnenja Zakonodajno-pravne službe Državnega zbora, skladno s katerim je potrebno določiti tudi da se v spremenjeni odločbi določi vračilo preveč izplačanih sredstev.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33.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33. členu se v drugem odstavku beseda »dogovor« nadomesti z besedilom »mednarodna pogodba v skladu z zakonom, ki ureja zunanje zadeve«.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 xml:space="preserve">Obrazložitev: 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Amandma je pripravljen na podlagi mnenja Zakonodajno-pravne službe Državnega zbora. Zaradi skladnosti in večje določnosti se odstavek popravi na način, da se za izvajanje skupnega projekta s tretjimi državami s sodelujočimi državami sklene mednarodna pogodba v skladu z zakonom, ki ureja zunanje zadeve.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44.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44. členu se v drugem odstavku točka c) spremeni tako, da se glasi: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lastRenderedPageBreak/>
        <w:t xml:space="preserve">»c) operater distribucijskega sistema in </w:t>
      </w:r>
      <w:proofErr w:type="spellStart"/>
      <w:r w:rsidRPr="00803E8D">
        <w:rPr>
          <w:rFonts w:cs="Arial"/>
          <w:szCs w:val="20"/>
          <w:lang w:eastAsia="sl-SI"/>
        </w:rPr>
        <w:t>elektrooperater</w:t>
      </w:r>
      <w:proofErr w:type="spellEnd"/>
      <w:r w:rsidRPr="00803E8D">
        <w:rPr>
          <w:rFonts w:cs="Arial"/>
          <w:szCs w:val="20"/>
          <w:lang w:eastAsia="sl-SI"/>
        </w:rPr>
        <w:t xml:space="preserve"> sodelujeta s skupnostmi, da bi olajšala prenose energije znotraj teh skupnosti;«.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Obrazložitev: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Amandma je pripravljen na podlagi mnenja Zakonodajno-pravne službe Državnega zbora. Zaradi uporabe pojmov iz Energetskega zakona, je potrebno besedilo dopolniti z </w:t>
      </w:r>
      <w:proofErr w:type="spellStart"/>
      <w:r w:rsidRPr="00803E8D">
        <w:rPr>
          <w:rFonts w:cs="Arial"/>
          <w:szCs w:val="20"/>
          <w:lang w:eastAsia="sl-SI"/>
        </w:rPr>
        <w:t>elektrooperaterji</w:t>
      </w:r>
      <w:proofErr w:type="spellEnd"/>
      <w:r w:rsidRPr="00803E8D">
        <w:rPr>
          <w:rFonts w:cs="Arial"/>
          <w:szCs w:val="20"/>
          <w:lang w:eastAsia="sl-SI"/>
        </w:rPr>
        <w:t xml:space="preserve">, saj je pojem »operater distribucijskega sistema« z vidika pojma, kot je opredeljen v 25. točki 4. člena Energetskega zakona preozek in je zato potrebno v besedilo vključiti še </w:t>
      </w:r>
      <w:proofErr w:type="spellStart"/>
      <w:r w:rsidRPr="00803E8D">
        <w:rPr>
          <w:rFonts w:cs="Arial"/>
          <w:szCs w:val="20"/>
          <w:lang w:eastAsia="sl-SI"/>
        </w:rPr>
        <w:t>elektrooperaterje</w:t>
      </w:r>
      <w:proofErr w:type="spellEnd"/>
      <w:r w:rsidRPr="00803E8D">
        <w:rPr>
          <w:rFonts w:cs="Arial"/>
          <w:szCs w:val="20"/>
          <w:lang w:eastAsia="sl-SI"/>
        </w:rPr>
        <w:t>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63.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63. členu se v prvem odstavku črta beseda »pravočasno«.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 xml:space="preserve">Obrazložitev: 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Amandma je pripravljen na podlagi mnenja Zakonodajno-pravne službe Državnega zbora. V prvem odstavku 60. člena zakona ni določenega roka, v katerem morajo dobavitelji vnesti podatke v podatkovno zbirko, zato opis dejanskega stanu prekrška, iz katerega izhaja, da je treba podatke vnesti pravočasno, ni skladen z zapovedanim ravnanjem. Skladno z navedenim se briše v </w:t>
      </w:r>
      <w:proofErr w:type="spellStart"/>
      <w:r w:rsidRPr="00803E8D">
        <w:rPr>
          <w:rFonts w:cs="Arial"/>
          <w:szCs w:val="20"/>
          <w:lang w:eastAsia="sl-SI"/>
        </w:rPr>
        <w:t>prekrškovni</w:t>
      </w:r>
      <w:proofErr w:type="spellEnd"/>
      <w:r w:rsidRPr="00803E8D">
        <w:rPr>
          <w:rFonts w:cs="Arial"/>
          <w:szCs w:val="20"/>
          <w:lang w:eastAsia="sl-SI"/>
        </w:rPr>
        <w:t xml:space="preserve"> določbi besedo »pravočasno«.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82.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82. členu se v prvem odstavku besedilo »osmega odstavka 20. člena« nadomesti z besedilom "osmega in dvanajstega odstavka 20. člena«.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Obrazložitev: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Amandma je pripravljen na podlagi mnenja Zakonodajno-pravne službe Državnega zbora. V prvem odstavku 82. člena je potrebno določiti tudi </w:t>
      </w:r>
      <w:proofErr w:type="spellStart"/>
      <w:r w:rsidRPr="00803E8D">
        <w:rPr>
          <w:rFonts w:cs="Arial"/>
          <w:szCs w:val="20"/>
          <w:lang w:eastAsia="sl-SI"/>
        </w:rPr>
        <w:t>inštrukcijski</w:t>
      </w:r>
      <w:proofErr w:type="spellEnd"/>
      <w:r w:rsidRPr="00803E8D">
        <w:rPr>
          <w:rFonts w:cs="Arial"/>
          <w:szCs w:val="20"/>
          <w:lang w:eastAsia="sl-SI"/>
        </w:rPr>
        <w:t xml:space="preserve"> rok za izdajo predpisa iz dvanajstega odstavka 20. člena.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>K 94. členu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94. člen se spremeni tako, da se glasi: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center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»94. člen </w:t>
      </w:r>
    </w:p>
    <w:p w:rsidR="00803E8D" w:rsidRPr="00803E8D" w:rsidRDefault="00803E8D" w:rsidP="00803E8D">
      <w:pPr>
        <w:ind w:right="567"/>
        <w:jc w:val="center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(prenehanje veljavnosti zakona)</w:t>
      </w:r>
    </w:p>
    <w:p w:rsidR="00803E8D" w:rsidRPr="00803E8D" w:rsidRDefault="00803E8D" w:rsidP="00803E8D">
      <w:pPr>
        <w:ind w:right="567"/>
        <w:jc w:val="center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jc w:val="both"/>
        <w:rPr>
          <w:rFonts w:eastAsia="Calibri"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Energetskem zakonu (Uradni list RS, št. 60/19 – uradno prečiščeno besedilo, 65/20 in 158/20 – ZURE):</w:t>
      </w:r>
    </w:p>
    <w:p w:rsidR="00803E8D" w:rsidRPr="00803E8D" w:rsidRDefault="00803E8D" w:rsidP="00803E8D">
      <w:pPr>
        <w:ind w:right="567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eastAsia="Calibri"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2. členu v prvem odstavku prenehata veljati četrta in osma alineja;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v 4. členu prenehata veljati druga in dvaindvajseta točka;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se v 42. členu v tretjem odstavku besedilo »368. člena tega zakona« nadomesti z besedilom »13. člena Zakona o spodbujanju rabe obnovljivih virov energije (Uradni list RS, št. …);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se v 97. členu v drugem odstavku v četrti alineji besedilo »376. člena tega zakona« nadomesti z besedilom »18. člena Zakona o spodbujanju rabe obnovljivih virov energije (Uradni list RS, št. …);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se v 98. členu v prvem odstavku v tretji alineji besedilo »sedmega odstavka 378. člena tega zakona« nadomesti z besedilom »šestega odstavka 18. člena Zakona o spodbujanju rabe obnovljivih virov energije (Uradni list RS, št. …)«;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preneha veljati peti del: Obnovljivi viri energije, I. poglavje: SPLOŠNE DOLOČBE ter 312. in 313. člen, II. poglavje: RABA OBNOVLJIVIH VIROV ENERGIJE ter 314., 315., 315.a, 320., </w:t>
      </w:r>
      <w:r w:rsidRPr="00803E8D">
        <w:rPr>
          <w:rFonts w:cs="Arial"/>
          <w:szCs w:val="20"/>
          <w:lang w:eastAsia="sl-SI"/>
        </w:rPr>
        <w:lastRenderedPageBreak/>
        <w:t xml:space="preserve">323., 325. in 326. člen, IV. poglavje: USPOSABLJANJE ter 359. člen, V. poglavje: ELEKTRIČNA ENERGIJA IZ OBNOVLJIVIH VIROV ENERGIJE IN IZ SOPROIZVODNJE TOPLOTE IN ELEKTRIČNE ENERGIJE Z VISOKIM IZKORISTKOM, 1. oddelek: Soproizvodnja toplote in električne energije z visokim izkoristkom ter učinkovito daljinsko ogrevanje in hlajenje ter 361. člen, 2. oddelek: Potrdila o izvoru električne energije ter 365., 366., 367. in 368. člen, 3. oddelek: Priključevanje na omrežje ter prenos električne energije iz obnovljivih virov in iz soproizvodnje ter 369., 370. in 371. člen, 4. oddelek: </w:t>
      </w:r>
      <w:r w:rsidRPr="00803E8D">
        <w:rPr>
          <w:rFonts w:cs="Arial"/>
          <w:szCs w:val="20"/>
        </w:rPr>
        <w:t>Podpore proizvodnji električne energije iz obnovljivih virov energije in v soproizvodnji z visokim izkoristkom</w:t>
      </w:r>
      <w:r w:rsidRPr="00803E8D">
        <w:rPr>
          <w:rFonts w:cs="Arial"/>
          <w:szCs w:val="20"/>
          <w:lang w:eastAsia="sl-SI"/>
        </w:rPr>
        <w:t xml:space="preserve"> ter 372., 373., 374., 375., 376., 377. in 378. člen, 5. oddelek: </w:t>
      </w:r>
      <w:r w:rsidRPr="00803E8D">
        <w:rPr>
          <w:rFonts w:cs="Arial"/>
          <w:szCs w:val="20"/>
        </w:rPr>
        <w:t>Izjeme za fizične osebe, ki proizvajajo električno energijo v proizvodnih napravah do 50 kW,</w:t>
      </w:r>
      <w:r w:rsidRPr="00803E8D">
        <w:rPr>
          <w:rFonts w:cs="Arial"/>
          <w:szCs w:val="20"/>
          <w:lang w:eastAsia="sl-SI"/>
        </w:rPr>
        <w:t xml:space="preserve"> ter 379. člen, VI. poglavje: OBNOVLJIVI VIRI ENERGIJE V PROMETU ter 380, 381. in 382. člen, VII. poglavje: STATISTIČNI PRENOSI ENERGIJE IZ OBNOVLJIVIH VIROV ENERGIJE ter 382.a člen;</w:t>
      </w:r>
    </w:p>
    <w:p w:rsidR="00803E8D" w:rsidRPr="00803E8D" w:rsidRDefault="00803E8D" w:rsidP="00803E8D">
      <w:pPr>
        <w:numPr>
          <w:ilvl w:val="0"/>
          <w:numId w:val="3"/>
        </w:numPr>
        <w:autoSpaceDE w:val="0"/>
        <w:autoSpaceDN w:val="0"/>
        <w:adjustRightInd w:val="0"/>
        <w:ind w:left="360"/>
        <w:contextualSpacing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>prenehata veljati 493. in 493.a člen.«.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</w:p>
    <w:p w:rsidR="00803E8D" w:rsidRPr="00803E8D" w:rsidRDefault="00803E8D" w:rsidP="00803E8D">
      <w:pPr>
        <w:ind w:right="567"/>
        <w:jc w:val="both"/>
        <w:rPr>
          <w:rFonts w:cs="Arial"/>
          <w:b/>
          <w:szCs w:val="20"/>
          <w:lang w:eastAsia="sl-SI"/>
        </w:rPr>
      </w:pPr>
      <w:r w:rsidRPr="00803E8D">
        <w:rPr>
          <w:rFonts w:cs="Arial"/>
          <w:b/>
          <w:szCs w:val="20"/>
          <w:lang w:eastAsia="sl-SI"/>
        </w:rPr>
        <w:t xml:space="preserve">Obrazložitev:  </w:t>
      </w:r>
    </w:p>
    <w:p w:rsidR="00803E8D" w:rsidRPr="00803E8D" w:rsidRDefault="00803E8D" w:rsidP="00803E8D">
      <w:pPr>
        <w:ind w:right="567"/>
        <w:jc w:val="both"/>
        <w:rPr>
          <w:rFonts w:cs="Arial"/>
          <w:szCs w:val="20"/>
          <w:lang w:eastAsia="sl-SI"/>
        </w:rPr>
      </w:pPr>
      <w:r w:rsidRPr="00803E8D">
        <w:rPr>
          <w:rFonts w:cs="Arial"/>
          <w:szCs w:val="20"/>
          <w:lang w:eastAsia="sl-SI"/>
        </w:rPr>
        <w:t xml:space="preserve">Amandma je pripravljen na podlagi mnenja Zakonodajno-pravne službe Državnega zbora. S predlaganim prenehanjem veljavnosti posameznih določb EZ-1 se morajo uskladiti tudi členi EZ-1, ki se nanje sklicujejo, in sicer tretji odstavek 42. člena, ki se sklicuje na 368. člen EZ-1, četrta alineja drugega odstavka 97. člena, ki se sklicuje na 376. člen Ez-1 in tretja alineja prvega odstavka 98. člena EZ-1, ki se sklicuje na 378. člen. Glede na to, da se briše tudi 361. člen EZ-1, preneha veljati celotni peti del EZ-1, kar se smiselno upošteva pri spremenjenem zapisu tega člena. Sprememba je tudi v posegu v drugi odstavek 2. člena EZ-1, in sicer z amandmajem ohranjamo v EZ-1 navedbo Uredbe (ES) št. 714/2009 Evropskega parlamenta in Sveta z dne 13. julija 2009 o pogojih za dostop do omrežja za čezmejne izmenjave električne energije in razveljavitvi Uredbe (ES) št. 1228/2003 (UL L št. 211 z dne 14. 8. 2009, str. 15), saj bo zadevna alineja (prva alineja drugega odstavka 2. člena EZ-1) prenehala veljati s sprejemom zakona, ki ureja oskrbo z električno energijo.         </w:t>
      </w:r>
    </w:p>
    <w:p w:rsidR="00803E8D" w:rsidRPr="00803E8D" w:rsidRDefault="00803E8D" w:rsidP="00803E8D">
      <w:pPr>
        <w:jc w:val="both"/>
        <w:rPr>
          <w:rFonts w:cs="Arial"/>
          <w:b/>
          <w:szCs w:val="20"/>
          <w:lang w:eastAsia="sl-SI"/>
        </w:rPr>
      </w:pPr>
    </w:p>
    <w:p w:rsidR="00803E8D" w:rsidRPr="00803E8D" w:rsidRDefault="00803E8D" w:rsidP="00803E8D">
      <w:pPr>
        <w:jc w:val="both"/>
        <w:rPr>
          <w:rFonts w:eastAsia="Calibri" w:cs="Arial"/>
          <w:szCs w:val="20"/>
          <w:lang w:eastAsia="sl-SI"/>
        </w:rPr>
      </w:pPr>
    </w:p>
    <w:p w:rsidR="00803E8D" w:rsidRPr="00803E8D" w:rsidRDefault="00803E8D" w:rsidP="00803E8D">
      <w:pPr>
        <w:pStyle w:val="pravnapodlaga1"/>
        <w:spacing w:before="0" w:line="260" w:lineRule="exact"/>
        <w:ind w:firstLine="0"/>
        <w:rPr>
          <w:i/>
          <w:sz w:val="20"/>
          <w:szCs w:val="20"/>
        </w:rPr>
      </w:pPr>
    </w:p>
    <w:p w:rsidR="007E1230" w:rsidRPr="00803E8D" w:rsidRDefault="007E1230" w:rsidP="00803E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RPr="00803E8D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BC9" w:rsidRDefault="006E4BC9" w:rsidP="00767987">
      <w:pPr>
        <w:spacing w:line="240" w:lineRule="auto"/>
      </w:pPr>
      <w:r>
        <w:separator/>
      </w:r>
    </w:p>
  </w:endnote>
  <w:endnote w:type="continuationSeparator" w:id="0">
    <w:p w:rsidR="006E4BC9" w:rsidRDefault="006E4B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BC9" w:rsidRDefault="006E4BC9" w:rsidP="00767987">
      <w:pPr>
        <w:spacing w:line="240" w:lineRule="auto"/>
      </w:pPr>
      <w:r>
        <w:separator/>
      </w:r>
    </w:p>
  </w:footnote>
  <w:footnote w:type="continuationSeparator" w:id="0">
    <w:p w:rsidR="006E4BC9" w:rsidRDefault="006E4B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B0CCD"/>
    <w:multiLevelType w:val="hybridMultilevel"/>
    <w:tmpl w:val="886E691C"/>
    <w:lvl w:ilvl="0" w:tplc="8A8819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086722"/>
    <w:multiLevelType w:val="hybridMultilevel"/>
    <w:tmpl w:val="F006AD7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20BDC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6E4BC9"/>
    <w:rsid w:val="007039D0"/>
    <w:rsid w:val="00767987"/>
    <w:rsid w:val="00782FD4"/>
    <w:rsid w:val="007E1230"/>
    <w:rsid w:val="00803E8D"/>
    <w:rsid w:val="00811140"/>
    <w:rsid w:val="00904A48"/>
    <w:rsid w:val="00980294"/>
    <w:rsid w:val="0098192A"/>
    <w:rsid w:val="009C5392"/>
    <w:rsid w:val="009C657E"/>
    <w:rsid w:val="00A16E6F"/>
    <w:rsid w:val="00A50E4B"/>
    <w:rsid w:val="00A56EFB"/>
    <w:rsid w:val="00A9231D"/>
    <w:rsid w:val="00AD3BB3"/>
    <w:rsid w:val="00B36365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220BDC"/>
    <w:pPr>
      <w:ind w:left="720"/>
      <w:contextualSpacing/>
    </w:pPr>
    <w:rPr>
      <w:rFonts w:ascii="Times New Roman" w:hAnsi="Times New Roman"/>
      <w:szCs w:val="20"/>
      <w:lang w:eastAsia="sl-SI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220BDC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customStyle="1" w:styleId="pravnapodlaga1">
    <w:name w:val="pravnapodlaga1"/>
    <w:basedOn w:val="Navaden"/>
    <w:rsid w:val="00803E8D"/>
    <w:pPr>
      <w:spacing w:before="48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718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946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2021-06-09T09:05:00Z</dcterms:created>
  <dcterms:modified xsi:type="dcterms:W3CDTF">2021-06-09T09:05:00Z</dcterms:modified>
</cp:coreProperties>
</file>