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0E7B" w:rsidRPr="008D1759" w:rsidRDefault="00DF0E7B" w:rsidP="00DF0E7B">
      <w:pPr>
        <w:pStyle w:val="Naslovpredpisa"/>
        <w:spacing w:before="0" w:after="0" w:line="260" w:lineRule="exact"/>
        <w:jc w:val="left"/>
        <w:rPr>
          <w:sz w:val="20"/>
          <w:szCs w:val="20"/>
        </w:rPr>
      </w:pPr>
    </w:p>
    <w:p w:rsidR="00DF0E7B" w:rsidRPr="008D1759" w:rsidRDefault="00DF0E7B" w:rsidP="00DF0E7B">
      <w:pPr>
        <w:pStyle w:val="Naslovpredpisa"/>
        <w:spacing w:before="0" w:after="0" w:line="260" w:lineRule="exact"/>
        <w:jc w:val="right"/>
        <w:rPr>
          <w:sz w:val="20"/>
          <w:szCs w:val="20"/>
        </w:rPr>
      </w:pPr>
      <w:r w:rsidRPr="008D1759">
        <w:rPr>
          <w:sz w:val="20"/>
          <w:szCs w:val="20"/>
        </w:rPr>
        <w:t>PREDLOG</w:t>
      </w:r>
    </w:p>
    <w:p w:rsidR="00DF0E7B" w:rsidRPr="008D1759" w:rsidRDefault="00DF0E7B" w:rsidP="00DF0E7B">
      <w:pPr>
        <w:pStyle w:val="Naslovpredpisa"/>
        <w:spacing w:before="0" w:after="0" w:line="260" w:lineRule="exact"/>
        <w:jc w:val="right"/>
        <w:rPr>
          <w:sz w:val="20"/>
          <w:szCs w:val="20"/>
        </w:rPr>
      </w:pPr>
      <w:r w:rsidRPr="006D7335">
        <w:rPr>
          <w:sz w:val="20"/>
          <w:szCs w:val="20"/>
        </w:rPr>
        <w:t>2021-2330-0051</w:t>
      </w:r>
      <w:r w:rsidRPr="006D7335" w:rsidDel="006D7335">
        <w:rPr>
          <w:sz w:val="20"/>
          <w:szCs w:val="20"/>
        </w:rPr>
        <w:t xml:space="preserve"> </w:t>
      </w:r>
    </w:p>
    <w:tbl>
      <w:tblPr>
        <w:tblW w:w="0" w:type="auto"/>
        <w:tblLook w:val="04A0" w:firstRow="1" w:lastRow="0" w:firstColumn="1" w:lastColumn="0" w:noHBand="0" w:noVBand="1"/>
      </w:tblPr>
      <w:tblGrid>
        <w:gridCol w:w="9072"/>
      </w:tblGrid>
      <w:tr w:rsidR="00DF0E7B" w:rsidRPr="008D1759" w:rsidTr="005F13CA">
        <w:tc>
          <w:tcPr>
            <w:tcW w:w="9213" w:type="dxa"/>
          </w:tcPr>
          <w:p w:rsidR="00DF0E7B" w:rsidRPr="00D17F74" w:rsidRDefault="00DF0E7B" w:rsidP="005F13CA">
            <w:pPr>
              <w:pStyle w:val="Naslovpredpisa"/>
              <w:spacing w:before="0" w:after="0" w:line="260" w:lineRule="exact"/>
              <w:rPr>
                <w:sz w:val="20"/>
                <w:szCs w:val="20"/>
              </w:rPr>
            </w:pPr>
            <w:r w:rsidRPr="00D17F74">
              <w:rPr>
                <w:sz w:val="20"/>
                <w:szCs w:val="20"/>
              </w:rPr>
              <w:t>ZAKON</w:t>
            </w:r>
          </w:p>
          <w:p w:rsidR="00DF0E7B" w:rsidRPr="00D17F74" w:rsidRDefault="00DF0E7B" w:rsidP="005F13CA">
            <w:pPr>
              <w:pStyle w:val="Naslovpredpisa"/>
              <w:spacing w:before="0" w:after="0" w:line="260" w:lineRule="exact"/>
              <w:rPr>
                <w:sz w:val="20"/>
                <w:szCs w:val="20"/>
              </w:rPr>
            </w:pPr>
            <w:r>
              <w:rPr>
                <w:sz w:val="20"/>
                <w:szCs w:val="20"/>
              </w:rPr>
              <w:t xml:space="preserve">O SPREMEMBAH </w:t>
            </w:r>
            <w:r w:rsidRPr="00D17F74">
              <w:rPr>
                <w:sz w:val="20"/>
                <w:szCs w:val="20"/>
              </w:rPr>
              <w:t>ZAKONA O UREDITVI DOLOČENIH VPRAŠANJ ZARADI KONČNE RAZSODBE ARBITRAŽNEGA SODIŠČA NA PODLAGI ARBITRAŽNEGA SPORAZUMA MED VLADO REPUBLIKE SLOVENIJE IN VLADO REPUBLIKE HRVAŠKE</w:t>
            </w:r>
          </w:p>
          <w:p w:rsidR="00DF0E7B" w:rsidRPr="00D17F74" w:rsidRDefault="00DF0E7B" w:rsidP="005F13CA">
            <w:pPr>
              <w:pStyle w:val="Naslovpredpisa"/>
              <w:spacing w:before="0" w:after="0" w:line="260" w:lineRule="exact"/>
              <w:jc w:val="left"/>
              <w:rPr>
                <w:sz w:val="20"/>
                <w:szCs w:val="20"/>
              </w:rPr>
            </w:pPr>
          </w:p>
        </w:tc>
      </w:tr>
      <w:tr w:rsidR="00DF0E7B" w:rsidRPr="008D1759" w:rsidTr="005F13CA">
        <w:tc>
          <w:tcPr>
            <w:tcW w:w="9213" w:type="dxa"/>
          </w:tcPr>
          <w:p w:rsidR="00DF0E7B" w:rsidRPr="008D1759" w:rsidRDefault="00DF0E7B" w:rsidP="005F13CA">
            <w:pPr>
              <w:pStyle w:val="Poglavje"/>
              <w:spacing w:before="0" w:after="0" w:line="260" w:lineRule="exact"/>
              <w:jc w:val="left"/>
              <w:rPr>
                <w:sz w:val="20"/>
                <w:szCs w:val="20"/>
              </w:rPr>
            </w:pPr>
            <w:r w:rsidRPr="008D1759">
              <w:rPr>
                <w:sz w:val="20"/>
                <w:szCs w:val="20"/>
              </w:rPr>
              <w:t>I. UVOD</w:t>
            </w:r>
          </w:p>
        </w:tc>
      </w:tr>
      <w:tr w:rsidR="00DF0E7B" w:rsidRPr="008D1759" w:rsidTr="005F13CA">
        <w:tc>
          <w:tcPr>
            <w:tcW w:w="9213" w:type="dxa"/>
          </w:tcPr>
          <w:p w:rsidR="00DF0E7B" w:rsidRPr="00D17F74" w:rsidRDefault="00DF0E7B" w:rsidP="005F13CA">
            <w:pPr>
              <w:pStyle w:val="Oddelek"/>
              <w:numPr>
                <w:ilvl w:val="0"/>
                <w:numId w:val="0"/>
              </w:numPr>
              <w:spacing w:before="0" w:after="0" w:line="260" w:lineRule="exact"/>
              <w:jc w:val="left"/>
              <w:rPr>
                <w:sz w:val="20"/>
                <w:szCs w:val="20"/>
              </w:rPr>
            </w:pPr>
            <w:r w:rsidRPr="00D17F74">
              <w:rPr>
                <w:sz w:val="20"/>
                <w:szCs w:val="20"/>
              </w:rPr>
              <w:t>1. OCENA STANJA IN RAZLOGI ZA SPREJEM PREDLOGA ZAKONA</w:t>
            </w:r>
          </w:p>
        </w:tc>
      </w:tr>
      <w:tr w:rsidR="00DF0E7B" w:rsidRPr="008D1759" w:rsidTr="005F13CA">
        <w:tc>
          <w:tcPr>
            <w:tcW w:w="9213" w:type="dxa"/>
          </w:tcPr>
          <w:p w:rsidR="00DF0E7B" w:rsidRPr="00D17F74" w:rsidRDefault="00DF0E7B" w:rsidP="005F13CA">
            <w:pPr>
              <w:pStyle w:val="Alineazaodstavkom"/>
              <w:numPr>
                <w:ilvl w:val="0"/>
                <w:numId w:val="0"/>
              </w:numPr>
              <w:spacing w:line="260" w:lineRule="exact"/>
              <w:rPr>
                <w:sz w:val="20"/>
                <w:szCs w:val="20"/>
              </w:rPr>
            </w:pPr>
          </w:p>
          <w:p w:rsidR="00DF0E7B" w:rsidRDefault="00DF0E7B" w:rsidP="005F13CA">
            <w:pPr>
              <w:pStyle w:val="Alineazaodstavkom"/>
              <w:numPr>
                <w:ilvl w:val="0"/>
                <w:numId w:val="0"/>
              </w:numPr>
              <w:spacing w:line="260" w:lineRule="exact"/>
            </w:pPr>
            <w:r w:rsidRPr="00D17F74">
              <w:rPr>
                <w:sz w:val="20"/>
                <w:szCs w:val="20"/>
              </w:rPr>
              <w:t>Zakon o ureditvi določenih vprašanj zaradi končne razsodbe arbitražnega sodišča na podlagi Arbitražnega sporazuma med Vlado Republike Slovenije in Vlado Republ</w:t>
            </w:r>
            <w:r>
              <w:rPr>
                <w:sz w:val="20"/>
                <w:szCs w:val="20"/>
              </w:rPr>
              <w:t>ike Hrvaške (Uradni list RS</w:t>
            </w:r>
            <w:r w:rsidRPr="008635BF">
              <w:rPr>
                <w:sz w:val="20"/>
                <w:szCs w:val="20"/>
              </w:rPr>
              <w:t>, št. 69/17 in 59/19</w:t>
            </w:r>
            <w:r w:rsidRPr="00D17F74">
              <w:rPr>
                <w:sz w:val="20"/>
                <w:szCs w:val="20"/>
              </w:rPr>
              <w:t>; v nadaljnjem besedilu: ZUVRAS) je bil sprejet s ciljem, da se zaradi razglasitve Končne razsodbe v arbitraži med Republiko Slovenijo in Republiko Hrvaško glede določitve meje na kopnem in morju med državama (v nadaljnjem besedilu: razsodba) uredi ohranitev določenih pravic državljanov Republike Slovenije in določijo nekatere nove pravice. Namen ZUVRAS je uresničevanje načela enake obravnave državljanov Republike Slovenije, na katerih pravice in obveznosti je vplivala razsodba, tako da se jim v čim večji meri ohranijo pravice, ki so jih uživali do razglasitve razsodbe, za tiste pravice, za katere so prikrajšani, pa uvaja ustrezno nadomestilo. ZUVRAS se je začel uporabljati, ko je bila državna meja med Republiko Slovenijo in Republiko Hrvaško na podlagi razsodbe evidentirana v evidenci d</w:t>
            </w:r>
            <w:r>
              <w:rPr>
                <w:sz w:val="20"/>
                <w:szCs w:val="20"/>
              </w:rPr>
              <w:t>ržavne meje, to je 30. 12. 2017.</w:t>
            </w:r>
            <w:r>
              <w:t xml:space="preserve"> </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 xml:space="preserve">Glede na to, da lahko imetniki dovoljenja za gospodarski ribolov pri izvajanju svoje dejavnosti (gospodarskega ribolova) s strani tujih plovil utrpijo škodo na ribolovnem orodju oziroma ribiškem plovilu v morju Republike Slovenije, je ZUVRAS določil, da se imetnikom dovoljenja za gospodarski ribolov omogoča, da so v tem primeru upravičeni do nadomestila v višini nastale škode v okviru pomoči de </w:t>
            </w:r>
            <w:proofErr w:type="spellStart"/>
            <w:r w:rsidRPr="00D17F74">
              <w:rPr>
                <w:sz w:val="20"/>
                <w:szCs w:val="20"/>
              </w:rPr>
              <w:t>minimis</w:t>
            </w:r>
            <w:proofErr w:type="spellEnd"/>
            <w:r w:rsidRPr="00D17F74">
              <w:rPr>
                <w:sz w:val="20"/>
                <w:szCs w:val="20"/>
              </w:rPr>
              <w:t xml:space="preserve"> v ribištvu. </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 xml:space="preserve">Zaradi možnosti prisotnosti tujih plovil v morju Republike Slovenije, ki bi ovirala opravljanje rednega gospodarskega ribolova slovenskih ribičev, lahko ti zaradi tega utrpijo izpad rednega dohodka. ZUVRAS je za imetnike dovoljenj za gospodarski ribolov določil, da so v primeru izpolnjevanja predpisanih pogojev upravičeni do nadomestila zaradi izpada dohodka v okviru pomoči de </w:t>
            </w:r>
            <w:proofErr w:type="spellStart"/>
            <w:r w:rsidRPr="00D17F74">
              <w:rPr>
                <w:sz w:val="20"/>
                <w:szCs w:val="20"/>
              </w:rPr>
              <w:t>minimis</w:t>
            </w:r>
            <w:proofErr w:type="spellEnd"/>
            <w:r w:rsidRPr="00D17F74">
              <w:rPr>
                <w:sz w:val="20"/>
                <w:szCs w:val="20"/>
              </w:rPr>
              <w:t xml:space="preserve"> v ribištvu.</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81552A">
              <w:rPr>
                <w:sz w:val="20"/>
                <w:szCs w:val="20"/>
              </w:rPr>
              <w:t>Sprememba ZUVRAS-a bo določila šestletno obdobje od začetka uporabe zakona, v katerem so imetniki dovoljenj za gospodarski ribolov upravičeni do nadomestila v višini nastale škode kot posledice poškodovanja ribolovnih orodij oziroma ribiških plovil s strani tujih plovil in nadomestila zaradi izpada dohodka, to je do 30. 12. 2023.</w:t>
            </w:r>
          </w:p>
          <w:p w:rsidR="00DF0E7B" w:rsidRPr="00D17F74" w:rsidRDefault="00DF0E7B" w:rsidP="005F13CA">
            <w:pPr>
              <w:pStyle w:val="Alineazaodstavkom"/>
              <w:numPr>
                <w:ilvl w:val="0"/>
                <w:numId w:val="0"/>
              </w:numPr>
              <w:spacing w:line="260" w:lineRule="exact"/>
              <w:rPr>
                <w:sz w:val="20"/>
                <w:szCs w:val="20"/>
              </w:rPr>
            </w:pPr>
          </w:p>
          <w:p w:rsidR="00DF0E7B" w:rsidRDefault="00DF0E7B" w:rsidP="005F13CA">
            <w:pPr>
              <w:pStyle w:val="Alineazaodstavkom"/>
              <w:numPr>
                <w:ilvl w:val="0"/>
                <w:numId w:val="0"/>
              </w:numPr>
              <w:spacing w:line="260" w:lineRule="exact"/>
              <w:rPr>
                <w:sz w:val="20"/>
                <w:szCs w:val="20"/>
              </w:rPr>
            </w:pPr>
            <w:r w:rsidRPr="00D17F74">
              <w:rPr>
                <w:sz w:val="20"/>
                <w:szCs w:val="20"/>
              </w:rPr>
              <w:t>Hrvaška ribiška plovila so v spremstvu plovil hrvaške policije v obdobju od začetka izvajanja zakona do danes velikokrat vplula v morje Republike Slovenije. To se dogaja še danes, ne glede na to, da lahko hrvaška ribiška plovila izvajajo gospodarski ribolov na morju tudi v vodah Republike Slovenije v skladu z določbami 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spremenjene z Dele</w:t>
            </w:r>
            <w:r>
              <w:rPr>
                <w:sz w:val="20"/>
                <w:szCs w:val="20"/>
              </w:rPr>
              <w:t>girano uredbo Komisije (EU) 2020/215 z dne 21. avgusta 2020</w:t>
            </w:r>
            <w:r w:rsidRPr="00D17F74">
              <w:rPr>
                <w:sz w:val="20"/>
                <w:szCs w:val="20"/>
              </w:rPr>
              <w:t xml:space="preserve"> o </w:t>
            </w:r>
            <w:r>
              <w:rPr>
                <w:sz w:val="20"/>
                <w:szCs w:val="20"/>
              </w:rPr>
              <w:t xml:space="preserve">določitvi podrobnosti izvajanja obveznosti iztovarjanja za nekatere vrste ribolova v zahodnih vodah za obdobje 2021-2023 </w:t>
            </w:r>
            <w:r w:rsidRPr="00D17F74">
              <w:rPr>
                <w:sz w:val="20"/>
                <w:szCs w:val="20"/>
              </w:rPr>
              <w:t>(UL L št. 41</w:t>
            </w:r>
            <w:r>
              <w:rPr>
                <w:sz w:val="20"/>
                <w:szCs w:val="20"/>
              </w:rPr>
              <w:t>5 z dne 10</w:t>
            </w:r>
            <w:r w:rsidRPr="00D17F74">
              <w:rPr>
                <w:sz w:val="20"/>
                <w:szCs w:val="20"/>
              </w:rPr>
              <w:t xml:space="preserve">. </w:t>
            </w:r>
            <w:r>
              <w:rPr>
                <w:sz w:val="20"/>
                <w:szCs w:val="20"/>
              </w:rPr>
              <w:t>12. 2020, str. 22</w:t>
            </w:r>
            <w:r w:rsidRPr="00D17F74">
              <w:rPr>
                <w:sz w:val="20"/>
                <w:szCs w:val="20"/>
              </w:rPr>
              <w:t>), (v nadaljnjem besedilu: Uredba 1380/2013/EU).</w:t>
            </w:r>
          </w:p>
          <w:p w:rsidR="00DF0E7B"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lastRenderedPageBreak/>
              <w:t>Ker hrvaška ribiška plovila ne izvajajo ribolova v skladu z zakonodajo, ki velja na območju Republike Slovenije, lahko pride do poškodovanja ribolovnih orodij slovenskih ribičev, prav tako pa je lahko oviran redni ribolov slovenskih ribičev.</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p>
        </w:tc>
      </w:tr>
      <w:tr w:rsidR="00DF0E7B" w:rsidRPr="008D1759" w:rsidTr="005F13CA">
        <w:tc>
          <w:tcPr>
            <w:tcW w:w="9213" w:type="dxa"/>
          </w:tcPr>
          <w:p w:rsidR="00DF0E7B" w:rsidRPr="00D17F74" w:rsidRDefault="00DF0E7B" w:rsidP="005F13CA">
            <w:pPr>
              <w:pStyle w:val="Oddelek"/>
              <w:numPr>
                <w:ilvl w:val="0"/>
                <w:numId w:val="0"/>
              </w:numPr>
              <w:spacing w:before="0" w:after="0" w:line="260" w:lineRule="exact"/>
              <w:jc w:val="left"/>
              <w:rPr>
                <w:sz w:val="20"/>
                <w:szCs w:val="20"/>
              </w:rPr>
            </w:pPr>
            <w:r w:rsidRPr="00D17F74">
              <w:rPr>
                <w:sz w:val="20"/>
                <w:szCs w:val="20"/>
              </w:rPr>
              <w:lastRenderedPageBreak/>
              <w:t>2. CILJI, NAČELA IN POGLAVITNE REŠITVE PREDLOGA ZAKONA</w:t>
            </w:r>
          </w:p>
        </w:tc>
      </w:tr>
      <w:tr w:rsidR="00DF0E7B" w:rsidRPr="008D1759" w:rsidTr="005F13CA">
        <w:tc>
          <w:tcPr>
            <w:tcW w:w="9213" w:type="dxa"/>
          </w:tcPr>
          <w:p w:rsidR="00DF0E7B" w:rsidRPr="00D17F74" w:rsidRDefault="00DF0E7B" w:rsidP="005F13CA">
            <w:pPr>
              <w:pStyle w:val="Odsek"/>
              <w:numPr>
                <w:ilvl w:val="0"/>
                <w:numId w:val="0"/>
              </w:numPr>
              <w:spacing w:before="0" w:after="0" w:line="260" w:lineRule="exact"/>
              <w:jc w:val="left"/>
              <w:rPr>
                <w:sz w:val="20"/>
                <w:szCs w:val="20"/>
              </w:rPr>
            </w:pPr>
            <w:r w:rsidRPr="00D17F74">
              <w:rPr>
                <w:sz w:val="20"/>
                <w:szCs w:val="20"/>
              </w:rPr>
              <w:t>2.1 Cilji</w:t>
            </w:r>
          </w:p>
        </w:tc>
      </w:tr>
      <w:tr w:rsidR="00DF0E7B" w:rsidRPr="008D1759" w:rsidTr="005F13CA">
        <w:tc>
          <w:tcPr>
            <w:tcW w:w="9213" w:type="dxa"/>
          </w:tcPr>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r w:rsidRPr="00D17F74">
              <w:rPr>
                <w:sz w:val="20"/>
                <w:szCs w:val="20"/>
              </w:rPr>
              <w:t>Cilj predloga zakona je zagotovitev izplačila nadomestil imetnikom dovoljenj za gospodarski ribolov, in sicer (1) za materialno škodo na ribolovnem orodju oziroma plovilu in (2) zaradi oviranega gospodarskega ribolova.</w:t>
            </w:r>
          </w:p>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p>
        </w:tc>
      </w:tr>
      <w:tr w:rsidR="00DF0E7B" w:rsidRPr="008D1759" w:rsidTr="005F13CA">
        <w:tc>
          <w:tcPr>
            <w:tcW w:w="9213" w:type="dxa"/>
          </w:tcPr>
          <w:p w:rsidR="00DF0E7B" w:rsidRPr="00D17F74" w:rsidRDefault="00DF0E7B" w:rsidP="005F13CA">
            <w:pPr>
              <w:pStyle w:val="Odsek"/>
              <w:numPr>
                <w:ilvl w:val="0"/>
                <w:numId w:val="0"/>
              </w:numPr>
              <w:spacing w:before="0" w:after="0" w:line="260" w:lineRule="exact"/>
              <w:jc w:val="left"/>
              <w:rPr>
                <w:sz w:val="20"/>
                <w:szCs w:val="20"/>
              </w:rPr>
            </w:pPr>
            <w:r w:rsidRPr="00D17F74">
              <w:rPr>
                <w:sz w:val="20"/>
                <w:szCs w:val="20"/>
              </w:rPr>
              <w:t>2.2 Načela</w:t>
            </w:r>
          </w:p>
        </w:tc>
      </w:tr>
      <w:tr w:rsidR="00DF0E7B" w:rsidRPr="008D1759" w:rsidTr="005F13CA">
        <w:tc>
          <w:tcPr>
            <w:tcW w:w="9213" w:type="dxa"/>
          </w:tcPr>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r w:rsidRPr="00D17F74">
              <w:rPr>
                <w:sz w:val="20"/>
                <w:szCs w:val="20"/>
              </w:rPr>
              <w:t>Načela predloga zakona ostajajo enaka načelom ZUVRAS. S predlogom zakona se sledi predvsem načelu največje koristi državljanov Republike Slovenije, katerih pravice in obveznosti so se zaradi razsodbe spremenile proti njihovi volji ali pa jim je zaradi tega bila povzročena škoda, se zagotavlja ustrezno nadomestilo.</w:t>
            </w:r>
          </w:p>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p>
        </w:tc>
      </w:tr>
      <w:tr w:rsidR="00DF0E7B" w:rsidRPr="008D1759" w:rsidTr="005F13CA">
        <w:tc>
          <w:tcPr>
            <w:tcW w:w="9213" w:type="dxa"/>
          </w:tcPr>
          <w:p w:rsidR="00DF0E7B" w:rsidRPr="00D17F74" w:rsidRDefault="00DF0E7B" w:rsidP="005F13CA">
            <w:pPr>
              <w:pStyle w:val="Odsek"/>
              <w:numPr>
                <w:ilvl w:val="0"/>
                <w:numId w:val="0"/>
              </w:numPr>
              <w:spacing w:before="0" w:after="0" w:line="260" w:lineRule="exact"/>
              <w:jc w:val="left"/>
              <w:rPr>
                <w:sz w:val="20"/>
                <w:szCs w:val="20"/>
              </w:rPr>
            </w:pPr>
            <w:r w:rsidRPr="00D17F74">
              <w:rPr>
                <w:sz w:val="20"/>
                <w:szCs w:val="20"/>
              </w:rPr>
              <w:t>2.3 Poglavitne rešitve</w:t>
            </w:r>
          </w:p>
        </w:tc>
      </w:tr>
      <w:tr w:rsidR="00DF0E7B" w:rsidRPr="008D1759" w:rsidTr="005F13CA">
        <w:trPr>
          <w:trHeight w:val="434"/>
        </w:trPr>
        <w:tc>
          <w:tcPr>
            <w:tcW w:w="9213" w:type="dxa"/>
          </w:tcPr>
          <w:p w:rsidR="00DF0E7B" w:rsidRPr="00D17F74" w:rsidRDefault="00DF0E7B" w:rsidP="005F13CA">
            <w:pPr>
              <w:pStyle w:val="rkovnatokazaodstavkom"/>
              <w:spacing w:line="260" w:lineRule="exact"/>
              <w:ind w:left="426" w:hanging="426"/>
              <w:rPr>
                <w:rFonts w:cs="Arial"/>
                <w:b/>
              </w:rPr>
            </w:pPr>
            <w:r w:rsidRPr="00D17F74">
              <w:rPr>
                <w:rFonts w:cs="Arial"/>
                <w:b/>
              </w:rPr>
              <w:t>Predstavitev predlaganih rešitev:</w:t>
            </w:r>
          </w:p>
          <w:p w:rsidR="00DF0E7B" w:rsidRPr="00D17F74" w:rsidRDefault="00DF0E7B" w:rsidP="005F13CA">
            <w:pPr>
              <w:pStyle w:val="rkovnatokazaodstavkom"/>
              <w:numPr>
                <w:ilvl w:val="0"/>
                <w:numId w:val="0"/>
              </w:numPr>
              <w:spacing w:line="260" w:lineRule="exact"/>
              <w:rPr>
                <w:rFonts w:cs="Arial"/>
              </w:rPr>
            </w:pPr>
          </w:p>
          <w:p w:rsidR="00DF0E7B" w:rsidRPr="00D17F74" w:rsidRDefault="00DF0E7B" w:rsidP="005F13CA">
            <w:pPr>
              <w:pStyle w:val="rkovnatokazaodstavkom"/>
              <w:numPr>
                <w:ilvl w:val="0"/>
                <w:numId w:val="0"/>
              </w:numPr>
              <w:spacing w:line="260" w:lineRule="exact"/>
              <w:rPr>
                <w:rFonts w:cs="Arial"/>
              </w:rPr>
            </w:pPr>
            <w:r w:rsidRPr="00D17F74">
              <w:rPr>
                <w:rFonts w:cs="Arial"/>
              </w:rPr>
              <w:t>Obdobje uporabe ZUVRAS se podaljša za dve leti, in sicer se ZUVRAS v delu, ki ureja nadomestila imetnikom dovoljenj za gospo</w:t>
            </w:r>
            <w:r>
              <w:rPr>
                <w:rFonts w:cs="Arial"/>
              </w:rPr>
              <w:t>darski ribolov, uporablja šest let</w:t>
            </w:r>
            <w:r w:rsidRPr="00D17F74">
              <w:rPr>
                <w:rFonts w:cs="Arial"/>
              </w:rPr>
              <w:t xml:space="preserve"> od začetka uporabe.</w:t>
            </w:r>
          </w:p>
          <w:p w:rsidR="00DF0E7B" w:rsidRPr="00D17F74" w:rsidRDefault="00DF0E7B" w:rsidP="005F13CA">
            <w:pPr>
              <w:pStyle w:val="rkovnatokazaodstavkom"/>
              <w:numPr>
                <w:ilvl w:val="0"/>
                <w:numId w:val="0"/>
              </w:numPr>
              <w:spacing w:line="260" w:lineRule="exact"/>
              <w:rPr>
                <w:rFonts w:cs="Arial"/>
              </w:rPr>
            </w:pPr>
          </w:p>
          <w:p w:rsidR="00DF0E7B" w:rsidRPr="00D17F74" w:rsidRDefault="00DF0E7B" w:rsidP="005F13CA">
            <w:pPr>
              <w:pStyle w:val="rkovnatokazaodstavkom"/>
              <w:numPr>
                <w:ilvl w:val="0"/>
                <w:numId w:val="0"/>
              </w:numPr>
              <w:spacing w:line="260" w:lineRule="exact"/>
              <w:rPr>
                <w:rFonts w:cs="Arial"/>
              </w:rPr>
            </w:pPr>
          </w:p>
          <w:p w:rsidR="00DF0E7B" w:rsidRPr="00D17F74" w:rsidRDefault="00DF0E7B" w:rsidP="005F13CA">
            <w:pPr>
              <w:pStyle w:val="rkovnatokazaodstavkom"/>
              <w:tabs>
                <w:tab w:val="left" w:pos="426"/>
              </w:tabs>
              <w:spacing w:line="260" w:lineRule="exact"/>
              <w:ind w:hanging="1068"/>
              <w:rPr>
                <w:rFonts w:cs="Arial"/>
                <w:b/>
              </w:rPr>
            </w:pPr>
            <w:r w:rsidRPr="00D17F74">
              <w:rPr>
                <w:rFonts w:cs="Arial"/>
                <w:b/>
              </w:rPr>
              <w:t>Način reševanja:</w:t>
            </w:r>
          </w:p>
          <w:p w:rsidR="00DF0E7B" w:rsidRPr="00D17F74" w:rsidRDefault="00DF0E7B" w:rsidP="005F13CA">
            <w:pPr>
              <w:pStyle w:val="Alineazatoko"/>
              <w:tabs>
                <w:tab w:val="clear" w:pos="360"/>
              </w:tabs>
              <w:spacing w:line="260" w:lineRule="exact"/>
              <w:rPr>
                <w:sz w:val="20"/>
                <w:szCs w:val="20"/>
              </w:rPr>
            </w:pPr>
          </w:p>
          <w:p w:rsidR="00DF0E7B" w:rsidRPr="00D17F74" w:rsidRDefault="00DF0E7B" w:rsidP="005F13CA">
            <w:pPr>
              <w:pStyle w:val="Alineazatoko"/>
              <w:tabs>
                <w:tab w:val="clear" w:pos="360"/>
              </w:tabs>
              <w:spacing w:line="260" w:lineRule="exact"/>
              <w:rPr>
                <w:sz w:val="20"/>
                <w:szCs w:val="20"/>
              </w:rPr>
            </w:pPr>
            <w:r w:rsidRPr="00D17F74">
              <w:rPr>
                <w:sz w:val="20"/>
                <w:szCs w:val="20"/>
              </w:rPr>
              <w:t>/</w:t>
            </w:r>
          </w:p>
          <w:p w:rsidR="00DF0E7B" w:rsidRPr="00D17F74" w:rsidRDefault="00DF0E7B" w:rsidP="005F13CA">
            <w:pPr>
              <w:pStyle w:val="Alineazatoko"/>
              <w:tabs>
                <w:tab w:val="clear" w:pos="360"/>
              </w:tabs>
              <w:spacing w:line="260" w:lineRule="exact"/>
              <w:rPr>
                <w:sz w:val="20"/>
                <w:szCs w:val="20"/>
              </w:rPr>
            </w:pPr>
          </w:p>
          <w:p w:rsidR="00DF0E7B" w:rsidRPr="00D17F74" w:rsidRDefault="00DF0E7B" w:rsidP="005F13CA">
            <w:pPr>
              <w:pStyle w:val="Alineazatoko"/>
              <w:tabs>
                <w:tab w:val="clear" w:pos="360"/>
              </w:tabs>
              <w:spacing w:line="260" w:lineRule="exact"/>
              <w:rPr>
                <w:sz w:val="20"/>
                <w:szCs w:val="20"/>
              </w:rPr>
            </w:pPr>
          </w:p>
          <w:p w:rsidR="00DF0E7B" w:rsidRPr="00D17F74" w:rsidRDefault="00DF0E7B" w:rsidP="005F13CA">
            <w:pPr>
              <w:pStyle w:val="rkovnatokazaodstavkom"/>
              <w:tabs>
                <w:tab w:val="left" w:pos="312"/>
              </w:tabs>
              <w:spacing w:line="260" w:lineRule="exact"/>
              <w:ind w:hanging="1068"/>
              <w:rPr>
                <w:rFonts w:cs="Arial"/>
                <w:b/>
              </w:rPr>
            </w:pPr>
            <w:r w:rsidRPr="00D17F74">
              <w:rPr>
                <w:rFonts w:cs="Arial"/>
                <w:b/>
              </w:rPr>
              <w:t>Normativna usklajenost predloga zakona:</w:t>
            </w:r>
          </w:p>
          <w:p w:rsidR="00DF0E7B" w:rsidRPr="00D17F74" w:rsidRDefault="00DF0E7B" w:rsidP="005F13CA">
            <w:pPr>
              <w:pStyle w:val="Alineazatoko"/>
              <w:tabs>
                <w:tab w:val="clear" w:pos="360"/>
              </w:tabs>
              <w:spacing w:line="260" w:lineRule="exact"/>
              <w:rPr>
                <w:sz w:val="20"/>
                <w:szCs w:val="20"/>
              </w:rPr>
            </w:pPr>
          </w:p>
          <w:p w:rsidR="00DF0E7B" w:rsidRPr="00D17F74" w:rsidRDefault="00DF0E7B" w:rsidP="005F13CA">
            <w:pPr>
              <w:pStyle w:val="Alineazatoko"/>
              <w:tabs>
                <w:tab w:val="clear" w:pos="360"/>
              </w:tabs>
              <w:spacing w:line="260" w:lineRule="exact"/>
              <w:ind w:left="0" w:firstLine="0"/>
              <w:rPr>
                <w:sz w:val="20"/>
                <w:szCs w:val="20"/>
              </w:rPr>
            </w:pPr>
            <w:r w:rsidRPr="00D17F74">
              <w:rPr>
                <w:sz w:val="20"/>
                <w:szCs w:val="20"/>
              </w:rPr>
              <w:t>Predlog zakona je usklajen z veljavnim pravnim redom in splošno veljavnimi načeli mednarodnega prava in mednarodnimi pogodbami, ki zavezujejo Republiko Slovenijo.</w:t>
            </w:r>
          </w:p>
          <w:p w:rsidR="00DF0E7B" w:rsidRPr="00D17F74" w:rsidRDefault="00DF0E7B" w:rsidP="005F13CA">
            <w:pPr>
              <w:pStyle w:val="Alineazatoko"/>
              <w:tabs>
                <w:tab w:val="clear" w:pos="360"/>
              </w:tabs>
              <w:spacing w:line="260" w:lineRule="exact"/>
              <w:rPr>
                <w:sz w:val="20"/>
                <w:szCs w:val="20"/>
              </w:rPr>
            </w:pPr>
          </w:p>
          <w:p w:rsidR="00DF0E7B" w:rsidRPr="00D17F74" w:rsidRDefault="00DF0E7B" w:rsidP="005F13CA">
            <w:pPr>
              <w:pStyle w:val="Alineazatoko"/>
              <w:tabs>
                <w:tab w:val="clear" w:pos="360"/>
                <w:tab w:val="left" w:pos="1032"/>
              </w:tabs>
              <w:spacing w:line="260" w:lineRule="exact"/>
              <w:rPr>
                <w:sz w:val="20"/>
                <w:szCs w:val="20"/>
              </w:rPr>
            </w:pPr>
          </w:p>
          <w:p w:rsidR="00DF0E7B" w:rsidRPr="00D17F74" w:rsidRDefault="00DF0E7B" w:rsidP="005F13CA">
            <w:pPr>
              <w:pStyle w:val="rkovnatokazaodstavkom"/>
              <w:tabs>
                <w:tab w:val="left" w:pos="312"/>
              </w:tabs>
              <w:spacing w:line="260" w:lineRule="exact"/>
              <w:ind w:hanging="1068"/>
              <w:rPr>
                <w:rFonts w:cs="Arial"/>
                <w:b/>
              </w:rPr>
            </w:pPr>
            <w:r w:rsidRPr="00D17F74">
              <w:rPr>
                <w:rFonts w:cs="Arial"/>
                <w:b/>
              </w:rPr>
              <w:t>Usklajenost predloga zakona:</w:t>
            </w:r>
          </w:p>
          <w:p w:rsidR="00DF0E7B" w:rsidRPr="00D17F74" w:rsidRDefault="00DF0E7B" w:rsidP="005F13CA">
            <w:pPr>
              <w:pStyle w:val="Alineazatoko"/>
              <w:tabs>
                <w:tab w:val="clear" w:pos="360"/>
                <w:tab w:val="left" w:pos="1032"/>
              </w:tabs>
              <w:spacing w:line="260" w:lineRule="exact"/>
              <w:rPr>
                <w:sz w:val="20"/>
                <w:szCs w:val="20"/>
              </w:rPr>
            </w:pPr>
          </w:p>
          <w:p w:rsidR="00DF0E7B" w:rsidRPr="00D17F74" w:rsidRDefault="00DF0E7B" w:rsidP="005F13CA">
            <w:pPr>
              <w:pStyle w:val="Alineazatoko"/>
              <w:tabs>
                <w:tab w:val="clear" w:pos="360"/>
              </w:tabs>
              <w:spacing w:line="260" w:lineRule="exact"/>
              <w:rPr>
                <w:sz w:val="20"/>
                <w:szCs w:val="20"/>
              </w:rPr>
            </w:pPr>
            <w:r w:rsidRPr="00D17F74">
              <w:rPr>
                <w:sz w:val="20"/>
                <w:szCs w:val="20"/>
              </w:rPr>
              <w:t>Predlog zakona je usklajen.</w:t>
            </w:r>
          </w:p>
          <w:p w:rsidR="00DF0E7B" w:rsidRPr="00D17F74" w:rsidRDefault="00DF0E7B" w:rsidP="005F13CA">
            <w:pPr>
              <w:pStyle w:val="Alineazatoko"/>
              <w:tabs>
                <w:tab w:val="clear" w:pos="360"/>
              </w:tabs>
              <w:spacing w:line="260" w:lineRule="exact"/>
              <w:rPr>
                <w:sz w:val="20"/>
                <w:szCs w:val="20"/>
              </w:rPr>
            </w:pPr>
          </w:p>
          <w:p w:rsidR="00DF0E7B" w:rsidRPr="00D17F74" w:rsidRDefault="00DF0E7B" w:rsidP="005F13CA">
            <w:pPr>
              <w:pStyle w:val="Alineazatoko"/>
              <w:tabs>
                <w:tab w:val="clear" w:pos="360"/>
              </w:tabs>
              <w:spacing w:line="260" w:lineRule="exact"/>
            </w:pPr>
          </w:p>
        </w:tc>
      </w:tr>
      <w:tr w:rsidR="00DF0E7B" w:rsidRPr="008D1759" w:rsidTr="005F13CA">
        <w:tc>
          <w:tcPr>
            <w:tcW w:w="9213" w:type="dxa"/>
          </w:tcPr>
          <w:p w:rsidR="00DF0E7B" w:rsidRPr="00D17F74" w:rsidRDefault="00DF0E7B" w:rsidP="005F13CA">
            <w:pPr>
              <w:pStyle w:val="Oddelek"/>
              <w:numPr>
                <w:ilvl w:val="0"/>
                <w:numId w:val="0"/>
              </w:numPr>
              <w:spacing w:before="0" w:after="0" w:line="260" w:lineRule="exact"/>
              <w:jc w:val="both"/>
              <w:rPr>
                <w:sz w:val="20"/>
                <w:szCs w:val="20"/>
              </w:rPr>
            </w:pPr>
            <w:r w:rsidRPr="00D17F74">
              <w:rPr>
                <w:sz w:val="20"/>
                <w:szCs w:val="20"/>
              </w:rPr>
              <w:t>3. OCENA FINANČNIH POSLEDIC PREDLOGA ZAKONA ZA DRŽAVNI PRORAČUN IN DRUGA JAVNA FINANČNA SREDSTVA</w:t>
            </w:r>
          </w:p>
        </w:tc>
      </w:tr>
      <w:tr w:rsidR="00DF0E7B" w:rsidRPr="008D1759" w:rsidTr="005F13CA">
        <w:tc>
          <w:tcPr>
            <w:tcW w:w="9213" w:type="dxa"/>
          </w:tcPr>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 xml:space="preserve">V zvezi z nadomestilom za materialno škodo na ribolovnem orodju in ribiškem plovilu lahko imetniki dovoljenja za gospodarski ribolov pri izvajanju svoje dejavnosti s strani tujih plovil utrpijo škodo na ribolovnem orodju oziroma ribiškem plovilu v morju Republike Slovenije. Da bi slovenski ribiči lahko nemoteno opravljali svojo dejavnost v morju Republike Slovenije – brez dodatnih tveganj, ki bi lahko </w:t>
            </w:r>
            <w:r w:rsidRPr="00D17F74">
              <w:rPr>
                <w:sz w:val="20"/>
                <w:szCs w:val="20"/>
              </w:rPr>
              <w:lastRenderedPageBreak/>
              <w:t xml:space="preserve">še dodatno ogrozila njihov nadaljnji obstoj, so imetniki dovoljenja za gospodarski ribolov upravičeni do nadomestila v višini nastale škode v okviru pomoči de </w:t>
            </w:r>
            <w:proofErr w:type="spellStart"/>
            <w:r w:rsidRPr="00D17F74">
              <w:rPr>
                <w:sz w:val="20"/>
                <w:szCs w:val="20"/>
              </w:rPr>
              <w:t>minimis</w:t>
            </w:r>
            <w:proofErr w:type="spellEnd"/>
            <w:r w:rsidRPr="00D17F74">
              <w:rPr>
                <w:sz w:val="20"/>
                <w:szCs w:val="20"/>
              </w:rPr>
              <w:t xml:space="preserve"> v ribištvu. Nadomestilo je bilo v skladu z ZUVRAS časovno omejeno na dve leti,</w:t>
            </w:r>
            <w:r>
              <w:rPr>
                <w:sz w:val="20"/>
                <w:szCs w:val="20"/>
              </w:rPr>
              <w:t xml:space="preserve"> enkrat se je že podaljšalo za dve leti,</w:t>
            </w:r>
            <w:r w:rsidRPr="00D17F74">
              <w:rPr>
                <w:sz w:val="20"/>
                <w:szCs w:val="20"/>
              </w:rPr>
              <w:t xml:space="preserve"> v skladu s predlogom zakona pa se podaljša še za dve leti. Ocenjuje se, da bodo finančne posledice iz tega naslova znašale do 20.000 evrov.</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 xml:space="preserve">Tuja plovila so v morju Republike Slovenije še vedno prisotna, kar posledično pomeni oviranje rednega gospodarskega ribolova s strani slovenskih ribičev, ki bodo zaradi tega lahko utrpeli izpad rednega dohodka. Zato so imetniki dovoljenja za gospodarski ribolov, ki izpolnjujejo predpisane pogoje, upravičeni do nadomestila zaradi izpada dohodka v okviru pomoči de </w:t>
            </w:r>
            <w:proofErr w:type="spellStart"/>
            <w:r w:rsidRPr="00D17F74">
              <w:rPr>
                <w:sz w:val="20"/>
                <w:szCs w:val="20"/>
              </w:rPr>
              <w:t>minimis</w:t>
            </w:r>
            <w:proofErr w:type="spellEnd"/>
            <w:r w:rsidRPr="00D17F74">
              <w:rPr>
                <w:sz w:val="20"/>
                <w:szCs w:val="20"/>
              </w:rPr>
              <w:t xml:space="preserve"> v ribištvu. Nadomestilo je v skladu z ZUVRAS časovno omejeno na dve leti,</w:t>
            </w:r>
            <w:r>
              <w:t xml:space="preserve"> </w:t>
            </w:r>
            <w:r w:rsidRPr="00CA1CAD">
              <w:rPr>
                <w:sz w:val="20"/>
                <w:szCs w:val="20"/>
              </w:rPr>
              <w:t>enkrat se je že podaljšalo za dve leti</w:t>
            </w:r>
            <w:r>
              <w:rPr>
                <w:sz w:val="20"/>
                <w:szCs w:val="20"/>
              </w:rPr>
              <w:t>,</w:t>
            </w:r>
            <w:r w:rsidRPr="00D17F74">
              <w:rPr>
                <w:sz w:val="20"/>
                <w:szCs w:val="20"/>
              </w:rPr>
              <w:t xml:space="preserve"> s predlogom zakona pa se podaljša za dve leti. </w:t>
            </w:r>
            <w:r w:rsidRPr="00645523">
              <w:rPr>
                <w:sz w:val="20"/>
                <w:szCs w:val="20"/>
              </w:rPr>
              <w:t>Izplačalo bi se za skupaj 71 ribiških plovil v skupni dolžini 540 metrov. Minimalni znesek izplačil</w:t>
            </w:r>
            <w:r w:rsidRPr="00D17F74">
              <w:rPr>
                <w:sz w:val="20"/>
                <w:szCs w:val="20"/>
              </w:rPr>
              <w:t>a na posamezno plovilo bi znašal 1.500 evrov, maksimalni pa 8.500 evrov. Ocenjuje se, da bodo finančne posledi</w:t>
            </w:r>
            <w:r>
              <w:rPr>
                <w:sz w:val="20"/>
                <w:szCs w:val="20"/>
              </w:rPr>
              <w:t>ce iz tega naslova znašale do 56</w:t>
            </w:r>
            <w:r w:rsidRPr="00D17F74">
              <w:rPr>
                <w:sz w:val="20"/>
                <w:szCs w:val="20"/>
              </w:rPr>
              <w:t>0.000 evrov.</w:t>
            </w:r>
          </w:p>
          <w:p w:rsidR="00DF0E7B" w:rsidRPr="00D17F74" w:rsidRDefault="00DF0E7B" w:rsidP="005F13CA">
            <w:pPr>
              <w:pStyle w:val="Alineazaodstavkom"/>
              <w:numPr>
                <w:ilvl w:val="0"/>
                <w:numId w:val="0"/>
              </w:numPr>
              <w:spacing w:line="260" w:lineRule="exact"/>
              <w:rPr>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94"/>
              <w:gridCol w:w="1127"/>
              <w:gridCol w:w="990"/>
              <w:gridCol w:w="990"/>
              <w:gridCol w:w="1045"/>
            </w:tblGrid>
            <w:tr w:rsidR="00DF0E7B" w:rsidTr="005F13CA">
              <w:tc>
                <w:tcPr>
                  <w:tcW w:w="4815" w:type="dxa"/>
                  <w:shd w:val="clear" w:color="auto" w:fill="auto"/>
                </w:tcPr>
                <w:p w:rsidR="00DF0E7B" w:rsidRPr="00D17F74" w:rsidRDefault="00DF0E7B" w:rsidP="005F13CA">
                  <w:pPr>
                    <w:pStyle w:val="Alineazaodstavkom"/>
                    <w:numPr>
                      <w:ilvl w:val="0"/>
                      <w:numId w:val="0"/>
                    </w:numPr>
                    <w:spacing w:line="260" w:lineRule="exact"/>
                    <w:rPr>
                      <w:sz w:val="20"/>
                      <w:szCs w:val="20"/>
                    </w:rPr>
                  </w:pPr>
                  <w:r w:rsidRPr="00D17F74">
                    <w:rPr>
                      <w:sz w:val="20"/>
                      <w:szCs w:val="20"/>
                    </w:rPr>
                    <w:t>Naziv nadomestila</w:t>
                  </w:r>
                </w:p>
              </w:tc>
              <w:tc>
                <w:tcPr>
                  <w:tcW w:w="1134"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Pr>
                      <w:sz w:val="20"/>
                      <w:szCs w:val="20"/>
                    </w:rPr>
                    <w:t>2022</w:t>
                  </w:r>
                </w:p>
              </w:tc>
              <w:tc>
                <w:tcPr>
                  <w:tcW w:w="992"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Pr>
                      <w:sz w:val="20"/>
                      <w:szCs w:val="20"/>
                    </w:rPr>
                    <w:t>2023</w:t>
                  </w:r>
                </w:p>
              </w:tc>
              <w:tc>
                <w:tcPr>
                  <w:tcW w:w="992"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Pr>
                      <w:sz w:val="20"/>
                      <w:szCs w:val="20"/>
                    </w:rPr>
                    <w:t>2024</w:t>
                  </w:r>
                </w:p>
              </w:tc>
              <w:tc>
                <w:tcPr>
                  <w:tcW w:w="1049"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Skupaj</w:t>
                  </w:r>
                </w:p>
              </w:tc>
            </w:tr>
            <w:tr w:rsidR="00DF0E7B" w:rsidTr="005F13CA">
              <w:tc>
                <w:tcPr>
                  <w:tcW w:w="4815" w:type="dxa"/>
                  <w:shd w:val="clear" w:color="auto" w:fill="auto"/>
                </w:tcPr>
                <w:p w:rsidR="00DF0E7B" w:rsidRPr="00D17F74" w:rsidRDefault="00DF0E7B" w:rsidP="005F13CA">
                  <w:pPr>
                    <w:pStyle w:val="Alineazaodstavkom"/>
                    <w:numPr>
                      <w:ilvl w:val="0"/>
                      <w:numId w:val="0"/>
                    </w:numPr>
                    <w:spacing w:line="260" w:lineRule="exact"/>
                    <w:rPr>
                      <w:sz w:val="20"/>
                      <w:szCs w:val="20"/>
                    </w:rPr>
                  </w:pPr>
                  <w:r w:rsidRPr="00D17F74">
                    <w:rPr>
                      <w:sz w:val="20"/>
                      <w:szCs w:val="20"/>
                    </w:rPr>
                    <w:t>Materialna škoda na ribolovnem orodju in plovilu</w:t>
                  </w:r>
                </w:p>
              </w:tc>
              <w:tc>
                <w:tcPr>
                  <w:tcW w:w="1134"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5.000</w:t>
                  </w:r>
                </w:p>
              </w:tc>
              <w:tc>
                <w:tcPr>
                  <w:tcW w:w="992"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10.000</w:t>
                  </w:r>
                </w:p>
              </w:tc>
              <w:tc>
                <w:tcPr>
                  <w:tcW w:w="992"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5.000</w:t>
                  </w:r>
                </w:p>
              </w:tc>
              <w:tc>
                <w:tcPr>
                  <w:tcW w:w="1049"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20.000</w:t>
                  </w:r>
                </w:p>
              </w:tc>
            </w:tr>
            <w:tr w:rsidR="00DF0E7B" w:rsidTr="005F13CA">
              <w:tc>
                <w:tcPr>
                  <w:tcW w:w="4815" w:type="dxa"/>
                  <w:shd w:val="clear" w:color="auto" w:fill="auto"/>
                </w:tcPr>
                <w:p w:rsidR="00DF0E7B" w:rsidRPr="00D17F74" w:rsidRDefault="00DF0E7B" w:rsidP="005F13CA">
                  <w:pPr>
                    <w:pStyle w:val="Alineazaodstavkom"/>
                    <w:numPr>
                      <w:ilvl w:val="0"/>
                      <w:numId w:val="0"/>
                    </w:numPr>
                    <w:spacing w:line="260" w:lineRule="exact"/>
                    <w:rPr>
                      <w:sz w:val="20"/>
                      <w:szCs w:val="20"/>
                    </w:rPr>
                  </w:pPr>
                  <w:r w:rsidRPr="00D17F74">
                    <w:rPr>
                      <w:sz w:val="20"/>
                      <w:szCs w:val="20"/>
                    </w:rPr>
                    <w:t>Nadomestilo zaradi izpada dohodka v ribištvu</w:t>
                  </w:r>
                </w:p>
              </w:tc>
              <w:tc>
                <w:tcPr>
                  <w:tcW w:w="1134"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135.000</w:t>
                  </w:r>
                </w:p>
              </w:tc>
              <w:tc>
                <w:tcPr>
                  <w:tcW w:w="992"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270.000</w:t>
                  </w:r>
                </w:p>
              </w:tc>
              <w:tc>
                <w:tcPr>
                  <w:tcW w:w="992"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135.000</w:t>
                  </w:r>
                </w:p>
              </w:tc>
              <w:tc>
                <w:tcPr>
                  <w:tcW w:w="1049"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540.000</w:t>
                  </w:r>
                </w:p>
              </w:tc>
            </w:tr>
            <w:tr w:rsidR="00DF0E7B" w:rsidTr="005F13CA">
              <w:tc>
                <w:tcPr>
                  <w:tcW w:w="4815" w:type="dxa"/>
                  <w:shd w:val="clear" w:color="auto" w:fill="auto"/>
                </w:tcPr>
                <w:p w:rsidR="00DF0E7B" w:rsidRPr="00D17F74" w:rsidRDefault="00DF0E7B" w:rsidP="005F13CA">
                  <w:pPr>
                    <w:pStyle w:val="Alineazaodstavkom"/>
                    <w:numPr>
                      <w:ilvl w:val="0"/>
                      <w:numId w:val="0"/>
                    </w:numPr>
                    <w:spacing w:line="260" w:lineRule="exact"/>
                    <w:rPr>
                      <w:sz w:val="20"/>
                      <w:szCs w:val="20"/>
                    </w:rPr>
                  </w:pPr>
                  <w:r w:rsidRPr="00D17F74">
                    <w:rPr>
                      <w:sz w:val="20"/>
                      <w:szCs w:val="20"/>
                    </w:rPr>
                    <w:t>SKUPAJ</w:t>
                  </w:r>
                </w:p>
              </w:tc>
              <w:tc>
                <w:tcPr>
                  <w:tcW w:w="1134"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140.000</w:t>
                  </w:r>
                </w:p>
              </w:tc>
              <w:tc>
                <w:tcPr>
                  <w:tcW w:w="992"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280.000</w:t>
                  </w:r>
                </w:p>
              </w:tc>
              <w:tc>
                <w:tcPr>
                  <w:tcW w:w="992"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140.000</w:t>
                  </w:r>
                </w:p>
              </w:tc>
              <w:tc>
                <w:tcPr>
                  <w:tcW w:w="1049" w:type="dxa"/>
                  <w:shd w:val="clear" w:color="auto" w:fill="auto"/>
                </w:tcPr>
                <w:p w:rsidR="00DF0E7B" w:rsidRPr="00D17F74" w:rsidRDefault="00DF0E7B" w:rsidP="005F13CA">
                  <w:pPr>
                    <w:pStyle w:val="Alineazaodstavkom"/>
                    <w:numPr>
                      <w:ilvl w:val="0"/>
                      <w:numId w:val="0"/>
                    </w:numPr>
                    <w:spacing w:line="260" w:lineRule="exact"/>
                    <w:jc w:val="center"/>
                    <w:rPr>
                      <w:sz w:val="20"/>
                      <w:szCs w:val="20"/>
                    </w:rPr>
                  </w:pPr>
                  <w:r w:rsidRPr="00D17F74">
                    <w:rPr>
                      <w:sz w:val="20"/>
                      <w:szCs w:val="20"/>
                    </w:rPr>
                    <w:t>560.000</w:t>
                  </w:r>
                </w:p>
              </w:tc>
            </w:tr>
          </w:tbl>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 xml:space="preserve">Sredstva za izvedbo predloga zakona se bodo zagotovila </w:t>
            </w:r>
            <w:r>
              <w:rPr>
                <w:sz w:val="20"/>
                <w:szCs w:val="20"/>
              </w:rPr>
              <w:t>ob pripravi</w:t>
            </w:r>
            <w:r w:rsidRPr="00D17F74">
              <w:rPr>
                <w:sz w:val="20"/>
                <w:szCs w:val="20"/>
              </w:rPr>
              <w:t xml:space="preserve"> proračun</w:t>
            </w:r>
            <w:r>
              <w:rPr>
                <w:sz w:val="20"/>
                <w:szCs w:val="20"/>
              </w:rPr>
              <w:t>ov</w:t>
            </w:r>
            <w:r w:rsidRPr="00D17F74">
              <w:rPr>
                <w:sz w:val="20"/>
                <w:szCs w:val="20"/>
              </w:rPr>
              <w:t xml:space="preserve"> Republike Slovenije</w:t>
            </w:r>
            <w:r>
              <w:rPr>
                <w:sz w:val="20"/>
                <w:szCs w:val="20"/>
              </w:rPr>
              <w:t xml:space="preserve"> za leta 2022, 2023 in 2024</w:t>
            </w:r>
            <w:r w:rsidRPr="00D17F74">
              <w:rPr>
                <w:sz w:val="20"/>
                <w:szCs w:val="20"/>
              </w:rPr>
              <w:t xml:space="preserve">, v okviru </w:t>
            </w:r>
            <w:r>
              <w:rPr>
                <w:sz w:val="20"/>
                <w:szCs w:val="20"/>
              </w:rPr>
              <w:t xml:space="preserve">limitov </w:t>
            </w:r>
            <w:r w:rsidRPr="00D17F74">
              <w:rPr>
                <w:sz w:val="20"/>
                <w:szCs w:val="20"/>
              </w:rPr>
              <w:t>finančnega načrta MKGP.</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p>
        </w:tc>
      </w:tr>
      <w:tr w:rsidR="00DF0E7B" w:rsidRPr="008D1759" w:rsidTr="005F13CA">
        <w:tc>
          <w:tcPr>
            <w:tcW w:w="9213" w:type="dxa"/>
          </w:tcPr>
          <w:p w:rsidR="00DF0E7B" w:rsidRPr="00D17F74" w:rsidRDefault="00DF0E7B" w:rsidP="005F13CA">
            <w:pPr>
              <w:pStyle w:val="Oddelek"/>
              <w:numPr>
                <w:ilvl w:val="0"/>
                <w:numId w:val="0"/>
              </w:numPr>
              <w:spacing w:before="0" w:after="0" w:line="260" w:lineRule="exact"/>
              <w:jc w:val="both"/>
              <w:rPr>
                <w:sz w:val="20"/>
                <w:szCs w:val="20"/>
              </w:rPr>
            </w:pPr>
            <w:r w:rsidRPr="00D17F74">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DF0E7B" w:rsidRPr="008D1759" w:rsidTr="005F13CA">
        <w:tc>
          <w:tcPr>
            <w:tcW w:w="9213" w:type="dxa"/>
          </w:tcPr>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 xml:space="preserve">Sredstva za izvedbo predloga zakona se bodo zagotovila </w:t>
            </w:r>
            <w:r>
              <w:rPr>
                <w:sz w:val="20"/>
                <w:szCs w:val="20"/>
              </w:rPr>
              <w:t>ob pripravi</w:t>
            </w:r>
            <w:r w:rsidRPr="00D17F74">
              <w:rPr>
                <w:sz w:val="20"/>
                <w:szCs w:val="20"/>
              </w:rPr>
              <w:t xml:space="preserve"> proračun</w:t>
            </w:r>
            <w:r>
              <w:rPr>
                <w:sz w:val="20"/>
                <w:szCs w:val="20"/>
              </w:rPr>
              <w:t>ov</w:t>
            </w:r>
            <w:r w:rsidRPr="00D17F74">
              <w:rPr>
                <w:sz w:val="20"/>
                <w:szCs w:val="20"/>
              </w:rPr>
              <w:t xml:space="preserve"> Republike Slovenije</w:t>
            </w:r>
            <w:r>
              <w:rPr>
                <w:sz w:val="20"/>
                <w:szCs w:val="20"/>
              </w:rPr>
              <w:t xml:space="preserve"> za leta 2022, 2023 in 2024</w:t>
            </w:r>
            <w:r w:rsidRPr="00D17F74">
              <w:rPr>
                <w:sz w:val="20"/>
                <w:szCs w:val="20"/>
              </w:rPr>
              <w:t xml:space="preserve">, v okviru </w:t>
            </w:r>
            <w:r>
              <w:rPr>
                <w:sz w:val="20"/>
                <w:szCs w:val="20"/>
              </w:rPr>
              <w:t xml:space="preserve">limitov </w:t>
            </w:r>
            <w:r w:rsidRPr="00D17F74">
              <w:rPr>
                <w:sz w:val="20"/>
                <w:szCs w:val="20"/>
              </w:rPr>
              <w:t>finančnega načrta MKGP.</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Predlog zakona nima finančnih posledic za druga javno finančna sredstva.</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p>
        </w:tc>
      </w:tr>
      <w:tr w:rsidR="00DF0E7B" w:rsidRPr="008D1759" w:rsidTr="005F13CA">
        <w:tc>
          <w:tcPr>
            <w:tcW w:w="9213" w:type="dxa"/>
          </w:tcPr>
          <w:p w:rsidR="00DF0E7B" w:rsidRPr="00D17F74" w:rsidRDefault="00DF0E7B" w:rsidP="005F13CA">
            <w:pPr>
              <w:pStyle w:val="Oddelek"/>
              <w:numPr>
                <w:ilvl w:val="0"/>
                <w:numId w:val="0"/>
              </w:numPr>
              <w:spacing w:before="0" w:after="0" w:line="260" w:lineRule="exact"/>
              <w:jc w:val="both"/>
              <w:rPr>
                <w:sz w:val="20"/>
                <w:szCs w:val="20"/>
              </w:rPr>
            </w:pPr>
            <w:r w:rsidRPr="00D17F74">
              <w:rPr>
                <w:sz w:val="20"/>
                <w:szCs w:val="20"/>
              </w:rPr>
              <w:t>5. PRIKAZ UREDITVE V DRUGIH PRAVNIH SISTEMIH IN PRILAGOJENOSTI PREDLAGANE UREDITVE PRAVU EVROPSKE UNIJE</w:t>
            </w:r>
          </w:p>
        </w:tc>
      </w:tr>
      <w:tr w:rsidR="00DF0E7B" w:rsidRPr="00432B42" w:rsidTr="005F13CA">
        <w:tc>
          <w:tcPr>
            <w:tcW w:w="9213" w:type="dxa"/>
          </w:tcPr>
          <w:p w:rsidR="00DF0E7B" w:rsidRPr="00D17F74" w:rsidRDefault="00DF0E7B" w:rsidP="005F13CA">
            <w:pPr>
              <w:pStyle w:val="Oddelek"/>
              <w:numPr>
                <w:ilvl w:val="0"/>
                <w:numId w:val="0"/>
              </w:numPr>
              <w:spacing w:before="0" w:after="0" w:line="260" w:lineRule="exact"/>
              <w:jc w:val="both"/>
              <w:rPr>
                <w:b w:val="0"/>
                <w:sz w:val="20"/>
                <w:szCs w:val="20"/>
              </w:rPr>
            </w:pPr>
          </w:p>
        </w:tc>
      </w:tr>
      <w:tr w:rsidR="00DF0E7B" w:rsidRPr="008D1759" w:rsidTr="005F13CA">
        <w:tc>
          <w:tcPr>
            <w:tcW w:w="9213" w:type="dxa"/>
          </w:tcPr>
          <w:p w:rsidR="00DF0E7B" w:rsidRPr="00D17F74" w:rsidRDefault="00DF0E7B" w:rsidP="00DF0E7B">
            <w:pPr>
              <w:pStyle w:val="Alineazaodstavkom"/>
              <w:numPr>
                <w:ilvl w:val="0"/>
                <w:numId w:val="6"/>
              </w:numPr>
              <w:tabs>
                <w:tab w:val="left" w:pos="408"/>
              </w:tabs>
              <w:spacing w:line="260" w:lineRule="exact"/>
              <w:ind w:left="426" w:hanging="426"/>
              <w:rPr>
                <w:sz w:val="20"/>
                <w:szCs w:val="20"/>
              </w:rPr>
            </w:pPr>
            <w:r w:rsidRPr="00D17F74">
              <w:rPr>
                <w:sz w:val="20"/>
                <w:szCs w:val="20"/>
              </w:rPr>
              <w:t>PRIKAZ UREDITVE V DRUGIH PRAVNIH SISTEMIH</w:t>
            </w: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r w:rsidRPr="00D17F74">
              <w:rPr>
                <w:sz w:val="20"/>
                <w:szCs w:val="20"/>
              </w:rPr>
              <w:t>Prikaz ureditve v drugih pravnih sistemih ni mogoč, ker gre za specifično urejanje področja.</w:t>
            </w: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p>
          <w:p w:rsidR="00DF0E7B" w:rsidRPr="00D17F74" w:rsidRDefault="00DF0E7B" w:rsidP="00DF0E7B">
            <w:pPr>
              <w:pStyle w:val="Alineazaodstavkom"/>
              <w:numPr>
                <w:ilvl w:val="0"/>
                <w:numId w:val="6"/>
              </w:numPr>
              <w:tabs>
                <w:tab w:val="left" w:pos="408"/>
              </w:tabs>
              <w:spacing w:line="260" w:lineRule="exact"/>
              <w:ind w:left="426" w:hanging="426"/>
              <w:rPr>
                <w:sz w:val="20"/>
                <w:szCs w:val="20"/>
              </w:rPr>
            </w:pPr>
            <w:r w:rsidRPr="00D17F74">
              <w:rPr>
                <w:sz w:val="20"/>
                <w:szCs w:val="20"/>
              </w:rPr>
              <w:t>PRIKAZ UREDITVE V PRAVNEM REDU EU</w:t>
            </w: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r w:rsidRPr="00D17F74">
              <w:rPr>
                <w:sz w:val="20"/>
                <w:szCs w:val="20"/>
              </w:rPr>
              <w:t>Predlog zakona nima podlage v pravnem redu EU.</w:t>
            </w: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p>
          <w:p w:rsidR="00DF0E7B" w:rsidRPr="00D17F74" w:rsidRDefault="00DF0E7B" w:rsidP="00DF0E7B">
            <w:pPr>
              <w:pStyle w:val="Alineazaodstavkom"/>
              <w:numPr>
                <w:ilvl w:val="0"/>
                <w:numId w:val="6"/>
              </w:numPr>
              <w:tabs>
                <w:tab w:val="left" w:pos="408"/>
              </w:tabs>
              <w:spacing w:line="260" w:lineRule="exact"/>
              <w:ind w:left="426" w:hanging="426"/>
              <w:rPr>
                <w:sz w:val="20"/>
                <w:szCs w:val="20"/>
              </w:rPr>
            </w:pPr>
            <w:r w:rsidRPr="00D17F74">
              <w:rPr>
                <w:sz w:val="20"/>
                <w:szCs w:val="20"/>
              </w:rPr>
              <w:t>PRIKAZ UREDITVE V NAJMANJ TREH PRAVNIH SISTEMIH DRŽAV ČLANIC EU</w:t>
            </w: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p>
          <w:p w:rsidR="00DF0E7B" w:rsidRPr="00D17F74" w:rsidRDefault="00DF0E7B" w:rsidP="005F13CA">
            <w:pPr>
              <w:pStyle w:val="Alineazaodstavkom"/>
              <w:numPr>
                <w:ilvl w:val="0"/>
                <w:numId w:val="0"/>
              </w:numPr>
              <w:tabs>
                <w:tab w:val="left" w:pos="0"/>
              </w:tabs>
              <w:spacing w:line="260" w:lineRule="exact"/>
              <w:rPr>
                <w:sz w:val="20"/>
                <w:szCs w:val="20"/>
              </w:rPr>
            </w:pPr>
            <w:r w:rsidRPr="00D17F74">
              <w:rPr>
                <w:sz w:val="20"/>
                <w:szCs w:val="20"/>
              </w:rPr>
              <w:t>Predmetne ureditve ni možno prikazati v drugih pravnih sistemih držav članic EU, ker gre za specifično področje.</w:t>
            </w: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p>
          <w:p w:rsidR="00DF0E7B" w:rsidRDefault="00DF0E7B" w:rsidP="005F13CA">
            <w:pPr>
              <w:pStyle w:val="Alineazaodstavkom"/>
              <w:numPr>
                <w:ilvl w:val="0"/>
                <w:numId w:val="0"/>
              </w:numPr>
              <w:tabs>
                <w:tab w:val="left" w:pos="408"/>
              </w:tabs>
              <w:spacing w:line="260" w:lineRule="exact"/>
              <w:ind w:left="426" w:hanging="426"/>
              <w:rPr>
                <w:sz w:val="20"/>
                <w:szCs w:val="20"/>
              </w:rPr>
            </w:pPr>
          </w:p>
          <w:p w:rsidR="00DF0E7B" w:rsidRDefault="00DF0E7B" w:rsidP="005F13CA">
            <w:pPr>
              <w:pStyle w:val="Alineazaodstavkom"/>
              <w:numPr>
                <w:ilvl w:val="0"/>
                <w:numId w:val="0"/>
              </w:numPr>
              <w:tabs>
                <w:tab w:val="left" w:pos="408"/>
              </w:tabs>
              <w:spacing w:line="260" w:lineRule="exact"/>
              <w:ind w:left="426" w:hanging="426"/>
              <w:rPr>
                <w:sz w:val="20"/>
                <w:szCs w:val="20"/>
              </w:rPr>
            </w:pP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p>
          <w:p w:rsidR="00DF0E7B" w:rsidRPr="00D17F74" w:rsidRDefault="00DF0E7B" w:rsidP="00DF0E7B">
            <w:pPr>
              <w:pStyle w:val="Alineazaodstavkom"/>
              <w:numPr>
                <w:ilvl w:val="0"/>
                <w:numId w:val="6"/>
              </w:numPr>
              <w:tabs>
                <w:tab w:val="left" w:pos="408"/>
              </w:tabs>
              <w:spacing w:line="260" w:lineRule="exact"/>
              <w:ind w:left="426" w:hanging="426"/>
              <w:rPr>
                <w:sz w:val="20"/>
                <w:szCs w:val="20"/>
              </w:rPr>
            </w:pPr>
            <w:r w:rsidRPr="00D17F74">
              <w:rPr>
                <w:sz w:val="20"/>
                <w:szCs w:val="20"/>
              </w:rPr>
              <w:t>IZJAVA O SKLADNOSTI PREDLOGA ZAKONA S PRAVNIMI AKTI EU IN KORELACIJSKA TABELA PRI PRENOSU DIREKTIV</w:t>
            </w:r>
          </w:p>
          <w:p w:rsidR="00DF0E7B" w:rsidRPr="00D17F74" w:rsidRDefault="00DF0E7B" w:rsidP="005F13CA">
            <w:pPr>
              <w:pStyle w:val="Alineazaodstavkom"/>
              <w:numPr>
                <w:ilvl w:val="0"/>
                <w:numId w:val="0"/>
              </w:numPr>
              <w:tabs>
                <w:tab w:val="left" w:pos="408"/>
              </w:tabs>
              <w:spacing w:line="260" w:lineRule="exact"/>
              <w:ind w:left="426" w:hanging="426"/>
              <w:rPr>
                <w:sz w:val="20"/>
                <w:szCs w:val="20"/>
              </w:rPr>
            </w:pPr>
          </w:p>
          <w:p w:rsidR="00DF0E7B" w:rsidRPr="00D17F74" w:rsidRDefault="00DF0E7B" w:rsidP="005F13CA">
            <w:pPr>
              <w:pStyle w:val="Neotevilenodstavek"/>
              <w:spacing w:before="0" w:after="0" w:line="260" w:lineRule="exact"/>
              <w:rPr>
                <w:sz w:val="20"/>
                <w:szCs w:val="20"/>
              </w:rPr>
            </w:pPr>
            <w:r w:rsidRPr="00D17F74">
              <w:rPr>
                <w:sz w:val="20"/>
                <w:szCs w:val="20"/>
              </w:rPr>
              <w:t xml:space="preserve">Izjava o skladnosti (oblika </w:t>
            </w:r>
            <w:proofErr w:type="spellStart"/>
            <w:r w:rsidRPr="00D17F74">
              <w:rPr>
                <w:sz w:val="20"/>
                <w:szCs w:val="20"/>
              </w:rPr>
              <w:t>pdf</w:t>
            </w:r>
            <w:proofErr w:type="spellEnd"/>
            <w:r w:rsidRPr="00D17F74">
              <w:rPr>
                <w:sz w:val="20"/>
                <w:szCs w:val="20"/>
              </w:rPr>
              <w:t>) – izvoz iz baze RPS</w:t>
            </w:r>
          </w:p>
          <w:p w:rsidR="00DF0E7B" w:rsidRPr="008D1759" w:rsidRDefault="00DF0E7B" w:rsidP="005F13CA">
            <w:pPr>
              <w:pStyle w:val="Odstavekseznama1"/>
              <w:spacing w:line="260" w:lineRule="exact"/>
              <w:ind w:left="0"/>
              <w:jc w:val="both"/>
              <w:rPr>
                <w:rFonts w:ascii="Arial" w:hAnsi="Arial" w:cs="Arial"/>
                <w:sz w:val="20"/>
                <w:szCs w:val="20"/>
              </w:rPr>
            </w:pPr>
            <w:r>
              <w:rPr>
                <w:rFonts w:ascii="Arial" w:hAnsi="Arial" w:cs="Arial"/>
                <w:sz w:val="20"/>
                <w:szCs w:val="20"/>
              </w:rPr>
              <w:t xml:space="preserve">Korelacijska tabela (oblika </w:t>
            </w:r>
            <w:proofErr w:type="spellStart"/>
            <w:r>
              <w:rPr>
                <w:rFonts w:ascii="Arial" w:hAnsi="Arial" w:cs="Arial"/>
                <w:sz w:val="20"/>
                <w:szCs w:val="20"/>
              </w:rPr>
              <w:t>pdf</w:t>
            </w:r>
            <w:proofErr w:type="spellEnd"/>
            <w:r>
              <w:rPr>
                <w:rFonts w:ascii="Arial" w:hAnsi="Arial" w:cs="Arial"/>
                <w:sz w:val="20"/>
                <w:szCs w:val="20"/>
              </w:rPr>
              <w:t>) – izvoz iz baze RPS</w:t>
            </w:r>
          </w:p>
          <w:p w:rsidR="00DF0E7B" w:rsidRPr="00D17F74" w:rsidRDefault="00DF0E7B" w:rsidP="005F13CA">
            <w:pPr>
              <w:pStyle w:val="Neotevilenodstavek"/>
              <w:spacing w:before="0" w:after="0" w:line="260" w:lineRule="exact"/>
              <w:rPr>
                <w:sz w:val="20"/>
                <w:szCs w:val="20"/>
              </w:rPr>
            </w:pPr>
          </w:p>
        </w:tc>
      </w:tr>
      <w:tr w:rsidR="00DF0E7B" w:rsidRPr="008D1759" w:rsidTr="005F13CA">
        <w:tc>
          <w:tcPr>
            <w:tcW w:w="9213" w:type="dxa"/>
          </w:tcPr>
          <w:p w:rsidR="00DF0E7B" w:rsidRPr="00D17F74" w:rsidRDefault="00DF0E7B" w:rsidP="005F13CA">
            <w:pPr>
              <w:pStyle w:val="Oddelek"/>
              <w:numPr>
                <w:ilvl w:val="0"/>
                <w:numId w:val="0"/>
              </w:numPr>
              <w:spacing w:before="0" w:after="0" w:line="260" w:lineRule="exact"/>
              <w:jc w:val="left"/>
              <w:rPr>
                <w:sz w:val="20"/>
                <w:szCs w:val="20"/>
              </w:rPr>
            </w:pPr>
            <w:r w:rsidRPr="00D17F74">
              <w:rPr>
                <w:sz w:val="20"/>
                <w:szCs w:val="20"/>
              </w:rPr>
              <w:lastRenderedPageBreak/>
              <w:t>6. PRESOJA POSLEDIC, KI JIH BO IMEL SPREJEM ZAKONA</w:t>
            </w:r>
          </w:p>
        </w:tc>
      </w:tr>
      <w:tr w:rsidR="00DF0E7B" w:rsidRPr="008D1759" w:rsidTr="005F13CA">
        <w:tc>
          <w:tcPr>
            <w:tcW w:w="9213" w:type="dxa"/>
          </w:tcPr>
          <w:p w:rsidR="00DF0E7B" w:rsidRPr="00D17F74" w:rsidRDefault="00DF0E7B" w:rsidP="005F13CA">
            <w:pPr>
              <w:pStyle w:val="Odsek"/>
              <w:numPr>
                <w:ilvl w:val="0"/>
                <w:numId w:val="0"/>
              </w:numPr>
              <w:spacing w:before="0" w:after="0" w:line="260" w:lineRule="exact"/>
              <w:jc w:val="left"/>
              <w:rPr>
                <w:sz w:val="20"/>
                <w:szCs w:val="20"/>
              </w:rPr>
            </w:pPr>
            <w:r w:rsidRPr="00D17F74">
              <w:rPr>
                <w:sz w:val="20"/>
                <w:szCs w:val="20"/>
              </w:rPr>
              <w:t xml:space="preserve">6.1 Presoja administrativnih posledic </w:t>
            </w:r>
          </w:p>
          <w:p w:rsidR="00DF0E7B" w:rsidRPr="00D17F74" w:rsidRDefault="00DF0E7B" w:rsidP="005F13CA">
            <w:pPr>
              <w:pStyle w:val="Odsek"/>
              <w:numPr>
                <w:ilvl w:val="0"/>
                <w:numId w:val="0"/>
              </w:numPr>
              <w:spacing w:before="0" w:after="0" w:line="260" w:lineRule="exact"/>
              <w:jc w:val="left"/>
              <w:rPr>
                <w:sz w:val="20"/>
                <w:szCs w:val="20"/>
              </w:rPr>
            </w:pPr>
            <w:r w:rsidRPr="00D17F74">
              <w:rPr>
                <w:sz w:val="20"/>
                <w:szCs w:val="20"/>
              </w:rPr>
              <w:t xml:space="preserve">a) v postopkih oziroma poslovanju javne uprave ali pravosodnih organov: </w:t>
            </w:r>
          </w:p>
        </w:tc>
      </w:tr>
      <w:tr w:rsidR="00DF0E7B" w:rsidRPr="008D1759" w:rsidTr="005F13CA">
        <w:tc>
          <w:tcPr>
            <w:tcW w:w="9213" w:type="dxa"/>
          </w:tcPr>
          <w:p w:rsidR="00DF0E7B" w:rsidRPr="00D17F74" w:rsidRDefault="00DF0E7B" w:rsidP="005F13CA">
            <w:pPr>
              <w:pStyle w:val="Alineazaodstavkom"/>
              <w:numPr>
                <w:ilvl w:val="0"/>
                <w:numId w:val="0"/>
              </w:numPr>
              <w:spacing w:line="260" w:lineRule="exact"/>
              <w:ind w:left="709" w:hanging="709"/>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Predlog zakona nima administrativnih posledic v postopkih oziroma poslovanju javne uprave ali pravosodnih organov.</w:t>
            </w:r>
          </w:p>
          <w:p w:rsidR="00DF0E7B" w:rsidRPr="00D17F74" w:rsidRDefault="00DF0E7B" w:rsidP="005F13CA">
            <w:pPr>
              <w:pStyle w:val="Alineazaodstavkom"/>
              <w:numPr>
                <w:ilvl w:val="0"/>
                <w:numId w:val="0"/>
              </w:numPr>
              <w:spacing w:line="260" w:lineRule="exact"/>
              <w:ind w:left="709" w:hanging="709"/>
              <w:rPr>
                <w:sz w:val="20"/>
                <w:szCs w:val="20"/>
              </w:rPr>
            </w:pPr>
          </w:p>
          <w:p w:rsidR="00DF0E7B" w:rsidRPr="00D17F74" w:rsidRDefault="00DF0E7B" w:rsidP="005F13CA">
            <w:pPr>
              <w:pStyle w:val="Alineazaodstavkom"/>
              <w:numPr>
                <w:ilvl w:val="0"/>
                <w:numId w:val="0"/>
              </w:numPr>
              <w:spacing w:line="260" w:lineRule="exact"/>
              <w:ind w:left="709" w:hanging="709"/>
              <w:rPr>
                <w:sz w:val="20"/>
                <w:szCs w:val="20"/>
              </w:rPr>
            </w:pPr>
          </w:p>
          <w:p w:rsidR="00DF0E7B" w:rsidRPr="00D17F74" w:rsidRDefault="00DF0E7B" w:rsidP="005F13CA">
            <w:pPr>
              <w:pStyle w:val="rkovnatokazaodstavkom"/>
              <w:numPr>
                <w:ilvl w:val="0"/>
                <w:numId w:val="0"/>
              </w:numPr>
              <w:spacing w:line="260" w:lineRule="exact"/>
              <w:rPr>
                <w:rFonts w:cs="Arial"/>
                <w:b/>
              </w:rPr>
            </w:pPr>
            <w:r w:rsidRPr="00D17F74">
              <w:rPr>
                <w:rFonts w:cs="Arial"/>
                <w:b/>
              </w:rPr>
              <w:t>b) pri obveznostih strank do javne uprave ali pravosodnih organov:</w:t>
            </w:r>
          </w:p>
          <w:p w:rsidR="00DF0E7B" w:rsidRPr="00D17F74" w:rsidRDefault="00DF0E7B" w:rsidP="005F13CA">
            <w:pPr>
              <w:pStyle w:val="Alineazaodstavkom"/>
              <w:numPr>
                <w:ilvl w:val="0"/>
                <w:numId w:val="0"/>
              </w:numPr>
              <w:spacing w:line="260" w:lineRule="exact"/>
              <w:ind w:left="709" w:hanging="709"/>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Predlog zakona nima administrativnih posledic pri obveznosti strank do javne uprave ali pravosodnih organov.</w:t>
            </w:r>
          </w:p>
          <w:p w:rsidR="00DF0E7B" w:rsidRPr="00D17F74" w:rsidRDefault="00DF0E7B" w:rsidP="005F13CA">
            <w:pPr>
              <w:pStyle w:val="Alineazaodstavkom"/>
              <w:numPr>
                <w:ilvl w:val="0"/>
                <w:numId w:val="0"/>
              </w:numPr>
              <w:spacing w:line="260" w:lineRule="exact"/>
              <w:ind w:left="709" w:hanging="709"/>
              <w:rPr>
                <w:sz w:val="20"/>
                <w:szCs w:val="20"/>
              </w:rPr>
            </w:pPr>
          </w:p>
          <w:p w:rsidR="00DF0E7B" w:rsidRPr="00D17F74" w:rsidRDefault="00DF0E7B" w:rsidP="005F13CA">
            <w:pPr>
              <w:pStyle w:val="Alineazaodstavkom"/>
              <w:numPr>
                <w:ilvl w:val="0"/>
                <w:numId w:val="0"/>
              </w:numPr>
              <w:spacing w:line="260" w:lineRule="exact"/>
              <w:rPr>
                <w:sz w:val="20"/>
                <w:szCs w:val="20"/>
              </w:rPr>
            </w:pPr>
          </w:p>
        </w:tc>
      </w:tr>
      <w:tr w:rsidR="00DF0E7B" w:rsidRPr="008D1759" w:rsidTr="005F13CA">
        <w:tc>
          <w:tcPr>
            <w:tcW w:w="9213" w:type="dxa"/>
          </w:tcPr>
          <w:p w:rsidR="00DF0E7B" w:rsidRPr="00D17F74" w:rsidRDefault="00DF0E7B" w:rsidP="005F13CA">
            <w:pPr>
              <w:pStyle w:val="Odsek"/>
              <w:numPr>
                <w:ilvl w:val="0"/>
                <w:numId w:val="0"/>
              </w:numPr>
              <w:spacing w:before="0" w:after="0" w:line="260" w:lineRule="exact"/>
              <w:jc w:val="left"/>
              <w:rPr>
                <w:sz w:val="20"/>
                <w:szCs w:val="20"/>
              </w:rPr>
            </w:pPr>
            <w:r w:rsidRPr="00D17F74">
              <w:rPr>
                <w:sz w:val="20"/>
                <w:szCs w:val="20"/>
              </w:rPr>
              <w:t>6.2 Presoja posledic za okolje, vključno s prostorskimi in varstvenimi vidiki, in sicer za:</w:t>
            </w:r>
          </w:p>
        </w:tc>
      </w:tr>
      <w:tr w:rsidR="00DF0E7B" w:rsidRPr="008D1759" w:rsidTr="005F13CA">
        <w:tc>
          <w:tcPr>
            <w:tcW w:w="9213" w:type="dxa"/>
          </w:tcPr>
          <w:p w:rsidR="00DF0E7B" w:rsidRPr="00D17F74" w:rsidRDefault="00DF0E7B" w:rsidP="005F13CA">
            <w:pPr>
              <w:pStyle w:val="Alineazaodstavkom"/>
              <w:numPr>
                <w:ilvl w:val="0"/>
                <w:numId w:val="0"/>
              </w:numPr>
              <w:spacing w:line="260" w:lineRule="exact"/>
              <w:ind w:left="709" w:hanging="709"/>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Predlog zakona nima posledic za okolje, vključno s prostorskimi in varstvenimi vidiki.</w:t>
            </w:r>
          </w:p>
          <w:p w:rsidR="00DF0E7B" w:rsidRPr="00D17F74" w:rsidRDefault="00DF0E7B" w:rsidP="005F13CA">
            <w:pPr>
              <w:pStyle w:val="Alineazaodstavkom"/>
              <w:numPr>
                <w:ilvl w:val="0"/>
                <w:numId w:val="0"/>
              </w:numPr>
              <w:spacing w:line="260" w:lineRule="exact"/>
              <w:ind w:left="709" w:hanging="709"/>
              <w:rPr>
                <w:sz w:val="20"/>
                <w:szCs w:val="20"/>
              </w:rPr>
            </w:pPr>
          </w:p>
          <w:p w:rsidR="00DF0E7B" w:rsidRPr="00D17F74" w:rsidRDefault="00DF0E7B" w:rsidP="005F13CA">
            <w:pPr>
              <w:pStyle w:val="Alineazatoko"/>
              <w:tabs>
                <w:tab w:val="clear" w:pos="360"/>
              </w:tabs>
              <w:spacing w:line="260" w:lineRule="exact"/>
              <w:ind w:left="0" w:firstLine="0"/>
              <w:rPr>
                <w:sz w:val="20"/>
                <w:szCs w:val="20"/>
              </w:rPr>
            </w:pPr>
          </w:p>
        </w:tc>
      </w:tr>
      <w:tr w:rsidR="00DF0E7B" w:rsidRPr="008D1759" w:rsidTr="005F13CA">
        <w:tc>
          <w:tcPr>
            <w:tcW w:w="9213" w:type="dxa"/>
          </w:tcPr>
          <w:p w:rsidR="00DF0E7B" w:rsidRPr="00D17F74" w:rsidRDefault="00DF0E7B" w:rsidP="005F13CA">
            <w:pPr>
              <w:pStyle w:val="Odsek"/>
              <w:numPr>
                <w:ilvl w:val="0"/>
                <w:numId w:val="0"/>
              </w:numPr>
              <w:spacing w:before="0" w:after="0" w:line="260" w:lineRule="exact"/>
              <w:jc w:val="left"/>
              <w:rPr>
                <w:sz w:val="20"/>
                <w:szCs w:val="20"/>
              </w:rPr>
            </w:pPr>
            <w:r w:rsidRPr="00D17F74">
              <w:rPr>
                <w:sz w:val="20"/>
                <w:szCs w:val="20"/>
              </w:rPr>
              <w:t>6.3 Presoja posledic za gospodarstvo, in sicer za:</w:t>
            </w:r>
          </w:p>
        </w:tc>
      </w:tr>
      <w:tr w:rsidR="00DF0E7B" w:rsidRPr="008D1759" w:rsidTr="005F13CA">
        <w:tc>
          <w:tcPr>
            <w:tcW w:w="9213" w:type="dxa"/>
          </w:tcPr>
          <w:p w:rsidR="00DF0E7B" w:rsidRPr="00D17F74" w:rsidRDefault="00DF0E7B" w:rsidP="005F13CA">
            <w:pPr>
              <w:pStyle w:val="Alineazaodstavkom"/>
              <w:numPr>
                <w:ilvl w:val="0"/>
                <w:numId w:val="0"/>
              </w:numPr>
              <w:spacing w:line="260" w:lineRule="exact"/>
              <w:ind w:left="709" w:hanging="709"/>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Predlog zakona nima posledic za gospodarstvo.</w:t>
            </w:r>
          </w:p>
          <w:p w:rsidR="00DF0E7B" w:rsidRPr="00D17F74" w:rsidRDefault="00DF0E7B" w:rsidP="005F13CA">
            <w:pPr>
              <w:pStyle w:val="Alineazatoko"/>
              <w:tabs>
                <w:tab w:val="clear" w:pos="360"/>
              </w:tabs>
              <w:spacing w:line="260" w:lineRule="exact"/>
              <w:ind w:left="0" w:firstLine="0"/>
              <w:rPr>
                <w:sz w:val="20"/>
                <w:szCs w:val="20"/>
              </w:rPr>
            </w:pPr>
          </w:p>
        </w:tc>
      </w:tr>
      <w:tr w:rsidR="00DF0E7B" w:rsidRPr="008D1759" w:rsidTr="005F13CA">
        <w:tc>
          <w:tcPr>
            <w:tcW w:w="9213" w:type="dxa"/>
          </w:tcPr>
          <w:p w:rsidR="00DF0E7B" w:rsidRPr="00D17F74" w:rsidRDefault="00DF0E7B" w:rsidP="005F13CA">
            <w:pPr>
              <w:pStyle w:val="Alineazatoko"/>
              <w:tabs>
                <w:tab w:val="clear" w:pos="360"/>
              </w:tabs>
              <w:spacing w:line="260" w:lineRule="exact"/>
              <w:ind w:left="0" w:firstLine="0"/>
              <w:rPr>
                <w:sz w:val="20"/>
                <w:szCs w:val="20"/>
              </w:rPr>
            </w:pPr>
          </w:p>
        </w:tc>
      </w:tr>
      <w:tr w:rsidR="00DF0E7B" w:rsidRPr="008D1759" w:rsidTr="005F13CA">
        <w:tc>
          <w:tcPr>
            <w:tcW w:w="9213" w:type="dxa"/>
          </w:tcPr>
          <w:p w:rsidR="00DF0E7B" w:rsidRPr="00D17F74" w:rsidRDefault="00DF0E7B" w:rsidP="005F13CA">
            <w:pPr>
              <w:pStyle w:val="Odsek"/>
              <w:numPr>
                <w:ilvl w:val="0"/>
                <w:numId w:val="0"/>
              </w:numPr>
              <w:spacing w:before="0" w:after="0" w:line="260" w:lineRule="exact"/>
              <w:jc w:val="left"/>
              <w:rPr>
                <w:sz w:val="20"/>
                <w:szCs w:val="20"/>
              </w:rPr>
            </w:pPr>
            <w:r w:rsidRPr="00D17F74">
              <w:rPr>
                <w:sz w:val="20"/>
                <w:szCs w:val="20"/>
              </w:rPr>
              <w:t>6.4 Presoja posledic za socialno področje, in sicer za:</w:t>
            </w:r>
          </w:p>
        </w:tc>
      </w:tr>
      <w:tr w:rsidR="00DF0E7B" w:rsidRPr="008D1759" w:rsidTr="005F13CA">
        <w:tc>
          <w:tcPr>
            <w:tcW w:w="9213" w:type="dxa"/>
          </w:tcPr>
          <w:p w:rsidR="00DF0E7B" w:rsidRPr="00D17F74" w:rsidRDefault="00DF0E7B" w:rsidP="005F13CA">
            <w:pPr>
              <w:pStyle w:val="Alineazaodstavkom"/>
              <w:numPr>
                <w:ilvl w:val="0"/>
                <w:numId w:val="0"/>
              </w:numPr>
              <w:spacing w:line="260" w:lineRule="exact"/>
              <w:ind w:left="709" w:hanging="709"/>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Predlog zakona nima posledic za socialno področje.</w:t>
            </w:r>
          </w:p>
          <w:p w:rsidR="00DF0E7B" w:rsidRPr="00D17F74" w:rsidRDefault="00DF0E7B" w:rsidP="005F13CA">
            <w:pPr>
              <w:pStyle w:val="Alineazatoko"/>
              <w:tabs>
                <w:tab w:val="clear" w:pos="360"/>
              </w:tabs>
              <w:spacing w:line="260" w:lineRule="exact"/>
              <w:ind w:left="0" w:firstLine="0"/>
              <w:rPr>
                <w:sz w:val="20"/>
                <w:szCs w:val="20"/>
              </w:rPr>
            </w:pPr>
          </w:p>
        </w:tc>
      </w:tr>
      <w:tr w:rsidR="00DF0E7B" w:rsidRPr="008D1759" w:rsidTr="005F13CA">
        <w:tc>
          <w:tcPr>
            <w:tcW w:w="9213" w:type="dxa"/>
          </w:tcPr>
          <w:p w:rsidR="00DF0E7B" w:rsidRPr="00D17F74" w:rsidRDefault="00DF0E7B" w:rsidP="005F13CA">
            <w:pPr>
              <w:pStyle w:val="Alineazaodstavkom"/>
              <w:numPr>
                <w:ilvl w:val="0"/>
                <w:numId w:val="0"/>
              </w:numPr>
              <w:spacing w:line="260" w:lineRule="exact"/>
              <w:rPr>
                <w:sz w:val="20"/>
                <w:szCs w:val="20"/>
              </w:rPr>
            </w:pPr>
          </w:p>
        </w:tc>
      </w:tr>
      <w:tr w:rsidR="00DF0E7B" w:rsidRPr="008D1759" w:rsidTr="005F13CA">
        <w:tc>
          <w:tcPr>
            <w:tcW w:w="9213" w:type="dxa"/>
          </w:tcPr>
          <w:p w:rsidR="00DF0E7B" w:rsidRPr="00D17F74" w:rsidRDefault="00DF0E7B" w:rsidP="00DF0E7B">
            <w:pPr>
              <w:pStyle w:val="Odsek"/>
              <w:numPr>
                <w:ilvl w:val="1"/>
                <w:numId w:val="7"/>
              </w:numPr>
              <w:spacing w:before="0" w:after="0" w:line="260" w:lineRule="exact"/>
              <w:jc w:val="left"/>
              <w:rPr>
                <w:sz w:val="20"/>
                <w:szCs w:val="20"/>
              </w:rPr>
            </w:pPr>
            <w:r w:rsidRPr="00D17F74">
              <w:rPr>
                <w:sz w:val="20"/>
                <w:szCs w:val="20"/>
              </w:rPr>
              <w:t>Presoja posledic za dokumente razvojnega načrtovanja, in sicer za:</w:t>
            </w:r>
          </w:p>
        </w:tc>
      </w:tr>
      <w:tr w:rsidR="00DF0E7B" w:rsidRPr="008D1759" w:rsidTr="005F13CA">
        <w:tc>
          <w:tcPr>
            <w:tcW w:w="9213" w:type="dxa"/>
          </w:tcPr>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Predlog zakona nima posledic za dokumente razvojnega načrtovanja.</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DF0E7B">
            <w:pPr>
              <w:pStyle w:val="Alineazaodstavkom"/>
              <w:numPr>
                <w:ilvl w:val="1"/>
                <w:numId w:val="7"/>
              </w:numPr>
              <w:spacing w:line="260" w:lineRule="exact"/>
              <w:rPr>
                <w:b/>
                <w:sz w:val="20"/>
                <w:szCs w:val="20"/>
              </w:rPr>
            </w:pPr>
            <w:r w:rsidRPr="00D17F74">
              <w:rPr>
                <w:b/>
                <w:sz w:val="20"/>
                <w:szCs w:val="20"/>
              </w:rPr>
              <w:t>Presoja posledic za druga področja</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Predlog zakona nima posledic za druga področja.</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b/>
                <w:sz w:val="20"/>
                <w:szCs w:val="20"/>
              </w:rPr>
            </w:pPr>
          </w:p>
        </w:tc>
      </w:tr>
      <w:tr w:rsidR="00DF0E7B" w:rsidRPr="008D1759" w:rsidTr="005F13CA">
        <w:tc>
          <w:tcPr>
            <w:tcW w:w="9213" w:type="dxa"/>
          </w:tcPr>
          <w:p w:rsidR="00DF0E7B" w:rsidRPr="00D17F74" w:rsidRDefault="00DF0E7B" w:rsidP="005F13CA">
            <w:pPr>
              <w:pStyle w:val="Odsek"/>
              <w:numPr>
                <w:ilvl w:val="0"/>
                <w:numId w:val="0"/>
              </w:numPr>
              <w:spacing w:before="0" w:after="0" w:line="260" w:lineRule="exact"/>
              <w:jc w:val="left"/>
              <w:rPr>
                <w:sz w:val="20"/>
                <w:szCs w:val="20"/>
              </w:rPr>
            </w:pPr>
            <w:r w:rsidRPr="00D17F74">
              <w:rPr>
                <w:sz w:val="20"/>
                <w:szCs w:val="20"/>
              </w:rPr>
              <w:t>6.7 Izvajanje sprejetega predpisa:</w:t>
            </w:r>
          </w:p>
        </w:tc>
      </w:tr>
      <w:tr w:rsidR="00DF0E7B" w:rsidRPr="008D1759" w:rsidTr="005F13CA">
        <w:tc>
          <w:tcPr>
            <w:tcW w:w="9213" w:type="dxa"/>
          </w:tcPr>
          <w:p w:rsidR="00DF0E7B" w:rsidRPr="00D17F74" w:rsidRDefault="00DF0E7B" w:rsidP="005F13CA">
            <w:pPr>
              <w:pStyle w:val="Alineazatoko"/>
              <w:tabs>
                <w:tab w:val="clear" w:pos="360"/>
              </w:tabs>
              <w:spacing w:line="260" w:lineRule="exact"/>
              <w:rPr>
                <w:sz w:val="20"/>
                <w:szCs w:val="20"/>
              </w:rPr>
            </w:pPr>
          </w:p>
          <w:p w:rsidR="00DF0E7B" w:rsidRPr="00D17F74" w:rsidRDefault="00DF0E7B" w:rsidP="005F13CA">
            <w:pPr>
              <w:pStyle w:val="Alineazatoko"/>
              <w:tabs>
                <w:tab w:val="clear" w:pos="360"/>
              </w:tabs>
              <w:spacing w:line="260" w:lineRule="exact"/>
              <w:rPr>
                <w:sz w:val="20"/>
                <w:szCs w:val="20"/>
              </w:rPr>
            </w:pPr>
            <w:r w:rsidRPr="00D17F74">
              <w:rPr>
                <w:sz w:val="20"/>
                <w:szCs w:val="20"/>
              </w:rPr>
              <w:t>Predlog zakona je bil objavljen na portalu e-demokracija.</w:t>
            </w:r>
          </w:p>
          <w:p w:rsidR="00DF0E7B" w:rsidRPr="00D17F74" w:rsidRDefault="00DF0E7B" w:rsidP="005F13CA">
            <w:pPr>
              <w:pStyle w:val="Alineazatoko"/>
              <w:tabs>
                <w:tab w:val="clear" w:pos="360"/>
              </w:tabs>
              <w:spacing w:line="260" w:lineRule="exact"/>
              <w:rPr>
                <w:sz w:val="20"/>
                <w:szCs w:val="20"/>
              </w:rPr>
            </w:pPr>
          </w:p>
          <w:p w:rsidR="00DF0E7B" w:rsidRDefault="00DF0E7B" w:rsidP="005F13CA">
            <w:pPr>
              <w:pStyle w:val="Alineazatoko"/>
              <w:tabs>
                <w:tab w:val="clear" w:pos="360"/>
              </w:tabs>
              <w:spacing w:line="260" w:lineRule="exact"/>
              <w:rPr>
                <w:sz w:val="20"/>
                <w:szCs w:val="20"/>
              </w:rPr>
            </w:pPr>
          </w:p>
          <w:p w:rsidR="00DF0E7B" w:rsidRDefault="00DF0E7B" w:rsidP="005F13CA">
            <w:pPr>
              <w:pStyle w:val="Alineazatoko"/>
              <w:tabs>
                <w:tab w:val="clear" w:pos="360"/>
              </w:tabs>
              <w:spacing w:line="260" w:lineRule="exact"/>
              <w:rPr>
                <w:sz w:val="20"/>
                <w:szCs w:val="20"/>
              </w:rPr>
            </w:pPr>
          </w:p>
          <w:p w:rsidR="00DF0E7B" w:rsidRPr="00D17F74" w:rsidRDefault="00DF0E7B" w:rsidP="005F13CA">
            <w:pPr>
              <w:pStyle w:val="Alineazatoko"/>
              <w:tabs>
                <w:tab w:val="clear" w:pos="360"/>
              </w:tabs>
              <w:spacing w:line="260" w:lineRule="exact"/>
              <w:rPr>
                <w:sz w:val="20"/>
                <w:szCs w:val="20"/>
              </w:rPr>
            </w:pPr>
          </w:p>
        </w:tc>
      </w:tr>
      <w:tr w:rsidR="00DF0E7B" w:rsidRPr="008D1759" w:rsidTr="005F13CA">
        <w:tc>
          <w:tcPr>
            <w:tcW w:w="9213" w:type="dxa"/>
          </w:tcPr>
          <w:p w:rsidR="00DF0E7B" w:rsidRPr="00D17F74" w:rsidRDefault="00DF0E7B" w:rsidP="005F13CA">
            <w:pPr>
              <w:pStyle w:val="Odsek"/>
              <w:numPr>
                <w:ilvl w:val="0"/>
                <w:numId w:val="0"/>
              </w:numPr>
              <w:spacing w:before="0" w:after="0" w:line="260" w:lineRule="exact"/>
              <w:jc w:val="left"/>
              <w:rPr>
                <w:sz w:val="20"/>
                <w:szCs w:val="20"/>
              </w:rPr>
            </w:pPr>
            <w:r w:rsidRPr="00D17F74">
              <w:rPr>
                <w:sz w:val="20"/>
                <w:szCs w:val="20"/>
              </w:rPr>
              <w:lastRenderedPageBreak/>
              <w:t>6.8 Druge pomembne okoliščine v zvezi z vprašanji, ki jih ureja predlog zakona:</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w:t>
            </w: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Odsek"/>
              <w:numPr>
                <w:ilvl w:val="0"/>
                <w:numId w:val="0"/>
              </w:numPr>
              <w:spacing w:before="0" w:after="0" w:line="260" w:lineRule="exact"/>
              <w:jc w:val="left"/>
              <w:rPr>
                <w:sz w:val="20"/>
                <w:szCs w:val="20"/>
              </w:rPr>
            </w:pPr>
            <w:r w:rsidRPr="00D17F74">
              <w:rPr>
                <w:sz w:val="20"/>
                <w:szCs w:val="20"/>
              </w:rPr>
              <w:t>7. Prikaz sodelovanja javnosti pri pripravi predloga zakona:</w:t>
            </w:r>
          </w:p>
          <w:p w:rsidR="00DF0E7B" w:rsidRPr="00D17F74" w:rsidRDefault="00DF0E7B" w:rsidP="005F13CA">
            <w:pPr>
              <w:pStyle w:val="rkovnatokazaodstavkom"/>
              <w:numPr>
                <w:ilvl w:val="0"/>
                <w:numId w:val="0"/>
              </w:numPr>
              <w:spacing w:line="260" w:lineRule="exact"/>
              <w:rPr>
                <w:rFonts w:cs="Arial"/>
              </w:rPr>
            </w:pPr>
          </w:p>
          <w:p w:rsidR="00DF0E7B" w:rsidRPr="00D17F74" w:rsidRDefault="00DF0E7B" w:rsidP="005F13CA">
            <w:pPr>
              <w:pStyle w:val="Odsek"/>
              <w:numPr>
                <w:ilvl w:val="0"/>
                <w:numId w:val="0"/>
              </w:numPr>
              <w:spacing w:before="0" w:after="0" w:line="260" w:lineRule="exact"/>
              <w:jc w:val="left"/>
              <w:rPr>
                <w:b w:val="0"/>
                <w:sz w:val="20"/>
                <w:szCs w:val="20"/>
              </w:rPr>
            </w:pPr>
            <w:r w:rsidRPr="00D17F74">
              <w:rPr>
                <w:b w:val="0"/>
                <w:sz w:val="20"/>
                <w:szCs w:val="20"/>
              </w:rPr>
              <w:t>Predlog zakona je bil objavljen na portalu e-demokracija.</w:t>
            </w:r>
          </w:p>
          <w:p w:rsidR="00DF0E7B" w:rsidRPr="00D17F74" w:rsidRDefault="00DF0E7B" w:rsidP="005F13CA">
            <w:pPr>
              <w:pStyle w:val="Odsek"/>
              <w:numPr>
                <w:ilvl w:val="0"/>
                <w:numId w:val="0"/>
              </w:numPr>
              <w:spacing w:before="0" w:after="0" w:line="260" w:lineRule="exact"/>
              <w:jc w:val="left"/>
              <w:rPr>
                <w:b w:val="0"/>
                <w:sz w:val="20"/>
                <w:szCs w:val="20"/>
              </w:rPr>
            </w:pPr>
          </w:p>
          <w:p w:rsidR="00DF0E7B" w:rsidRPr="00D17F74" w:rsidRDefault="00DF0E7B" w:rsidP="005F13CA">
            <w:pPr>
              <w:pStyle w:val="Odsek"/>
              <w:numPr>
                <w:ilvl w:val="0"/>
                <w:numId w:val="0"/>
              </w:numPr>
              <w:spacing w:before="0" w:after="0" w:line="260" w:lineRule="exact"/>
              <w:jc w:val="left"/>
              <w:rPr>
                <w:b w:val="0"/>
                <w:sz w:val="20"/>
                <w:szCs w:val="20"/>
              </w:rPr>
            </w:pPr>
          </w:p>
          <w:p w:rsidR="00DF0E7B" w:rsidRPr="00D17F74" w:rsidRDefault="00DF0E7B" w:rsidP="005F13CA">
            <w:pPr>
              <w:pStyle w:val="Odsek"/>
              <w:numPr>
                <w:ilvl w:val="0"/>
                <w:numId w:val="0"/>
              </w:numPr>
              <w:spacing w:before="0" w:after="0" w:line="260" w:lineRule="exact"/>
              <w:jc w:val="both"/>
              <w:rPr>
                <w:sz w:val="20"/>
                <w:szCs w:val="20"/>
              </w:rPr>
            </w:pPr>
            <w:r w:rsidRPr="00D17F74">
              <w:rPr>
                <w:sz w:val="20"/>
                <w:szCs w:val="20"/>
              </w:rPr>
              <w:t>8. Navedba, kateri predstavniki predlagatelja bodo sodelovali pri delu državnega zbora in delovnih teles</w:t>
            </w:r>
          </w:p>
          <w:p w:rsidR="00DF0E7B" w:rsidRPr="00D17F74" w:rsidRDefault="00DF0E7B" w:rsidP="005F13CA">
            <w:pPr>
              <w:pStyle w:val="Odsek"/>
              <w:numPr>
                <w:ilvl w:val="0"/>
                <w:numId w:val="0"/>
              </w:numPr>
              <w:spacing w:before="0" w:after="0" w:line="260" w:lineRule="exact"/>
              <w:jc w:val="left"/>
              <w:rPr>
                <w:sz w:val="20"/>
                <w:szCs w:val="20"/>
              </w:rPr>
            </w:pPr>
          </w:p>
        </w:tc>
      </w:tr>
      <w:tr w:rsidR="00DF0E7B" w:rsidRPr="008D1759" w:rsidTr="005F13CA">
        <w:tc>
          <w:tcPr>
            <w:tcW w:w="9213" w:type="dxa"/>
          </w:tcPr>
          <w:p w:rsidR="00DF0E7B" w:rsidRPr="008F12C8" w:rsidRDefault="00DF0E7B" w:rsidP="00DF0E7B">
            <w:pPr>
              <w:pStyle w:val="Odstavekseznama"/>
              <w:numPr>
                <w:ilvl w:val="1"/>
                <w:numId w:val="5"/>
              </w:numPr>
              <w:overflowPunct w:val="0"/>
              <w:autoSpaceDE w:val="0"/>
              <w:autoSpaceDN w:val="0"/>
              <w:adjustRightInd w:val="0"/>
              <w:ind w:left="426" w:hanging="426"/>
              <w:textAlignment w:val="baseline"/>
              <w:rPr>
                <w:rFonts w:ascii="Arial" w:hAnsi="Arial" w:cs="Arial"/>
                <w:iCs/>
                <w:sz w:val="20"/>
              </w:rPr>
            </w:pPr>
            <w:r>
              <w:rPr>
                <w:rFonts w:ascii="Arial" w:hAnsi="Arial" w:cs="Arial"/>
                <w:iCs/>
                <w:sz w:val="20"/>
              </w:rPr>
              <w:t>dr. Jože Podgoršek, minister</w:t>
            </w:r>
          </w:p>
          <w:p w:rsidR="00DF0E7B" w:rsidRPr="00720BB7" w:rsidRDefault="00DF0E7B" w:rsidP="00DF0E7B">
            <w:pPr>
              <w:pStyle w:val="Odstavekseznama"/>
              <w:numPr>
                <w:ilvl w:val="1"/>
                <w:numId w:val="5"/>
              </w:numPr>
              <w:overflowPunct w:val="0"/>
              <w:autoSpaceDE w:val="0"/>
              <w:autoSpaceDN w:val="0"/>
              <w:adjustRightInd w:val="0"/>
              <w:ind w:left="426" w:hanging="426"/>
              <w:textAlignment w:val="baseline"/>
              <w:rPr>
                <w:rFonts w:ascii="Arial" w:hAnsi="Arial" w:cs="Arial"/>
                <w:iCs/>
                <w:sz w:val="20"/>
              </w:rPr>
            </w:pPr>
            <w:r w:rsidRPr="00720BB7">
              <w:rPr>
                <w:rFonts w:ascii="Arial" w:hAnsi="Arial" w:cs="Arial"/>
                <w:iCs/>
                <w:sz w:val="20"/>
              </w:rPr>
              <w:t>mag. Aleš Irgolič, državni sekretar</w:t>
            </w:r>
          </w:p>
          <w:p w:rsidR="00DF0E7B" w:rsidRDefault="00DF0E7B" w:rsidP="005F13CA">
            <w:pPr>
              <w:pStyle w:val="Odstavekseznama"/>
              <w:overflowPunct w:val="0"/>
              <w:autoSpaceDE w:val="0"/>
              <w:autoSpaceDN w:val="0"/>
              <w:adjustRightInd w:val="0"/>
              <w:ind w:left="0"/>
              <w:textAlignment w:val="baseline"/>
              <w:rPr>
                <w:rFonts w:ascii="Arial" w:hAnsi="Arial" w:cs="Arial"/>
                <w:iCs/>
                <w:sz w:val="20"/>
              </w:rPr>
            </w:pPr>
            <w:r>
              <w:rPr>
                <w:rFonts w:ascii="Arial" w:hAnsi="Arial" w:cs="Arial"/>
                <w:iCs/>
                <w:sz w:val="20"/>
              </w:rPr>
              <w:t xml:space="preserve">-       </w:t>
            </w:r>
            <w:r w:rsidRPr="00EE4919">
              <w:rPr>
                <w:rFonts w:ascii="Arial" w:hAnsi="Arial" w:cs="Arial"/>
                <w:iCs/>
                <w:sz w:val="20"/>
              </w:rPr>
              <w:t xml:space="preserve">Ana Le </w:t>
            </w:r>
            <w:proofErr w:type="spellStart"/>
            <w:r w:rsidRPr="00EE4919">
              <w:rPr>
                <w:rFonts w:ascii="Arial" w:hAnsi="Arial" w:cs="Arial"/>
                <w:iCs/>
                <w:sz w:val="20"/>
              </w:rPr>
              <w:t>Marechal</w:t>
            </w:r>
            <w:proofErr w:type="spellEnd"/>
            <w:r w:rsidRPr="00EE4919">
              <w:rPr>
                <w:rFonts w:ascii="Arial" w:hAnsi="Arial" w:cs="Arial"/>
                <w:iCs/>
                <w:sz w:val="20"/>
              </w:rPr>
              <w:t xml:space="preserve"> Kolar</w:t>
            </w:r>
            <w:r>
              <w:rPr>
                <w:rFonts w:ascii="Arial" w:hAnsi="Arial" w:cs="Arial"/>
                <w:iCs/>
                <w:sz w:val="20"/>
              </w:rPr>
              <w:t>,</w:t>
            </w:r>
            <w:r w:rsidRPr="00EE4919">
              <w:rPr>
                <w:rFonts w:ascii="Arial" w:hAnsi="Arial" w:cs="Arial"/>
                <w:iCs/>
                <w:sz w:val="20"/>
              </w:rPr>
              <w:t xml:space="preserve"> vršilka dolžnosti generalnega direktorja  </w:t>
            </w:r>
          </w:p>
          <w:p w:rsidR="00DF0E7B" w:rsidRDefault="00DF0E7B" w:rsidP="005F13CA">
            <w:pPr>
              <w:pStyle w:val="Odstavekseznama"/>
              <w:overflowPunct w:val="0"/>
              <w:autoSpaceDE w:val="0"/>
              <w:autoSpaceDN w:val="0"/>
              <w:adjustRightInd w:val="0"/>
              <w:ind w:left="0"/>
              <w:textAlignment w:val="baseline"/>
              <w:rPr>
                <w:rFonts w:ascii="Arial" w:hAnsi="Arial" w:cs="Arial"/>
                <w:iCs/>
                <w:sz w:val="20"/>
              </w:rPr>
            </w:pPr>
            <w:r>
              <w:rPr>
                <w:rFonts w:ascii="Arial" w:hAnsi="Arial" w:cs="Arial"/>
                <w:iCs/>
                <w:sz w:val="20"/>
              </w:rPr>
              <w:t xml:space="preserve">        </w:t>
            </w:r>
            <w:r w:rsidRPr="00EE4919">
              <w:rPr>
                <w:rFonts w:ascii="Arial" w:hAnsi="Arial" w:cs="Arial"/>
                <w:iCs/>
                <w:sz w:val="20"/>
              </w:rPr>
              <w:t>Direktorata za hrano in ribištvo</w:t>
            </w:r>
          </w:p>
          <w:p w:rsidR="00DF0E7B" w:rsidRDefault="00DF0E7B" w:rsidP="005F13CA">
            <w:pPr>
              <w:pStyle w:val="Odstavekseznama"/>
              <w:overflowPunct w:val="0"/>
              <w:autoSpaceDE w:val="0"/>
              <w:autoSpaceDN w:val="0"/>
              <w:adjustRightInd w:val="0"/>
              <w:ind w:left="0"/>
              <w:textAlignment w:val="baseline"/>
              <w:rPr>
                <w:rFonts w:ascii="Arial" w:hAnsi="Arial" w:cs="Arial"/>
                <w:iCs/>
                <w:sz w:val="20"/>
              </w:rPr>
            </w:pPr>
            <w:r>
              <w:rPr>
                <w:rFonts w:ascii="Arial" w:hAnsi="Arial" w:cs="Arial"/>
                <w:iCs/>
                <w:sz w:val="20"/>
              </w:rPr>
              <w:t>-       Jernej Švab</w:t>
            </w:r>
            <w:r w:rsidRPr="008F12C8">
              <w:rPr>
                <w:rFonts w:ascii="Arial" w:hAnsi="Arial" w:cs="Arial"/>
                <w:iCs/>
                <w:sz w:val="20"/>
              </w:rPr>
              <w:t>, vodja Sektorja za ribištvo</w:t>
            </w:r>
          </w:p>
          <w:p w:rsidR="00DF0E7B" w:rsidRPr="008F12C8" w:rsidRDefault="00DF0E7B" w:rsidP="00DF0E7B">
            <w:pPr>
              <w:pStyle w:val="Odstavekseznama"/>
              <w:numPr>
                <w:ilvl w:val="1"/>
                <w:numId w:val="5"/>
              </w:numPr>
              <w:overflowPunct w:val="0"/>
              <w:autoSpaceDE w:val="0"/>
              <w:autoSpaceDN w:val="0"/>
              <w:adjustRightInd w:val="0"/>
              <w:ind w:left="426" w:hanging="426"/>
              <w:textAlignment w:val="baseline"/>
              <w:rPr>
                <w:rFonts w:ascii="Arial" w:hAnsi="Arial" w:cs="Arial"/>
                <w:iCs/>
                <w:sz w:val="20"/>
              </w:rPr>
            </w:pPr>
            <w:r>
              <w:rPr>
                <w:rFonts w:ascii="Arial" w:hAnsi="Arial" w:cs="Arial"/>
                <w:iCs/>
                <w:sz w:val="20"/>
              </w:rPr>
              <w:t>Nataša Lipovec, podsekretarka</w:t>
            </w:r>
          </w:p>
          <w:p w:rsidR="00DF0E7B" w:rsidRPr="00D17F74" w:rsidRDefault="00DF0E7B" w:rsidP="00DF0E7B">
            <w:pPr>
              <w:pStyle w:val="Neotevilenodstavek"/>
              <w:numPr>
                <w:ilvl w:val="1"/>
                <w:numId w:val="5"/>
              </w:numPr>
              <w:spacing w:before="0" w:after="0" w:line="260" w:lineRule="exact"/>
              <w:ind w:left="426" w:hanging="426"/>
              <w:rPr>
                <w:sz w:val="20"/>
                <w:szCs w:val="20"/>
              </w:rPr>
            </w:pPr>
            <w:r>
              <w:rPr>
                <w:sz w:val="20"/>
                <w:szCs w:val="20"/>
                <w:lang w:eastAsia="en-US"/>
              </w:rPr>
              <w:t>Anita Mesec Ogrin</w:t>
            </w:r>
            <w:r w:rsidRPr="00D17F74">
              <w:rPr>
                <w:sz w:val="20"/>
                <w:szCs w:val="20"/>
                <w:lang w:eastAsia="en-US"/>
              </w:rPr>
              <w:t>, Sektor za pravno sistemske zadeve s področja hrane, ribištva, veterine in varstva rastlin</w:t>
            </w:r>
          </w:p>
        </w:tc>
      </w:tr>
    </w:tbl>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p w:rsidR="00DF0E7B" w:rsidRDefault="00DF0E7B" w:rsidP="00DF0E7B"/>
    <w:tbl>
      <w:tblPr>
        <w:tblW w:w="0" w:type="auto"/>
        <w:tblLook w:val="04A0" w:firstRow="1" w:lastRow="0" w:firstColumn="1" w:lastColumn="0" w:noHBand="0" w:noVBand="1"/>
      </w:tblPr>
      <w:tblGrid>
        <w:gridCol w:w="8714"/>
      </w:tblGrid>
      <w:tr w:rsidR="00DF0E7B" w:rsidRPr="00472CF8" w:rsidTr="005F13CA">
        <w:tc>
          <w:tcPr>
            <w:tcW w:w="8714" w:type="dxa"/>
          </w:tcPr>
          <w:p w:rsidR="00DF0E7B" w:rsidRDefault="00DF0E7B" w:rsidP="005F13CA">
            <w:pPr>
              <w:pStyle w:val="Poglavje"/>
              <w:spacing w:before="0" w:after="0" w:line="260" w:lineRule="exact"/>
              <w:jc w:val="left"/>
              <w:rPr>
                <w:sz w:val="20"/>
                <w:szCs w:val="20"/>
              </w:rPr>
            </w:pPr>
          </w:p>
          <w:p w:rsidR="00DF0E7B" w:rsidRPr="00472CF8" w:rsidRDefault="00DF0E7B" w:rsidP="005F13CA">
            <w:pPr>
              <w:pStyle w:val="Poglavje"/>
              <w:spacing w:before="0" w:after="0" w:line="260" w:lineRule="exact"/>
              <w:jc w:val="left"/>
              <w:rPr>
                <w:sz w:val="20"/>
                <w:szCs w:val="20"/>
              </w:rPr>
            </w:pPr>
            <w:r w:rsidRPr="00472CF8">
              <w:rPr>
                <w:sz w:val="20"/>
                <w:szCs w:val="20"/>
              </w:rPr>
              <w:t>II. BESEDILO ČLENOV</w:t>
            </w:r>
          </w:p>
          <w:p w:rsidR="00DF0E7B" w:rsidRPr="00472CF8" w:rsidRDefault="00DF0E7B" w:rsidP="005F13CA">
            <w:pPr>
              <w:pStyle w:val="Poglavje"/>
              <w:spacing w:before="0" w:after="0" w:line="260" w:lineRule="exact"/>
              <w:jc w:val="both"/>
              <w:rPr>
                <w:sz w:val="20"/>
                <w:szCs w:val="20"/>
              </w:rPr>
            </w:pPr>
          </w:p>
        </w:tc>
      </w:tr>
    </w:tbl>
    <w:p w:rsidR="00DF0E7B" w:rsidRPr="00472CF8" w:rsidRDefault="00DF0E7B" w:rsidP="00DF0E7B">
      <w:pPr>
        <w:spacing w:after="160" w:line="259" w:lineRule="auto"/>
        <w:rPr>
          <w:rFonts w:eastAsia="Calibri" w:cs="Arial"/>
          <w:szCs w:val="20"/>
        </w:rPr>
      </w:pPr>
    </w:p>
    <w:p w:rsidR="00DF0E7B" w:rsidRDefault="00DF0E7B" w:rsidP="00DF0E7B">
      <w:pPr>
        <w:numPr>
          <w:ilvl w:val="0"/>
          <w:numId w:val="8"/>
        </w:numPr>
        <w:spacing w:after="160" w:line="259" w:lineRule="auto"/>
        <w:contextualSpacing/>
        <w:jc w:val="center"/>
        <w:rPr>
          <w:rFonts w:eastAsia="Calibri" w:cs="Arial"/>
          <w:szCs w:val="20"/>
        </w:rPr>
      </w:pPr>
      <w:r>
        <w:rPr>
          <w:rFonts w:eastAsia="Calibri" w:cs="Arial"/>
          <w:szCs w:val="20"/>
        </w:rPr>
        <w:t>č</w:t>
      </w:r>
      <w:r w:rsidRPr="00472CF8">
        <w:rPr>
          <w:rFonts w:eastAsia="Calibri" w:cs="Arial"/>
          <w:szCs w:val="20"/>
        </w:rPr>
        <w:t>len</w:t>
      </w:r>
    </w:p>
    <w:p w:rsidR="00DF0E7B" w:rsidRPr="00472CF8" w:rsidRDefault="00DF0E7B" w:rsidP="00DF0E7B">
      <w:pPr>
        <w:spacing w:after="160" w:line="259" w:lineRule="auto"/>
        <w:ind w:left="720"/>
        <w:contextualSpacing/>
        <w:rPr>
          <w:rFonts w:eastAsia="Calibri" w:cs="Arial"/>
          <w:szCs w:val="20"/>
        </w:rPr>
      </w:pPr>
    </w:p>
    <w:p w:rsidR="00DF0E7B" w:rsidRPr="00472CF8" w:rsidRDefault="00DF0E7B" w:rsidP="00DF0E7B">
      <w:pPr>
        <w:spacing w:after="160" w:line="259" w:lineRule="auto"/>
        <w:jc w:val="both"/>
        <w:rPr>
          <w:rFonts w:eastAsia="Calibri" w:cs="Arial"/>
          <w:szCs w:val="20"/>
        </w:rPr>
      </w:pPr>
      <w:r w:rsidRPr="00472CF8">
        <w:rPr>
          <w:rFonts w:eastAsia="Calibri" w:cs="Arial"/>
          <w:szCs w:val="20"/>
        </w:rPr>
        <w:t>V Zakonu o ureditvi določenih vprašanj zaradi končne razsodbe arbitražnega sodišča na podlagi Arbitražnega sporazuma med Vlado Republike Slovenije in Vlado Republike Hrvaške (Uradni list RS, št. 69/</w:t>
      </w:r>
      <w:r>
        <w:rPr>
          <w:rFonts w:eastAsia="Calibri" w:cs="Arial"/>
          <w:szCs w:val="20"/>
        </w:rPr>
        <w:t xml:space="preserve">17 in 59/19) se v 14. členu v prvem odstavku </w:t>
      </w:r>
      <w:r w:rsidRPr="00472CF8">
        <w:rPr>
          <w:rFonts w:eastAsia="Calibri" w:cs="Arial"/>
          <w:szCs w:val="20"/>
        </w:rPr>
        <w:t>beseda »štirih« nadomesti z besedo »šestih«.</w:t>
      </w:r>
    </w:p>
    <w:p w:rsidR="00DF0E7B" w:rsidRDefault="00DF0E7B" w:rsidP="00DF0E7B">
      <w:pPr>
        <w:spacing w:after="160" w:line="259" w:lineRule="auto"/>
        <w:jc w:val="center"/>
        <w:rPr>
          <w:rFonts w:eastAsia="Calibri" w:cs="Arial"/>
          <w:szCs w:val="20"/>
        </w:rPr>
      </w:pPr>
      <w:r w:rsidRPr="00472CF8">
        <w:rPr>
          <w:rFonts w:eastAsia="Calibri" w:cs="Arial"/>
          <w:szCs w:val="20"/>
        </w:rPr>
        <w:t xml:space="preserve">       2.   člen</w:t>
      </w:r>
    </w:p>
    <w:p w:rsidR="00DF0E7B" w:rsidRPr="00472CF8" w:rsidRDefault="00DF0E7B" w:rsidP="00DF0E7B">
      <w:pPr>
        <w:spacing w:after="160" w:line="259" w:lineRule="auto"/>
        <w:jc w:val="center"/>
        <w:rPr>
          <w:rFonts w:eastAsia="Calibri" w:cs="Arial"/>
          <w:szCs w:val="20"/>
        </w:rPr>
      </w:pPr>
    </w:p>
    <w:p w:rsidR="00DF0E7B" w:rsidRDefault="00DF0E7B" w:rsidP="00DF0E7B">
      <w:pPr>
        <w:spacing w:after="160" w:line="259" w:lineRule="auto"/>
        <w:rPr>
          <w:rFonts w:eastAsia="Calibri" w:cs="Arial"/>
          <w:szCs w:val="20"/>
        </w:rPr>
      </w:pPr>
      <w:r w:rsidRPr="00430098">
        <w:rPr>
          <w:rFonts w:eastAsia="Calibri" w:cs="Arial"/>
          <w:szCs w:val="20"/>
        </w:rPr>
        <w:t>V 15. členu se v prvem odstavku beseda »štirih« nadomesti z besedo »šestih«, besedilo »v letih 2014, 2015, 2016, 2017 in 2018« pa se nadomesti z besedilom »</w:t>
      </w:r>
      <w:r>
        <w:rPr>
          <w:rFonts w:eastAsia="Calibri" w:cs="Arial"/>
          <w:szCs w:val="20"/>
        </w:rPr>
        <w:t xml:space="preserve">v </w:t>
      </w:r>
      <w:r w:rsidRPr="00430098">
        <w:rPr>
          <w:rFonts w:eastAsia="Calibri" w:cs="Arial"/>
          <w:szCs w:val="20"/>
        </w:rPr>
        <w:t xml:space="preserve">letih 2016, 2017, 2018, 2019 in 2020«.  </w:t>
      </w:r>
    </w:p>
    <w:p w:rsidR="00DF0E7B" w:rsidRDefault="00DF0E7B" w:rsidP="00DF0E7B">
      <w:pPr>
        <w:spacing w:after="160" w:line="259" w:lineRule="auto"/>
        <w:rPr>
          <w:rFonts w:eastAsia="Calibri" w:cs="Arial"/>
          <w:szCs w:val="20"/>
        </w:rPr>
      </w:pPr>
    </w:p>
    <w:p w:rsidR="00DF0E7B" w:rsidRPr="00472CF8" w:rsidRDefault="00DF0E7B" w:rsidP="00DF0E7B">
      <w:pPr>
        <w:spacing w:after="160" w:line="259" w:lineRule="auto"/>
        <w:jc w:val="center"/>
        <w:rPr>
          <w:rFonts w:eastAsia="Calibri" w:cs="Arial"/>
          <w:szCs w:val="20"/>
        </w:rPr>
      </w:pPr>
      <w:r w:rsidRPr="00F95E82">
        <w:rPr>
          <w:rFonts w:eastAsia="Calibri" w:cs="Arial"/>
          <w:szCs w:val="20"/>
        </w:rPr>
        <w:t xml:space="preserve">PREHODNA IN KONČNA DOLOČBA       </w:t>
      </w:r>
    </w:p>
    <w:p w:rsidR="00DF0E7B" w:rsidRPr="00472CF8" w:rsidRDefault="00DF0E7B" w:rsidP="00DF0E7B">
      <w:pPr>
        <w:spacing w:after="160" w:line="259" w:lineRule="auto"/>
        <w:jc w:val="center"/>
        <w:rPr>
          <w:rFonts w:eastAsia="Calibri" w:cs="Arial"/>
          <w:szCs w:val="20"/>
        </w:rPr>
      </w:pPr>
      <w:r w:rsidRPr="00472CF8">
        <w:rPr>
          <w:rFonts w:eastAsia="Calibri" w:cs="Arial"/>
          <w:szCs w:val="20"/>
        </w:rPr>
        <w:t xml:space="preserve">       3. člen</w:t>
      </w:r>
    </w:p>
    <w:p w:rsidR="00DF0E7B" w:rsidRDefault="00DF0E7B" w:rsidP="00DF0E7B">
      <w:pPr>
        <w:spacing w:after="160" w:line="259" w:lineRule="auto"/>
        <w:jc w:val="center"/>
        <w:rPr>
          <w:rFonts w:eastAsia="Calibri" w:cs="Arial"/>
          <w:szCs w:val="20"/>
        </w:rPr>
      </w:pPr>
      <w:r w:rsidRPr="00472CF8">
        <w:rPr>
          <w:rFonts w:eastAsia="Calibri" w:cs="Arial"/>
          <w:szCs w:val="20"/>
        </w:rPr>
        <w:t xml:space="preserve">   </w:t>
      </w:r>
      <w:r w:rsidRPr="00F95E82">
        <w:rPr>
          <w:rFonts w:eastAsia="Calibri" w:cs="Arial"/>
          <w:szCs w:val="20"/>
        </w:rPr>
        <w:t>(dokončanje začetih postopkov)</w:t>
      </w:r>
    </w:p>
    <w:p w:rsidR="00DF0E7B" w:rsidRPr="00472CF8" w:rsidRDefault="00DF0E7B" w:rsidP="00DF0E7B">
      <w:pPr>
        <w:spacing w:after="160" w:line="259" w:lineRule="auto"/>
        <w:jc w:val="center"/>
        <w:rPr>
          <w:rFonts w:eastAsia="Calibri" w:cs="Arial"/>
          <w:szCs w:val="20"/>
        </w:rPr>
      </w:pPr>
    </w:p>
    <w:p w:rsidR="00DF0E7B" w:rsidRDefault="00DF0E7B" w:rsidP="00DF0E7B">
      <w:r w:rsidRPr="00F95E82">
        <w:t>Postopki glede upravičenosti do nadomestila zaradi izpada dohodka oviranega gospodarskega ribolova, začeti pred uveljavitvijo tega zakona, se končajo po dosedanjih predpisih.</w:t>
      </w:r>
    </w:p>
    <w:p w:rsidR="00DF0E7B" w:rsidRDefault="00DF0E7B" w:rsidP="00DF0E7B"/>
    <w:p w:rsidR="00DF0E7B" w:rsidRDefault="00DF0E7B" w:rsidP="00DF0E7B"/>
    <w:p w:rsidR="00DF0E7B" w:rsidRDefault="00DF0E7B" w:rsidP="00DF0E7B">
      <w:pPr>
        <w:jc w:val="center"/>
      </w:pPr>
      <w:r>
        <w:t>4. člen</w:t>
      </w:r>
    </w:p>
    <w:p w:rsidR="00DF0E7B" w:rsidRDefault="00DF0E7B" w:rsidP="00DF0E7B">
      <w:pPr>
        <w:jc w:val="center"/>
      </w:pPr>
      <w:r>
        <w:t>(začetek veljavnosti)</w:t>
      </w:r>
    </w:p>
    <w:p w:rsidR="00DF0E7B" w:rsidRDefault="00DF0E7B" w:rsidP="00DF0E7B">
      <w:pPr>
        <w:jc w:val="center"/>
      </w:pPr>
    </w:p>
    <w:p w:rsidR="00DF0E7B" w:rsidRDefault="00DF0E7B" w:rsidP="00DF0E7B">
      <w:r>
        <w:t>Ta zakon začne veljati petnajsti dan po objavi v Uradnem listu Republike Slovenije.</w:t>
      </w:r>
    </w:p>
    <w:p w:rsidR="00DF0E7B" w:rsidRDefault="00DF0E7B" w:rsidP="00DF0E7B"/>
    <w:p w:rsidR="00DF0E7B" w:rsidRDefault="00DF0E7B" w:rsidP="00DF0E7B"/>
    <w:tbl>
      <w:tblPr>
        <w:tblW w:w="0" w:type="auto"/>
        <w:tblLook w:val="04A0" w:firstRow="1" w:lastRow="0" w:firstColumn="1" w:lastColumn="0" w:noHBand="0" w:noVBand="1"/>
      </w:tblPr>
      <w:tblGrid>
        <w:gridCol w:w="9072"/>
      </w:tblGrid>
      <w:tr w:rsidR="00DF0E7B" w:rsidRPr="008D1759" w:rsidTr="005F13CA">
        <w:tc>
          <w:tcPr>
            <w:tcW w:w="9213" w:type="dxa"/>
          </w:tcPr>
          <w:p w:rsidR="00DF0E7B" w:rsidRPr="008D1759" w:rsidRDefault="00DF0E7B" w:rsidP="005F13CA">
            <w:pPr>
              <w:pStyle w:val="Poglavje"/>
              <w:spacing w:before="0" w:after="0" w:line="260" w:lineRule="exact"/>
              <w:jc w:val="left"/>
              <w:rPr>
                <w:sz w:val="20"/>
                <w:szCs w:val="20"/>
              </w:rPr>
            </w:pPr>
            <w:r w:rsidRPr="008D1759">
              <w:rPr>
                <w:sz w:val="20"/>
                <w:szCs w:val="20"/>
              </w:rPr>
              <w:t>III. OBRAZLOŽITEV</w:t>
            </w:r>
          </w:p>
        </w:tc>
      </w:tr>
      <w:tr w:rsidR="00DF0E7B" w:rsidRPr="008D1759" w:rsidTr="005F13CA">
        <w:tc>
          <w:tcPr>
            <w:tcW w:w="9213" w:type="dxa"/>
          </w:tcPr>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jc w:val="left"/>
              <w:rPr>
                <w:sz w:val="20"/>
                <w:szCs w:val="20"/>
              </w:rPr>
            </w:pPr>
            <w:r w:rsidRPr="00D17F74">
              <w:rPr>
                <w:sz w:val="20"/>
                <w:szCs w:val="20"/>
              </w:rPr>
              <w:t>K 1. členu</w:t>
            </w:r>
          </w:p>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r w:rsidRPr="00626DCF">
              <w:rPr>
                <w:sz w:val="20"/>
                <w:szCs w:val="20"/>
              </w:rPr>
              <w:t>S to spremembo zakona se spreminja obdobje iz štirih let na šest let, za katero lahko imetnik dovoljenja za gospodarski ribolov uveljavlja nadomestilo za materialno škodo na ribolovnem orodju oziroma plovilu.</w:t>
            </w:r>
            <w:r w:rsidRPr="00D17F74">
              <w:rPr>
                <w:sz w:val="20"/>
                <w:szCs w:val="20"/>
              </w:rPr>
              <w:t xml:space="preserve"> </w:t>
            </w:r>
          </w:p>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jc w:val="left"/>
              <w:rPr>
                <w:sz w:val="20"/>
                <w:szCs w:val="20"/>
              </w:rPr>
            </w:pPr>
            <w:r w:rsidRPr="00D17F74">
              <w:rPr>
                <w:sz w:val="20"/>
                <w:szCs w:val="20"/>
              </w:rPr>
              <w:t>K 2. členu</w:t>
            </w:r>
          </w:p>
          <w:p w:rsidR="00DF0E7B" w:rsidRPr="00D17F74" w:rsidRDefault="00DF0E7B" w:rsidP="005F13CA">
            <w:pPr>
              <w:pStyle w:val="Neotevilenodstavek"/>
              <w:spacing w:before="0" w:after="0" w:line="260" w:lineRule="exact"/>
              <w:rPr>
                <w:sz w:val="20"/>
                <w:szCs w:val="20"/>
              </w:rPr>
            </w:pPr>
          </w:p>
          <w:p w:rsidR="00DF0E7B" w:rsidRDefault="00DF0E7B" w:rsidP="005F13CA">
            <w:pPr>
              <w:pStyle w:val="Neotevilenodstavek"/>
              <w:spacing w:before="0" w:after="0" w:line="260" w:lineRule="exact"/>
              <w:rPr>
                <w:sz w:val="20"/>
                <w:szCs w:val="20"/>
              </w:rPr>
            </w:pPr>
            <w:r w:rsidRPr="000C36B2">
              <w:rPr>
                <w:sz w:val="20"/>
                <w:szCs w:val="20"/>
              </w:rPr>
              <w:t>S predlagano spremembo zakona se obdobje, za katero lahko imetnik dovoljenja za gospodarski ribolov uveljavlja nadomestilo zaradi oviranega gospodarskega ribolova podaljšuje iz štirih let na šest let od zače</w:t>
            </w:r>
            <w:r>
              <w:rPr>
                <w:sz w:val="20"/>
                <w:szCs w:val="20"/>
              </w:rPr>
              <w:t>tka uporabe zakona. S</w:t>
            </w:r>
            <w:r w:rsidRPr="000C36B2">
              <w:rPr>
                <w:sz w:val="20"/>
                <w:szCs w:val="20"/>
              </w:rPr>
              <w:t xml:space="preserve">preminja </w:t>
            </w:r>
            <w:r>
              <w:rPr>
                <w:sz w:val="20"/>
                <w:szCs w:val="20"/>
              </w:rPr>
              <w:t xml:space="preserve">se tudi </w:t>
            </w:r>
            <w:r w:rsidRPr="000C36B2">
              <w:rPr>
                <w:sz w:val="20"/>
                <w:szCs w:val="20"/>
              </w:rPr>
              <w:t xml:space="preserve">določba, za katero obdobje se upoštevajo oddani ladijski dnevniki, in sicer so bila sedaj </w:t>
            </w:r>
            <w:r>
              <w:rPr>
                <w:sz w:val="20"/>
                <w:szCs w:val="20"/>
              </w:rPr>
              <w:t xml:space="preserve">upoštevana </w:t>
            </w:r>
            <w:r w:rsidRPr="000C36B2">
              <w:rPr>
                <w:sz w:val="20"/>
                <w:szCs w:val="20"/>
              </w:rPr>
              <w:t xml:space="preserve">leta 2014, 2015, 2016, 2017 in 2018, sedaj pa se </w:t>
            </w:r>
            <w:r>
              <w:rPr>
                <w:sz w:val="20"/>
                <w:szCs w:val="20"/>
              </w:rPr>
              <w:t>upoštevajo dnevniki oddani v letih</w:t>
            </w:r>
            <w:r w:rsidRPr="000C36B2">
              <w:rPr>
                <w:sz w:val="20"/>
                <w:szCs w:val="20"/>
              </w:rPr>
              <w:t xml:space="preserve"> 2016, 2017, 2018</w:t>
            </w:r>
            <w:r>
              <w:rPr>
                <w:sz w:val="20"/>
                <w:szCs w:val="20"/>
              </w:rPr>
              <w:t>,</w:t>
            </w:r>
            <w:r w:rsidRPr="000C36B2">
              <w:rPr>
                <w:sz w:val="20"/>
                <w:szCs w:val="20"/>
              </w:rPr>
              <w:t xml:space="preserve"> 2019 in 2020.</w:t>
            </w:r>
            <w:r>
              <w:rPr>
                <w:sz w:val="20"/>
                <w:szCs w:val="20"/>
              </w:rPr>
              <w:t xml:space="preserve"> </w:t>
            </w:r>
            <w:r w:rsidRPr="000C36B2">
              <w:rPr>
                <w:sz w:val="20"/>
                <w:szCs w:val="20"/>
              </w:rPr>
              <w:t>Število oddanih dnevnikov ostaja nespremenjeno.</w:t>
            </w:r>
          </w:p>
          <w:p w:rsidR="00DF0E7B"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p>
          <w:p w:rsidR="00DF0E7B" w:rsidRDefault="00DF0E7B" w:rsidP="005F13CA">
            <w:pPr>
              <w:pStyle w:val="Neotevilenodstavek"/>
              <w:spacing w:before="0" w:after="0" w:line="260" w:lineRule="exact"/>
              <w:rPr>
                <w:sz w:val="20"/>
                <w:szCs w:val="20"/>
              </w:rPr>
            </w:pPr>
            <w:r w:rsidRPr="00D17F74">
              <w:rPr>
                <w:sz w:val="20"/>
                <w:szCs w:val="20"/>
              </w:rPr>
              <w:t>K 3. členu</w:t>
            </w:r>
          </w:p>
          <w:p w:rsidR="00DF0E7B"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r w:rsidRPr="000C36B2">
              <w:rPr>
                <w:sz w:val="20"/>
                <w:szCs w:val="20"/>
              </w:rPr>
              <w:t>Prehodna določa je posledica spremembe 2. člen</w:t>
            </w:r>
            <w:r>
              <w:rPr>
                <w:sz w:val="20"/>
                <w:szCs w:val="20"/>
              </w:rPr>
              <w:t>a predloga zakona in je potrebna</w:t>
            </w:r>
            <w:r w:rsidRPr="000C36B2">
              <w:rPr>
                <w:sz w:val="20"/>
                <w:szCs w:val="20"/>
              </w:rPr>
              <w:t>, ker</w:t>
            </w:r>
            <w:r>
              <w:rPr>
                <w:sz w:val="20"/>
                <w:szCs w:val="20"/>
              </w:rPr>
              <w:t xml:space="preserve"> se spreminja določba, ki določa </w:t>
            </w:r>
            <w:r w:rsidRPr="000C36B2">
              <w:rPr>
                <w:sz w:val="20"/>
                <w:szCs w:val="20"/>
              </w:rPr>
              <w:t xml:space="preserve">obdobje, za katero lahko imetnik dovoljenja za gospodarski ribolov uveljavlja nadomestilo </w:t>
            </w:r>
            <w:r>
              <w:rPr>
                <w:sz w:val="20"/>
                <w:szCs w:val="20"/>
              </w:rPr>
              <w:t>in predvsem se spreminja obdobje za katero se upoštevajo oddani dnevniki.</w:t>
            </w:r>
          </w:p>
          <w:p w:rsidR="00DF0E7B" w:rsidRDefault="00DF0E7B" w:rsidP="005F13CA">
            <w:pPr>
              <w:pStyle w:val="Neotevilenodstavek"/>
              <w:spacing w:before="0" w:after="0" w:line="260" w:lineRule="exact"/>
              <w:rPr>
                <w:sz w:val="20"/>
                <w:szCs w:val="20"/>
              </w:rPr>
            </w:pPr>
          </w:p>
          <w:p w:rsidR="00DF0E7B" w:rsidRDefault="00DF0E7B" w:rsidP="005F13CA">
            <w:pPr>
              <w:pStyle w:val="Neotevilenodstavek"/>
              <w:spacing w:before="0" w:after="0" w:line="260" w:lineRule="exact"/>
              <w:rPr>
                <w:sz w:val="20"/>
                <w:szCs w:val="20"/>
              </w:rPr>
            </w:pPr>
          </w:p>
          <w:p w:rsidR="00DF0E7B" w:rsidRPr="000C36B2" w:rsidRDefault="00DF0E7B" w:rsidP="005F13CA">
            <w:pPr>
              <w:pStyle w:val="Neotevilenodstavek"/>
              <w:rPr>
                <w:sz w:val="20"/>
                <w:szCs w:val="20"/>
              </w:rPr>
            </w:pPr>
            <w:r w:rsidRPr="000C36B2">
              <w:rPr>
                <w:sz w:val="20"/>
                <w:szCs w:val="20"/>
              </w:rPr>
              <w:t>K 4. členu</w:t>
            </w:r>
          </w:p>
          <w:p w:rsidR="00DF0E7B" w:rsidRPr="000C36B2" w:rsidRDefault="00DF0E7B" w:rsidP="005F13CA">
            <w:pPr>
              <w:pStyle w:val="Neotevilenodstavek"/>
              <w:rPr>
                <w:sz w:val="20"/>
                <w:szCs w:val="20"/>
              </w:rPr>
            </w:pPr>
          </w:p>
          <w:p w:rsidR="00DF0E7B" w:rsidRPr="00D17F74" w:rsidRDefault="00DF0E7B" w:rsidP="005F13CA">
            <w:pPr>
              <w:pStyle w:val="Neotevilenodstavek"/>
              <w:spacing w:before="0" w:after="0" w:line="260" w:lineRule="exact"/>
              <w:rPr>
                <w:sz w:val="20"/>
                <w:szCs w:val="20"/>
              </w:rPr>
            </w:pPr>
            <w:r w:rsidRPr="000C36B2">
              <w:rPr>
                <w:sz w:val="20"/>
                <w:szCs w:val="20"/>
              </w:rPr>
              <w:t>Ta člen določa uveljavitev zakona.</w:t>
            </w:r>
          </w:p>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p>
        </w:tc>
      </w:tr>
    </w:tbl>
    <w:p w:rsidR="00DF0E7B" w:rsidRDefault="00DF0E7B" w:rsidP="00DF0E7B">
      <w:r>
        <w:rPr>
          <w:b/>
        </w:rPr>
        <w:lastRenderedPageBreak/>
        <w:br w:type="page"/>
      </w:r>
    </w:p>
    <w:tbl>
      <w:tblPr>
        <w:tblW w:w="0" w:type="auto"/>
        <w:tblLook w:val="04A0" w:firstRow="1" w:lastRow="0" w:firstColumn="1" w:lastColumn="0" w:noHBand="0" w:noVBand="1"/>
      </w:tblPr>
      <w:tblGrid>
        <w:gridCol w:w="9072"/>
      </w:tblGrid>
      <w:tr w:rsidR="00DF0E7B" w:rsidRPr="008D1759" w:rsidTr="005F13CA">
        <w:tc>
          <w:tcPr>
            <w:tcW w:w="9213" w:type="dxa"/>
          </w:tcPr>
          <w:p w:rsidR="00DF0E7B" w:rsidRPr="008D1759" w:rsidRDefault="00DF0E7B" w:rsidP="005F13CA">
            <w:pPr>
              <w:pStyle w:val="Poglavje"/>
              <w:spacing w:before="0" w:after="0" w:line="260" w:lineRule="exact"/>
              <w:jc w:val="left"/>
              <w:rPr>
                <w:sz w:val="20"/>
                <w:szCs w:val="20"/>
              </w:rPr>
            </w:pPr>
            <w:r w:rsidRPr="008D1759">
              <w:rPr>
                <w:sz w:val="20"/>
                <w:szCs w:val="20"/>
              </w:rPr>
              <w:lastRenderedPageBreak/>
              <w:t>IV. BESEDILO ČLENOV, KI SE SPREMINJAJO</w:t>
            </w:r>
          </w:p>
        </w:tc>
      </w:tr>
      <w:tr w:rsidR="00DF0E7B" w:rsidRPr="008D1759" w:rsidTr="005F13CA">
        <w:tc>
          <w:tcPr>
            <w:tcW w:w="9213" w:type="dxa"/>
          </w:tcPr>
          <w:p w:rsidR="00DF0E7B" w:rsidRPr="00D17F74" w:rsidRDefault="00DF0E7B" w:rsidP="005F13CA">
            <w:pPr>
              <w:pStyle w:val="Neotevilenodstavek"/>
              <w:spacing w:before="0" w:after="0" w:line="260" w:lineRule="exact"/>
              <w:rPr>
                <w:sz w:val="20"/>
                <w:szCs w:val="20"/>
              </w:rPr>
            </w:pPr>
          </w:p>
          <w:p w:rsidR="00DF0E7B" w:rsidRPr="009104E9" w:rsidRDefault="00DF0E7B" w:rsidP="005F13CA">
            <w:pPr>
              <w:pStyle w:val="Neotevilenodstavek"/>
              <w:jc w:val="center"/>
              <w:rPr>
                <w:sz w:val="20"/>
                <w:szCs w:val="20"/>
              </w:rPr>
            </w:pPr>
            <w:r w:rsidRPr="009104E9">
              <w:rPr>
                <w:sz w:val="20"/>
                <w:szCs w:val="20"/>
              </w:rPr>
              <w:t>14. člen</w:t>
            </w:r>
          </w:p>
          <w:p w:rsidR="00DF0E7B" w:rsidRPr="009104E9" w:rsidRDefault="00DF0E7B" w:rsidP="005F13CA">
            <w:pPr>
              <w:pStyle w:val="Neotevilenodstavek"/>
              <w:jc w:val="center"/>
              <w:rPr>
                <w:sz w:val="20"/>
                <w:szCs w:val="20"/>
              </w:rPr>
            </w:pPr>
            <w:r w:rsidRPr="009104E9">
              <w:rPr>
                <w:sz w:val="20"/>
                <w:szCs w:val="20"/>
              </w:rPr>
              <w:t>(nadomestilo za materialno škodo na ribolovnem orodju oziroma plovilu)</w:t>
            </w:r>
          </w:p>
          <w:p w:rsidR="00DF0E7B" w:rsidRPr="009104E9" w:rsidRDefault="00DF0E7B" w:rsidP="005F13CA">
            <w:pPr>
              <w:pStyle w:val="Neotevilenodstavek"/>
              <w:rPr>
                <w:sz w:val="20"/>
                <w:szCs w:val="20"/>
              </w:rPr>
            </w:pPr>
          </w:p>
          <w:p w:rsidR="00DF0E7B" w:rsidRPr="009104E9" w:rsidRDefault="00DF0E7B" w:rsidP="005F13CA">
            <w:pPr>
              <w:pStyle w:val="Neotevilenodstavek"/>
              <w:rPr>
                <w:sz w:val="20"/>
                <w:szCs w:val="20"/>
              </w:rPr>
            </w:pPr>
            <w:r w:rsidRPr="009104E9">
              <w:rPr>
                <w:sz w:val="20"/>
                <w:szCs w:val="20"/>
              </w:rPr>
              <w:t>(1) Če imetnik dovoljenja za gospodarski ribolov pri ribolovu v morju, ki je pod suverenostjo Republike Slovenije, utrpi materialno škodo na ribolovnem orodju oziroma ribiškem plovilu, ki jo je povzročilo tuje plovilo, je upravičen do nadomestila v višini nastale škode, povzročene v štirih letih od začetka uporabe tega zakona. Če je bil del škode že povrnjen iz drugega pravnega naslova, se izplačilo nadomestila za ta del zmanjša.</w:t>
            </w:r>
          </w:p>
          <w:p w:rsidR="00DF0E7B" w:rsidRPr="009104E9" w:rsidRDefault="00DF0E7B" w:rsidP="005F13CA">
            <w:pPr>
              <w:pStyle w:val="Neotevilenodstavek"/>
              <w:rPr>
                <w:sz w:val="20"/>
                <w:szCs w:val="20"/>
              </w:rPr>
            </w:pPr>
          </w:p>
          <w:p w:rsidR="00DF0E7B" w:rsidRPr="009104E9" w:rsidRDefault="00DF0E7B" w:rsidP="005F13CA">
            <w:pPr>
              <w:pStyle w:val="Neotevilenodstavek"/>
              <w:rPr>
                <w:sz w:val="20"/>
                <w:szCs w:val="20"/>
              </w:rPr>
            </w:pPr>
            <w:r w:rsidRPr="009104E9">
              <w:rPr>
                <w:sz w:val="20"/>
                <w:szCs w:val="20"/>
              </w:rPr>
              <w:t>(2) Vlogo za dodelitev nadomestila vloži imetnik iz prejšnjega odstavka pri krajevno pristojni upravni enoti glede na naslov stalnega prebivališča oziroma sedež. Vlogi imetnik priloži izjavo o tem, da je nastalo škodo naznanil policiji, ribiškemu inšpektorju ali upravi, pristojni za pomorstvo, ter izjavo o višini povrnjene škode, če je imetnik dobil škodo povrnjeno iz drugega pravnega naslova. O vlogi odloča ministrstvo, pristojno za ribištvo.</w:t>
            </w:r>
          </w:p>
          <w:p w:rsidR="00DF0E7B" w:rsidRPr="009104E9" w:rsidRDefault="00DF0E7B" w:rsidP="005F13CA">
            <w:pPr>
              <w:pStyle w:val="Neotevilenodstavek"/>
              <w:rPr>
                <w:sz w:val="20"/>
                <w:szCs w:val="20"/>
              </w:rPr>
            </w:pPr>
          </w:p>
          <w:p w:rsidR="00DF0E7B" w:rsidRPr="00D17F74" w:rsidRDefault="00DF0E7B" w:rsidP="005F13CA">
            <w:pPr>
              <w:pStyle w:val="Neotevilenodstavek"/>
              <w:rPr>
                <w:sz w:val="20"/>
                <w:szCs w:val="20"/>
              </w:rPr>
            </w:pPr>
            <w:r w:rsidRPr="009104E9">
              <w:rPr>
                <w:sz w:val="20"/>
                <w:szCs w:val="20"/>
              </w:rPr>
              <w:t xml:space="preserve">(3) Nadomestilo se dodeli v skladu z Uredbo Komisije (EU) št. 717/2014 z dne 27. junija 2014 o uporabi členov 107 in 108 Pogodbe o delovanju Evropske unije pri pomoči de </w:t>
            </w:r>
            <w:proofErr w:type="spellStart"/>
            <w:r w:rsidRPr="009104E9">
              <w:rPr>
                <w:sz w:val="20"/>
                <w:szCs w:val="20"/>
              </w:rPr>
              <w:t>minimis</w:t>
            </w:r>
            <w:proofErr w:type="spellEnd"/>
            <w:r w:rsidRPr="009104E9">
              <w:rPr>
                <w:sz w:val="20"/>
                <w:szCs w:val="20"/>
              </w:rPr>
              <w:t xml:space="preserve"> v sektorju ribištva in akvakulture (UL L št. 190 z dne 28. 6. 2007, str. 45; v nadaljnjem besedilu: Uredba 717/2014/EU).</w:t>
            </w:r>
          </w:p>
          <w:p w:rsidR="00DF0E7B" w:rsidRPr="00D17F74" w:rsidRDefault="00DF0E7B" w:rsidP="005F13CA">
            <w:pPr>
              <w:pStyle w:val="Neotevilenodstavek"/>
              <w:rPr>
                <w:sz w:val="20"/>
                <w:szCs w:val="20"/>
              </w:rPr>
            </w:pPr>
          </w:p>
          <w:p w:rsidR="00DF0E7B" w:rsidRPr="00D17F74" w:rsidRDefault="00DF0E7B" w:rsidP="005F13CA">
            <w:pPr>
              <w:pStyle w:val="Neotevilenodstavek"/>
              <w:jc w:val="center"/>
              <w:rPr>
                <w:sz w:val="20"/>
                <w:szCs w:val="20"/>
              </w:rPr>
            </w:pPr>
            <w:r w:rsidRPr="00D17F74">
              <w:rPr>
                <w:sz w:val="20"/>
                <w:szCs w:val="20"/>
              </w:rPr>
              <w:t>15. člen</w:t>
            </w:r>
          </w:p>
          <w:p w:rsidR="00DF0E7B" w:rsidRPr="00D17F74" w:rsidRDefault="00DF0E7B" w:rsidP="005F13CA">
            <w:pPr>
              <w:pStyle w:val="Neotevilenodstavek"/>
              <w:jc w:val="center"/>
              <w:rPr>
                <w:sz w:val="20"/>
                <w:szCs w:val="20"/>
              </w:rPr>
            </w:pPr>
            <w:r w:rsidRPr="00D17F74">
              <w:rPr>
                <w:sz w:val="20"/>
                <w:szCs w:val="20"/>
              </w:rPr>
              <w:t>(nadomestilo zaradi oviranega gospodarskega ribolova)</w:t>
            </w:r>
          </w:p>
          <w:p w:rsidR="00DF0E7B" w:rsidRPr="00D17F74" w:rsidRDefault="00DF0E7B" w:rsidP="005F13CA">
            <w:pPr>
              <w:pStyle w:val="Neotevilenodstavek"/>
              <w:rPr>
                <w:sz w:val="20"/>
                <w:szCs w:val="20"/>
              </w:rPr>
            </w:pPr>
          </w:p>
          <w:p w:rsidR="00DF0E7B" w:rsidRPr="009104E9" w:rsidRDefault="00DF0E7B" w:rsidP="005F13CA">
            <w:pPr>
              <w:pStyle w:val="Neotevilenodstavek"/>
              <w:rPr>
                <w:sz w:val="20"/>
                <w:szCs w:val="20"/>
              </w:rPr>
            </w:pPr>
            <w:r w:rsidRPr="009104E9">
              <w:rPr>
                <w:sz w:val="20"/>
                <w:szCs w:val="20"/>
              </w:rPr>
              <w:t>(1) Imetnik dovoljenja za gospodarski ribolov je upravičen do nadomestila zaradi izpada dohodka zaradi oviranega gospodarskega ribolova v morju, ki je pod suverenostjo Republike Slovenije v obdobju štirih let od začetka uporabe tega zakona, če je bilo za ribiško plovilo iz dovoljenja za gospodarski ribolov v letih 2014, 2015, 2016, 2017 in 2018 oddanih skupaj vsaj 76 ladijskih dnevnikov.</w:t>
            </w:r>
          </w:p>
          <w:p w:rsidR="00DF0E7B" w:rsidRPr="009104E9" w:rsidRDefault="00DF0E7B" w:rsidP="005F13CA">
            <w:pPr>
              <w:pStyle w:val="Neotevilenodstavek"/>
              <w:rPr>
                <w:sz w:val="20"/>
                <w:szCs w:val="20"/>
              </w:rPr>
            </w:pPr>
          </w:p>
          <w:p w:rsidR="00DF0E7B" w:rsidRPr="009104E9" w:rsidRDefault="00DF0E7B" w:rsidP="005F13CA">
            <w:pPr>
              <w:pStyle w:val="Neotevilenodstavek"/>
              <w:rPr>
                <w:sz w:val="20"/>
                <w:szCs w:val="20"/>
              </w:rPr>
            </w:pPr>
            <w:r w:rsidRPr="009104E9">
              <w:rPr>
                <w:sz w:val="20"/>
                <w:szCs w:val="20"/>
              </w:rPr>
              <w:t>(2) Nadomestilo se uveljavlja z eno vlogo za obdobje šestih mesecev.</w:t>
            </w:r>
          </w:p>
          <w:p w:rsidR="00DF0E7B" w:rsidRPr="009104E9" w:rsidRDefault="00DF0E7B" w:rsidP="005F13CA">
            <w:pPr>
              <w:pStyle w:val="Neotevilenodstavek"/>
              <w:rPr>
                <w:sz w:val="20"/>
                <w:szCs w:val="20"/>
              </w:rPr>
            </w:pPr>
          </w:p>
          <w:p w:rsidR="00DF0E7B" w:rsidRPr="009104E9" w:rsidRDefault="00DF0E7B" w:rsidP="005F13CA">
            <w:pPr>
              <w:pStyle w:val="Neotevilenodstavek"/>
              <w:rPr>
                <w:sz w:val="20"/>
                <w:szCs w:val="20"/>
              </w:rPr>
            </w:pPr>
            <w:r w:rsidRPr="009104E9">
              <w:rPr>
                <w:sz w:val="20"/>
                <w:szCs w:val="20"/>
              </w:rPr>
              <w:t>(3) Nadomestilo se izplača za vsak dopolnjen meter dolžine plovila, in sicer kot zmnožek dopolnjenih metrov z vrednostjo 250 eurov za obdobje iz prejšnjega odstavka.</w:t>
            </w:r>
          </w:p>
          <w:p w:rsidR="00DF0E7B" w:rsidRPr="009104E9" w:rsidRDefault="00DF0E7B" w:rsidP="005F13CA">
            <w:pPr>
              <w:pStyle w:val="Neotevilenodstavek"/>
              <w:rPr>
                <w:sz w:val="20"/>
                <w:szCs w:val="20"/>
              </w:rPr>
            </w:pPr>
          </w:p>
          <w:p w:rsidR="00DF0E7B" w:rsidRPr="009104E9" w:rsidRDefault="00DF0E7B" w:rsidP="005F13CA">
            <w:pPr>
              <w:pStyle w:val="Neotevilenodstavek"/>
              <w:rPr>
                <w:sz w:val="20"/>
                <w:szCs w:val="20"/>
              </w:rPr>
            </w:pPr>
            <w:r w:rsidRPr="009104E9">
              <w:rPr>
                <w:sz w:val="20"/>
                <w:szCs w:val="20"/>
              </w:rPr>
              <w:t>(4) Če je v dovoljenju za gospodarski ribolov navedenih več imetnikov, posameznemu imetniku pripada le sorazmerni delež nadomestila, izračunanega na ribiško plovilo v skladu s prejšnjim odstavkom.</w:t>
            </w:r>
          </w:p>
          <w:p w:rsidR="00DF0E7B" w:rsidRPr="009104E9" w:rsidRDefault="00DF0E7B" w:rsidP="005F13CA">
            <w:pPr>
              <w:pStyle w:val="Neotevilenodstavek"/>
              <w:rPr>
                <w:sz w:val="20"/>
                <w:szCs w:val="20"/>
              </w:rPr>
            </w:pPr>
          </w:p>
          <w:p w:rsidR="00DF0E7B" w:rsidRPr="009104E9" w:rsidRDefault="00DF0E7B" w:rsidP="005F13CA">
            <w:pPr>
              <w:pStyle w:val="Neotevilenodstavek"/>
              <w:rPr>
                <w:sz w:val="20"/>
                <w:szCs w:val="20"/>
              </w:rPr>
            </w:pPr>
            <w:r w:rsidRPr="009104E9">
              <w:rPr>
                <w:sz w:val="20"/>
                <w:szCs w:val="20"/>
              </w:rPr>
              <w:t>(5) Nadomestilo se dodeli v skladu z Uredbo 717/2014/EU.</w:t>
            </w:r>
          </w:p>
          <w:p w:rsidR="00DF0E7B" w:rsidRPr="009104E9" w:rsidRDefault="00DF0E7B" w:rsidP="005F13CA">
            <w:pPr>
              <w:pStyle w:val="Neotevilenodstavek"/>
              <w:rPr>
                <w:sz w:val="20"/>
                <w:szCs w:val="20"/>
              </w:rPr>
            </w:pPr>
          </w:p>
          <w:p w:rsidR="00DF0E7B" w:rsidRPr="00D17F74" w:rsidRDefault="00DF0E7B" w:rsidP="005F13CA">
            <w:pPr>
              <w:pStyle w:val="Neotevilenodstavek"/>
              <w:rPr>
                <w:sz w:val="20"/>
                <w:szCs w:val="20"/>
              </w:rPr>
            </w:pPr>
            <w:r w:rsidRPr="009104E9">
              <w:rPr>
                <w:sz w:val="20"/>
                <w:szCs w:val="20"/>
              </w:rPr>
              <w:t>(6) Vlogo za dodelitev nadomestila imetnik iz prvega odstavka tega člena vloži pri krajevno pristojni upravni enoti glede na naslov stalnega prebivališča oziroma sedež. O vlogi odloča ministrstvo, pristojno za ribištvo.</w:t>
            </w:r>
          </w:p>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p>
        </w:tc>
      </w:tr>
    </w:tbl>
    <w:p w:rsidR="00DF0E7B" w:rsidRDefault="00DF0E7B" w:rsidP="00DF0E7B">
      <w:r>
        <w:rPr>
          <w:b/>
        </w:rPr>
        <w:br w:type="page"/>
      </w:r>
    </w:p>
    <w:tbl>
      <w:tblPr>
        <w:tblW w:w="0" w:type="auto"/>
        <w:tblLook w:val="04A0" w:firstRow="1" w:lastRow="0" w:firstColumn="1" w:lastColumn="0" w:noHBand="0" w:noVBand="1"/>
      </w:tblPr>
      <w:tblGrid>
        <w:gridCol w:w="9072"/>
      </w:tblGrid>
      <w:tr w:rsidR="00DF0E7B" w:rsidRPr="008D1759" w:rsidTr="005F13CA">
        <w:tc>
          <w:tcPr>
            <w:tcW w:w="9213" w:type="dxa"/>
          </w:tcPr>
          <w:p w:rsidR="00DF0E7B" w:rsidRPr="008D1759" w:rsidRDefault="00DF0E7B" w:rsidP="005F13CA">
            <w:pPr>
              <w:pStyle w:val="Poglavje"/>
              <w:spacing w:before="0" w:after="0" w:line="260" w:lineRule="exact"/>
              <w:jc w:val="left"/>
              <w:rPr>
                <w:sz w:val="20"/>
                <w:szCs w:val="20"/>
              </w:rPr>
            </w:pPr>
            <w:r w:rsidRPr="008D1759">
              <w:rPr>
                <w:sz w:val="20"/>
                <w:szCs w:val="20"/>
              </w:rPr>
              <w:lastRenderedPageBreak/>
              <w:t>V. PREDLOG, DA SE PREDLOG ZAKONA OBRAVNAVA PO NUJNEM OZIROMA SKRAJŠANEM POSTOPKU</w:t>
            </w:r>
          </w:p>
        </w:tc>
      </w:tr>
      <w:tr w:rsidR="00DF0E7B" w:rsidRPr="008D1759" w:rsidTr="005F13CA">
        <w:tc>
          <w:tcPr>
            <w:tcW w:w="9213" w:type="dxa"/>
          </w:tcPr>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r w:rsidRPr="00D17F74">
              <w:rPr>
                <w:sz w:val="20"/>
                <w:szCs w:val="20"/>
              </w:rPr>
              <w:t>Vlada Republike Slovenije predlaga, da se predlog zakona obravnava in zakon sprejme po skrajšanem postopku v skladu s prvim odstavkom 142. člena Poslovnika državnega zbora, ker so predlagane spremembe zakona manj zahtevne.</w:t>
            </w:r>
          </w:p>
          <w:p w:rsidR="00DF0E7B" w:rsidRPr="00D17F74" w:rsidRDefault="00DF0E7B" w:rsidP="005F13CA">
            <w:pPr>
              <w:pStyle w:val="Neotevilenodstavek"/>
              <w:spacing w:before="0" w:after="0" w:line="260" w:lineRule="exact"/>
              <w:rPr>
                <w:sz w:val="20"/>
                <w:szCs w:val="20"/>
              </w:rPr>
            </w:pPr>
          </w:p>
          <w:p w:rsidR="00DF0E7B" w:rsidRPr="00D17F74" w:rsidRDefault="00DF0E7B" w:rsidP="005F13CA">
            <w:pPr>
              <w:pStyle w:val="Neotevilenodstavek"/>
              <w:spacing w:before="0" w:after="0" w:line="260" w:lineRule="exact"/>
              <w:rPr>
                <w:sz w:val="20"/>
                <w:szCs w:val="20"/>
              </w:rPr>
            </w:pPr>
          </w:p>
        </w:tc>
      </w:tr>
      <w:tr w:rsidR="00DF0E7B" w:rsidRPr="008D1759" w:rsidTr="005F13CA">
        <w:tc>
          <w:tcPr>
            <w:tcW w:w="9213" w:type="dxa"/>
          </w:tcPr>
          <w:p w:rsidR="00DF0E7B" w:rsidRPr="008D1759" w:rsidRDefault="00DF0E7B" w:rsidP="005F13CA">
            <w:pPr>
              <w:pStyle w:val="Poglavje"/>
              <w:spacing w:before="0" w:after="0" w:line="260" w:lineRule="exact"/>
              <w:jc w:val="left"/>
              <w:rPr>
                <w:sz w:val="20"/>
                <w:szCs w:val="20"/>
              </w:rPr>
            </w:pPr>
            <w:r w:rsidRPr="008D1759">
              <w:rPr>
                <w:sz w:val="20"/>
                <w:szCs w:val="20"/>
              </w:rPr>
              <w:t>VI. PRILOGE</w:t>
            </w:r>
          </w:p>
        </w:tc>
      </w:tr>
      <w:tr w:rsidR="00DF0E7B" w:rsidRPr="008D1759" w:rsidTr="005F13CA">
        <w:trPr>
          <w:trHeight w:val="2540"/>
        </w:trPr>
        <w:tc>
          <w:tcPr>
            <w:tcW w:w="9213" w:type="dxa"/>
          </w:tcPr>
          <w:p w:rsidR="00DF0E7B" w:rsidRPr="00D17F74" w:rsidRDefault="00DF0E7B" w:rsidP="005F13CA">
            <w:pPr>
              <w:pStyle w:val="Alineazaodstavkom"/>
              <w:numPr>
                <w:ilvl w:val="0"/>
                <w:numId w:val="0"/>
              </w:numPr>
              <w:spacing w:line="260" w:lineRule="exact"/>
              <w:rPr>
                <w:sz w:val="20"/>
                <w:szCs w:val="20"/>
              </w:rPr>
            </w:pPr>
          </w:p>
          <w:p w:rsidR="00DF0E7B" w:rsidRPr="00D17F74" w:rsidRDefault="00DF0E7B" w:rsidP="005F13CA">
            <w:pPr>
              <w:pStyle w:val="Alineazaodstavkom"/>
              <w:numPr>
                <w:ilvl w:val="0"/>
                <w:numId w:val="0"/>
              </w:numPr>
              <w:spacing w:line="260" w:lineRule="exact"/>
              <w:rPr>
                <w:sz w:val="20"/>
                <w:szCs w:val="20"/>
              </w:rPr>
            </w:pPr>
            <w:r w:rsidRPr="00D17F74">
              <w:rPr>
                <w:sz w:val="20"/>
                <w:szCs w:val="20"/>
              </w:rPr>
              <w:t>/</w:t>
            </w:r>
          </w:p>
        </w:tc>
      </w:tr>
    </w:tbl>
    <w:p w:rsidR="00285305" w:rsidRDefault="00285305">
      <w:bookmarkStart w:id="0" w:name="_GoBack"/>
      <w:bookmarkEnd w:id="0"/>
    </w:p>
    <w:sectPr w:rsidR="00285305">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689F" w:rsidRDefault="00D3689F" w:rsidP="000C1289">
      <w:pPr>
        <w:spacing w:line="240" w:lineRule="auto"/>
      </w:pPr>
      <w:r>
        <w:separator/>
      </w:r>
    </w:p>
  </w:endnote>
  <w:endnote w:type="continuationSeparator" w:id="0">
    <w:p w:rsidR="00D3689F" w:rsidRDefault="00D3689F" w:rsidP="000C12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7038578"/>
      <w:docPartObj>
        <w:docPartGallery w:val="Page Numbers (Bottom of Page)"/>
        <w:docPartUnique/>
      </w:docPartObj>
    </w:sdtPr>
    <w:sdtEndPr>
      <w:rPr>
        <w:sz w:val="16"/>
        <w:szCs w:val="16"/>
      </w:rPr>
    </w:sdtEndPr>
    <w:sdtContent>
      <w:p w:rsidR="000C1289" w:rsidRPr="000C1289" w:rsidRDefault="000C1289">
        <w:pPr>
          <w:pStyle w:val="Noga"/>
          <w:jc w:val="right"/>
          <w:rPr>
            <w:sz w:val="16"/>
            <w:szCs w:val="16"/>
          </w:rPr>
        </w:pPr>
        <w:r w:rsidRPr="000C1289">
          <w:rPr>
            <w:sz w:val="16"/>
            <w:szCs w:val="16"/>
          </w:rPr>
          <w:fldChar w:fldCharType="begin"/>
        </w:r>
        <w:r w:rsidRPr="000C1289">
          <w:rPr>
            <w:sz w:val="16"/>
            <w:szCs w:val="16"/>
          </w:rPr>
          <w:instrText>PAGE   \* MERGEFORMAT</w:instrText>
        </w:r>
        <w:r w:rsidRPr="000C1289">
          <w:rPr>
            <w:sz w:val="16"/>
            <w:szCs w:val="16"/>
          </w:rPr>
          <w:fldChar w:fldCharType="separate"/>
        </w:r>
        <w:r>
          <w:rPr>
            <w:noProof/>
            <w:sz w:val="16"/>
            <w:szCs w:val="16"/>
          </w:rPr>
          <w:t>8</w:t>
        </w:r>
        <w:r w:rsidRPr="000C1289">
          <w:rPr>
            <w:sz w:val="16"/>
            <w:szCs w:val="16"/>
          </w:rPr>
          <w:fldChar w:fldCharType="end"/>
        </w:r>
      </w:p>
    </w:sdtContent>
  </w:sdt>
  <w:p w:rsidR="000C1289" w:rsidRDefault="000C128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689F" w:rsidRDefault="00D3689F" w:rsidP="000C1289">
      <w:pPr>
        <w:spacing w:line="240" w:lineRule="auto"/>
      </w:pPr>
      <w:r>
        <w:separator/>
      </w:r>
    </w:p>
  </w:footnote>
  <w:footnote w:type="continuationSeparator" w:id="0">
    <w:p w:rsidR="00D3689F" w:rsidRDefault="00D3689F" w:rsidP="000C128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57D2C"/>
    <w:multiLevelType w:val="hybridMultilevel"/>
    <w:tmpl w:val="8CA2AC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4"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5" w15:restartNumberingAfterBreak="0">
    <w:nsid w:val="64C40E7E"/>
    <w:multiLevelType w:val="multilevel"/>
    <w:tmpl w:val="34D8C4BC"/>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7D44BB4"/>
    <w:multiLevelType w:val="hybridMultilevel"/>
    <w:tmpl w:val="080042F6"/>
    <w:lvl w:ilvl="0" w:tplc="0424000F">
      <w:start w:val="1"/>
      <w:numFmt w:val="decimal"/>
      <w:lvlText w:val="%1."/>
      <w:lvlJc w:val="left"/>
      <w:pPr>
        <w:ind w:left="1428" w:hanging="360"/>
      </w:pPr>
      <w:rPr>
        <w:rFonts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num w:numId="1">
    <w:abstractNumId w:val="1"/>
  </w:num>
  <w:num w:numId="2">
    <w:abstractNumId w:val="2"/>
  </w:num>
  <w:num w:numId="3">
    <w:abstractNumId w:val="3"/>
    <w:lvlOverride w:ilvl="0">
      <w:startOverride w:val="1"/>
    </w:lvlOverride>
  </w:num>
  <w:num w:numId="4">
    <w:abstractNumId w:val="4"/>
  </w:num>
  <w:num w:numId="5">
    <w:abstractNumId w:val="6"/>
  </w:num>
  <w:num w:numId="6">
    <w:abstractNumId w:val="7"/>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0E7B"/>
    <w:rsid w:val="000C1289"/>
    <w:rsid w:val="00285305"/>
    <w:rsid w:val="00D3689F"/>
    <w:rsid w:val="00DF0E7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E64809-25B4-4E6B-B1A9-0FFAC768B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F0E7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eotevilenodstavek">
    <w:name w:val="Neoštevilčen odstavek"/>
    <w:basedOn w:val="Navaden"/>
    <w:link w:val="NeotevilenodstavekZnak"/>
    <w:qFormat/>
    <w:rsid w:val="00DF0E7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F0E7B"/>
    <w:rPr>
      <w:rFonts w:ascii="Arial" w:eastAsia="Times New Roman" w:hAnsi="Arial" w:cs="Arial"/>
      <w:lang w:eastAsia="sl-SI"/>
    </w:rPr>
  </w:style>
  <w:style w:type="paragraph" w:customStyle="1" w:styleId="Oddelek">
    <w:name w:val="Oddelek"/>
    <w:basedOn w:val="Navaden"/>
    <w:link w:val="OddelekZnak1"/>
    <w:qFormat/>
    <w:rsid w:val="00DF0E7B"/>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F0E7B"/>
    <w:rPr>
      <w:rFonts w:ascii="Arial" w:eastAsia="Times New Roman" w:hAnsi="Arial" w:cs="Arial"/>
      <w:b/>
      <w:lang w:eastAsia="sl-SI"/>
    </w:rPr>
  </w:style>
  <w:style w:type="paragraph" w:customStyle="1" w:styleId="Alineazaodstavkom">
    <w:name w:val="Alinea za odstavkom"/>
    <w:basedOn w:val="Navaden"/>
    <w:link w:val="AlineazaodstavkomZnak"/>
    <w:qFormat/>
    <w:rsid w:val="00DF0E7B"/>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F0E7B"/>
    <w:rPr>
      <w:rFonts w:ascii="Arial" w:eastAsia="Times New Roman" w:hAnsi="Arial" w:cs="Arial"/>
      <w:lang w:eastAsia="sl-SI"/>
    </w:rPr>
  </w:style>
  <w:style w:type="paragraph" w:customStyle="1" w:styleId="Poglavje">
    <w:name w:val="Poglavje"/>
    <w:basedOn w:val="Navaden"/>
    <w:qFormat/>
    <w:rsid w:val="00DF0E7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aslovpredpisa">
    <w:name w:val="Naslov_predpisa"/>
    <w:basedOn w:val="Navaden"/>
    <w:link w:val="NaslovpredpisaZnak"/>
    <w:qFormat/>
    <w:rsid w:val="00DF0E7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F0E7B"/>
    <w:rPr>
      <w:rFonts w:ascii="Arial" w:eastAsia="Times New Roman" w:hAnsi="Arial" w:cs="Arial"/>
      <w:b/>
      <w:lang w:eastAsia="sl-SI"/>
    </w:rPr>
  </w:style>
  <w:style w:type="paragraph" w:customStyle="1" w:styleId="Odstavekseznama1">
    <w:name w:val="Odstavek seznama1"/>
    <w:basedOn w:val="Navaden"/>
    <w:qFormat/>
    <w:rsid w:val="00DF0E7B"/>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DF0E7B"/>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DF0E7B"/>
    <w:rPr>
      <w:rFonts w:ascii="Arial" w:eastAsia="Times New Roman" w:hAnsi="Arial" w:cs="Arial"/>
      <w:lang w:eastAsia="sl-SI"/>
    </w:rPr>
  </w:style>
  <w:style w:type="character" w:customStyle="1" w:styleId="rkovnatokazaodstavkomZnak">
    <w:name w:val="Črkovna točka_za odstavkom Znak"/>
    <w:link w:val="rkovnatokazaodstavkom"/>
    <w:locked/>
    <w:rsid w:val="00DF0E7B"/>
    <w:rPr>
      <w:rFonts w:ascii="Arial" w:hAnsi="Arial"/>
    </w:rPr>
  </w:style>
  <w:style w:type="paragraph" w:customStyle="1" w:styleId="rkovnatokazaodstavkom">
    <w:name w:val="Črkovna točka_za odstavkom"/>
    <w:basedOn w:val="Navaden"/>
    <w:link w:val="rkovnatokazaodstavkomZnak"/>
    <w:qFormat/>
    <w:rsid w:val="00DF0E7B"/>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DF0E7B"/>
    <w:pPr>
      <w:numPr>
        <w:numId w:val="1"/>
      </w:numPr>
    </w:pPr>
  </w:style>
  <w:style w:type="character" w:customStyle="1" w:styleId="OdsekZnak">
    <w:name w:val="Odsek Znak"/>
    <w:basedOn w:val="OddelekZnak1"/>
    <w:link w:val="Odsek"/>
    <w:locked/>
    <w:rsid w:val="00DF0E7B"/>
    <w:rPr>
      <w:rFonts w:ascii="Arial" w:eastAsia="Times New Roman" w:hAnsi="Arial" w:cs="Arial"/>
      <w:b/>
      <w:lang w:eastAsia="sl-SI"/>
    </w:rPr>
  </w:style>
  <w:style w:type="paragraph" w:styleId="Odstavekseznama">
    <w:name w:val="List Paragraph"/>
    <w:basedOn w:val="Navaden"/>
    <w:uiPriority w:val="34"/>
    <w:qFormat/>
    <w:rsid w:val="00DF0E7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0C1289"/>
    <w:pPr>
      <w:tabs>
        <w:tab w:val="center" w:pos="4536"/>
        <w:tab w:val="right" w:pos="9072"/>
      </w:tabs>
      <w:spacing w:line="240" w:lineRule="auto"/>
    </w:pPr>
  </w:style>
  <w:style w:type="character" w:customStyle="1" w:styleId="GlavaZnak">
    <w:name w:val="Glava Znak"/>
    <w:basedOn w:val="Privzetapisavaodstavka"/>
    <w:link w:val="Glava"/>
    <w:uiPriority w:val="99"/>
    <w:rsid w:val="000C1289"/>
    <w:rPr>
      <w:rFonts w:ascii="Arial" w:eastAsia="Times New Roman" w:hAnsi="Arial" w:cs="Times New Roman"/>
      <w:sz w:val="20"/>
      <w:szCs w:val="24"/>
    </w:rPr>
  </w:style>
  <w:style w:type="paragraph" w:styleId="Noga">
    <w:name w:val="footer"/>
    <w:basedOn w:val="Navaden"/>
    <w:link w:val="NogaZnak"/>
    <w:uiPriority w:val="99"/>
    <w:unhideWhenUsed/>
    <w:rsid w:val="000C1289"/>
    <w:pPr>
      <w:tabs>
        <w:tab w:val="center" w:pos="4536"/>
        <w:tab w:val="right" w:pos="9072"/>
      </w:tabs>
      <w:spacing w:line="240" w:lineRule="auto"/>
    </w:pPr>
  </w:style>
  <w:style w:type="character" w:customStyle="1" w:styleId="NogaZnak">
    <w:name w:val="Noga Znak"/>
    <w:basedOn w:val="Privzetapisavaodstavka"/>
    <w:link w:val="Noga"/>
    <w:uiPriority w:val="99"/>
    <w:rsid w:val="000C1289"/>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9</Pages>
  <Words>2214</Words>
  <Characters>12622</Characters>
  <Application>Microsoft Office Word</Application>
  <DocSecurity>0</DocSecurity>
  <Lines>105</Lines>
  <Paragraphs>29</Paragraphs>
  <ScaleCrop>false</ScaleCrop>
  <Company/>
  <LinksUpToDate>false</LinksUpToDate>
  <CharactersWithSpaces>14807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Nataša Lipovec</dc:creator>
  <cp:keywords/>
  <dc:description/>
  <cp:lastModifiedBy>Nataša Lipovec</cp:lastModifiedBy>
  <cp:revision>2</cp:revision>
  <dcterms:created xsi:type="dcterms:W3CDTF">2021-05-05T09:19:00Z</dcterms:created>
  <dcterms:modified xsi:type="dcterms:W3CDTF">2021-05-05T09:25:00Z</dcterms:modified>
</cp:coreProperties>
</file>