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 xml:space="preserve">Na podlagi </w:t>
      </w:r>
      <w:r w:rsidR="00765BF6">
        <w:rPr>
          <w:rFonts w:ascii="Arial" w:eastAsia="Times New Roman" w:hAnsi="Arial" w:cs="Arial"/>
          <w:sz w:val="20"/>
          <w:szCs w:val="24"/>
        </w:rPr>
        <w:t xml:space="preserve">osmega odstavka 35. člena Zakona </w:t>
      </w:r>
      <w:r w:rsidR="00765BF6" w:rsidRPr="005E5716">
        <w:rPr>
          <w:rFonts w:ascii="Arial" w:eastAsia="Times New Roman" w:hAnsi="Arial" w:cs="Arial"/>
          <w:sz w:val="20"/>
          <w:szCs w:val="24"/>
        </w:rPr>
        <w:t xml:space="preserve">o nalogah in pooblastilih policije (Uradni list RS, št. 15/13, 23/15 – </w:t>
      </w:r>
      <w:proofErr w:type="spellStart"/>
      <w:r w:rsidR="00765BF6" w:rsidRPr="005E5716">
        <w:rPr>
          <w:rFonts w:ascii="Arial" w:eastAsia="Times New Roman" w:hAnsi="Arial" w:cs="Arial"/>
          <w:sz w:val="20"/>
          <w:szCs w:val="24"/>
        </w:rPr>
        <w:t>popr</w:t>
      </w:r>
      <w:proofErr w:type="spellEnd"/>
      <w:r w:rsidR="00765BF6" w:rsidRPr="005E5716">
        <w:rPr>
          <w:rFonts w:ascii="Arial" w:eastAsia="Times New Roman" w:hAnsi="Arial" w:cs="Arial"/>
          <w:sz w:val="20"/>
          <w:szCs w:val="24"/>
        </w:rPr>
        <w:t xml:space="preserve">., 10/17, 46/19 – </w:t>
      </w:r>
      <w:proofErr w:type="spellStart"/>
      <w:r w:rsidR="00765BF6" w:rsidRPr="005E571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="00765BF6" w:rsidRPr="005E5716">
        <w:rPr>
          <w:rFonts w:ascii="Arial" w:eastAsia="Times New Roman" w:hAnsi="Arial" w:cs="Arial"/>
          <w:sz w:val="20"/>
          <w:szCs w:val="24"/>
        </w:rPr>
        <w:t xml:space="preserve">. US in 47/19) </w:t>
      </w:r>
      <w:r w:rsidR="00765BF6">
        <w:rPr>
          <w:rFonts w:ascii="Arial" w:eastAsia="Times New Roman" w:hAnsi="Arial" w:cs="Arial"/>
          <w:sz w:val="20"/>
          <w:szCs w:val="24"/>
        </w:rPr>
        <w:t xml:space="preserve">in za izvrševanje četrtega odstavka 92. člena Zakona o kazenskem postopku </w:t>
      </w:r>
      <w:r w:rsidR="00765BF6" w:rsidRPr="00765BF6">
        <w:rPr>
          <w:rFonts w:ascii="Arial" w:eastAsia="Times New Roman" w:hAnsi="Arial" w:cs="Arial"/>
          <w:sz w:val="20"/>
          <w:szCs w:val="24"/>
        </w:rPr>
        <w:t>(Uradni list RS, št.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4" w:tgtFrame="_blank" w:tooltip="Zakon o kazenskem postopku (uradno prečiščeno besedilo)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32/12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>– uradno prečiščeno besedilo,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5" w:tgtFrame="_blank" w:tooltip="Zakon o spremembah in dopolnitvah Zakona o kazenskem postopku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47/13</w:t>
        </w:r>
      </w:hyperlink>
      <w:r w:rsidR="00765BF6" w:rsidRPr="00765BF6">
        <w:rPr>
          <w:rFonts w:ascii="Arial" w:eastAsia="Times New Roman" w:hAnsi="Arial" w:cs="Arial"/>
          <w:sz w:val="20"/>
          <w:szCs w:val="24"/>
        </w:rPr>
        <w:t>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6" w:tgtFrame="_blank" w:tooltip="Zakon o spremembah in dopolnitvah Zakona o kazenskem postopku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87/14</w:t>
        </w:r>
      </w:hyperlink>
      <w:r w:rsidR="00765BF6" w:rsidRPr="00765BF6">
        <w:rPr>
          <w:rFonts w:ascii="Arial" w:eastAsia="Times New Roman" w:hAnsi="Arial" w:cs="Arial"/>
          <w:sz w:val="20"/>
          <w:szCs w:val="24"/>
        </w:rPr>
        <w:t>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7" w:tgtFrame="_blank" w:tooltip="Odločba o ugotovitvi, da sta Zakon o kazenskem postopku in Zakon o odvetništvu v neskladju z Ustavo in odločba o ugotovitvi kršitve človekove pravice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8/16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="00765BF6"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="00765BF6" w:rsidRPr="00765BF6">
        <w:rPr>
          <w:rFonts w:ascii="Arial" w:eastAsia="Times New Roman" w:hAnsi="Arial" w:cs="Arial"/>
          <w:sz w:val="20"/>
          <w:szCs w:val="24"/>
        </w:rPr>
        <w:t>. US,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8" w:tgtFrame="_blank" w:tooltip="Odločba o razveljavitvi četrtega odstavka 399. člena Zakona o kazenskem postopku, kolikor izključuje pritožbo zoper sklep Vrhovnega sodišča o odreditvi pripora po četrtem odstavku 394. člena v zvezi z drugim odstavkom 398. člena Zakona o kazenskem postopku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64/16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="00765BF6"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="00765BF6" w:rsidRPr="00765BF6">
        <w:rPr>
          <w:rFonts w:ascii="Arial" w:eastAsia="Times New Roman" w:hAnsi="Arial" w:cs="Arial"/>
          <w:sz w:val="20"/>
          <w:szCs w:val="24"/>
        </w:rPr>
        <w:t>. US,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9" w:tgtFrame="_blank" w:tooltip="Odločba o razveljavitvi tretje povedi prvega odstavka 78. člena Zakona o kazenskem postopku, kolikor se nanaša na primere, ko je domnevno žaljiva izjava usmerjena osebno zoper sodnika oziroma senat, pred katerim je bila dana oziroma ki je pristojen odločiti o 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65/16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="00765BF6"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="00765BF6" w:rsidRPr="00765BF6">
        <w:rPr>
          <w:rFonts w:ascii="Arial" w:eastAsia="Times New Roman" w:hAnsi="Arial" w:cs="Arial"/>
          <w:sz w:val="20"/>
          <w:szCs w:val="24"/>
        </w:rPr>
        <w:t>. US,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10" w:tgtFrame="_blank" w:tooltip="Avtentična razlaga četrtega odstavka 153. člena in drugega odstavka 154. člena Zakona o kazenskem postopku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66/17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>– ORZKP153,154,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11" w:tgtFrame="_blank" w:tooltip="Zakon o spremembah in dopolnitvah Zakona o kazenskem postopku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22/19</w:t>
        </w:r>
      </w:hyperlink>
      <w:r w:rsidR="00765BF6" w:rsidRPr="00765BF6">
        <w:rPr>
          <w:rFonts w:ascii="Arial" w:eastAsia="Times New Roman" w:hAnsi="Arial" w:cs="Arial"/>
          <w:sz w:val="20"/>
          <w:szCs w:val="24"/>
        </w:rPr>
        <w:t>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12" w:tgtFrame="_blank" w:tooltip="Odločba o ugotovitvi, da je 41. člen Zakona o kazenskem postopku v neskladju z Ustavo in o razveljavitvi sodbe Vrhovnega sodišča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55/20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="00765BF6"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="00765BF6" w:rsidRPr="00765BF6">
        <w:rPr>
          <w:rFonts w:ascii="Arial" w:eastAsia="Times New Roman" w:hAnsi="Arial" w:cs="Arial"/>
          <w:sz w:val="20"/>
          <w:szCs w:val="24"/>
        </w:rPr>
        <w:t>. US,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13" w:tgtFrame="_blank" w:tooltip="Odločba o ugotovitvi, da je drugi odstavek 129.a člena Zakona o kazenskem postopku, kolikor določa petnajstdnevni rok za vložitev predloga o nadomestitvi kazni zapora s hišnim zaporom, ki teče od pravnomočnosti sodbe oziroma od zadnje vročitve prepisa sodbe da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89/20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="00765BF6"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="00765BF6" w:rsidRPr="00765BF6">
        <w:rPr>
          <w:rFonts w:ascii="Arial" w:eastAsia="Times New Roman" w:hAnsi="Arial" w:cs="Arial"/>
          <w:sz w:val="20"/>
          <w:szCs w:val="24"/>
        </w:rPr>
        <w:t>. US,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14" w:tgtFrame="_blank" w:tooltip="Odločba o ugotovitvi, da je Zakon o kazenskem postopku v neskladju z ustavo, in o ugotovitvi kršitve človekove pravice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191/20</w:t>
        </w:r>
      </w:hyperlink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r w:rsidR="00765BF6"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="00765BF6"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="00765BF6" w:rsidRPr="00765BF6">
        <w:rPr>
          <w:rFonts w:ascii="Arial" w:eastAsia="Times New Roman" w:hAnsi="Arial" w:cs="Arial"/>
          <w:sz w:val="20"/>
          <w:szCs w:val="24"/>
        </w:rPr>
        <w:t>. US in</w:t>
      </w:r>
      <w:r w:rsidR="00765BF6">
        <w:rPr>
          <w:rFonts w:ascii="Arial" w:eastAsia="Times New Roman" w:hAnsi="Arial" w:cs="Arial"/>
          <w:sz w:val="20"/>
          <w:szCs w:val="24"/>
        </w:rPr>
        <w:t xml:space="preserve"> </w:t>
      </w:r>
      <w:hyperlink r:id="rId15" w:tgtFrame="_blank" w:tooltip="Zakon o spremembah in dopolnitvah Zakona o kazenskem postopku" w:history="1">
        <w:r w:rsidR="00765BF6" w:rsidRPr="00765BF6">
          <w:rPr>
            <w:rFonts w:ascii="Arial" w:eastAsia="Times New Roman" w:hAnsi="Arial" w:cs="Arial"/>
            <w:sz w:val="20"/>
            <w:szCs w:val="24"/>
          </w:rPr>
          <w:t>200/20</w:t>
        </w:r>
      </w:hyperlink>
      <w:r w:rsidR="00765BF6" w:rsidRPr="00765BF6">
        <w:rPr>
          <w:rFonts w:ascii="Arial" w:eastAsia="Times New Roman" w:hAnsi="Arial" w:cs="Arial"/>
          <w:sz w:val="20"/>
          <w:szCs w:val="24"/>
        </w:rPr>
        <w:t>)</w:t>
      </w:r>
      <w:r>
        <w:rPr>
          <w:rFonts w:ascii="Arial" w:eastAsia="Times New Roman" w:hAnsi="Arial" w:cs="Arial"/>
          <w:sz w:val="20"/>
          <w:szCs w:val="24"/>
        </w:rPr>
        <w:t xml:space="preserve"> izdaja </w:t>
      </w:r>
      <w:r w:rsidR="00765BF6">
        <w:rPr>
          <w:rFonts w:ascii="Arial" w:eastAsia="Times New Roman" w:hAnsi="Arial" w:cs="Arial"/>
          <w:sz w:val="20"/>
          <w:szCs w:val="24"/>
        </w:rPr>
        <w:t>minister za notranje zadeve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4"/>
        </w:rPr>
      </w:pPr>
    </w:p>
    <w:p w:rsidR="00B8279A" w:rsidRDefault="00765BF6" w:rsidP="00B8279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4"/>
        </w:rPr>
      </w:pPr>
      <w:r>
        <w:rPr>
          <w:rFonts w:ascii="Arial" w:eastAsia="Times New Roman" w:hAnsi="Arial" w:cs="Arial"/>
          <w:b/>
          <w:sz w:val="20"/>
          <w:szCs w:val="24"/>
        </w:rPr>
        <w:t>P R A V I L N I K</w:t>
      </w:r>
    </w:p>
    <w:p w:rsidR="00B8279A" w:rsidRDefault="00B8279A" w:rsidP="00B8279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4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o spremembah </w:t>
      </w:r>
      <w:r w:rsidR="00765BF6">
        <w:rPr>
          <w:rFonts w:ascii="Arial" w:eastAsia="Times New Roman" w:hAnsi="Arial" w:cs="Arial"/>
          <w:b/>
          <w:sz w:val="20"/>
          <w:szCs w:val="24"/>
        </w:rPr>
        <w:t>Pravilnika o povračilu potnih stroškov vabljenim osebam</w:t>
      </w:r>
    </w:p>
    <w:p w:rsidR="00B8279A" w:rsidRDefault="00B8279A" w:rsidP="00B8279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>1. člen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765BF6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>V</w:t>
      </w:r>
      <w:r w:rsidR="00765BF6">
        <w:rPr>
          <w:rFonts w:ascii="Arial" w:eastAsia="Times New Roman" w:hAnsi="Arial" w:cs="Arial"/>
          <w:sz w:val="20"/>
          <w:szCs w:val="24"/>
        </w:rPr>
        <w:t xml:space="preserve"> Pravilniku o povračilu potnih stroškov vabljenim osebam (Uradni list RS, št. 94/13) se besedilo 1. člena spremeni tako, da se glasi:</w:t>
      </w:r>
    </w:p>
    <w:p w:rsidR="00765BF6" w:rsidRDefault="00765BF6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765BF6" w:rsidRPr="00765BF6" w:rsidRDefault="00765BF6" w:rsidP="00765BF6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>»T</w:t>
      </w:r>
      <w:r w:rsidRPr="00765BF6">
        <w:rPr>
          <w:rFonts w:ascii="Arial" w:eastAsia="Times New Roman" w:hAnsi="Arial" w:cs="Arial"/>
          <w:sz w:val="20"/>
          <w:szCs w:val="24"/>
        </w:rPr>
        <w:t>a pravilnik ureja postopek povračila in odmere potnih stroškov, ki pripadajo osebam, vabljenim v uradne prostore (v nadaljnjem besedilu: vabljena oseba) na podlagi 35. in 37.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člena Zakona o nalogah in pooblastilih policije (Uradni list RS, št. 15/13, </w:t>
      </w:r>
      <w:hyperlink r:id="rId16" w:tgtFrame="_blank" w:tooltip="Popravek Zakona o nalogah in pooblastilih policije (ZNPPol)" w:history="1">
        <w:r w:rsidRPr="00765BF6">
          <w:rPr>
            <w:rFonts w:ascii="Arial" w:eastAsia="Times New Roman" w:hAnsi="Arial" w:cs="Arial"/>
            <w:sz w:val="20"/>
            <w:szCs w:val="24"/>
          </w:rPr>
          <w:t xml:space="preserve">23/15 – </w:t>
        </w:r>
        <w:proofErr w:type="spellStart"/>
        <w:r w:rsidRPr="00765BF6">
          <w:rPr>
            <w:rFonts w:ascii="Arial" w:eastAsia="Times New Roman" w:hAnsi="Arial" w:cs="Arial"/>
            <w:sz w:val="20"/>
            <w:szCs w:val="24"/>
          </w:rPr>
          <w:t>popr</w:t>
        </w:r>
        <w:proofErr w:type="spellEnd"/>
        <w:r w:rsidRPr="00765BF6">
          <w:rPr>
            <w:rFonts w:ascii="Arial" w:eastAsia="Times New Roman" w:hAnsi="Arial" w:cs="Arial"/>
            <w:sz w:val="20"/>
            <w:szCs w:val="24"/>
          </w:rPr>
          <w:t>.</w:t>
        </w:r>
      </w:hyperlink>
      <w:r w:rsidRPr="00765BF6">
        <w:rPr>
          <w:rFonts w:ascii="Arial" w:eastAsia="Times New Roman" w:hAnsi="Arial" w:cs="Arial"/>
          <w:sz w:val="20"/>
          <w:szCs w:val="24"/>
        </w:rPr>
        <w:t>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17" w:tgtFrame="_blank" w:tooltip="Zakon o spremembah in dopolnitvah Zakona o nalogah in pooblastilih policije" w:history="1">
        <w:r w:rsidRPr="00765BF6">
          <w:rPr>
            <w:rFonts w:ascii="Arial" w:eastAsia="Times New Roman" w:hAnsi="Arial" w:cs="Arial"/>
            <w:sz w:val="20"/>
            <w:szCs w:val="24"/>
          </w:rPr>
          <w:t>10/17</w:t>
        </w:r>
      </w:hyperlink>
      <w:r w:rsidRPr="00765BF6">
        <w:rPr>
          <w:rFonts w:ascii="Arial" w:eastAsia="Times New Roman" w:hAnsi="Arial" w:cs="Arial"/>
          <w:sz w:val="20"/>
          <w:szCs w:val="24"/>
        </w:rPr>
        <w:t>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18" w:tgtFrame="_blank" w:tooltip="Delna odločba o razveljavitvi četrtega odstavka 113. člena, 32. točke drugega odstavka 123. člena, 32. točke 125. člena in dvaindvajsete alineje prvega odstavka 128. člena Zakona o nalogah in pooblastilih policije (Uradni list RS, št. 15/13, 23/15 – popr. in 1" w:history="1">
        <w:r w:rsidRPr="00765BF6">
          <w:rPr>
            <w:rFonts w:ascii="Arial" w:eastAsia="Times New Roman" w:hAnsi="Arial" w:cs="Arial"/>
            <w:sz w:val="20"/>
            <w:szCs w:val="24"/>
          </w:rPr>
          <w:t>46/19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Pr="00765BF6">
        <w:rPr>
          <w:rFonts w:ascii="Arial" w:eastAsia="Times New Roman" w:hAnsi="Arial" w:cs="Arial"/>
          <w:sz w:val="20"/>
          <w:szCs w:val="24"/>
        </w:rPr>
        <w:t>. US in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19" w:tgtFrame="_blank" w:tooltip="Zakon o spremembah in dopolnitvah Zakona o nalogah in pooblastilih policije" w:history="1">
        <w:r w:rsidRPr="00765BF6">
          <w:rPr>
            <w:rFonts w:ascii="Arial" w:eastAsia="Times New Roman" w:hAnsi="Arial" w:cs="Arial"/>
            <w:sz w:val="20"/>
            <w:szCs w:val="24"/>
          </w:rPr>
          <w:t>47/19</w:t>
        </w:r>
      </w:hyperlink>
      <w:r w:rsidRPr="00765BF6">
        <w:rPr>
          <w:rFonts w:ascii="Arial" w:eastAsia="Times New Roman" w:hAnsi="Arial" w:cs="Arial"/>
          <w:sz w:val="20"/>
          <w:szCs w:val="24"/>
        </w:rPr>
        <w:t>) ter tretjega odstavka 148. člena Zakona o kazenskem postopku (Uradni list RS, št.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0" w:tgtFrame="_blank" w:tooltip="Zakon o kazenskem postopku (uradno prečiščeno besedilo)" w:history="1">
        <w:r w:rsidRPr="00765BF6">
          <w:rPr>
            <w:rFonts w:ascii="Arial" w:eastAsia="Times New Roman" w:hAnsi="Arial" w:cs="Arial"/>
            <w:sz w:val="20"/>
            <w:szCs w:val="24"/>
          </w:rPr>
          <w:t>32/12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>– uradno prečiščeno besedilo,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1" w:tgtFrame="_blank" w:tooltip="Zakon o spremembah in dopolnitvah Zakona o kazenskem postopku" w:history="1">
        <w:r w:rsidRPr="00765BF6">
          <w:rPr>
            <w:rFonts w:ascii="Arial" w:eastAsia="Times New Roman" w:hAnsi="Arial" w:cs="Arial"/>
            <w:sz w:val="20"/>
            <w:szCs w:val="24"/>
          </w:rPr>
          <w:t>47/13</w:t>
        </w:r>
      </w:hyperlink>
      <w:r w:rsidRPr="00765BF6">
        <w:rPr>
          <w:rFonts w:ascii="Arial" w:eastAsia="Times New Roman" w:hAnsi="Arial" w:cs="Arial"/>
          <w:sz w:val="20"/>
          <w:szCs w:val="24"/>
        </w:rPr>
        <w:t>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2" w:tgtFrame="_blank" w:tooltip="Zakon o spremembah in dopolnitvah Zakona o kazenskem postopku" w:history="1">
        <w:r w:rsidRPr="00765BF6">
          <w:rPr>
            <w:rFonts w:ascii="Arial" w:eastAsia="Times New Roman" w:hAnsi="Arial" w:cs="Arial"/>
            <w:sz w:val="20"/>
            <w:szCs w:val="24"/>
          </w:rPr>
          <w:t>87/14</w:t>
        </w:r>
      </w:hyperlink>
      <w:r w:rsidRPr="00765BF6">
        <w:rPr>
          <w:rFonts w:ascii="Arial" w:eastAsia="Times New Roman" w:hAnsi="Arial" w:cs="Arial"/>
          <w:sz w:val="20"/>
          <w:szCs w:val="24"/>
        </w:rPr>
        <w:t>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3" w:tgtFrame="_blank" w:tooltip="Odločba o ugotovitvi, da sta Zakon o kazenskem postopku in Zakon o odvetništvu v neskladju z Ustavo in odločba o ugotovitvi kršitve človekove pravice" w:history="1">
        <w:r w:rsidRPr="00765BF6">
          <w:rPr>
            <w:rFonts w:ascii="Arial" w:eastAsia="Times New Roman" w:hAnsi="Arial" w:cs="Arial"/>
            <w:sz w:val="20"/>
            <w:szCs w:val="24"/>
          </w:rPr>
          <w:t>8/16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Pr="00765BF6">
        <w:rPr>
          <w:rFonts w:ascii="Arial" w:eastAsia="Times New Roman" w:hAnsi="Arial" w:cs="Arial"/>
          <w:sz w:val="20"/>
          <w:szCs w:val="24"/>
        </w:rPr>
        <w:t>. US,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4" w:tgtFrame="_blank" w:tooltip="Odločba o razveljavitvi četrtega odstavka 399. člena Zakona o kazenskem postopku, kolikor izključuje pritožbo zoper sklep Vrhovnega sodišča o odreditvi pripora po četrtem odstavku 394. člena v zvezi z drugim odstavkom 398. člena Zakona o kazenskem postopku" w:history="1">
        <w:r w:rsidRPr="00765BF6">
          <w:rPr>
            <w:rFonts w:ascii="Arial" w:eastAsia="Times New Roman" w:hAnsi="Arial" w:cs="Arial"/>
            <w:sz w:val="20"/>
            <w:szCs w:val="24"/>
          </w:rPr>
          <w:t>64/16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Pr="00765BF6">
        <w:rPr>
          <w:rFonts w:ascii="Arial" w:eastAsia="Times New Roman" w:hAnsi="Arial" w:cs="Arial"/>
          <w:sz w:val="20"/>
          <w:szCs w:val="24"/>
        </w:rPr>
        <w:t>. US,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5" w:tgtFrame="_blank" w:tooltip="Odločba o razveljavitvi tretje povedi prvega odstavka 78. člena Zakona o kazenskem postopku, kolikor se nanaša na primere, ko je domnevno žaljiva izjava usmerjena osebno zoper sodnika oziroma senat, pred katerim je bila dana oziroma ki je pristojen odločiti o " w:history="1">
        <w:r w:rsidRPr="00765BF6">
          <w:rPr>
            <w:rFonts w:ascii="Arial" w:eastAsia="Times New Roman" w:hAnsi="Arial" w:cs="Arial"/>
            <w:sz w:val="20"/>
            <w:szCs w:val="24"/>
          </w:rPr>
          <w:t>65/16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Pr="00765BF6">
        <w:rPr>
          <w:rFonts w:ascii="Arial" w:eastAsia="Times New Roman" w:hAnsi="Arial" w:cs="Arial"/>
          <w:sz w:val="20"/>
          <w:szCs w:val="24"/>
        </w:rPr>
        <w:t>. US,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6" w:tgtFrame="_blank" w:tooltip="Avtentična razlaga četrtega odstavka 153. člena in drugega odstavka 154. člena Zakona o kazenskem postopku" w:history="1">
        <w:r w:rsidRPr="00765BF6">
          <w:rPr>
            <w:rFonts w:ascii="Arial" w:eastAsia="Times New Roman" w:hAnsi="Arial" w:cs="Arial"/>
            <w:sz w:val="20"/>
            <w:szCs w:val="24"/>
          </w:rPr>
          <w:t>66/17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>– ORZKP153,154,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7" w:tgtFrame="_blank" w:tooltip="Zakon o spremembah in dopolnitvah Zakona o kazenskem postopku" w:history="1">
        <w:r w:rsidRPr="00765BF6">
          <w:rPr>
            <w:rFonts w:ascii="Arial" w:eastAsia="Times New Roman" w:hAnsi="Arial" w:cs="Arial"/>
            <w:sz w:val="20"/>
            <w:szCs w:val="24"/>
          </w:rPr>
          <w:t>22/19</w:t>
        </w:r>
      </w:hyperlink>
      <w:r w:rsidRPr="00765BF6">
        <w:rPr>
          <w:rFonts w:ascii="Arial" w:eastAsia="Times New Roman" w:hAnsi="Arial" w:cs="Arial"/>
          <w:sz w:val="20"/>
          <w:szCs w:val="24"/>
        </w:rPr>
        <w:t>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8" w:tgtFrame="_blank" w:tooltip="Odločba o ugotovitvi, da je 41. člen Zakona o kazenskem postopku v neskladju z Ustavo in o razveljavitvi sodbe Vrhovnega sodišča" w:history="1">
        <w:r w:rsidRPr="00765BF6">
          <w:rPr>
            <w:rFonts w:ascii="Arial" w:eastAsia="Times New Roman" w:hAnsi="Arial" w:cs="Arial"/>
            <w:sz w:val="20"/>
            <w:szCs w:val="24"/>
          </w:rPr>
          <w:t>55/20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Pr="00765BF6">
        <w:rPr>
          <w:rFonts w:ascii="Arial" w:eastAsia="Times New Roman" w:hAnsi="Arial" w:cs="Arial"/>
          <w:sz w:val="20"/>
          <w:szCs w:val="24"/>
        </w:rPr>
        <w:t>. US,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29" w:tgtFrame="_blank" w:tooltip="Odločba o ugotovitvi, da je drugi odstavek 129.a člena Zakona o kazenskem postopku, kolikor določa petnajstdnevni rok za vložitev predloga o nadomestitvi kazni zapora s hišnim zaporom, ki teče od pravnomočnosti sodbe oziroma od zadnje vročitve prepisa sodbe da" w:history="1">
        <w:r w:rsidRPr="00765BF6">
          <w:rPr>
            <w:rFonts w:ascii="Arial" w:eastAsia="Times New Roman" w:hAnsi="Arial" w:cs="Arial"/>
            <w:sz w:val="20"/>
            <w:szCs w:val="24"/>
          </w:rPr>
          <w:t>89/20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Pr="00765BF6">
        <w:rPr>
          <w:rFonts w:ascii="Arial" w:eastAsia="Times New Roman" w:hAnsi="Arial" w:cs="Arial"/>
          <w:sz w:val="20"/>
          <w:szCs w:val="24"/>
        </w:rPr>
        <w:t>. US,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30" w:tgtFrame="_blank" w:tooltip="Odločba o ugotovitvi, da je Zakon o kazenskem postopku v neskladju z ustavo, in o ugotovitvi kršitve človekove pravice" w:history="1">
        <w:r w:rsidRPr="00765BF6">
          <w:rPr>
            <w:rFonts w:ascii="Arial" w:eastAsia="Times New Roman" w:hAnsi="Arial" w:cs="Arial"/>
            <w:sz w:val="20"/>
            <w:szCs w:val="24"/>
          </w:rPr>
          <w:t>191/20</w:t>
        </w:r>
      </w:hyperlink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765BF6">
        <w:rPr>
          <w:rFonts w:ascii="Arial" w:eastAsia="Times New Roman" w:hAnsi="Arial" w:cs="Arial"/>
          <w:sz w:val="20"/>
          <w:szCs w:val="24"/>
        </w:rPr>
        <w:t xml:space="preserve">– </w:t>
      </w:r>
      <w:proofErr w:type="spellStart"/>
      <w:r w:rsidRPr="00765BF6">
        <w:rPr>
          <w:rFonts w:ascii="Arial" w:eastAsia="Times New Roman" w:hAnsi="Arial" w:cs="Arial"/>
          <w:sz w:val="20"/>
          <w:szCs w:val="24"/>
        </w:rPr>
        <w:t>odl</w:t>
      </w:r>
      <w:proofErr w:type="spellEnd"/>
      <w:r w:rsidRPr="00765BF6">
        <w:rPr>
          <w:rFonts w:ascii="Arial" w:eastAsia="Times New Roman" w:hAnsi="Arial" w:cs="Arial"/>
          <w:sz w:val="20"/>
          <w:szCs w:val="24"/>
        </w:rPr>
        <w:t>. US in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hyperlink r:id="rId31" w:tgtFrame="_blank" w:tooltip="Zakon o spremembah in dopolnitvah Zakona o kazenskem postopku" w:history="1">
        <w:r w:rsidRPr="00765BF6">
          <w:rPr>
            <w:rFonts w:ascii="Arial" w:eastAsia="Times New Roman" w:hAnsi="Arial" w:cs="Arial"/>
            <w:sz w:val="20"/>
            <w:szCs w:val="24"/>
          </w:rPr>
          <w:t>200/20</w:t>
        </w:r>
      </w:hyperlink>
      <w:r w:rsidRPr="00765BF6">
        <w:rPr>
          <w:rFonts w:ascii="Arial" w:eastAsia="Times New Roman" w:hAnsi="Arial" w:cs="Arial"/>
          <w:sz w:val="20"/>
          <w:szCs w:val="24"/>
        </w:rPr>
        <w:t>)</w:t>
      </w:r>
      <w:r w:rsidR="00325482">
        <w:rPr>
          <w:rFonts w:ascii="Arial" w:eastAsia="Times New Roman" w:hAnsi="Arial" w:cs="Arial"/>
          <w:sz w:val="20"/>
          <w:szCs w:val="24"/>
        </w:rPr>
        <w:t>.</w:t>
      </w:r>
      <w:r w:rsidRPr="00765BF6">
        <w:rPr>
          <w:rFonts w:ascii="Arial" w:eastAsia="Times New Roman" w:hAnsi="Arial" w:cs="Arial"/>
          <w:sz w:val="20"/>
          <w:szCs w:val="24"/>
        </w:rPr>
        <w:t>«</w:t>
      </w:r>
      <w:r>
        <w:rPr>
          <w:rFonts w:ascii="Arial" w:eastAsia="Times New Roman" w:hAnsi="Arial" w:cs="Arial"/>
          <w:sz w:val="20"/>
          <w:szCs w:val="24"/>
        </w:rPr>
        <w:t>.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>2. člen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325482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 xml:space="preserve">V </w:t>
      </w:r>
      <w:r w:rsidR="00765BF6">
        <w:rPr>
          <w:rFonts w:ascii="Arial" w:eastAsia="Times New Roman" w:hAnsi="Arial" w:cs="Arial"/>
          <w:sz w:val="20"/>
          <w:szCs w:val="24"/>
        </w:rPr>
        <w:t>Prilogi 1</w:t>
      </w:r>
      <w:r w:rsidR="00325482">
        <w:rPr>
          <w:rFonts w:ascii="Arial" w:eastAsia="Times New Roman" w:hAnsi="Arial" w:cs="Arial"/>
          <w:sz w:val="20"/>
          <w:szCs w:val="24"/>
        </w:rPr>
        <w:t xml:space="preserve"> se črta besedilo »(Uradni list RS, št. 94/13)«. 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325482" w:rsidRDefault="00325482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KONČNA DOLOČBA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325482" w:rsidP="00B8279A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>3</w:t>
      </w:r>
      <w:r w:rsidR="00B8279A">
        <w:rPr>
          <w:rFonts w:ascii="Arial" w:eastAsia="Times New Roman" w:hAnsi="Arial" w:cs="Arial"/>
          <w:sz w:val="20"/>
          <w:szCs w:val="24"/>
        </w:rPr>
        <w:t>. člen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 xml:space="preserve">Ta </w:t>
      </w:r>
      <w:r w:rsidR="00325482">
        <w:rPr>
          <w:rFonts w:ascii="Arial" w:eastAsia="Times New Roman" w:hAnsi="Arial" w:cs="Arial"/>
          <w:sz w:val="20"/>
          <w:szCs w:val="24"/>
        </w:rPr>
        <w:t>pravilnik</w:t>
      </w:r>
      <w:r>
        <w:rPr>
          <w:rFonts w:ascii="Arial" w:eastAsia="Times New Roman" w:hAnsi="Arial" w:cs="Arial"/>
          <w:sz w:val="20"/>
          <w:szCs w:val="24"/>
        </w:rPr>
        <w:t xml:space="preserve"> začne veljati naslednji dan po objavi v Uradnem listu Republike Slovenije. 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 xml:space="preserve">Št. </w:t>
      </w:r>
      <w:r>
        <w:rPr>
          <w:rFonts w:ascii="Arial" w:eastAsia="Times New Roman" w:hAnsi="Arial" w:cs="Arial"/>
          <w:sz w:val="20"/>
          <w:szCs w:val="20"/>
          <w:lang w:eastAsia="sl-SI"/>
        </w:rPr>
        <w:t>007-</w:t>
      </w:r>
      <w:r w:rsidR="006022D1">
        <w:rPr>
          <w:rFonts w:ascii="Arial" w:eastAsia="Times New Roman" w:hAnsi="Arial" w:cs="Arial"/>
          <w:sz w:val="20"/>
          <w:szCs w:val="20"/>
          <w:lang w:eastAsia="sl-SI"/>
        </w:rPr>
        <w:t>300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/2021 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 xml:space="preserve">Ljubljana, dne </w:t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>EVA 2021</w:t>
      </w:r>
      <w:r>
        <w:rPr>
          <w:rFonts w:ascii="Arial" w:eastAsia="Times New Roman" w:hAnsi="Arial" w:cs="Arial"/>
          <w:sz w:val="20"/>
          <w:szCs w:val="20"/>
          <w:lang w:eastAsia="sl-SI"/>
        </w:rPr>
        <w:t>-1711-00</w:t>
      </w:r>
      <w:r w:rsidR="006022D1">
        <w:rPr>
          <w:rFonts w:ascii="Arial" w:eastAsia="Times New Roman" w:hAnsi="Arial" w:cs="Arial"/>
          <w:sz w:val="20"/>
          <w:szCs w:val="20"/>
          <w:lang w:eastAsia="sl-SI"/>
        </w:rPr>
        <w:t>37</w:t>
      </w:r>
      <w:bookmarkStart w:id="0" w:name="_GoBack"/>
      <w:bookmarkEnd w:id="0"/>
      <w:r>
        <w:rPr>
          <w:rFonts w:ascii="Arial" w:eastAsia="Times New Roman" w:hAnsi="Arial" w:cs="Arial"/>
          <w:sz w:val="20"/>
          <w:szCs w:val="24"/>
        </w:rPr>
        <w:tab/>
        <w:t xml:space="preserve">                   </w:t>
      </w:r>
      <w:r>
        <w:rPr>
          <w:rFonts w:ascii="Arial" w:eastAsia="Times New Roman" w:hAnsi="Arial" w:cs="Arial"/>
          <w:sz w:val="20"/>
          <w:szCs w:val="24"/>
        </w:rPr>
        <w:tab/>
      </w:r>
      <w:r>
        <w:rPr>
          <w:rFonts w:ascii="Arial" w:eastAsia="Times New Roman" w:hAnsi="Arial" w:cs="Arial"/>
          <w:sz w:val="20"/>
          <w:szCs w:val="24"/>
        </w:rPr>
        <w:tab/>
      </w:r>
      <w:r>
        <w:rPr>
          <w:rFonts w:ascii="Arial" w:eastAsia="Times New Roman" w:hAnsi="Arial" w:cs="Arial"/>
          <w:sz w:val="20"/>
          <w:szCs w:val="24"/>
        </w:rPr>
        <w:tab/>
      </w: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1045CF" w:rsidRDefault="001045CF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6876CD" w:rsidRPr="001045CF" w:rsidRDefault="006876CD" w:rsidP="001045CF">
      <w:pPr>
        <w:spacing w:after="0" w:line="260" w:lineRule="exact"/>
        <w:jc w:val="center"/>
        <w:rPr>
          <w:rFonts w:ascii="Arial" w:eastAsia="Times New Roman" w:hAnsi="Arial"/>
          <w:bCs/>
          <w:sz w:val="20"/>
          <w:szCs w:val="24"/>
        </w:rPr>
      </w:pPr>
      <w:r w:rsidRPr="001045CF">
        <w:rPr>
          <w:rFonts w:ascii="Arial" w:eastAsia="Times New Roman" w:hAnsi="Arial"/>
          <w:b/>
          <w:bCs/>
          <w:sz w:val="20"/>
          <w:szCs w:val="24"/>
        </w:rPr>
        <w:t>Aleš Hojs</w:t>
      </w:r>
    </w:p>
    <w:p w:rsidR="006876CD" w:rsidRDefault="001045CF" w:rsidP="001045CF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 xml:space="preserve">                           </w:t>
      </w:r>
      <w:r w:rsidR="006876CD" w:rsidRPr="001045CF">
        <w:rPr>
          <w:rFonts w:ascii="Arial" w:eastAsia="Times New Roman" w:hAnsi="Arial" w:cs="Arial"/>
          <w:sz w:val="20"/>
          <w:szCs w:val="24"/>
        </w:rPr>
        <w:t>Minister za notranje zadeve</w:t>
      </w:r>
    </w:p>
    <w:p w:rsidR="006876CD" w:rsidRDefault="006876CD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6876CD" w:rsidRDefault="006876CD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:rsidR="00B8279A" w:rsidRDefault="00B8279A" w:rsidP="00B8279A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 xml:space="preserve"> </w:t>
      </w:r>
    </w:p>
    <w:p w:rsidR="00135A71" w:rsidRDefault="00135A71"/>
    <w:sectPr w:rsidR="00135A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79A"/>
    <w:rsid w:val="001045CF"/>
    <w:rsid w:val="00135A71"/>
    <w:rsid w:val="00325482"/>
    <w:rsid w:val="006022D1"/>
    <w:rsid w:val="006876CD"/>
    <w:rsid w:val="00765BF6"/>
    <w:rsid w:val="00B82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DE122"/>
  <w15:chartTrackingRefBased/>
  <w15:docId w15:val="{29F4C06E-A4B4-42BF-BB63-EBDE22882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8279A"/>
    <w:pPr>
      <w:spacing w:line="254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qFormat/>
    <w:rsid w:val="006876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733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6-01-2762" TargetMode="External"/><Relationship Id="rId13" Type="http://schemas.openxmlformats.org/officeDocument/2006/relationships/hyperlink" Target="http://www.uradni-list.si/1/objava.jsp?sop=2020-01-1450" TargetMode="External"/><Relationship Id="rId18" Type="http://schemas.openxmlformats.org/officeDocument/2006/relationships/hyperlink" Target="http://www.uradni-list.si/1/objava.jsp?sop=2019-01-2213" TargetMode="External"/><Relationship Id="rId26" Type="http://schemas.openxmlformats.org/officeDocument/2006/relationships/hyperlink" Target="http://www.uradni-list.si/1/objava.jsp?sop=2017-01-3091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uradni-list.si/1/objava.jsp?sop=2013-01-1782" TargetMode="External"/><Relationship Id="rId7" Type="http://schemas.openxmlformats.org/officeDocument/2006/relationships/hyperlink" Target="http://www.uradni-list.si/1/objava.jsp?sop=2016-01-0293" TargetMode="External"/><Relationship Id="rId12" Type="http://schemas.openxmlformats.org/officeDocument/2006/relationships/hyperlink" Target="http://www.uradni-list.si/1/objava.jsp?sop=2020-01-0819" TargetMode="External"/><Relationship Id="rId17" Type="http://schemas.openxmlformats.org/officeDocument/2006/relationships/hyperlink" Target="http://www.uradni-list.si/1/objava.jsp?sop=2017-01-0462" TargetMode="External"/><Relationship Id="rId25" Type="http://schemas.openxmlformats.org/officeDocument/2006/relationships/hyperlink" Target="http://www.uradni-list.si/1/objava.jsp?sop=2016-01-2798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://www.uradni-list.si/1/objava.jsp?sop=2015-21-0990" TargetMode="External"/><Relationship Id="rId20" Type="http://schemas.openxmlformats.org/officeDocument/2006/relationships/hyperlink" Target="http://www.uradni-list.si/1/objava.jsp?sop=2012-01-1405" TargetMode="External"/><Relationship Id="rId29" Type="http://schemas.openxmlformats.org/officeDocument/2006/relationships/hyperlink" Target="http://www.uradni-list.si/1/objava.jsp?sop=2020-01-1450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14-01-3503" TargetMode="External"/><Relationship Id="rId11" Type="http://schemas.openxmlformats.org/officeDocument/2006/relationships/hyperlink" Target="http://www.uradni-list.si/1/objava.jsp?sop=2019-01-0915" TargetMode="External"/><Relationship Id="rId24" Type="http://schemas.openxmlformats.org/officeDocument/2006/relationships/hyperlink" Target="http://www.uradni-list.si/1/objava.jsp?sop=2016-01-2762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://www.uradni-list.si/1/objava.jsp?sop=2013-01-1782" TargetMode="External"/><Relationship Id="rId15" Type="http://schemas.openxmlformats.org/officeDocument/2006/relationships/hyperlink" Target="http://www.uradni-list.si/1/objava.jsp?sop=2020-01-3630" TargetMode="External"/><Relationship Id="rId23" Type="http://schemas.openxmlformats.org/officeDocument/2006/relationships/hyperlink" Target="http://www.uradni-list.si/1/objava.jsp?sop=2016-01-0293" TargetMode="External"/><Relationship Id="rId28" Type="http://schemas.openxmlformats.org/officeDocument/2006/relationships/hyperlink" Target="http://www.uradni-list.si/1/objava.jsp?sop=2020-01-0819" TargetMode="External"/><Relationship Id="rId10" Type="http://schemas.openxmlformats.org/officeDocument/2006/relationships/hyperlink" Target="http://www.uradni-list.si/1/objava.jsp?sop=2017-01-3091" TargetMode="External"/><Relationship Id="rId19" Type="http://schemas.openxmlformats.org/officeDocument/2006/relationships/hyperlink" Target="http://www.uradni-list.si/1/objava.jsp?sop=2019-01-2290" TargetMode="External"/><Relationship Id="rId31" Type="http://schemas.openxmlformats.org/officeDocument/2006/relationships/hyperlink" Target="http://www.uradni-list.si/1/objava.jsp?sop=2020-01-3630" TargetMode="External"/><Relationship Id="rId4" Type="http://schemas.openxmlformats.org/officeDocument/2006/relationships/hyperlink" Target="http://www.uradni-list.si/1/objava.jsp?sop=2012-01-1405" TargetMode="External"/><Relationship Id="rId9" Type="http://schemas.openxmlformats.org/officeDocument/2006/relationships/hyperlink" Target="http://www.uradni-list.si/1/objava.jsp?sop=2016-01-2798" TargetMode="External"/><Relationship Id="rId14" Type="http://schemas.openxmlformats.org/officeDocument/2006/relationships/hyperlink" Target="http://www.uradni-list.si/1/objava.jsp?sop=2020-01-3356" TargetMode="External"/><Relationship Id="rId22" Type="http://schemas.openxmlformats.org/officeDocument/2006/relationships/hyperlink" Target="http://www.uradni-list.si/1/objava.jsp?sop=2014-01-3503" TargetMode="External"/><Relationship Id="rId27" Type="http://schemas.openxmlformats.org/officeDocument/2006/relationships/hyperlink" Target="http://www.uradni-list.si/1/objava.jsp?sop=2019-01-0915" TargetMode="External"/><Relationship Id="rId30" Type="http://schemas.openxmlformats.org/officeDocument/2006/relationships/hyperlink" Target="http://www.uradni-list.si/1/objava.jsp?sop=2020-01-335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1159</Words>
  <Characters>6609</Characters>
  <Application>Microsoft Office Word</Application>
  <DocSecurity>0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Spasojević</dc:creator>
  <cp:keywords/>
  <dc:description/>
  <cp:lastModifiedBy>Aleksandra Spasojević</cp:lastModifiedBy>
  <cp:revision>2</cp:revision>
  <dcterms:created xsi:type="dcterms:W3CDTF">2021-04-22T09:27:00Z</dcterms:created>
  <dcterms:modified xsi:type="dcterms:W3CDTF">2021-04-22T09:27:00Z</dcterms:modified>
</cp:coreProperties>
</file>