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646" w:rsidRPr="00562794" w:rsidRDefault="005C1646">
      <w:pPr>
        <w:pStyle w:val="Style2"/>
        <w:widowControl/>
        <w:spacing w:before="43" w:line="240" w:lineRule="auto"/>
        <w:rPr>
          <w:rStyle w:val="FontStyle11"/>
          <w:sz w:val="20"/>
          <w:szCs w:val="20"/>
        </w:rPr>
      </w:pPr>
      <w:bookmarkStart w:id="0" w:name="_GoBack"/>
      <w:bookmarkEnd w:id="0"/>
      <w:r w:rsidRPr="00562794">
        <w:rPr>
          <w:rStyle w:val="FontStyle11"/>
          <w:sz w:val="20"/>
          <w:szCs w:val="20"/>
        </w:rPr>
        <w:t>P</w:t>
      </w:r>
      <w:r w:rsidR="00562794" w:rsidRPr="00562794">
        <w:rPr>
          <w:rStyle w:val="FontStyle11"/>
          <w:sz w:val="20"/>
          <w:szCs w:val="20"/>
        </w:rPr>
        <w:t>riloga 1</w:t>
      </w:r>
    </w:p>
    <w:p w:rsidR="005C1646" w:rsidRPr="00562794" w:rsidRDefault="005C1646">
      <w:pPr>
        <w:pStyle w:val="Style2"/>
        <w:widowControl/>
        <w:spacing w:line="240" w:lineRule="exact"/>
        <w:rPr>
          <w:sz w:val="20"/>
          <w:szCs w:val="20"/>
        </w:rPr>
      </w:pPr>
    </w:p>
    <w:p w:rsidR="005C1646" w:rsidRPr="00562794" w:rsidRDefault="00FD3A7C" w:rsidP="00FD3A7C">
      <w:pPr>
        <w:pStyle w:val="Style2"/>
        <w:widowControl/>
        <w:spacing w:before="24"/>
        <w:rPr>
          <w:rStyle w:val="FontStyle11"/>
          <w:sz w:val="20"/>
          <w:szCs w:val="20"/>
        </w:rPr>
      </w:pPr>
      <w:r w:rsidRPr="00562794">
        <w:rPr>
          <w:sz w:val="20"/>
          <w:szCs w:val="20"/>
        </w:rPr>
        <w:t>Naprave, dejavnosti in toplogredni plini, za katere morajo upravljavci naprav pridobiti dovoljenje za izpuščanje toplogrednih plinov v skladu z zakonom</w:t>
      </w:r>
      <w:r w:rsidRPr="00562794">
        <w:rPr>
          <w:rStyle w:val="FontStyle11"/>
          <w:sz w:val="20"/>
          <w:szCs w:val="20"/>
        </w:rPr>
        <w:t xml:space="preserve"> </w:t>
      </w:r>
    </w:p>
    <w:p w:rsidR="00FD3A7C" w:rsidRPr="00133639" w:rsidRDefault="00FD3A7C" w:rsidP="00FD3A7C">
      <w:pPr>
        <w:pStyle w:val="Style2"/>
        <w:widowControl/>
        <w:spacing w:before="24"/>
        <w:rPr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893"/>
        <w:gridCol w:w="2520"/>
      </w:tblGrid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5C1646">
            <w:pPr>
              <w:pStyle w:val="Style3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Dejavnosti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5C1646" w:rsidP="00133639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Toplogredni plini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FD3A7C">
            <w:pPr>
              <w:pStyle w:val="Style3"/>
              <w:widowControl/>
              <w:ind w:right="106" w:firstLine="5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Z</w:t>
            </w:r>
            <w:r w:rsidR="005C1646" w:rsidRPr="00133639">
              <w:rPr>
                <w:rStyle w:val="FontStyle11"/>
                <w:sz w:val="20"/>
                <w:szCs w:val="20"/>
              </w:rPr>
              <w:t>gorevanje goriv v napravah s skupno nazivno vhodno toplotno močjo nad 20 MW (razen v napravah za sežiganje nevarnih ali komunalnih odpadkov)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5C1646">
            <w:pPr>
              <w:pStyle w:val="Style3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Rafiniranje mineralnega olja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5C1646">
            <w:pPr>
              <w:pStyle w:val="Style3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koksa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451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Praženje ali sintranje, vključno s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peletiranjem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>, kovinskih rud (vključno s sulfidnimi rudami)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64" w:lineRule="exact"/>
              <w:ind w:right="422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surovega železa ali jekla (primarno in sekundarno taljenje), vključno z neprekinjenim litjem, z zmogljivostjo nad 2,5 tone na uro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10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Proizvodnja ali predelava železa in jekla (vključno z železovimi zlitinami), pri katerih obratujejo kurilne enote s skupno nazivno vhodno toplotno močjo nad 20 MW. Predelava med drugim vključuje valjarne,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pregrevalnike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, kalilne peči, kovačnice, livarne,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premazovalnice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 in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lužilnice</w:t>
            </w:r>
            <w:proofErr w:type="spellEnd"/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primarnega aluminija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1"/>
              <w:widowControl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Ogljikov dioksid in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perfluorirani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 ogljikovodiki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346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sekundarnega aluminija, pri kateri obratujejo kurilne enote s skupno nazivno vhodno toplotno močjo nad 20 MW.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360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ali predelava barvnih kovin, vključno s proizvodno zlitin, rafinacija, litje itd., pri katerih obratujejo kurilne enote s skupno nazivno vhodno toplotno močjo (vključno z gorivi, ki se uporabljajo kot reducenti) nad 20 MW.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845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cementnega klinkerja v rotacijskih pečeh s proizvodno zmogljivostjo nad 500 ton na dan ali v drugih pečeh s proizvodno zmogljivostjo nad 50 ton na dan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274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apna ali žganje dolomita ali magnezita v rotacijskih ali drugih pečeh s proizvodno zmogljivostjo nad 50 ton na dan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230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stekla, vključno s steklenimi vlakni, s talilno zmogljivostjo nad 20 ton na dan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893" w:firstLine="5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Izdelava keramičnih izdelkov z žganjem, zlasti strešnikov, opek, ognjevzdržnih opek, ploščic, lončevine ali porcelana, s proizvodno zmogljivostjo nad 75 ton na dan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374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izolacijskega materiala iz mineralne volne z uporabo stekla, kamna ali žlindre s talilno zmogljivostjo nad 20 ton na dan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left="5" w:hanging="5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Sušenje ali žganje mavca ali proizvodnja mavčnih plošč in drugih mavčnih proizvodov, kjer obratujejo kurilne enote z nazivno vhodno toplotno močjo nad 20 MW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0559BB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9BB" w:rsidRPr="00133639" w:rsidRDefault="000559BB">
            <w:pPr>
              <w:pStyle w:val="Style3"/>
              <w:widowControl/>
              <w:spacing w:line="264" w:lineRule="exact"/>
              <w:ind w:right="317"/>
              <w:rPr>
                <w:rStyle w:val="FontStyle11"/>
                <w:sz w:val="20"/>
                <w:szCs w:val="20"/>
              </w:rPr>
            </w:pPr>
            <w:r w:rsidRPr="000559BB">
              <w:rPr>
                <w:rStyle w:val="FontStyle11"/>
                <w:sz w:val="20"/>
                <w:szCs w:val="20"/>
              </w:rPr>
              <w:t>Proizvodnja papirne kaše iz lesa ali drugih vlaknatih materialov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9BB" w:rsidRPr="00133639" w:rsidRDefault="000559BB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64" w:lineRule="exact"/>
              <w:ind w:right="317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papirja ali kartona, s proizvodno zmogljivostjo nad 20 ton na dan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134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Proizvodnja industrijskega oglja, ki vključuje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karbonizacijo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 organskih snovi, kot so olja, katrani ter ostanki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krekinga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 in destilacije, pri kateri obratujejo kurilne enote s skupno nazivno vhodno toplotno močjo nad 20 MW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jc w:val="center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dušikove kisline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639" w:rsidRDefault="005C1646">
            <w:pPr>
              <w:pStyle w:val="Style1"/>
              <w:widowControl/>
              <w:spacing w:line="264" w:lineRule="exact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Ogljikov dioksid in </w:t>
            </w:r>
          </w:p>
          <w:p w:rsidR="005C1646" w:rsidRPr="00133639" w:rsidRDefault="005C1646">
            <w:pPr>
              <w:pStyle w:val="Style1"/>
              <w:widowControl/>
              <w:spacing w:line="264" w:lineRule="exact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dušikov 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1"/>
              <w:widowControl/>
              <w:spacing w:line="240" w:lineRule="auto"/>
              <w:jc w:val="left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Proizvodnja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adipinske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 kisline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639" w:rsidRDefault="005C1646">
            <w:pPr>
              <w:pStyle w:val="Style1"/>
              <w:widowControl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Ogljikov dioksid in </w:t>
            </w:r>
          </w:p>
          <w:p w:rsidR="005C1646" w:rsidRPr="00133639" w:rsidRDefault="005C1646">
            <w:pPr>
              <w:pStyle w:val="Style1"/>
              <w:widowControl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dušikov 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1"/>
              <w:widowControl/>
              <w:spacing w:line="240" w:lineRule="auto"/>
              <w:jc w:val="left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lastRenderedPageBreak/>
              <w:t xml:space="preserve">Proizvodnja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glioksala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 in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glioksilne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 kisline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639" w:rsidRDefault="005C1646">
            <w:pPr>
              <w:pStyle w:val="Style1"/>
              <w:widowControl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Ogljikov dioksid in </w:t>
            </w:r>
          </w:p>
          <w:p w:rsidR="005C1646" w:rsidRPr="00133639" w:rsidRDefault="005C1646">
            <w:pPr>
              <w:pStyle w:val="Style1"/>
              <w:widowControl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dušikov 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5C1646">
            <w:pPr>
              <w:pStyle w:val="Style1"/>
              <w:widowControl/>
              <w:spacing w:line="240" w:lineRule="auto"/>
              <w:jc w:val="left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Proizvodnja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amoniaka</w:t>
            </w:r>
            <w:proofErr w:type="spellEnd"/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5C1646">
            <w:pPr>
              <w:pStyle w:val="Style1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24" w:firstLine="5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Proizvodnja voluminoznih organskih kemikalij s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krekingom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,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reformingom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>, delno ali polno oksidacijo ali s podobnimi procesi s proizvodno zmogljivostjo nad 100 ton na dan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1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749" w:firstLine="5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 xml:space="preserve">Proizvodnja vodika (H2) in sinteznega plina z </w:t>
            </w:r>
            <w:proofErr w:type="spellStart"/>
            <w:r w:rsidRPr="00133639">
              <w:rPr>
                <w:rStyle w:val="FontStyle11"/>
                <w:sz w:val="20"/>
                <w:szCs w:val="20"/>
              </w:rPr>
              <w:t>reformingom</w:t>
            </w:r>
            <w:proofErr w:type="spellEnd"/>
            <w:r w:rsidRPr="00133639">
              <w:rPr>
                <w:rStyle w:val="FontStyle11"/>
                <w:sz w:val="20"/>
                <w:szCs w:val="20"/>
              </w:rPr>
              <w:t xml:space="preserve"> ali delno oksidacijo s proizvodno zmogljivostjo nad 25 ton na dan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1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spacing w:line="264" w:lineRule="exact"/>
              <w:ind w:right="389" w:firstLine="5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Proizvodnja natrijevega karbonata (Na</w:t>
            </w:r>
            <w:r w:rsidRPr="00133639">
              <w:rPr>
                <w:rStyle w:val="FontStyle11"/>
                <w:sz w:val="20"/>
                <w:szCs w:val="20"/>
                <w:vertAlign w:val="subscript"/>
              </w:rPr>
              <w:t>2</w:t>
            </w:r>
            <w:r w:rsidRPr="00133639">
              <w:rPr>
                <w:rStyle w:val="FontStyle11"/>
                <w:sz w:val="20"/>
                <w:szCs w:val="20"/>
              </w:rPr>
              <w:t>CO</w:t>
            </w:r>
            <w:r w:rsidRPr="00133639">
              <w:rPr>
                <w:rStyle w:val="FontStyle11"/>
                <w:sz w:val="20"/>
                <w:szCs w:val="20"/>
                <w:vertAlign w:val="subscript"/>
              </w:rPr>
              <w:t>3</w:t>
            </w:r>
            <w:r w:rsidRPr="00133639">
              <w:rPr>
                <w:rStyle w:val="FontStyle11"/>
                <w:sz w:val="20"/>
                <w:szCs w:val="20"/>
              </w:rPr>
              <w:t>) in natrijevega bikarbonata (NaHCO</w:t>
            </w:r>
            <w:r w:rsidRPr="00133639">
              <w:rPr>
                <w:rStyle w:val="FontStyle11"/>
                <w:sz w:val="20"/>
                <w:szCs w:val="20"/>
                <w:vertAlign w:val="subscript"/>
              </w:rPr>
              <w:t>3</w:t>
            </w:r>
            <w:r w:rsidRPr="00133639">
              <w:rPr>
                <w:rStyle w:val="FontStyle11"/>
                <w:sz w:val="20"/>
                <w:szCs w:val="20"/>
              </w:rPr>
              <w:t>)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1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left="5" w:hanging="5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Zajemanje toplogrednih plinov iz naprav, za namene prenosa in geološkega shranjevanja na kraju shranjevanja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1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3"/>
              <w:widowControl/>
              <w:ind w:right="278" w:firstLine="5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Prenos toplogrednih plinov s cevovodi za geološko shranjevanje na kraju shranjevanja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646" w:rsidRPr="00133639" w:rsidRDefault="005C1646">
            <w:pPr>
              <w:pStyle w:val="Style1"/>
              <w:widowControl/>
              <w:spacing w:line="240" w:lineRule="auto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  <w:tr w:rsidR="005C1646" w:rsidRPr="00133639">
        <w:tc>
          <w:tcPr>
            <w:tcW w:w="6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5C1646">
            <w:pPr>
              <w:pStyle w:val="Style1"/>
              <w:widowControl/>
              <w:spacing w:line="240" w:lineRule="auto"/>
              <w:jc w:val="left"/>
              <w:rPr>
                <w:rStyle w:val="FontStyle11"/>
                <w:sz w:val="20"/>
                <w:szCs w:val="20"/>
              </w:rPr>
            </w:pPr>
            <w:r w:rsidRPr="00133639">
              <w:rPr>
                <w:rStyle w:val="FontStyle11"/>
                <w:sz w:val="20"/>
                <w:szCs w:val="20"/>
              </w:rPr>
              <w:t>Geološko shranjevanje toplogrednih plinov na kraju shranjevanja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1646" w:rsidRPr="00133639" w:rsidRDefault="00D94866" w:rsidP="00D94866">
            <w:pPr>
              <w:pStyle w:val="Style5"/>
              <w:widowControl/>
              <w:jc w:val="center"/>
              <w:rPr>
                <w:sz w:val="20"/>
                <w:szCs w:val="20"/>
              </w:rPr>
            </w:pPr>
            <w:r w:rsidRPr="00CD031B">
              <w:rPr>
                <w:rStyle w:val="FontStyle11"/>
                <w:sz w:val="20"/>
                <w:szCs w:val="20"/>
              </w:rPr>
              <w:t>Ogljikov dioksid</w:t>
            </w:r>
          </w:p>
        </w:tc>
      </w:tr>
    </w:tbl>
    <w:p w:rsidR="005C1646" w:rsidRPr="00133639" w:rsidRDefault="005C1646" w:rsidP="00FD3A7C">
      <w:pPr>
        <w:pStyle w:val="Style4"/>
        <w:widowControl/>
        <w:numPr>
          <w:ilvl w:val="0"/>
          <w:numId w:val="1"/>
        </w:numPr>
        <w:tabs>
          <w:tab w:val="left" w:pos="499"/>
        </w:tabs>
        <w:spacing w:before="528"/>
        <w:ind w:left="499"/>
        <w:rPr>
          <w:rStyle w:val="FontStyle11"/>
          <w:sz w:val="20"/>
          <w:szCs w:val="20"/>
        </w:rPr>
      </w:pPr>
      <w:r w:rsidRPr="00133639">
        <w:rPr>
          <w:rStyle w:val="FontStyle11"/>
          <w:sz w:val="20"/>
          <w:szCs w:val="20"/>
        </w:rPr>
        <w:t>Med naprave iz te priloge ne sodijo naprave ali deli naprav, ki se uporabljajo za razisk</w:t>
      </w:r>
      <w:r w:rsidR="00FD3A7C" w:rsidRPr="00133639">
        <w:rPr>
          <w:rStyle w:val="FontStyle11"/>
          <w:sz w:val="20"/>
          <w:szCs w:val="20"/>
        </w:rPr>
        <w:t>ave</w:t>
      </w:r>
      <w:r w:rsidRPr="00133639">
        <w:rPr>
          <w:rStyle w:val="FontStyle11"/>
          <w:sz w:val="20"/>
          <w:szCs w:val="20"/>
        </w:rPr>
        <w:t>, razvoj in preizkušanje novih izdelkov in procesov, ter naprave, ki uporabljajo izključno biomaso.</w:t>
      </w:r>
    </w:p>
    <w:p w:rsidR="005C1646" w:rsidRPr="00133639" w:rsidRDefault="005C1646" w:rsidP="00FD3A7C">
      <w:pPr>
        <w:pStyle w:val="Style4"/>
        <w:widowControl/>
        <w:numPr>
          <w:ilvl w:val="0"/>
          <w:numId w:val="1"/>
        </w:numPr>
        <w:tabs>
          <w:tab w:val="left" w:pos="499"/>
        </w:tabs>
        <w:spacing w:before="259"/>
        <w:ind w:left="499"/>
        <w:rPr>
          <w:rStyle w:val="FontStyle11"/>
          <w:sz w:val="20"/>
          <w:szCs w:val="20"/>
        </w:rPr>
      </w:pPr>
      <w:r w:rsidRPr="00133639">
        <w:rPr>
          <w:rStyle w:val="FontStyle11"/>
          <w:sz w:val="20"/>
          <w:szCs w:val="20"/>
        </w:rPr>
        <w:t xml:space="preserve">Zgoraj navedene pragovne vrednosti se v splošnem nanašajo na proizvodne zmogljivosti ali obseg proizvodnje. Če se v isti napravi opravlja več dejavnosti, ki sodijo </w:t>
      </w:r>
      <w:r w:rsidR="00FD3A7C" w:rsidRPr="00133639">
        <w:rPr>
          <w:rStyle w:val="FontStyle11"/>
          <w:sz w:val="20"/>
          <w:szCs w:val="20"/>
        </w:rPr>
        <w:t xml:space="preserve">v </w:t>
      </w:r>
      <w:r w:rsidRPr="00133639">
        <w:rPr>
          <w:rStyle w:val="FontStyle11"/>
          <w:sz w:val="20"/>
          <w:szCs w:val="20"/>
        </w:rPr>
        <w:t>isto kategorijo, se proizvodne zmogljivosti teh dejavnosti seštevajo.</w:t>
      </w:r>
    </w:p>
    <w:p w:rsidR="005C1646" w:rsidRPr="00133639" w:rsidRDefault="005C1646" w:rsidP="00FD3A7C">
      <w:pPr>
        <w:pStyle w:val="Style4"/>
        <w:widowControl/>
        <w:numPr>
          <w:ilvl w:val="0"/>
          <w:numId w:val="1"/>
        </w:numPr>
        <w:tabs>
          <w:tab w:val="left" w:pos="499"/>
        </w:tabs>
        <w:spacing w:before="254"/>
        <w:ind w:left="499"/>
        <w:rPr>
          <w:rStyle w:val="FontStyle11"/>
          <w:sz w:val="20"/>
          <w:szCs w:val="20"/>
        </w:rPr>
      </w:pPr>
      <w:r w:rsidRPr="00133639">
        <w:rPr>
          <w:rStyle w:val="FontStyle11"/>
          <w:sz w:val="20"/>
          <w:szCs w:val="20"/>
        </w:rPr>
        <w:t>Za izračun skupne nazivne vhodne toplotne moči naprave se sešteje nazivna vhodna toplotna moč vseh tehničnih enot, iz katerih je sestavljena naprava, v katerih zgorevajo goriva. Te enote so lahko med drugim vse vrste kotlov, gorilnikov, turbin, grelnikov, industrijskih peči, sežigalnic, žgalnih peči, peči, sušilnih naprav, motorjev, gorivnih celic, enot za zgorevanje v kemijski zanki (CLC), bakel in toplotnega ali katalitičnega naknadnega zgorevanja. Enote, ki imajo nazivno vhodno toplotno moč pod 3 MW, in enote, ki uporabljajo izključno biomaso, se za izračun skupne nazivne toplotne moči naprave ne upoštevajo. Enote, ki uporabljajo izključno biomaso, vključujejo enote, ki uporabljajo fosilna goriva le pri zagonu in izklopu enote.</w:t>
      </w:r>
    </w:p>
    <w:p w:rsidR="005C1646" w:rsidRPr="00133639" w:rsidRDefault="005C1646" w:rsidP="00FD3A7C">
      <w:pPr>
        <w:pStyle w:val="Style4"/>
        <w:widowControl/>
        <w:numPr>
          <w:ilvl w:val="0"/>
          <w:numId w:val="1"/>
        </w:numPr>
        <w:tabs>
          <w:tab w:val="left" w:pos="499"/>
        </w:tabs>
        <w:spacing w:before="254"/>
        <w:ind w:left="499"/>
        <w:rPr>
          <w:rStyle w:val="FontStyle11"/>
          <w:sz w:val="20"/>
          <w:szCs w:val="20"/>
        </w:rPr>
      </w:pPr>
      <w:r w:rsidRPr="00133639">
        <w:rPr>
          <w:rStyle w:val="FontStyle11"/>
          <w:sz w:val="20"/>
          <w:szCs w:val="20"/>
        </w:rPr>
        <w:t>Če za dejavnost prag ni izražen kot skupna nazivna vhodna toplotna moč naprave, ima pri določitvi naprave, ki naj se vključi v sistem trgovanja s pravicami do emisije v Evropski uniji, prednost prag proizvodne zmogljivosti naprave, kakor je določen v zgornji tabeli.</w:t>
      </w:r>
    </w:p>
    <w:p w:rsidR="005C1646" w:rsidRPr="00133639" w:rsidRDefault="005C1646" w:rsidP="00FD3A7C">
      <w:pPr>
        <w:pStyle w:val="Style4"/>
        <w:widowControl/>
        <w:numPr>
          <w:ilvl w:val="0"/>
          <w:numId w:val="1"/>
        </w:numPr>
        <w:tabs>
          <w:tab w:val="left" w:pos="499"/>
        </w:tabs>
        <w:spacing w:before="259"/>
        <w:ind w:left="499"/>
        <w:rPr>
          <w:rStyle w:val="FontStyle11"/>
          <w:sz w:val="20"/>
          <w:szCs w:val="20"/>
        </w:rPr>
      </w:pPr>
      <w:r w:rsidRPr="00133639">
        <w:rPr>
          <w:rStyle w:val="FontStyle11"/>
          <w:sz w:val="20"/>
          <w:szCs w:val="20"/>
        </w:rPr>
        <w:t>Če je prag zmogljivosti katere koli dejavnosti iz te priloge v napravi presež</w:t>
      </w:r>
      <w:r w:rsidR="00FD3A7C" w:rsidRPr="00133639">
        <w:rPr>
          <w:rStyle w:val="FontStyle11"/>
          <w:sz w:val="20"/>
          <w:szCs w:val="20"/>
        </w:rPr>
        <w:t xml:space="preserve">en, se vse enote, v katerih </w:t>
      </w:r>
      <w:r w:rsidRPr="00133639">
        <w:rPr>
          <w:rStyle w:val="FontStyle11"/>
          <w:sz w:val="20"/>
          <w:szCs w:val="20"/>
        </w:rPr>
        <w:t>zgorevajo goriva, razen enot za sežiganje nevarnih ali komunalnih odpadkov, vključijo v dejavnost oziroma napravo, za katero je trebe pridobiti dovoljenje za izpuščanje toplogrednih plinov.</w:t>
      </w:r>
    </w:p>
    <w:sectPr w:rsidR="005C1646" w:rsidRPr="0013363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5" w:h="16837"/>
      <w:pgMar w:top="1857" w:right="1246" w:bottom="1440" w:left="1246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65A2" w:rsidRDefault="008A65A2">
      <w:r>
        <w:separator/>
      </w:r>
    </w:p>
  </w:endnote>
  <w:endnote w:type="continuationSeparator" w:id="0">
    <w:p w:rsidR="008A65A2" w:rsidRDefault="008A6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B5B" w:rsidRDefault="001D1B5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B5B" w:rsidRDefault="001D1B5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B5B" w:rsidRDefault="001D1B5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65A2" w:rsidRDefault="008A65A2">
      <w:r>
        <w:separator/>
      </w:r>
    </w:p>
  </w:footnote>
  <w:footnote w:type="continuationSeparator" w:id="0">
    <w:p w:rsidR="008A65A2" w:rsidRDefault="008A65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B5B" w:rsidRDefault="001D1B5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B5B" w:rsidRDefault="001D1B5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B5B" w:rsidRDefault="001D1B5B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242D5B"/>
    <w:multiLevelType w:val="singleLevel"/>
    <w:tmpl w:val="12B06A82"/>
    <w:lvl w:ilvl="0">
      <w:start w:val="1"/>
      <w:numFmt w:val="decimal"/>
      <w:lvlText w:val="%1."/>
      <w:legacy w:legacy="1" w:legacySpace="0" w:legacyIndent="499"/>
      <w:lvlJc w:val="left"/>
      <w:rPr>
        <w:rFonts w:ascii="Arial" w:hAnsi="Arial" w:cs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removePersonalInformation/>
  <w:removeDateAndTim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3A7C"/>
    <w:rsid w:val="000559BB"/>
    <w:rsid w:val="00133639"/>
    <w:rsid w:val="001D1B5B"/>
    <w:rsid w:val="00562794"/>
    <w:rsid w:val="005C1646"/>
    <w:rsid w:val="007A3241"/>
    <w:rsid w:val="007A54F9"/>
    <w:rsid w:val="008A65A2"/>
    <w:rsid w:val="009D3305"/>
    <w:rsid w:val="00A0195A"/>
    <w:rsid w:val="00CD031B"/>
    <w:rsid w:val="00D94866"/>
    <w:rsid w:val="00E456D5"/>
    <w:rsid w:val="00FD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Theme="minorHAnsi" w:cs="Times New Roman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Arial" w:cs="Arial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tyle1">
    <w:name w:val="Style1"/>
    <w:basedOn w:val="Navaden"/>
    <w:uiPriority w:val="99"/>
    <w:pPr>
      <w:spacing w:line="259" w:lineRule="exact"/>
      <w:jc w:val="center"/>
    </w:pPr>
  </w:style>
  <w:style w:type="paragraph" w:customStyle="1" w:styleId="Style2">
    <w:name w:val="Style2"/>
    <w:basedOn w:val="Navaden"/>
    <w:uiPriority w:val="99"/>
    <w:pPr>
      <w:spacing w:line="259" w:lineRule="exact"/>
      <w:jc w:val="both"/>
    </w:pPr>
  </w:style>
  <w:style w:type="paragraph" w:customStyle="1" w:styleId="Style3">
    <w:name w:val="Style3"/>
    <w:basedOn w:val="Navaden"/>
    <w:uiPriority w:val="99"/>
    <w:pPr>
      <w:spacing w:line="259" w:lineRule="exact"/>
    </w:pPr>
  </w:style>
  <w:style w:type="paragraph" w:customStyle="1" w:styleId="Style4">
    <w:name w:val="Style4"/>
    <w:basedOn w:val="Navaden"/>
    <w:uiPriority w:val="99"/>
    <w:pPr>
      <w:spacing w:line="259" w:lineRule="exact"/>
      <w:ind w:hanging="499"/>
      <w:jc w:val="both"/>
    </w:pPr>
  </w:style>
  <w:style w:type="paragraph" w:customStyle="1" w:styleId="Style5">
    <w:name w:val="Style5"/>
    <w:basedOn w:val="Navaden"/>
    <w:uiPriority w:val="99"/>
  </w:style>
  <w:style w:type="character" w:customStyle="1" w:styleId="FontStyle11">
    <w:name w:val="Font Style11"/>
    <w:basedOn w:val="Privzetapisavaodstavka"/>
    <w:uiPriority w:val="99"/>
    <w:rPr>
      <w:rFonts w:ascii="Arial" w:hAnsi="Arial" w:cs="Arial"/>
      <w:sz w:val="18"/>
      <w:szCs w:val="18"/>
    </w:rPr>
  </w:style>
  <w:style w:type="character" w:styleId="Hiperpovezava">
    <w:name w:val="Hyperlink"/>
    <w:basedOn w:val="Privzetapisavaodstavka"/>
    <w:uiPriority w:val="99"/>
    <w:rPr>
      <w:rFonts w:cs="Times New Roman"/>
      <w:color w:val="0066CC"/>
      <w:u w:val="single"/>
    </w:rPr>
  </w:style>
  <w:style w:type="paragraph" w:styleId="Odstavekseznama">
    <w:name w:val="List Paragraph"/>
    <w:basedOn w:val="Navaden"/>
    <w:uiPriority w:val="34"/>
    <w:qFormat/>
    <w:rsid w:val="00FD3A7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 w:cs="Times New Roman"/>
      <w:sz w:val="22"/>
      <w:szCs w:val="22"/>
      <w:lang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D94866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9486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94866"/>
    <w:rPr>
      <w:b/>
      <w:bCs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locked/>
    <w:rsid w:val="00D94866"/>
    <w:rPr>
      <w:rFonts w:hAnsi="Arial" w:cs="Arial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94866"/>
    <w:rPr>
      <w:rFonts w:ascii="Tahoma" w:hAnsi="Tahoma" w:cs="Tahoma"/>
      <w:sz w:val="16"/>
      <w:szCs w:val="16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locked/>
    <w:rsid w:val="00D94866"/>
    <w:rPr>
      <w:rFonts w:hAnsi="Arial" w:cs="Arial"/>
      <w:b/>
      <w:bCs/>
      <w:sz w:val="20"/>
      <w:szCs w:val="20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D94866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1D1B5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1D1B5B"/>
    <w:rPr>
      <w:rFonts w:hAnsi="Arial" w:cs="Arial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1D1B5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1D1B5B"/>
    <w:rPr>
      <w:rFonts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Theme="minorHAnsi" w:cs="Times New Roman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Arial" w:cs="Arial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tyle1">
    <w:name w:val="Style1"/>
    <w:basedOn w:val="Navaden"/>
    <w:uiPriority w:val="99"/>
    <w:pPr>
      <w:spacing w:line="259" w:lineRule="exact"/>
      <w:jc w:val="center"/>
    </w:pPr>
  </w:style>
  <w:style w:type="paragraph" w:customStyle="1" w:styleId="Style2">
    <w:name w:val="Style2"/>
    <w:basedOn w:val="Navaden"/>
    <w:uiPriority w:val="99"/>
    <w:pPr>
      <w:spacing w:line="259" w:lineRule="exact"/>
      <w:jc w:val="both"/>
    </w:pPr>
  </w:style>
  <w:style w:type="paragraph" w:customStyle="1" w:styleId="Style3">
    <w:name w:val="Style3"/>
    <w:basedOn w:val="Navaden"/>
    <w:uiPriority w:val="99"/>
    <w:pPr>
      <w:spacing w:line="259" w:lineRule="exact"/>
    </w:pPr>
  </w:style>
  <w:style w:type="paragraph" w:customStyle="1" w:styleId="Style4">
    <w:name w:val="Style4"/>
    <w:basedOn w:val="Navaden"/>
    <w:uiPriority w:val="99"/>
    <w:pPr>
      <w:spacing w:line="259" w:lineRule="exact"/>
      <w:ind w:hanging="499"/>
      <w:jc w:val="both"/>
    </w:pPr>
  </w:style>
  <w:style w:type="paragraph" w:customStyle="1" w:styleId="Style5">
    <w:name w:val="Style5"/>
    <w:basedOn w:val="Navaden"/>
    <w:uiPriority w:val="99"/>
  </w:style>
  <w:style w:type="character" w:customStyle="1" w:styleId="FontStyle11">
    <w:name w:val="Font Style11"/>
    <w:basedOn w:val="Privzetapisavaodstavka"/>
    <w:uiPriority w:val="99"/>
    <w:rPr>
      <w:rFonts w:ascii="Arial" w:hAnsi="Arial" w:cs="Arial"/>
      <w:sz w:val="18"/>
      <w:szCs w:val="18"/>
    </w:rPr>
  </w:style>
  <w:style w:type="character" w:styleId="Hiperpovezava">
    <w:name w:val="Hyperlink"/>
    <w:basedOn w:val="Privzetapisavaodstavka"/>
    <w:uiPriority w:val="99"/>
    <w:rPr>
      <w:rFonts w:cs="Times New Roman"/>
      <w:color w:val="0066CC"/>
      <w:u w:val="single"/>
    </w:rPr>
  </w:style>
  <w:style w:type="paragraph" w:styleId="Odstavekseznama">
    <w:name w:val="List Paragraph"/>
    <w:basedOn w:val="Navaden"/>
    <w:uiPriority w:val="34"/>
    <w:qFormat/>
    <w:rsid w:val="00FD3A7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 w:cs="Times New Roman"/>
      <w:sz w:val="22"/>
      <w:szCs w:val="22"/>
      <w:lang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D94866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9486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94866"/>
    <w:rPr>
      <w:b/>
      <w:bCs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locked/>
    <w:rsid w:val="00D94866"/>
    <w:rPr>
      <w:rFonts w:hAnsi="Arial" w:cs="Arial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94866"/>
    <w:rPr>
      <w:rFonts w:ascii="Tahoma" w:hAnsi="Tahoma" w:cs="Tahoma"/>
      <w:sz w:val="16"/>
      <w:szCs w:val="16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locked/>
    <w:rsid w:val="00D94866"/>
    <w:rPr>
      <w:rFonts w:hAnsi="Arial" w:cs="Arial"/>
      <w:b/>
      <w:bCs/>
      <w:sz w:val="20"/>
      <w:szCs w:val="20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D94866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1D1B5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1D1B5B"/>
    <w:rPr>
      <w:rFonts w:hAnsi="Arial" w:cs="Arial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1D1B5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1D1B5B"/>
    <w:rPr>
      <w:rFonts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830</Words>
  <Characters>4733</Characters>
  <Application>Microsoft Office Word</Application>
  <DocSecurity>0</DocSecurity>
  <Lines>39</Lines>
  <Paragraphs>11</Paragraphs>
  <ScaleCrop>false</ScaleCrop>
  <Company/>
  <LinksUpToDate>false</LinksUpToDate>
  <CharactersWithSpaces>5552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2020-11-12T12:37:00Z</dcterms:created>
  <dcterms:modified xsi:type="dcterms:W3CDTF">2020-11-12T12:37:00Z</dcterms:modified>
</cp:coreProperties>
</file>