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510DA" w:rsidRPr="008F3500" w:rsidTr="004829A4">
        <w:trPr>
          <w:cantSplit/>
          <w:trHeight w:hRule="exact" w:val="847"/>
        </w:trPr>
        <w:tc>
          <w:tcPr>
            <w:tcW w:w="567" w:type="dxa"/>
          </w:tcPr>
          <w:p w:rsidR="001510DA" w:rsidRPr="008F3500" w:rsidRDefault="001510DA" w:rsidP="004829A4">
            <w:pPr>
              <w:autoSpaceDE w:val="0"/>
              <w:autoSpaceDN w:val="0"/>
              <w:adjustRightInd w:val="0"/>
              <w:spacing w:line="240" w:lineRule="auto"/>
              <w:rPr>
                <w:rFonts w:ascii="Republika" w:hAnsi="Republika"/>
                <w:color w:val="529DBA"/>
                <w:sz w:val="60"/>
                <w:szCs w:val="60"/>
              </w:rPr>
            </w:pPr>
            <w:bookmarkStart w:id="0" w:name="_GoBack"/>
            <w:bookmarkEnd w:id="0"/>
          </w:p>
        </w:tc>
      </w:tr>
    </w:tbl>
    <w:p w:rsidR="001510DA" w:rsidRDefault="00237CAE" w:rsidP="001510DA">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10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1510DA">
        <w:rPr>
          <w:rFonts w:cs="Arial"/>
          <w:sz w:val="16"/>
        </w:rPr>
        <w:t>Gregorčičeva 20–25, Sl-1001 Ljubljana</w:t>
      </w:r>
      <w:r w:rsidR="001510DA">
        <w:rPr>
          <w:rFonts w:cs="Arial"/>
          <w:sz w:val="16"/>
        </w:rPr>
        <w:tab/>
        <w:t>T: +386 1 478 1000</w:t>
      </w:r>
    </w:p>
    <w:p w:rsidR="001510DA" w:rsidRDefault="001510DA" w:rsidP="001510DA">
      <w:pPr>
        <w:pStyle w:val="Glava"/>
        <w:tabs>
          <w:tab w:val="clear" w:pos="4320"/>
          <w:tab w:val="left" w:pos="5112"/>
        </w:tabs>
        <w:spacing w:line="240" w:lineRule="exact"/>
        <w:rPr>
          <w:rFonts w:cs="Arial"/>
          <w:sz w:val="16"/>
        </w:rPr>
      </w:pPr>
      <w:r>
        <w:rPr>
          <w:rFonts w:cs="Arial"/>
          <w:sz w:val="16"/>
        </w:rPr>
        <w:tab/>
        <w:t>F: +386 1 478 1607</w:t>
      </w:r>
    </w:p>
    <w:p w:rsidR="001510DA" w:rsidRDefault="001510DA" w:rsidP="001510DA">
      <w:pPr>
        <w:pStyle w:val="Glava"/>
        <w:tabs>
          <w:tab w:val="clear" w:pos="4320"/>
          <w:tab w:val="left" w:pos="5112"/>
        </w:tabs>
        <w:spacing w:line="240" w:lineRule="exact"/>
        <w:rPr>
          <w:rFonts w:cs="Arial"/>
          <w:sz w:val="16"/>
        </w:rPr>
      </w:pPr>
      <w:r>
        <w:rPr>
          <w:rFonts w:cs="Arial"/>
          <w:sz w:val="16"/>
        </w:rPr>
        <w:tab/>
        <w:t>E: gp.gs@gov.si</w:t>
      </w:r>
    </w:p>
    <w:p w:rsidR="001510DA" w:rsidRDefault="001510DA" w:rsidP="001510DA">
      <w:pPr>
        <w:pStyle w:val="Glava"/>
        <w:tabs>
          <w:tab w:val="clear" w:pos="4320"/>
          <w:tab w:val="left" w:pos="5112"/>
        </w:tabs>
        <w:spacing w:line="240" w:lineRule="exact"/>
        <w:rPr>
          <w:rFonts w:cs="Arial"/>
          <w:sz w:val="16"/>
        </w:rPr>
      </w:pPr>
      <w:r>
        <w:rPr>
          <w:rFonts w:cs="Arial"/>
          <w:sz w:val="16"/>
        </w:rPr>
        <w:tab/>
        <w:t>http://www.vlada.si/</w:t>
      </w:r>
    </w:p>
    <w:p w:rsidR="001510DA" w:rsidRDefault="001510DA" w:rsidP="005749C8">
      <w:pPr>
        <w:pStyle w:val="Naslovpredpisa"/>
        <w:spacing w:before="0" w:after="0" w:line="260" w:lineRule="exact"/>
        <w:jc w:val="right"/>
        <w:rPr>
          <w:b w:val="0"/>
          <w:szCs w:val="20"/>
        </w:rPr>
      </w:pPr>
    </w:p>
    <w:p w:rsidR="002E10B1" w:rsidRPr="005749C8" w:rsidRDefault="005749C8" w:rsidP="005749C8">
      <w:pPr>
        <w:pStyle w:val="Naslovpredpisa"/>
        <w:spacing w:before="0" w:after="0" w:line="260" w:lineRule="exact"/>
        <w:jc w:val="right"/>
        <w:rPr>
          <w:b w:val="0"/>
          <w:szCs w:val="20"/>
        </w:rPr>
      </w:pPr>
      <w:r w:rsidRPr="005749C8">
        <w:rPr>
          <w:b w:val="0"/>
          <w:szCs w:val="20"/>
        </w:rPr>
        <w:t>PREDLOG</w:t>
      </w:r>
    </w:p>
    <w:p w:rsidR="005749C8" w:rsidRPr="005749C8" w:rsidRDefault="005749C8" w:rsidP="005749C8">
      <w:pPr>
        <w:pStyle w:val="Naslovpredpisa"/>
        <w:spacing w:before="0" w:after="0" w:line="260" w:lineRule="exact"/>
        <w:jc w:val="right"/>
        <w:rPr>
          <w:b w:val="0"/>
          <w:szCs w:val="20"/>
        </w:rPr>
      </w:pPr>
      <w:r w:rsidRPr="005749C8">
        <w:rPr>
          <w:b w:val="0"/>
          <w:szCs w:val="20"/>
        </w:rPr>
        <w:t>PRVA OBRAVNAVA</w:t>
      </w:r>
    </w:p>
    <w:p w:rsidR="00E302FA" w:rsidRPr="005749C8" w:rsidRDefault="00E302FA" w:rsidP="005749C8">
      <w:pPr>
        <w:spacing w:after="160" w:line="259" w:lineRule="auto"/>
        <w:ind w:left="6372"/>
        <w:jc w:val="right"/>
        <w:rPr>
          <w:rFonts w:ascii="Calibri" w:eastAsia="Calibri" w:hAnsi="Calibri" w:cs="Calibri"/>
          <w:szCs w:val="20"/>
        </w:rPr>
      </w:pPr>
      <w:r w:rsidRPr="005749C8">
        <w:rPr>
          <w:rFonts w:eastAsia="Calibri" w:cs="Arial"/>
          <w:szCs w:val="20"/>
        </w:rPr>
        <w:t>EVA 2020-2030-0006</w:t>
      </w:r>
    </w:p>
    <w:p w:rsidR="00E302FA" w:rsidRPr="007C190F" w:rsidRDefault="00E302FA" w:rsidP="00E302FA">
      <w:pPr>
        <w:spacing w:after="160" w:line="259" w:lineRule="auto"/>
        <w:jc w:val="right"/>
        <w:rPr>
          <w:rFonts w:eastAsia="Calibri" w:cs="Arial"/>
          <w:b/>
          <w:sz w:val="22"/>
          <w:szCs w:val="22"/>
        </w:rPr>
      </w:pPr>
    </w:p>
    <w:p w:rsidR="00E302FA" w:rsidRPr="007C190F" w:rsidRDefault="00E302FA" w:rsidP="00E302FA">
      <w:pPr>
        <w:spacing w:after="160" w:line="259" w:lineRule="auto"/>
        <w:jc w:val="right"/>
        <w:rPr>
          <w:rFonts w:eastAsia="Calibri" w:cs="Arial"/>
          <w:b/>
          <w:bCs/>
          <w:sz w:val="22"/>
          <w:szCs w:val="22"/>
        </w:rPr>
      </w:pPr>
    </w:p>
    <w:p w:rsidR="00E302FA" w:rsidRPr="007C190F" w:rsidRDefault="00E302FA" w:rsidP="00E302FA">
      <w:pPr>
        <w:spacing w:after="160" w:line="259" w:lineRule="auto"/>
        <w:jc w:val="center"/>
        <w:rPr>
          <w:rFonts w:eastAsia="Calibri" w:cs="Arial"/>
          <w:b/>
          <w:bCs/>
          <w:sz w:val="22"/>
          <w:szCs w:val="22"/>
        </w:rPr>
      </w:pPr>
      <w:r w:rsidRPr="007C190F">
        <w:rPr>
          <w:rFonts w:eastAsia="Calibri" w:cs="Arial"/>
          <w:b/>
          <w:bCs/>
          <w:sz w:val="22"/>
          <w:szCs w:val="22"/>
        </w:rPr>
        <w:t>ZAKON O VARSTVU OSEBNIH PODATKOV NA PODROČJU OBRAVNAVANJA KAZNIVIH DEJANJ (ZVOPPOKD) – redni postopek</w:t>
      </w:r>
    </w:p>
    <w:p w:rsidR="00E302FA" w:rsidRPr="007C190F" w:rsidRDefault="00E302FA" w:rsidP="00E302FA">
      <w:pPr>
        <w:keepNext/>
        <w:keepLines/>
        <w:spacing w:before="240" w:line="259" w:lineRule="auto"/>
        <w:jc w:val="both"/>
        <w:outlineLvl w:val="0"/>
        <w:rPr>
          <w:rFonts w:ascii="Calibri Light" w:hAnsi="Calibri Light"/>
          <w:sz w:val="32"/>
          <w:szCs w:val="32"/>
        </w:rPr>
      </w:pPr>
    </w:p>
    <w:p w:rsidR="00E302FA" w:rsidRPr="007C190F" w:rsidRDefault="00E302FA" w:rsidP="00E302FA">
      <w:pPr>
        <w:keepNext/>
        <w:keepLines/>
        <w:spacing w:before="240" w:line="259" w:lineRule="auto"/>
        <w:jc w:val="both"/>
        <w:outlineLvl w:val="0"/>
        <w:rPr>
          <w:rFonts w:ascii="Calibri Light" w:hAnsi="Calibri Light"/>
          <w:sz w:val="32"/>
          <w:szCs w:val="32"/>
        </w:rPr>
      </w:pPr>
    </w:p>
    <w:p w:rsidR="00E302FA" w:rsidRPr="007C190F" w:rsidRDefault="00E302FA" w:rsidP="00E302FA">
      <w:pPr>
        <w:keepNext/>
        <w:keepLines/>
        <w:spacing w:before="240" w:line="259" w:lineRule="auto"/>
        <w:jc w:val="both"/>
        <w:outlineLvl w:val="0"/>
        <w:rPr>
          <w:rFonts w:ascii="Calibri Light" w:hAnsi="Calibri Light"/>
          <w:b/>
          <w:bCs/>
          <w:sz w:val="32"/>
          <w:szCs w:val="32"/>
        </w:rPr>
      </w:pPr>
      <w:r w:rsidRPr="007C190F">
        <w:rPr>
          <w:rFonts w:ascii="Calibri Light" w:hAnsi="Calibri Light"/>
          <w:b/>
          <w:bCs/>
          <w:sz w:val="32"/>
          <w:szCs w:val="32"/>
        </w:rPr>
        <w:t>I. UVOD</w:t>
      </w:r>
    </w:p>
    <w:p w:rsidR="00E302FA" w:rsidRPr="007C190F" w:rsidRDefault="00E302FA" w:rsidP="00E302FA">
      <w:pPr>
        <w:keepNext/>
        <w:keepLines/>
        <w:spacing w:before="120" w:line="240" w:lineRule="auto"/>
        <w:outlineLvl w:val="1"/>
        <w:rPr>
          <w:rFonts w:ascii="Calibri Light" w:hAnsi="Calibri Light"/>
          <w:b/>
          <w:bCs/>
          <w:sz w:val="26"/>
          <w:szCs w:val="26"/>
        </w:rPr>
      </w:pPr>
      <w:r w:rsidRPr="007C190F">
        <w:rPr>
          <w:rFonts w:ascii="Calibri Light" w:hAnsi="Calibri Light"/>
          <w:b/>
          <w:bCs/>
          <w:sz w:val="26"/>
          <w:szCs w:val="26"/>
        </w:rPr>
        <w:t>1. OCENA STANJA IN RAZLOGI ZA SPREJEM PREDLOGA ZAKONA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Predlog Zakona o varstvu osebnih podatkov na področju obravnavanja kaznivih dejanj (ZVOPPOKD) je pripravljen kot del novega razvoja zagotavljanja sistema in pravic s področja varstva osebnih podatkov v Republiki Sloveniji. Po letu 2004, ko je bil sprejet že tretji slovenski Zakon o varstvu osebnih podatkov (ZVOP-1)</w:t>
      </w:r>
      <w:r w:rsidRPr="007C190F">
        <w:rPr>
          <w:rFonts w:eastAsia="Calibri" w:cs="Arial"/>
          <w:sz w:val="18"/>
          <w:szCs w:val="18"/>
          <w:vertAlign w:val="superscript"/>
        </w:rPr>
        <w:footnoteReference w:id="1"/>
      </w:r>
      <w:r w:rsidRPr="007C190F">
        <w:rPr>
          <w:rFonts w:eastAsia="Calibri" w:cs="Arial"/>
          <w:szCs w:val="20"/>
        </w:rPr>
        <w:t>, je namreč zaradi izjemnega razvoja informacijsko-komunikacijske tehnologije, pa tudi zaradi pravnega razvoja (vse več reguliranja glede varstva osebnih podatkov oziroma posegov v tajnost osebnih podatkov) prišlo do bistvenega povečanja v količini in tudi kakovosti obdelave osebnih podatkov. Osebni podatki so tako postali vedno bolj dostopni najprej državi in njenim organom, nato pa tudi zasebnemu sektorju, javnosti ter posameznikom in posameznicam. Obdelava osebnih podatkov je postala del velike večine poslovnih procesov. Izvajati so se začele vedno bolj sistemske povezave med zbirkami osebnih podatkov. S  tem so se tveganja zlorabe osebnih podatkov, kot so nepooblaščeni dostopi, množična razkritja ter profiliranje posameznikov, močno povečala.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odziv na te nove trende sta se najprej začela razvijati dodatna in okrepljena sodna praksa Sodišča Evropske unije in Evropskega sodišča za človekove pravice glede varstva osebnih podatkov, v Sloveniji  pa ustavnosodna presoja Ustavnega sodišča Republike Slovenije, sčasoma pa je začelo prihajati tudi do sprememb na zakonodajnem področju. Tako je leta 2012 Evropska komisija predlagala sprejetje dveh novih pravnih aktov Evropske unije kot del ti. »paketa reforme varstva osebnih podatkov«, namreč »Predlog Uredbe Evropskega parlamenta in Sveta o varstvu posameznikov pri obdelavi osebnih podatkov in o prostem pretoku takih podatkov ter o razveljavitvi Direktive 95/46/ES (Splošna uredba o varstvu podatkov, znana tudi po angleški kratici »GDPR«)«</w:t>
      </w:r>
      <w:r w:rsidRPr="007C190F">
        <w:rPr>
          <w:rFonts w:eastAsia="Calibri" w:cs="Arial"/>
          <w:sz w:val="18"/>
          <w:szCs w:val="18"/>
          <w:vertAlign w:val="superscript"/>
        </w:rPr>
        <w:footnoteReference w:id="2"/>
      </w:r>
      <w:r w:rsidRPr="007C190F">
        <w:rPr>
          <w:rFonts w:eastAsia="Calibri" w:cs="Arial"/>
          <w:szCs w:val="20"/>
        </w:rPr>
        <w:t xml:space="preserve">, ki naj bi </w:t>
      </w:r>
      <w:r w:rsidRPr="007C190F">
        <w:rPr>
          <w:rFonts w:eastAsia="Calibri" w:cs="Arial"/>
          <w:b/>
          <w:szCs w:val="20"/>
        </w:rPr>
        <w:t>moderniziral pravno ureditev obdelave osebnih podatkov na splošno</w:t>
      </w:r>
      <w:r w:rsidRPr="007C190F">
        <w:rPr>
          <w:rFonts w:eastAsia="Calibri" w:cs="Arial"/>
          <w:szCs w:val="20"/>
        </w:rPr>
        <w:t xml:space="preserve">, ter »Predlog Direktive Evropskega parlamenta in Sveta o varstvu posameznikov pri obdelavi osebnih podatkov, </w:t>
      </w:r>
      <w:r w:rsidRPr="007C190F">
        <w:rPr>
          <w:rFonts w:eastAsia="Calibri" w:cs="Arial"/>
          <w:szCs w:val="20"/>
        </w:rPr>
        <w:lastRenderedPageBreak/>
        <w:t>ki jih pristojni organi obdelujejo za namene preprečevanja, preiskovanja, odkrivanja ali pregona kaznivih dejanj ali izvrševanja kazenskih sankcij, in o prostem pretoku takih podatkov ter o razveljavitvi Okvirnega sklepa Sveta 2008/977/PNZ«</w:t>
      </w:r>
      <w:r w:rsidRPr="007C190F">
        <w:rPr>
          <w:rFonts w:eastAsia="Calibri" w:cs="Arial"/>
          <w:sz w:val="18"/>
          <w:szCs w:val="18"/>
          <w:vertAlign w:val="superscript"/>
        </w:rPr>
        <w:footnoteReference w:id="3"/>
      </w:r>
      <w:r w:rsidRPr="007C190F">
        <w:rPr>
          <w:rFonts w:eastAsia="Calibri" w:cs="Arial"/>
          <w:szCs w:val="20"/>
        </w:rPr>
        <w:t xml:space="preserve">, ki naj bi isto storil še </w:t>
      </w:r>
      <w:r w:rsidRPr="007C190F">
        <w:rPr>
          <w:rFonts w:eastAsia="Calibri" w:cs="Arial"/>
          <w:b/>
          <w:szCs w:val="20"/>
        </w:rPr>
        <w:t>za ti. policijske oziroma kazensko pravosodne in podobne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Pri tem je Evropska komisija izhajala zlasti z naslednjega vidika: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w:t>
      </w:r>
      <w:r w:rsidRPr="007C190F">
        <w:rPr>
          <w:rFonts w:eastAsia="Calibri" w:cs="Arial"/>
          <w:szCs w:val="20"/>
          <w:shd w:val="clear" w:color="auto" w:fill="FFFFFF"/>
        </w:rPr>
        <w:t xml:space="preserve">Hiter tehnološki razvoj in globalizacija sta prinesla nove izzive za varstvo osebnih podatkov. Obseg zbiranja in izmenjave osebnih podatkov se je bistveno povečal. Tehnologija še nikoli prej ni v takšnem obsegu omogočala obdelave osebnih podatkov za izvajanje dejavnosti, kot so preprečevanje, preiskovanje, odkrivanje ali pregon kaznivih dejanj ali izvrševanje kazenskih sankcij.« (uvodna navedba št. 3 Direktive (EU) 2016/680).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Istočasno se je na ravni Sveta Evrope začela pripravljati reforma prava osebnih podatkov Sveta Evrope, tj. Konvencije o varstvu posameznikov glede na avtomatsko obdelavo osebnih podatkov (Konvencija št. 108, spremenjena s Protokolom CETS št. 223). Določbe Konvencije so primerljive z določbami Splošne uredbe o varstvu podatkov, pri čemer pa so bolj splošne, posebej poudarjajo načelo zakonitosti, nekoliko drugače urejajo prenose osebnih podatkov v tretje države, za nadzor vzpostavljajo posebni konvencijski odbor ipd. Priprava Protokola h konvenciji (CETS št. 223) se je začela leta 2011 in je trajala do maja 2018. Republika Slovenija je Protokol podpisala 16. maja 2019, tako da so njegove novosti že vključene v besedilu tega predloga.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1.1 Ocena stanja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času vložitve predlogov prej navedenih pravnih aktov na ravni Evropske unije je imela Republika Slovenija sistem varstva osebnih podatkov urejen v skladu z določbami 38. člena Ustave Republike Slovenije</w:t>
      </w:r>
      <w:r w:rsidRPr="007C190F">
        <w:rPr>
          <w:rFonts w:eastAsia="Calibri" w:cs="Arial"/>
          <w:sz w:val="24"/>
          <w:vertAlign w:val="superscript"/>
        </w:rPr>
        <w:footnoteReference w:id="4"/>
      </w:r>
      <w:r w:rsidRPr="007C190F">
        <w:rPr>
          <w:rFonts w:eastAsia="Calibri" w:cs="Arial"/>
          <w:szCs w:val="20"/>
        </w:rPr>
        <w:t xml:space="preserve"> iz leta 1991, Direktive 95/46/ES</w:t>
      </w:r>
      <w:r w:rsidRPr="007C190F">
        <w:rPr>
          <w:rFonts w:eastAsia="Calibri" w:cs="Arial"/>
          <w:sz w:val="24"/>
          <w:vertAlign w:val="superscript"/>
        </w:rPr>
        <w:footnoteReference w:id="5"/>
      </w:r>
      <w:r w:rsidRPr="007C190F">
        <w:rPr>
          <w:rFonts w:eastAsia="Calibri" w:cs="Arial"/>
          <w:szCs w:val="20"/>
        </w:rPr>
        <w:t xml:space="preserve"> iz leta 1995, Okvirnega sklepa 2008/977/PNZ</w:t>
      </w:r>
      <w:r w:rsidRPr="007C190F">
        <w:rPr>
          <w:rFonts w:eastAsia="Calibri" w:cs="Arial"/>
          <w:sz w:val="18"/>
          <w:szCs w:val="18"/>
          <w:vertAlign w:val="superscript"/>
        </w:rPr>
        <w:footnoteReference w:id="6"/>
      </w:r>
      <w:r w:rsidRPr="007C190F">
        <w:rPr>
          <w:rFonts w:eastAsia="Calibri" w:cs="Arial"/>
          <w:szCs w:val="20"/>
        </w:rPr>
        <w:t xml:space="preserve"> iz leta 2008 in Konvencije o varstvu posameznikov glede na avtomatsko obdelavo osebnih podatkov</w:t>
      </w:r>
      <w:r w:rsidRPr="007C190F">
        <w:rPr>
          <w:rFonts w:eastAsia="Calibri" w:cs="Arial"/>
          <w:sz w:val="18"/>
          <w:szCs w:val="18"/>
          <w:vertAlign w:val="superscript"/>
        </w:rPr>
        <w:footnoteReference w:id="7"/>
      </w:r>
      <w:r w:rsidRPr="007C190F">
        <w:rPr>
          <w:rFonts w:eastAsia="Calibri" w:cs="Arial"/>
          <w:szCs w:val="20"/>
        </w:rPr>
        <w:t xml:space="preserve"> (Sveta Evrope) iz leta 1981.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Republika Slovenija je v obdobju od leta 2012 do začetka leta 2016 glede predlagane Splošne uredbe o varstvu podatkov in povezane Direktive iz načelnih sistemskih razlogov navedenima predlogoma pravnih aktov Evropske unije pretežno ali v celoti nasprotovala</w:t>
      </w:r>
      <w:r w:rsidRPr="007C190F">
        <w:rPr>
          <w:rFonts w:eastAsia="Calibri" w:cs="Arial"/>
          <w:sz w:val="24"/>
          <w:vertAlign w:val="superscript"/>
        </w:rPr>
        <w:footnoteReference w:id="8"/>
      </w:r>
      <w:r w:rsidRPr="007C190F">
        <w:rPr>
          <w:rFonts w:eastAsia="Calibri" w:cs="Arial"/>
          <w:szCs w:val="20"/>
        </w:rPr>
        <w:t xml:space="preserve">, ob tem pa navedla tudi vrsto posebej obrazloženih pridržkov. Razlogi nasprotovanja oziroma kritike so bili opozarjanje na poslabšano pravno varnost, možnost znižanja dosežene visoke ravni varstva osebnih podatkov, pretirane obveznosti za upravljavce osebnih podatkov in obdelovalce – tudi finančne, očitno pretirane globe za upravne kršitve določb Splošne uredbe o varstvu podatkov, nato pretirana pooblastila Evropski komisiji glede izdaje izvedbenih in delegiranih aktov, določeni ustavnopravni vidiki, izbira vrste pravnega akta v primeru predloga Splošne uredbe, ustreznost takratnega Okvirnega sklepa 2008/977/PNZ in torej nepotrebnost sprejetja predlagane Direktive ipd.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Glede takratnega Predloga Splošne uredbe o varstvu podatkov je bil bistveni zaključek iz stališča Republike Slovenije – poleg prej navedenega cilja za spremembo vrste pravnega akta iz uredbe v direktivo – da se mora Republika Slovenija v pogajanjih v okviru Sveta Evropske unije prizadevati, </w:t>
      </w:r>
      <w:r w:rsidRPr="007C190F">
        <w:rPr>
          <w:rFonts w:eastAsia="Calibri" w:cs="Arial"/>
          <w:szCs w:val="20"/>
        </w:rPr>
        <w:lastRenderedPageBreak/>
        <w:t>da »ne bi prišlo do neutemeljenega zniževanja standardov varstva osebnih podatkov, ki bi bili nižji glede na primerljivi kazalnik – Direktivo 95/46/ES o varstvu posameznikov pri obdelavi osebnih podatkov in o prostem pretoku takih podatkov«, glede predloga Direktive pa, da zadošča vsebina določb takrat veljavnega Okvirnega sklepa 2008/977/PNZ iz leta 2008 in da torej sprejetje predlagane Direktive ni potrebno.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Glede vsebine Predloga Splošne uredbe so se ob začetku njenega zakonodajnega obravnavanja pojavili ustavnopravni pomisleki tudi v Zvezni republiki Nemčiji, tako je leta 2012 nemški zvezni ustavni sodnik Johannes Masing objavil članek</w:t>
      </w:r>
      <w:r w:rsidRPr="007C190F">
        <w:rPr>
          <w:rFonts w:eastAsia="Calibri" w:cs="Arial"/>
          <w:sz w:val="18"/>
          <w:szCs w:val="18"/>
          <w:vertAlign w:val="superscript"/>
        </w:rPr>
        <w:footnoteReference w:id="9"/>
      </w:r>
      <w:r w:rsidRPr="007C190F">
        <w:rPr>
          <w:rFonts w:eastAsia="Calibri" w:cs="Arial"/>
          <w:szCs w:val="20"/>
        </w:rPr>
        <w:t>, v katerem je z vidika nemškega Temeljnega zakona (Ustava) in obširne in ustaljene ustavnosodne presoje nemškega Zveznega Ustavnega sodišča izredno kritično nastopil proti Osnutku Splošne uredbe o varstvu podatkov. V članku je med drugim navedeno,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 [...] ter da bo dosedanja ustaljena ustavnosodna presoja nemškega Zveznega Ustavnega sodišča torej šla kar v »razrez« (v »makulaturo«).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Sistemski pomisleki, ki so bili navedeni zgoraj glede Splošne uredbe, delno veljajo tudi za vsebino Direktive (EU) 2016/680, saj je le-ta nekako spremljevalni pravni akt področne narave k Splošni uredbi in v določenem delu sistemskih rešitev sledi sistemskim rešitvam iz Splošne uredbe.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Glede vsebine in smeri takratnega besedila Predloga Direktive (EU) 2016/680 pa je tudi Informacijski pooblaščenec izrazil negativno stališče na seji Odbora za zadeve Evropske unije Državnega zbora RS z dne 23. 3. 2012, da namreč njeno sprejetje ni potrebno, da zadostuje dosedanja ureditev v slovenski področni zakonodaji in v ZVOP-1 ter dotedanji Okvirni sklep 2008/977/PNZ.</w:t>
      </w:r>
    </w:p>
    <w:p w:rsidR="00E302FA" w:rsidRPr="007C190F" w:rsidRDefault="00E302FA" w:rsidP="00E302FA">
      <w:pPr>
        <w:spacing w:after="160" w:line="259" w:lineRule="auto"/>
        <w:jc w:val="both"/>
        <w:rPr>
          <w:rFonts w:eastAsia="Calibri" w:cs="Arial"/>
          <w:bCs/>
          <w:szCs w:val="20"/>
        </w:rPr>
      </w:pPr>
      <w:r w:rsidRPr="007C190F">
        <w:rPr>
          <w:rFonts w:eastAsia="Calibri" w:cs="Arial"/>
          <w:szCs w:val="20"/>
        </w:rPr>
        <w:t xml:space="preserve">V nadaljnjih pogajanjih v okviru Sveta Evropske unije se je vsebina določb obeh predlogov pravnih aktov razdelovala in doseženi so bili tudi določeni kompromisi, ki so na koncu privedli do sprejetja obeh navedenih pravnih aktov dne 27. aprila 2016. Tako sta bili navedenega dne sprejeta dva pravna akta Evropske unije kot del celovite reforme varstva osebnih podatkov:  </w:t>
      </w:r>
      <w:r w:rsidRPr="007C190F">
        <w:rPr>
          <w:rFonts w:eastAsia="Calibri" w:cs="Arial"/>
          <w:bCs/>
          <w:szCs w:val="20"/>
        </w:rPr>
        <w:t>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7C190F">
        <w:rPr>
          <w:rFonts w:eastAsia="Calibri" w:cs="Arial"/>
          <w:bCs/>
          <w:sz w:val="24"/>
          <w:vertAlign w:val="superscript"/>
        </w:rPr>
        <w:footnoteReference w:id="10"/>
      </w:r>
      <w:r w:rsidRPr="007C190F">
        <w:rPr>
          <w:rFonts w:eastAsia="Calibri" w:cs="Arial"/>
          <w:bCs/>
          <w:szCs w:val="20"/>
        </w:rPr>
        <w:t xml:space="preserve"> ter Uredba (EU) 2016/679 Evropskega parlamenta in Sveta z dne 27. aprila 2016 o varstvu posameznikov pri obdelavi osebnih podatkov in o prostem pretoku takih podatkov ter o razveljavitvi Direktive 95/46/ES (Splošna uredba o varstvu podatkov)</w:t>
      </w:r>
      <w:r w:rsidRPr="007C190F">
        <w:rPr>
          <w:rFonts w:eastAsia="Calibri" w:cs="Arial"/>
          <w:bCs/>
          <w:sz w:val="24"/>
          <w:vertAlign w:val="superscript"/>
        </w:rPr>
        <w:footnoteReference w:id="11"/>
      </w:r>
      <w:r w:rsidRPr="007C190F">
        <w:rPr>
          <w:rFonts w:eastAsia="Calibri" w:cs="Arial"/>
          <w:bCs/>
          <w:szCs w:val="20"/>
        </w:rPr>
        <w:t xml:space="preserve">.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1.2 Razlogi za sprejem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Zaradi navedenih pravnih aktov Evropske unije in Sveta Evrope so potrebne spremembe zakonodaje Republike Slovenije, torej najprej Zakona o varstvu osebnih podatkov na področju obravnavanja kaznivih dejanj (ZVOPPOKD), ki implementira Direktivo</w:t>
      </w:r>
      <w:r w:rsidRPr="007C190F">
        <w:rPr>
          <w:rFonts w:eastAsia="Calibri" w:cs="Arial"/>
          <w:sz w:val="18"/>
          <w:szCs w:val="18"/>
          <w:vertAlign w:val="superscript"/>
        </w:rPr>
        <w:footnoteReference w:id="12"/>
      </w:r>
      <w:r w:rsidRPr="007C190F">
        <w:rPr>
          <w:rFonts w:eastAsia="Calibri" w:cs="Arial"/>
          <w:szCs w:val="20"/>
        </w:rPr>
        <w:t xml:space="preserve">, nato pa tudi sprejetje </w:t>
      </w:r>
      <w:r w:rsidRPr="007C190F">
        <w:rPr>
          <w:rFonts w:eastAsia="Calibri" w:cs="Arial"/>
          <w:szCs w:val="20"/>
        </w:rPr>
        <w:lastRenderedPageBreak/>
        <w:t xml:space="preserve">Zakona o varstvu osebnih podatkov kot sistemskega zakona Republike Slovenije za področje varstva osebnih podatkov (ZVOP-2), slednjega za izvajanje določenih določb Splošne uredbe o varstvu podatkov iz leta 2016.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Posledično je bilo pripravljeno besedilo predloga novega zakona ZVOPPOKD, ki ustrezno upošteva tudi izkušnje in spoznanja glede uporabe dosedanjega ZVOP-1 iz leta 2004, določbe 38. člena Ustave Republike Slovenije o človekovi pravici do varstva osebnih podatkov</w:t>
      </w:r>
      <w:r w:rsidRPr="007C190F">
        <w:rPr>
          <w:rFonts w:eastAsia="Calibri" w:cs="Arial"/>
          <w:sz w:val="24"/>
          <w:vertAlign w:val="superscript"/>
        </w:rPr>
        <w:footnoteReference w:id="13"/>
      </w:r>
      <w:r w:rsidRPr="007C190F">
        <w:rPr>
          <w:rFonts w:eastAsia="Calibri" w:cs="Arial"/>
          <w:szCs w:val="20"/>
        </w:rPr>
        <w:t>, obstoječo ustavnosodno presojo Ustavnega sodišča Republike Slovenije glede človekove pravice do varstva osebnih podatkov od leta 1992</w:t>
      </w:r>
      <w:r w:rsidRPr="007C190F">
        <w:rPr>
          <w:rFonts w:eastAsia="Calibri" w:cs="Arial"/>
          <w:sz w:val="24"/>
          <w:vertAlign w:val="superscript"/>
        </w:rPr>
        <w:footnoteReference w:id="14"/>
      </w:r>
      <w:r w:rsidRPr="007C190F">
        <w:rPr>
          <w:rFonts w:eastAsia="Calibri" w:cs="Arial"/>
          <w:szCs w:val="20"/>
        </w:rPr>
        <w:t xml:space="preserve"> dalje ter tudi določbe še veljavne Konvencije o varstvu posameznikov glede na avtomatsko obdelavo osebnih podatkov</w:t>
      </w:r>
      <w:r w:rsidR="00E830D8" w:rsidRPr="007C190F">
        <w:rPr>
          <w:rFonts w:eastAsia="Calibri" w:cs="Arial"/>
          <w:szCs w:val="20"/>
        </w:rPr>
        <w:t xml:space="preserve"> (Konvencija št. 108)</w:t>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Koncept zakona je bil v obdobju 2017–2018 ter v prvem in drugem krogu medresorskega in strokovnega usklajevanja v letu 2019 drugačen, celovit (izvajanje oziroma prenos Splošne uredbe in Direktive v enem zakonu ), sedaj je to zaradi preglednosti in lažjega izvajanja razdeljeno na dva zakona. Predloženi ZVOPPOKD tako primarno pomeni implementacijo Direktive. </w:t>
      </w: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keepNext/>
        <w:keepLines/>
        <w:spacing w:before="40" w:line="240" w:lineRule="auto"/>
        <w:outlineLvl w:val="1"/>
        <w:rPr>
          <w:rFonts w:ascii="Calibri Light" w:hAnsi="Calibri Light"/>
          <w:b/>
          <w:bCs/>
          <w:sz w:val="26"/>
          <w:szCs w:val="26"/>
        </w:rPr>
      </w:pPr>
      <w:r w:rsidRPr="007C190F">
        <w:rPr>
          <w:rFonts w:ascii="Calibri Light" w:hAnsi="Calibri Light"/>
          <w:b/>
          <w:bCs/>
          <w:sz w:val="26"/>
          <w:szCs w:val="26"/>
        </w:rPr>
        <w:t>2. CILJI, NAČELA IN POGLAVITNE REŠITVE PREDLOGA ZAKONA</w:t>
      </w: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2.1 Cilji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Cilji Predloga zakona so:</w:t>
      </w:r>
    </w:p>
    <w:p w:rsidR="00E302FA" w:rsidRPr="007C190F" w:rsidRDefault="00E302FA" w:rsidP="00E302FA">
      <w:pPr>
        <w:numPr>
          <w:ilvl w:val="0"/>
          <w:numId w:val="18"/>
        </w:numPr>
        <w:spacing w:after="160" w:line="259" w:lineRule="auto"/>
        <w:jc w:val="both"/>
        <w:rPr>
          <w:rFonts w:eastAsia="Calibri" w:cs="Arial"/>
          <w:szCs w:val="20"/>
        </w:rPr>
      </w:pPr>
      <w:r w:rsidRPr="007C190F">
        <w:rPr>
          <w:rFonts w:eastAsia="Calibri" w:cs="Arial"/>
          <w:szCs w:val="20"/>
        </w:rPr>
        <w:t xml:space="preserve">zagotoviti na sistemski ravni v ZVOPPOKD prenos določb </w:t>
      </w:r>
      <w:bookmarkStart w:id="2" w:name="_Hlk42261512"/>
      <w:r w:rsidRPr="007C190F">
        <w:rPr>
          <w:rFonts w:eastAsia="Calibri" w:cs="Arial"/>
          <w:szCs w:val="20"/>
        </w:rPr>
        <w:t>Direktive</w:t>
      </w:r>
      <w:bookmarkEnd w:id="2"/>
      <w:r w:rsidRPr="007C190F">
        <w:rPr>
          <w:rFonts w:eastAsia="Calibri" w:cs="Arial"/>
          <w:szCs w:val="20"/>
        </w:rPr>
        <w:t xml:space="preserve">, </w:t>
      </w:r>
    </w:p>
    <w:p w:rsidR="00E302FA" w:rsidRPr="007C190F" w:rsidRDefault="00E302FA" w:rsidP="00E302FA">
      <w:pPr>
        <w:numPr>
          <w:ilvl w:val="0"/>
          <w:numId w:val="18"/>
        </w:numPr>
        <w:spacing w:after="160" w:line="259" w:lineRule="auto"/>
        <w:jc w:val="both"/>
        <w:rPr>
          <w:rFonts w:eastAsia="Calibri" w:cs="Arial"/>
          <w:szCs w:val="20"/>
        </w:rPr>
      </w:pPr>
      <w:r w:rsidRPr="007C190F">
        <w:rPr>
          <w:rFonts w:eastAsia="Calibri" w:cs="Arial"/>
          <w:szCs w:val="20"/>
        </w:rPr>
        <w:t xml:space="preserve">določiti ustrezne podlage v ZVOPPOKD za nadaljnje zakonsko urejanje podrobnih obdelav osebnih podatkov v področnih zakonih (zlasti s področja policije in kazenskega pravosodja), </w:t>
      </w:r>
    </w:p>
    <w:p w:rsidR="00E302FA" w:rsidRPr="007C190F" w:rsidRDefault="00E302FA" w:rsidP="00E302FA">
      <w:pPr>
        <w:numPr>
          <w:ilvl w:val="0"/>
          <w:numId w:val="18"/>
        </w:numPr>
        <w:spacing w:after="160" w:line="259" w:lineRule="auto"/>
        <w:jc w:val="both"/>
        <w:rPr>
          <w:rFonts w:eastAsia="Calibri" w:cs="Arial"/>
          <w:szCs w:val="20"/>
        </w:rPr>
      </w:pPr>
      <w:r w:rsidRPr="007C190F">
        <w:rPr>
          <w:rFonts w:eastAsia="Calibri" w:cs="Arial"/>
          <w:szCs w:val="20"/>
        </w:rPr>
        <w:t>zagotoviti, da se v ZVOPPOKD v čim večji meri ohrani dosedanja visoka raven varstva osebnih podatkov v Republiki Sloveniji ter tudi na ta način zagotovi uresničevanje osebne človekove pravice do varstva in tajnosti osebnih podatkov iz 38. člena Ustave Republike Slovenije.</w:t>
      </w:r>
    </w:p>
    <w:p w:rsidR="00E302FA" w:rsidRPr="007C190F" w:rsidRDefault="00E302FA" w:rsidP="00E302FA">
      <w:pPr>
        <w:spacing w:after="160" w:line="259" w:lineRule="auto"/>
        <w:ind w:left="720"/>
        <w:jc w:val="both"/>
        <w:rPr>
          <w:rFonts w:eastAsia="Calibri" w:cs="Arial"/>
          <w:szCs w:val="20"/>
        </w:rPr>
      </w:pP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2.2. Pravni pristop glede zakonskega prenosa  določb Direktive (EU) 2016/680 na področju varstva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Zakonodajni prenos določb Direktive (EU) 2016/680 se nanaša na področje kaznovalnega delovanja države (kazensko pravosodje in policijsko delovanje)</w:t>
      </w:r>
      <w:r w:rsidR="00451CC1" w:rsidRPr="007C190F">
        <w:rPr>
          <w:rFonts w:eastAsia="Calibri" w:cs="Arial"/>
          <w:szCs w:val="20"/>
        </w:rPr>
        <w:t xml:space="preserve"> na način, da </w:t>
      </w:r>
      <w:r w:rsidRPr="007C190F">
        <w:rPr>
          <w:rFonts w:eastAsia="Calibri" w:cs="Arial"/>
          <w:szCs w:val="20"/>
        </w:rPr>
        <w:t xml:space="preserve"> </w:t>
      </w:r>
      <w:r w:rsidR="00E17FC1" w:rsidRPr="007C190F">
        <w:rPr>
          <w:rFonts w:eastAsia="Calibri" w:cs="Arial"/>
          <w:szCs w:val="20"/>
        </w:rPr>
        <w:t>na splošno ureja varstvo osebnih podatkov v tem zakonu, in  hkrati upošteva določene</w:t>
      </w:r>
      <w:r w:rsidR="000C1E2A" w:rsidRPr="007C190F">
        <w:rPr>
          <w:rFonts w:eastAsia="Calibri" w:cs="Arial"/>
          <w:szCs w:val="20"/>
        </w:rPr>
        <w:t>g</w:t>
      </w:r>
      <w:r w:rsidR="00E17FC1" w:rsidRPr="007C190F">
        <w:rPr>
          <w:rFonts w:eastAsia="Calibri" w:cs="Arial"/>
          <w:szCs w:val="20"/>
        </w:rPr>
        <w:t>a področja, ki so urejena s specialnimi zakoni</w:t>
      </w:r>
      <w:r w:rsidRPr="007C190F">
        <w:rPr>
          <w:rFonts w:eastAsia="Calibri" w:cs="Arial"/>
          <w:szCs w:val="20"/>
        </w:rPr>
        <w:t xml:space="preserve"> (npr. policijsk</w:t>
      </w:r>
      <w:r w:rsidR="00E17FC1" w:rsidRPr="007C190F">
        <w:rPr>
          <w:rFonts w:eastAsia="Calibri" w:cs="Arial"/>
          <w:szCs w:val="20"/>
        </w:rPr>
        <w:t>i</w:t>
      </w:r>
      <w:r w:rsidRPr="007C190F">
        <w:rPr>
          <w:rFonts w:eastAsia="Calibri" w:cs="Arial"/>
          <w:szCs w:val="20"/>
        </w:rPr>
        <w:t>, državnotožilsk</w:t>
      </w:r>
      <w:r w:rsidR="00E17FC1" w:rsidRPr="007C190F">
        <w:rPr>
          <w:rFonts w:eastAsia="Calibri" w:cs="Arial"/>
          <w:szCs w:val="20"/>
        </w:rPr>
        <w:t>i</w:t>
      </w:r>
      <w:r w:rsidRPr="007C190F">
        <w:rPr>
          <w:rFonts w:eastAsia="Calibri" w:cs="Arial"/>
          <w:szCs w:val="20"/>
        </w:rPr>
        <w:t>, kazenskoprocesn</w:t>
      </w:r>
      <w:r w:rsidR="00E17FC1" w:rsidRPr="007C190F">
        <w:rPr>
          <w:rFonts w:eastAsia="Calibri" w:cs="Arial"/>
          <w:szCs w:val="20"/>
        </w:rPr>
        <w:t>i</w:t>
      </w:r>
      <w:r w:rsidRPr="007C190F">
        <w:rPr>
          <w:rFonts w:eastAsia="Calibri" w:cs="Arial"/>
          <w:szCs w:val="20"/>
        </w:rPr>
        <w:t xml:space="preserve"> ipd.). </w:t>
      </w:r>
      <w:r w:rsidR="00451CC1" w:rsidRPr="007C190F">
        <w:rPr>
          <w:rFonts w:eastAsia="Calibri" w:cs="Arial"/>
          <w:szCs w:val="20"/>
        </w:rPr>
        <w:t>Področna zakonodaja lahko uredi izjeme glede dostopa do osebnih podatkov in podobno</w:t>
      </w:r>
      <w:r w:rsidR="00E17FC1" w:rsidRPr="007C190F">
        <w:rPr>
          <w:rFonts w:eastAsia="Calibri" w:cs="Arial"/>
          <w:szCs w:val="20"/>
        </w:rPr>
        <w:t>, kar omogoča tudi Direktiva</w:t>
      </w:r>
      <w:r w:rsidR="00451CC1" w:rsidRPr="007C190F">
        <w:rPr>
          <w:rFonts w:eastAsia="Calibri" w:cs="Arial"/>
          <w:szCs w:val="20"/>
        </w:rPr>
        <w:t>. Področna zakonodaja že ureja določene izjeme, ta zakon pa v njih ne posega.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Glede zakonodajnih rešitev iz Predloga ZVOPPOKD je pomembno tudi navesti, da se upoštevajo tudi relevantne sistemske določbe prenovljene Konvencije št. 108, ki morajo tudi biti izvedene v tem zakonu.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Ker ima Republika Slovenije že od leta 1990 sicer celoviti (vseobsežni) pristop varstva osebnih podatkov na sistemskem področju (vsakokratni veljavni Zakon o varstvu osebnih podatkov), je treba tudi za ta področja, kolikor so v Sloveniji urejena z drugimi zakoni, vsaj glede sistemskih posegov v tajnost osebnih podatkov ali glede obdelave osebnih podatkov določiti uporabo ZVOPPOKD ali bodočega ZVOP-2 (poleg že navedenih področnih ureditev varstva osebnih podatkov). To je pomembno zlasti z vidika določb o definicijah, pravnih podlagah za obdelave osebnih podatkov, obdelav osebnih podatkov v druge namene, uporabe načel zakona ipd.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Predlog zakona</w:t>
      </w:r>
      <w:r w:rsidRPr="007C190F" w:rsidDel="00DF5F60">
        <w:rPr>
          <w:rFonts w:eastAsia="Calibri" w:cs="Arial"/>
          <w:szCs w:val="20"/>
        </w:rPr>
        <w:t xml:space="preserve"> </w:t>
      </w:r>
      <w:r w:rsidRPr="007C190F">
        <w:rPr>
          <w:rFonts w:eastAsia="Calibri" w:cs="Arial"/>
          <w:szCs w:val="20"/>
        </w:rPr>
        <w:t xml:space="preserve">delno sledi prenovljenemu izrazoslovju Direktive: npr. uporaba izrazov »zbirka« (dosedaj: zbirka osebnih podatkov), upravljavec (dosedaj: upravljavec zbirke osebnih podatkov), obdelovalec (dosedaj: pogodbeni obdelovalec), varnost osebnih podatkov (dosedaj: zavarovanje osebnih podatkov). Določeni instituti pa so izjemoma prevzeti celo iz Splošne uredbe, ker so potrebni tudi na področju obravnavanja kaznivih dejanj (npr. institut privolitve).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Prav tako na končno vsebino predloga zakona vpliva dejstvo, da je bila 23. maja 2018 izvedena objava popravkov uradne slovenske različice besedila Direktive v UL L 127, 23. 5. 2018, str. 20. Enako velja tudi za večino drugih jezikovnih različic Direktive (in povezane Splošne uredbe).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Glede na posebno kombinacijo in vsebino pravnih aktov Evropske unije, ki zahtevajo spremembe na področju sistemske ureditve varstva osebnih podatkov, delno prilagojeno »filozofijo« varstva osebnih podatkov glede na te pravne akte, relevantno Konvencijo št. 108, pomen zlasti določb 38. in 87. člena Ustave Republike Slovenije ter povezane ustaljene ustavnosodne presoje Ustavnega sodišča Republike Slovenije in tradicijo zakonodajnega urejanja varstva osebnih podatkov v Republiki Sloveniji predlagatelj ocenjuje, da je </w:t>
      </w:r>
      <w:r w:rsidRPr="007C190F">
        <w:rPr>
          <w:rFonts w:eastAsia="Calibri" w:cs="Arial"/>
          <w:b/>
          <w:szCs w:val="20"/>
        </w:rPr>
        <w:t xml:space="preserve">z vidika preglednosti in lažje uporabe zakonskih določb primerno, da se pripravi nov Zakon </w:t>
      </w:r>
      <w:r w:rsidRPr="007C190F">
        <w:rPr>
          <w:rFonts w:eastAsia="Calibri" w:cs="Arial"/>
          <w:b/>
          <w:bCs/>
          <w:szCs w:val="20"/>
        </w:rPr>
        <w:t>o varstvu osebnih podatkov na področju obravnavanja kaznivih dejanj</w:t>
      </w:r>
      <w:r w:rsidRPr="007C190F">
        <w:rPr>
          <w:rFonts w:eastAsia="Calibri" w:cs="Arial"/>
          <w:szCs w:val="20"/>
        </w:rPr>
        <w:t>, ki vključuje pretežno implementacijo Direktive (EU) 2016/680, nekoliko pa tudi implementacijo Direktive (EU) 2016/681 (glede Evidence letalskih potnikov).</w:t>
      </w: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2.3. O zakonodajnih tehnikah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besedilu določb Predloga ZVOPPOKD je uporabljena kombinacija več zakonodajnih tehnik:</w:t>
      </w:r>
    </w:p>
    <w:p w:rsidR="00E302FA" w:rsidRPr="007C190F" w:rsidRDefault="00E302FA" w:rsidP="00E302FA">
      <w:pPr>
        <w:numPr>
          <w:ilvl w:val="0"/>
          <w:numId w:val="21"/>
        </w:numPr>
        <w:spacing w:after="160" w:line="259" w:lineRule="auto"/>
        <w:jc w:val="both"/>
        <w:rPr>
          <w:rFonts w:eastAsia="Calibri" w:cs="Arial"/>
          <w:szCs w:val="20"/>
        </w:rPr>
      </w:pPr>
      <w:r w:rsidRPr="007C190F">
        <w:rPr>
          <w:rFonts w:eastAsia="Calibri" w:cs="Arial"/>
          <w:szCs w:val="20"/>
        </w:rPr>
        <w:t>tehnika indikacije (sklica), npr. na konkretne pravne podlage iz Direktive (le občasno, npr. pri čezmejnih prenosih osebnih podatkov),</w:t>
      </w:r>
    </w:p>
    <w:p w:rsidR="00E302FA" w:rsidRPr="007C190F" w:rsidRDefault="00E302FA" w:rsidP="00E302FA">
      <w:pPr>
        <w:numPr>
          <w:ilvl w:val="0"/>
          <w:numId w:val="21"/>
        </w:numPr>
        <w:spacing w:after="160" w:line="259" w:lineRule="auto"/>
        <w:jc w:val="both"/>
        <w:rPr>
          <w:rFonts w:eastAsia="Calibri" w:cs="Arial"/>
          <w:szCs w:val="20"/>
        </w:rPr>
      </w:pPr>
      <w:bookmarkStart w:id="3" w:name="_Ref45616149"/>
      <w:r w:rsidRPr="007C190F">
        <w:rPr>
          <w:rFonts w:eastAsia="Calibri" w:cs="Arial"/>
          <w:szCs w:val="20"/>
        </w:rPr>
        <w:t>tehnika določanja nacionalnih posebnosti (npr. sistem povezovanja),</w:t>
      </w:r>
      <w:bookmarkEnd w:id="3"/>
    </w:p>
    <w:p w:rsidR="00E302FA" w:rsidRPr="007C190F" w:rsidRDefault="00E302FA" w:rsidP="00E302FA">
      <w:pPr>
        <w:numPr>
          <w:ilvl w:val="0"/>
          <w:numId w:val="21"/>
        </w:numPr>
        <w:spacing w:after="160" w:line="259" w:lineRule="auto"/>
        <w:jc w:val="both"/>
        <w:rPr>
          <w:rFonts w:eastAsia="Calibri" w:cs="Arial"/>
          <w:szCs w:val="20"/>
        </w:rPr>
      </w:pPr>
      <w:r w:rsidRPr="007C190F">
        <w:rPr>
          <w:rFonts w:eastAsia="Calibri" w:cs="Arial"/>
          <w:szCs w:val="20"/>
        </w:rPr>
        <w:t>tehnika prevzema iz drugega predpisa (npr. institut privolitve),</w:t>
      </w:r>
    </w:p>
    <w:p w:rsidR="00E302FA" w:rsidRPr="007C190F" w:rsidRDefault="00E302FA" w:rsidP="00E302FA">
      <w:pPr>
        <w:spacing w:after="160" w:line="259" w:lineRule="auto"/>
        <w:ind w:left="360"/>
        <w:jc w:val="both"/>
        <w:rPr>
          <w:rFonts w:eastAsia="Calibri" w:cs="Arial"/>
          <w:szCs w:val="20"/>
        </w:rPr>
      </w:pPr>
      <w:r w:rsidRPr="007C190F">
        <w:rPr>
          <w:rFonts w:eastAsia="Calibri" w:cs="Arial"/>
          <w:szCs w:val="20"/>
        </w:rPr>
        <w:t xml:space="preserve">4. tehnika samostojne razdelave (npr. nadzorni postopki Informacijskega pooblaščenca, določitev/uporaba izraza pristojni organ in ne upravljavec), </w:t>
      </w:r>
    </w:p>
    <w:p w:rsidR="00E302FA" w:rsidRPr="007C190F" w:rsidRDefault="00E302FA" w:rsidP="00E302FA">
      <w:pPr>
        <w:spacing w:after="160" w:line="259" w:lineRule="auto"/>
        <w:ind w:left="360"/>
        <w:jc w:val="both"/>
        <w:rPr>
          <w:rFonts w:eastAsia="Calibri" w:cs="Arial"/>
          <w:szCs w:val="20"/>
        </w:rPr>
      </w:pPr>
      <w:r w:rsidRPr="007C190F">
        <w:rPr>
          <w:rFonts w:eastAsia="Calibri" w:cs="Arial"/>
          <w:szCs w:val="20"/>
        </w:rPr>
        <w:t>5. tehnika prepisa (npr. glede določb o ključnih obveznostih upravljavca in obdelovalca).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Navedena kombinacija zakonodajnih tehnik je bila uporabljena s ciljem, da se zagotovi spoštovanje pravne varnosti zaradi učinkovitega uresničevanja osebne človekove pravice do varstva osebnih podatkov. </w:t>
      </w: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2.4. Načela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u w:val="single"/>
        </w:rPr>
        <w:t>Načelo spoštovanja osebnosti in pravic človeka</w:t>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Prvo vodilno načelo novega predloga zakona</w:t>
      </w:r>
      <w:r w:rsidRPr="007C190F" w:rsidDel="00DF5F60">
        <w:rPr>
          <w:rFonts w:eastAsia="Calibri" w:cs="Arial"/>
          <w:szCs w:val="20"/>
        </w:rPr>
        <w:t xml:space="preserve"> </w:t>
      </w:r>
      <w:r w:rsidRPr="007C190F">
        <w:rPr>
          <w:rFonts w:eastAsia="Calibri" w:cs="Arial"/>
          <w:szCs w:val="20"/>
        </w:rPr>
        <w:t xml:space="preserve">je zakonodajno urejanje v smeri individualnega pristopa, po katerem je treba izhajati iz človeka kot upravičenca (nosilca, naslovnika, subjekta) pravice do varstva osebnih podatkov in torej njemu zagotoviti dejansko uresničevanje te pravice. </w:t>
      </w:r>
      <w:r w:rsidRPr="007C190F">
        <w:rPr>
          <w:rFonts w:eastAsia="Calibri" w:cs="Arial"/>
          <w:szCs w:val="20"/>
        </w:rPr>
        <w:lastRenderedPageBreak/>
        <w:t xml:space="preserve">Prost pretok osebnih podatkov, prenosi osebnih podatkov, čezmejne obdelave osebnih podatkov, posredovanja osebnih podatkov, obdelave osebnih podatkov v druge namene ipd. lahko delujejo le, če je navedeni individualni pristop spoštovan. Pri presoji zakonodajnih ali izvedbenih posegov v pravico do varstva osebnih podatkov je treba izhajati iz ocene vpliva posega v varstvo osebnih podatkov človeka kot subjekta ter opraviti oceno z vidika spoštovanja strogega načela sorazmernosti (2. člen v zvezi s tretjim odstavkom 15. člena Ustave Republike Slovenije). </w:t>
      </w:r>
    </w:p>
    <w:p w:rsidR="00E302FA" w:rsidRPr="007C190F" w:rsidRDefault="00E302FA" w:rsidP="00E302FA">
      <w:pPr>
        <w:spacing w:after="160" w:line="259" w:lineRule="auto"/>
        <w:jc w:val="both"/>
        <w:rPr>
          <w:rFonts w:eastAsia="Calibri" w:cs="Arial"/>
          <w:szCs w:val="20"/>
        </w:rPr>
      </w:pPr>
      <w:r w:rsidRPr="007C190F">
        <w:rPr>
          <w:rFonts w:eastAsia="Calibri" w:cs="Arial"/>
          <w:szCs w:val="20"/>
          <w:u w:val="single"/>
        </w:rPr>
        <w:t>Načelo zakonitosti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Načelo zakonitosti v predlogu zakona</w:t>
      </w:r>
      <w:r w:rsidRPr="007C190F" w:rsidDel="00DF5F60">
        <w:rPr>
          <w:rFonts w:eastAsia="Calibri" w:cs="Arial"/>
          <w:szCs w:val="20"/>
        </w:rPr>
        <w:t xml:space="preserve"> </w:t>
      </w:r>
      <w:r w:rsidRPr="007C190F">
        <w:rPr>
          <w:rFonts w:eastAsia="Calibri" w:cs="Arial"/>
          <w:szCs w:val="20"/>
        </w:rPr>
        <w:t>izhaja iz drugega odstavka 38. člena Ustave Republike Slovenije (»Zbiranje, obdelovanje, namen uporabe, nadzor, in varstvo tajnosti osebnih podatkov določa zakon.«) ter iz 87. člena Ustave Republike Slovenije, po katerem se pravice in obveznosti lahko urejajo le z zakonom. Navedeno načelo izhaja tudi iz (a) točke prvega odstavka 4. člena Direktive, 8. člena Direktive in (a) točke 5. člena prenovljene Konvencije št. 108. D</w:t>
      </w:r>
      <w:r w:rsidRPr="007C190F">
        <w:rPr>
          <w:rFonts w:eastAsia="Calibri" w:cs="Arial"/>
          <w:szCs w:val="20"/>
          <w:shd w:val="clear" w:color="auto" w:fill="FFFFFF"/>
        </w:rPr>
        <w:t>ržave članice Evropske unije lahko glede na svojo nacionalno (zlasti ustavno) ureditev vseeno določijo splošne in konkretne pravne podlage za določene vrste obdelav konkretnih osebnih podatkov v sistemskem ali v področnih zakonih, ne pomeni pa za Republiko Slovenijo, da se lahko konkretne obdelave konkretnih osebnih podatkov določajo v podzakonskih predpisih (kar je nedopustno po ustaljeni ustavnosodni presoji Ustavnega sodišča Republike Slovenije od leta 1992 dalje</w:t>
      </w:r>
      <w:r w:rsidRPr="007C190F">
        <w:rPr>
          <w:rFonts w:eastAsia="Calibri" w:cs="Arial"/>
          <w:sz w:val="18"/>
          <w:szCs w:val="18"/>
          <w:shd w:val="clear" w:color="auto" w:fill="FFFFFF"/>
          <w:vertAlign w:val="superscript"/>
        </w:rPr>
        <w:footnoteReference w:id="15"/>
      </w:r>
      <w:r w:rsidRPr="007C190F">
        <w:rPr>
          <w:rFonts w:eastAsia="Calibri" w:cs="Arial"/>
          <w:szCs w:val="20"/>
          <w:shd w:val="clear" w:color="auto" w:fill="FFFFFF"/>
        </w:rPr>
        <w:t xml:space="preserve">). Temu pristopu tako sledita zlasti prvi in drugi odstavek 6. člena predloga zakona. Za delovanje (odločanje, poseganje v pravice, določanje obveznosti) s strani javnega sektorja (javne oblasti) – v tem primeru celo represivnih organov države – lahko velja le strogo načelo zakonitosti. </w:t>
      </w:r>
    </w:p>
    <w:p w:rsidR="00E302FA" w:rsidRPr="007C190F" w:rsidRDefault="00E302FA" w:rsidP="00E302FA">
      <w:pPr>
        <w:spacing w:after="160" w:line="259" w:lineRule="auto"/>
        <w:jc w:val="both"/>
        <w:rPr>
          <w:rFonts w:eastAsia="Calibri" w:cs="Arial"/>
          <w:szCs w:val="20"/>
        </w:rPr>
      </w:pPr>
      <w:r w:rsidRPr="007C190F">
        <w:rPr>
          <w:rFonts w:eastAsia="Calibri" w:cs="Arial"/>
          <w:szCs w:val="20"/>
          <w:u w:val="single"/>
        </w:rPr>
        <w:t>Načelo stroge sorazmernosti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 izvajanju posegov v pravico do varstva osebnih podatkov je treba izhajati iz načela sorazmernosti, kot ga opredeljuje predlog zakona, konkretneje je treba izhajati iz uporabe strogega testa sorazmernosti po ustaljeni ustavnosodni presoji Ustavnega sodišča Republike Slovenije</w:t>
      </w:r>
      <w:r w:rsidRPr="007C190F">
        <w:rPr>
          <w:rFonts w:eastAsia="Calibri" w:cs="Arial"/>
          <w:sz w:val="18"/>
          <w:szCs w:val="18"/>
          <w:vertAlign w:val="superscript"/>
        </w:rPr>
        <w:footnoteReference w:id="16"/>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u w:val="single"/>
        </w:rPr>
        <w:t>Načelo namenske obdelave osebnih podatkov</w:t>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Določbe predloga zakona</w:t>
      </w:r>
      <w:r w:rsidRPr="007C190F" w:rsidDel="00DF5F60">
        <w:rPr>
          <w:rFonts w:eastAsia="Calibri" w:cs="Arial"/>
          <w:szCs w:val="20"/>
        </w:rPr>
        <w:t xml:space="preserve"> </w:t>
      </w:r>
      <w:r w:rsidRPr="007C190F">
        <w:rPr>
          <w:rFonts w:eastAsia="Calibri" w:cs="Arial"/>
          <w:szCs w:val="20"/>
        </w:rPr>
        <w:t>o namenski obdelavi osebnih podatkov tudi izhajajo iz drugega odstavka 38. člena Ustave Republike Slovenije (»Zbiranje, obdelovanje, namen uporabe, nadzor, in varstvo tajnosti osebnih podatkov določa zakon.«), kar pomeni, da kadar se po Ustavi ali Direktivi obdelava osebnih podatkov določa z zakonom, mora biti namen njihove obdelave tudi izrecno določen v zakonu. Poleg tega je načelo namenske obdelave osebnih podatkov določeno tudi v drugem stavku prvega odstavka 38. člena Ustave Republike Slovenije (»Prepovedana je uporaba osebnih podatkov v nasprotju z namenom njihovega zbiranja.«). Navedeni del ustavne določbe (za razliko od določbe drugega odstavka 38. člena Ustave) je s predlogom zakona</w:t>
      </w:r>
      <w:r w:rsidRPr="007C190F" w:rsidDel="00DF5F60">
        <w:rPr>
          <w:rFonts w:eastAsia="Calibri" w:cs="Arial"/>
          <w:szCs w:val="20"/>
        </w:rPr>
        <w:t xml:space="preserve"> </w:t>
      </w:r>
      <w:r w:rsidRPr="007C190F">
        <w:rPr>
          <w:rFonts w:eastAsia="Calibri" w:cs="Arial"/>
          <w:szCs w:val="20"/>
        </w:rPr>
        <w:t>delno omejen (relativiziran), saj morajo glede na določbe prvega in drugega odstavka 9. člena Direktive biti omogočene tudi obdelave osebnih podatkov v druge namene. Tovrstno omejitev omogoča tudi določba tretjega odstavka 15. člena Ustave Republike Slovenije o omejitvah človekovih pravic s pravicami drugih oseb. Vendar pa tudi ta odstop upošteva drugi odstavek 38. člena Ustave – gl. izrecno določen pogoj v  prvem odstavku 8. člena predloga zakona v skladu s katerim, lahko te dodatne namene določa le (področni)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u w:val="single"/>
        </w:rPr>
        <w:lastRenderedPageBreak/>
        <w:t>Načelo »prepovedano je vse, kar ni izrecno dovoljeno«</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rPr>
        <w:t>Za represivne posege države v človekove pravice ali temeljne svoboščine ali zakonite interese še vedno velja načelo »prepovedano vse, kar ni izrecno dovoljeno«</w:t>
      </w:r>
      <w:r w:rsidRPr="007C190F">
        <w:rPr>
          <w:rFonts w:eastAsia="Calibri" w:cs="Arial"/>
          <w:sz w:val="18"/>
          <w:szCs w:val="18"/>
          <w:vertAlign w:val="superscript"/>
        </w:rPr>
        <w:footnoteReference w:id="17"/>
      </w:r>
      <w:r w:rsidRPr="007C190F">
        <w:rPr>
          <w:rFonts w:eastAsia="Calibri" w:cs="Arial"/>
          <w:szCs w:val="20"/>
        </w:rPr>
        <w:t>.</w:t>
      </w:r>
    </w:p>
    <w:p w:rsidR="00E302FA" w:rsidRPr="007C190F" w:rsidRDefault="00E302FA" w:rsidP="00E302FA">
      <w:pPr>
        <w:keepNext/>
        <w:keepLines/>
        <w:spacing w:before="240" w:after="120" w:line="259" w:lineRule="auto"/>
        <w:outlineLvl w:val="2"/>
        <w:rPr>
          <w:rFonts w:ascii="Calibri Light" w:hAnsi="Calibri Light"/>
          <w:b/>
          <w:bCs/>
          <w:sz w:val="24"/>
          <w:shd w:val="clear" w:color="auto" w:fill="FFFFFF"/>
        </w:rPr>
      </w:pPr>
      <w:r w:rsidRPr="007C190F">
        <w:rPr>
          <w:rFonts w:ascii="Calibri Light" w:hAnsi="Calibri Light"/>
          <w:b/>
          <w:bCs/>
          <w:sz w:val="24"/>
        </w:rPr>
        <w:t>2.5. Poglavitne rešitve iz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Poglavitne zakonodajne spremembe glede na dosedanji Zakon o varstvu osebnih podatkov iz leta 2004 (ZVOP-1) se nanašajo na splošne in posebne določbe, kot tudi na področne ureditve.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Tako so nekoliko drugače (v skladu z določbami Direktive) določena načela zakonitosti, poštenosti in sorazmernosti, ki veljajo za vse dele predloga zakona</w:t>
      </w:r>
      <w:r w:rsidRPr="007C190F" w:rsidDel="00DF5F60">
        <w:rPr>
          <w:rFonts w:eastAsia="Calibri" w:cs="Arial"/>
          <w:szCs w:val="20"/>
        </w:rPr>
        <w:t xml:space="preserve"> </w:t>
      </w:r>
      <w:r w:rsidRPr="007C190F">
        <w:rPr>
          <w:rFonts w:eastAsia="Calibri" w:cs="Arial"/>
          <w:szCs w:val="20"/>
        </w:rPr>
        <w:t>ter tudi za področne ureditve v drugih zakonih v Republiki Sloveniji. Glede načela zakonitosti predlog zakona sledi zavezujoči ustavni ureditvi iz drugega odstavka 38. in 87. člena Ustave Republike Slovenije, glede načela sorazmernosti pa 2. členu v zvezi s tretjim odstavkom 15. člena Ustave Republike Slovenije. Glede načela poštenosti (v zvezi z načelom preglednosti) predlog zakona sledi dosedanjim dosežkom pravne ureditve Republike Slovenije (obligacijsko pravo, pravo dostopa do informacij javnega značaja), ustavnosodne presoje (sicer s področja prikritih preiskovalnih ukrepov po Zakonu o kazenskem postopku) in sodne prakse (zlasti civilnopravne).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Znatno je spremenjena definicija privolitve posameznika za obdelavo njegovih osebnih podatkov, ki se sedaj glasi: »privolitev posameznika, na katerega se nanašajo osebni podatki, pomeni vsako prostovoljno, konkretno, informirano in nedvoumno ravnanje v obliki izjave ali jasnega pritrdilnega dejanja, iz katerega je mogoče sklepati na želje posameznika, na katerega se nanašajo osebni podatki, s katerim izrazi strinjanje z obdelavo osebnih podatkov, ki se nanašajo nanj«.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Na novo so razdelane definicije in obdelave v zvezi s posebnimi vrstami osebnih podatkov (v ZVOP-1: občutljivi osebni podatki), vključno s pravnimi podlagami za obdelavo.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Določena je nova ureditev glede drugih (do sedaj: naknadnih) namenov obdelave osebnih podatkov, po predlagani ureditvi in v skladu z Direktivo so drugi (novi) nameni obdelave osebnih podatkov sedaj širši in je upoštevanje prvotnega namena zbiranja in obdelave osebnih podatkov manj pomembno, mora pa biti določen nov namen z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 namene izkazovanja skladnosti obdelave osebnih podatkov sta kot obveznost za upravljavce in obdelovalce poleg izvedbe ocene učinkov določena tudi izvajanje ukrepa ti. notranje sledljivosti posredovanj osebnih podatkov (6. in 7. točka drugega odstavka 51. člena predloga zakona) in ukrepa ti. zunanje sledljivosti obdelav osebnih podatkov (šesti odstavek 69. člena predloga zakona), podobno, kot je to urejeno v veljavnem tretjem odstavku 22. člena ZVOP-1.</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Določena je nova ureditev za osebe, ki znotraj upravljavcev (pristojni državni organi Republike Slovenije) ali obdelovalcev zagotavljajo varstvo osebnih podatkov, zlasti ko gre za tvegane ali množične obdelave osebnih podatkov - pooblaščene osebe za varstvo osebnih podatkov. Ne uvaja se reguliran poklic, ampak neodvisne osebe znotraj upravljavca ali obdelovalca, ki naj preprečijo tveganja ali kršitve varstva osebnih podatkov. Glede pooblaščenih oseb za varstvo osebnih podatkov so zahtevana znanja ali praktične izkušnje s področja varstva osebnih podatkov: po predlogu zakona je tudi možno določiti namestnike pooblaščenih oseb.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Podrobneje je urejen tudi postopek uveljavljanja pravic posameznikov, na katere se nanašajo osebni podatki, s subsidiarno uporabo določb Zakona o splošnem upravnem postopku.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Posamezniku, na katerega se nanašajo osebni podatki, so dane na razpolago štiri možnosti za obrambo ali uresničevanje njegovih pravic s področja varstva osebnih podatkov napram pristojnemu organu, za katerega meni, da obdeluje njegove osebne podatke: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Posameznik se obrne z zahtevo na upravljavca (pristojni organ) in zahteva dostop do osebnih podatkov ali njihove spremembe (npr. popravek). Če mu ni ugodeno ali meni, da mu ni ugodeno, </w:t>
      </w:r>
      <w:r w:rsidRPr="007C190F">
        <w:rPr>
          <w:rFonts w:eastAsia="Calibri" w:cs="Arial"/>
          <w:szCs w:val="20"/>
        </w:rPr>
        <w:lastRenderedPageBreak/>
        <w:t xml:space="preserve">se obrne s pritožbo na nadzorni organ (Informacijski pooblaščenec). Postopek se vodi na podlagi klasičnega upravnega postopka z določenimi prilagoditvami obravnavanim zadevam (npr. omejitev vpogleda v spis, preverjanje identitete, zavarovanje osebnih podatkov, ki so predmet nadzornega postopka).  Pravice uresničuje neposredno, ko gre za obravnavanje zahteve pri pristojnem organu, preko nadzornega organa (pritožbeni postopek) pa posredno. </w:t>
      </w:r>
    </w:p>
    <w:p w:rsidR="00E302FA" w:rsidRPr="007C190F" w:rsidRDefault="00E302FA" w:rsidP="00E302FA">
      <w:pPr>
        <w:spacing w:after="160" w:line="260" w:lineRule="exact"/>
        <w:jc w:val="both"/>
        <w:rPr>
          <w:rFonts w:eastAsia="Calibri" w:cs="Arial"/>
          <w:szCs w:val="20"/>
        </w:rPr>
      </w:pPr>
      <w:r w:rsidRPr="007C190F">
        <w:rPr>
          <w:rFonts w:eastAsia="Calibri" w:cs="Arial"/>
          <w:szCs w:val="20"/>
        </w:rPr>
        <w:t xml:space="preserve">2. Posameznik, ki meni, da so njegove pravice kršene, ima po predlaganem zakonu tudi možnost vložitve neposredne zahteve po določbah Zakona o splošnem upravnem postopku pri Informacijskemu pooblaščencu in je v tem postopku vlagatelj zahteve (v nadaljevanju poimenovane kot prijava) </w:t>
      </w:r>
      <w:r w:rsidRPr="007C190F">
        <w:rPr>
          <w:rFonts w:eastAsia="Calibri" w:cs="Arial"/>
          <w:sz w:val="18"/>
          <w:szCs w:val="18"/>
        </w:rPr>
        <w:t>–</w:t>
      </w:r>
      <w:r w:rsidRPr="007C190F">
        <w:rPr>
          <w:rFonts w:eastAsia="Calibri" w:cs="Arial"/>
          <w:szCs w:val="20"/>
        </w:rPr>
        <w:t xml:space="preserve"> prijavitelj s posebnim položajem in nastopa kot stranka, s subsidiarno uporabo določb zlasti Zakona o splošnem upravnem postopku ter določb tega zakona (nadzorna pooblastila in nadzorni ukrepi). Posameznik pravice uresničuje posredno.</w:t>
      </w:r>
    </w:p>
    <w:p w:rsidR="00E302FA" w:rsidRPr="007C190F" w:rsidRDefault="00E302FA" w:rsidP="00E302FA">
      <w:pPr>
        <w:spacing w:after="160" w:line="260" w:lineRule="exact"/>
        <w:jc w:val="both"/>
        <w:rPr>
          <w:rFonts w:eastAsia="Calibri" w:cs="Arial"/>
          <w:szCs w:val="20"/>
        </w:rPr>
      </w:pPr>
      <w:r w:rsidRPr="007C190F">
        <w:rPr>
          <w:rFonts w:eastAsia="Calibri" w:cs="Arial"/>
          <w:szCs w:val="20"/>
        </w:rPr>
        <w:t>3. Informacijski pooblaščenec lahko vodi nadzorne postopke tudi v javnem interesu (po uradni dolžnosti), ki jih uvede ali na lastno pobudo, na podlagi prijave fizične ali pravne osebe ali na pobudo drugih organov, kar je klasični postopek inšpekcijskega nadzora po določbah Zakona o inšpekcijskem nadzoru. Prijavitelj je torej lahko kdorkoli; če je prijavitelj posameznik, na katerega se nanašajo osebni podatki, izvršuje svoje pravice posredno (zadoščeno mu bo preko ukrepanja nadzornega organa v javnem interesu, ne pa osebno).</w:t>
      </w:r>
    </w:p>
    <w:p w:rsidR="00E302FA" w:rsidRPr="007C190F" w:rsidRDefault="00E302FA" w:rsidP="00E302FA">
      <w:pPr>
        <w:spacing w:after="160" w:line="260" w:lineRule="exact"/>
        <w:jc w:val="both"/>
        <w:rPr>
          <w:rFonts w:eastAsia="Calibri" w:cs="Arial"/>
          <w:szCs w:val="20"/>
        </w:rPr>
      </w:pPr>
      <w:r w:rsidRPr="007C190F">
        <w:rPr>
          <w:rFonts w:eastAsia="Calibri" w:cs="Arial"/>
          <w:szCs w:val="20"/>
        </w:rPr>
        <w:t xml:space="preserve">4. Posameznik lahko vloži tudi samostojno tožbo na sodišče glede obdelave osebnih podatkov pri  pristojnem organu, in sicer glede sedanjih ali preteklih kršitev njegovih pravic s področja varstva osebnih podatkov (samostojno sodno varstvo), tožena stranka je pristojni organ, odločanje poteka </w:t>
      </w:r>
      <w:r w:rsidR="00E17FC1" w:rsidRPr="007C190F">
        <w:rPr>
          <w:rFonts w:eastAsia="Calibri" w:cs="Arial"/>
          <w:szCs w:val="20"/>
        </w:rPr>
        <w:t xml:space="preserve">z </w:t>
      </w:r>
      <w:r w:rsidRPr="007C190F">
        <w:rPr>
          <w:rFonts w:eastAsia="Calibri" w:cs="Arial"/>
          <w:szCs w:val="20"/>
        </w:rPr>
        <w:t>uporabo določb Zakona o upravnem sporu glede postopka v zvezi s kršitvami človekovih pravic in temeljnih svoboščin, v tožbenem zahtevku je možno zahtevati tudi povrnitev škode, v postopku odloča Upravno sodišče Republike Slovenije, nadzorni organ pa lahko pošlje svoje stališče Upravnemu sodišču. Posameznik izvršuje svoje pravice posredno.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Predlog zakona pa glede na določbe drugega odstavka 9. člena Direktive ne ureja znanstvenega, zgodovinskega in statističnega raziskovanja in arhivskega delovanja, ampak to prepušča sistemski ureditvi (bodoči ZVOP-2) ter področnim zakonskim ureditvam (ZNPPol, ZDT-1, ZVDAGA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Enotni oziroma skupni nadzorni organ za varstvo osebnih podatkov Republike Slovenije po določbah predloga zakona</w:t>
      </w:r>
      <w:r w:rsidRPr="007C190F" w:rsidDel="00672901">
        <w:rPr>
          <w:rFonts w:eastAsia="Calibri" w:cs="Arial"/>
          <w:szCs w:val="20"/>
        </w:rPr>
        <w:t xml:space="preserve"> </w:t>
      </w:r>
      <w:r w:rsidRPr="007C190F">
        <w:rPr>
          <w:rFonts w:eastAsia="Calibri" w:cs="Arial"/>
          <w:szCs w:val="20"/>
        </w:rPr>
        <w:t xml:space="preserve">ostaja Informacijski pooblaščenec, kot je bil do sedaj po določbah ZVOP-1 in po določbah Zakona o informacijskem pooblaščencu.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Področje kazenskega pravosodja in policije ter izvrševanja kazenskih sankcij zahteva, da so ustrezne specifike in izjeme, tako z vidika namenov obdelav osebnih podatkov kot tudi obveščanja posameznikov o njihovih osebnih podatkih, glede na določbe Direktive - urejene specifično (pravice posameznika, izjeme za delovanje pristojnih organov, specifike nadzora, nerazkrivanje identitete zaščitenih oseb ipd.).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področnih ureditvah obdelav osebnih podatkov so npr. delno prenovljeno razdelane določbe o povezovanju in strokovnem nadzoru.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Kazenske določbe določajo manjši, pa vseeno ustrezni nabor prekrškov, pomen zakona je namreč v izvajanju učinkovitega nadzora in vzpostavitvi zakonitega stanja obdelave osebnih podatkov (skladnost obdelave) ter posredno tudi v krepitvi kulture varstva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Glede na drugačne definicije iz Direktive je tudi prišlo do znatne spremembe dosedanjega tradicionalnega izrazoslovja s področja varstva osebnih podatkov (ustaljeno od leta 1984</w:t>
      </w:r>
      <w:r w:rsidRPr="007C190F">
        <w:rPr>
          <w:rFonts w:eastAsia="Calibri" w:cs="Arial"/>
          <w:sz w:val="18"/>
          <w:szCs w:val="18"/>
          <w:vertAlign w:val="superscript"/>
        </w:rPr>
        <w:footnoteReference w:id="18"/>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Tako so sedanji novi temeljni izrazi zlasti:</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lastRenderedPageBreak/>
        <w:t xml:space="preserve">zbirka (do sedaj zbirka osebnih podatkov), </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t>varnost osebnih podatkov (do sedaj zavarovanje osebnih podatkov),</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t>upravljavec (do sedaj upravljavec osebnih podatkov),</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t>obdelovalec (do sedaj pogodbeni obdelovalec),</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t>posebne vrste osebnih podatkov (do sedaj občutljivi osebni podatki),</w:t>
      </w:r>
    </w:p>
    <w:p w:rsidR="00E302FA" w:rsidRPr="007C190F" w:rsidRDefault="00E302FA" w:rsidP="00E302FA">
      <w:pPr>
        <w:numPr>
          <w:ilvl w:val="0"/>
          <w:numId w:val="19"/>
        </w:numPr>
        <w:spacing w:after="160" w:line="259" w:lineRule="auto"/>
        <w:jc w:val="both"/>
        <w:rPr>
          <w:rFonts w:eastAsia="Calibri" w:cs="Arial"/>
          <w:szCs w:val="20"/>
        </w:rPr>
      </w:pPr>
      <w:bookmarkStart w:id="4" w:name="_Hlk506038318"/>
      <w:r w:rsidRPr="007C190F">
        <w:rPr>
          <w:rFonts w:eastAsia="Calibri" w:cs="Arial"/>
          <w:szCs w:val="20"/>
        </w:rPr>
        <w:t>prenos osebnih podatkov (dosedanji iznos osebnih podatkov v tretje države),</w:t>
      </w:r>
    </w:p>
    <w:p w:rsidR="00E302FA" w:rsidRPr="007C190F" w:rsidRDefault="00E302FA" w:rsidP="00E302FA">
      <w:pPr>
        <w:numPr>
          <w:ilvl w:val="0"/>
          <w:numId w:val="19"/>
        </w:numPr>
        <w:spacing w:after="160" w:line="259" w:lineRule="auto"/>
        <w:jc w:val="both"/>
        <w:rPr>
          <w:rFonts w:eastAsia="Calibri" w:cs="Arial"/>
          <w:szCs w:val="20"/>
        </w:rPr>
      </w:pPr>
      <w:r w:rsidRPr="007C190F">
        <w:rPr>
          <w:rFonts w:eastAsia="Calibri" w:cs="Arial"/>
          <w:szCs w:val="20"/>
        </w:rPr>
        <w:t xml:space="preserve">posredovanje osebnih podatkov pomeni izmenjavo osebnih podatkov med upravljavcem in uporabnikom ali upravljavcem in upravljavcem ali upravljalcem in obdelovalcem.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Z vidika administrativnih razbremenitev ali poenostavitev predlog zakona zlasti: </w:t>
      </w:r>
    </w:p>
    <w:p w:rsidR="00E302FA" w:rsidRPr="007C190F" w:rsidRDefault="00E302FA" w:rsidP="00E302FA">
      <w:pPr>
        <w:numPr>
          <w:ilvl w:val="0"/>
          <w:numId w:val="20"/>
        </w:numPr>
        <w:spacing w:after="160" w:line="259" w:lineRule="auto"/>
        <w:jc w:val="both"/>
        <w:rPr>
          <w:rFonts w:eastAsia="Calibri" w:cs="Arial"/>
          <w:szCs w:val="20"/>
        </w:rPr>
      </w:pPr>
      <w:r w:rsidRPr="007C190F">
        <w:rPr>
          <w:rFonts w:eastAsia="Calibri" w:cs="Arial"/>
          <w:szCs w:val="20"/>
        </w:rPr>
        <w:t>ukinja Register zbirk osebnih podatkov in dolžnost notifikacije zbirk Informacijskemu pooblaščencu, kar je nadomeščeno z  evidenco dejanj obdelav za upravljalce in obdelovalce osebnih podatkov;</w:t>
      </w:r>
    </w:p>
    <w:p w:rsidR="00E302FA" w:rsidRPr="007C190F" w:rsidRDefault="00E302FA" w:rsidP="00E302FA">
      <w:pPr>
        <w:numPr>
          <w:ilvl w:val="0"/>
          <w:numId w:val="20"/>
        </w:numPr>
        <w:spacing w:after="160" w:line="259" w:lineRule="auto"/>
        <w:jc w:val="both"/>
        <w:rPr>
          <w:rFonts w:eastAsia="Calibri" w:cs="Arial"/>
          <w:szCs w:val="20"/>
        </w:rPr>
      </w:pPr>
      <w:r w:rsidRPr="007C190F">
        <w:rPr>
          <w:rFonts w:eastAsia="Calibri" w:cs="Arial"/>
          <w:szCs w:val="20"/>
        </w:rPr>
        <w:t>določa olajšan sistem izbire pooblaščene osebe za varstvo osebnih podatkov, enako tudi glede pogojev za njihovo določitev;</w:t>
      </w:r>
    </w:p>
    <w:p w:rsidR="00E302FA" w:rsidRPr="007C190F" w:rsidRDefault="00E302FA" w:rsidP="00E302FA">
      <w:pPr>
        <w:numPr>
          <w:ilvl w:val="0"/>
          <w:numId w:val="20"/>
        </w:numPr>
        <w:spacing w:after="160" w:line="259" w:lineRule="auto"/>
        <w:jc w:val="both"/>
        <w:rPr>
          <w:rFonts w:eastAsia="Calibri" w:cs="Arial"/>
          <w:szCs w:val="20"/>
        </w:rPr>
      </w:pPr>
      <w:r w:rsidRPr="007C190F">
        <w:rPr>
          <w:rFonts w:eastAsia="Calibri" w:cs="Arial"/>
          <w:szCs w:val="20"/>
        </w:rPr>
        <w:t>določa definicijo povezovanja zbirk osebnih podatkov – samo informacijski sistemi s tveganimi obdelavami osebnih podatkov bodo potrebovali ureditev v področnem zakonu.</w:t>
      </w:r>
    </w:p>
    <w:p w:rsidR="00E302FA" w:rsidRPr="007C190F" w:rsidRDefault="00E302FA" w:rsidP="00E302FA">
      <w:pPr>
        <w:keepNext/>
        <w:keepLines/>
        <w:spacing w:before="240" w:after="120" w:line="259" w:lineRule="auto"/>
        <w:outlineLvl w:val="2"/>
        <w:rPr>
          <w:rFonts w:ascii="Calibri Light" w:hAnsi="Calibri Light"/>
          <w:b/>
          <w:bCs/>
          <w:sz w:val="24"/>
        </w:rPr>
      </w:pPr>
      <w:bookmarkStart w:id="5" w:name="_Hlk2153545"/>
      <w:bookmarkEnd w:id="4"/>
      <w:r w:rsidRPr="007C190F">
        <w:rPr>
          <w:rFonts w:ascii="Calibri Light" w:hAnsi="Calibri Light"/>
          <w:b/>
          <w:bCs/>
          <w:sz w:val="24"/>
        </w:rPr>
        <w:t>2.6. Sprejetje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Zakon bi moral biti uveljavljen že 6. 5. 2018, ko je potekel rok za zakonodajno implementacijo Direktive</w:t>
      </w:r>
      <w:bookmarkEnd w:id="5"/>
      <w:r w:rsidRPr="007C190F">
        <w:rPr>
          <w:rFonts w:eastAsia="Calibri" w:cs="Arial"/>
          <w:szCs w:val="20"/>
        </w:rPr>
        <w:t>. Zato mora zakon biti čimprej sprejet in objavljen v Uradnem listu Republike Slovenije.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40" w:lineRule="auto"/>
        <w:jc w:val="both"/>
        <w:outlineLvl w:val="1"/>
        <w:rPr>
          <w:rFonts w:ascii="Calibri Light" w:hAnsi="Calibri Light"/>
          <w:b/>
          <w:bCs/>
          <w:sz w:val="26"/>
          <w:szCs w:val="26"/>
        </w:rPr>
      </w:pPr>
      <w:r w:rsidRPr="007C190F">
        <w:rPr>
          <w:rFonts w:ascii="Calibri Light" w:hAnsi="Calibri Light"/>
          <w:b/>
          <w:bCs/>
          <w:sz w:val="26"/>
          <w:szCs w:val="26"/>
        </w:rPr>
        <w:t>3. OCENA FINANČNIH POSLEDIC PREDLOGA ZAKONA ZA DRŽAVNI PRORAČUN IN DRUGA JAVNA FINANČNA SREDSTVA</w:t>
      </w: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bCs/>
          <w:sz w:val="24"/>
        </w:rPr>
        <w:t>3.1 Ocena finančnih posledic za državni proračun: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Predlog zakona ne bo imel posledic za Proračun Republike Slovenije, saj je bilo precej predlaganih zakonskih rešitev že do sedaj del pravnega reda Republike Slovenije in jih sedanji predlog zakona le nekoliko nadgrajuje.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Dodatna sredstva ne bodo potrebna niti za okrepitev oziroma dodatno zagotovitev učinkovitega in neoviranega delovanja neodvisnega nadzornega mehanizma (Informacijski pooblaščenec), namreč glede dodatnih kadrov in prostorov, ki zagotavljajo učinkoviti nadzor spoštovanja določb novih pravnih aktov Evropske unije glede varstva osebnih podatkov. Za to potrebne pravice porabe so bile pri Informacijskem pooblaščencu zaradi izvajanja Splošne uredbe o varstvu podatkov </w:t>
      </w:r>
      <w:r w:rsidRPr="007C190F">
        <w:rPr>
          <w:rFonts w:eastAsia="Calibri" w:cs="Arial"/>
          <w:szCs w:val="20"/>
        </w:rPr>
        <w:lastRenderedPageBreak/>
        <w:t>zagotovljene že z letoma 2018</w:t>
      </w:r>
      <w:r w:rsidRPr="007C190F">
        <w:rPr>
          <w:rFonts w:eastAsia="Calibri" w:cs="Arial"/>
          <w:sz w:val="18"/>
          <w:szCs w:val="18"/>
          <w:vertAlign w:val="superscript"/>
        </w:rPr>
        <w:footnoteReference w:id="19"/>
      </w:r>
      <w:r w:rsidRPr="007C190F">
        <w:rPr>
          <w:rFonts w:eastAsia="Calibri" w:cs="Arial"/>
          <w:szCs w:val="20"/>
        </w:rPr>
        <w:t xml:space="preserve"> in 2019</w:t>
      </w:r>
      <w:r w:rsidRPr="007C190F">
        <w:rPr>
          <w:rFonts w:eastAsia="Calibri" w:cs="Arial"/>
          <w:sz w:val="18"/>
          <w:szCs w:val="18"/>
          <w:vertAlign w:val="superscript"/>
        </w:rPr>
        <w:footnoteReference w:id="20"/>
      </w:r>
      <w:r w:rsidRPr="007C190F">
        <w:rPr>
          <w:rFonts w:eastAsia="Calibri" w:cs="Arial"/>
          <w:szCs w:val="20"/>
        </w:rPr>
        <w:t>, tako da ta predlog zakona tudi iz tega vidika nima finančnih posledic za državni proračun.</w:t>
      </w:r>
    </w:p>
    <w:p w:rsidR="00E302FA" w:rsidRPr="007C190F" w:rsidRDefault="00E302FA" w:rsidP="00E302FA">
      <w:pPr>
        <w:keepNext/>
        <w:keepLines/>
        <w:spacing w:before="240" w:after="120" w:line="259" w:lineRule="auto"/>
        <w:outlineLvl w:val="2"/>
        <w:rPr>
          <w:rFonts w:ascii="Calibri Light" w:hAnsi="Calibri Light"/>
          <w:b/>
          <w:bCs/>
          <w:sz w:val="24"/>
        </w:rPr>
      </w:pPr>
      <w:r w:rsidRPr="007C190F">
        <w:rPr>
          <w:rFonts w:ascii="Calibri Light" w:hAnsi="Calibri Light"/>
          <w:b/>
          <w:sz w:val="24"/>
        </w:rPr>
        <w:br/>
      </w:r>
      <w:r w:rsidRPr="007C190F">
        <w:rPr>
          <w:rFonts w:ascii="Calibri Light" w:hAnsi="Calibri Light"/>
          <w:b/>
          <w:bCs/>
          <w:sz w:val="24"/>
        </w:rPr>
        <w:t>3.2 Ocena finančnih posledic za druga javna finančna sredstva: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Predlog zakona ne bo imel posledic za druga javna finančna sredstva.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40" w:lineRule="auto"/>
        <w:jc w:val="both"/>
        <w:outlineLvl w:val="1"/>
        <w:rPr>
          <w:rFonts w:ascii="Calibri Light" w:hAnsi="Calibri Light"/>
          <w:b/>
          <w:bCs/>
          <w:sz w:val="26"/>
          <w:szCs w:val="26"/>
        </w:rPr>
      </w:pPr>
      <w:r w:rsidRPr="007C190F">
        <w:rPr>
          <w:rFonts w:ascii="Calibri Light" w:hAnsi="Calibri Light"/>
          <w:b/>
          <w:bCs/>
          <w:sz w:val="26"/>
          <w:szCs w:val="26"/>
        </w:rPr>
        <w:t>4. NAVEDBA, DA SO SREDSTVA ZA IZVAJANJE ZAKONA V DRŽAVNEM PRORAČUNU ZAGOTOVLJENA, ČE PREDLOG ZAKONA PREDVIDEVA PORABO PRORAČUNSKIH SREDSTEV V OBDOBJU, ZA KATERO JE BIL DRŽAVNI PRORAČUN ŽE SPREJET</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Kot je bilo omenjeno že v točki 3.1 tega uvoda, so bila sredstva v državnem proračunu zagotovljena že zaradi izvajanja Splošne uredbe o varstvu podatkov, in sicer za delovanje neodvisnega nadzornega in samostojnega organa (Informacijski pooblaščenec). Potrebna sredstva za izvajanje predloga tega zakona so tako v državnem proračunu zagotovljena na naslednjih proračunskih postavkah:</w:t>
      </w:r>
    </w:p>
    <w:p w:rsidR="00E302FA" w:rsidRPr="007C190F" w:rsidRDefault="00E302FA" w:rsidP="00E302FA">
      <w:pPr>
        <w:numPr>
          <w:ilvl w:val="0"/>
          <w:numId w:val="12"/>
        </w:numPr>
        <w:spacing w:after="160" w:line="259" w:lineRule="auto"/>
        <w:jc w:val="both"/>
        <w:rPr>
          <w:rFonts w:eastAsia="Calibri" w:cs="Arial"/>
          <w:szCs w:val="20"/>
        </w:rPr>
      </w:pPr>
      <w:r w:rsidRPr="007C190F">
        <w:rPr>
          <w:rFonts w:eastAsia="Calibri" w:cs="Arial"/>
          <w:szCs w:val="20"/>
        </w:rPr>
        <w:t>proračunska postavka 1267 plače;</w:t>
      </w:r>
    </w:p>
    <w:p w:rsidR="00E302FA" w:rsidRPr="007C190F" w:rsidRDefault="00E302FA" w:rsidP="00E302FA">
      <w:pPr>
        <w:numPr>
          <w:ilvl w:val="0"/>
          <w:numId w:val="12"/>
        </w:numPr>
        <w:spacing w:after="240" w:line="259" w:lineRule="auto"/>
        <w:jc w:val="both"/>
        <w:rPr>
          <w:rFonts w:eastAsia="Calibri" w:cs="Arial"/>
          <w:szCs w:val="20"/>
        </w:rPr>
      </w:pPr>
      <w:r w:rsidRPr="007C190F">
        <w:rPr>
          <w:rFonts w:eastAsia="Calibri" w:cs="Arial"/>
          <w:szCs w:val="20"/>
        </w:rPr>
        <w:t xml:space="preserve">proračunska postavka 1273 investicije; na kateri so zagotovljena finančna sredstva za osnovno opremo zaposlenih; </w:t>
      </w:r>
    </w:p>
    <w:p w:rsidR="00E302FA" w:rsidRPr="007C190F" w:rsidRDefault="00E302FA" w:rsidP="00E302FA">
      <w:pPr>
        <w:numPr>
          <w:ilvl w:val="0"/>
          <w:numId w:val="12"/>
        </w:numPr>
        <w:spacing w:after="160" w:line="259" w:lineRule="auto"/>
        <w:jc w:val="both"/>
        <w:rPr>
          <w:rFonts w:eastAsia="Calibri" w:cs="Arial"/>
          <w:szCs w:val="20"/>
        </w:rPr>
      </w:pPr>
      <w:r w:rsidRPr="007C190F">
        <w:rPr>
          <w:rFonts w:eastAsia="Calibri" w:cs="Arial"/>
          <w:szCs w:val="20"/>
        </w:rPr>
        <w:t>proračunska postavka 1271; na kateri so predvidena finančna sredstva za materialne stroške in za najem poslovnih prostorov.</w:t>
      </w:r>
    </w:p>
    <w:p w:rsidR="00E302FA" w:rsidRPr="007C190F" w:rsidRDefault="00E302FA" w:rsidP="00E302FA">
      <w:pPr>
        <w:spacing w:after="160" w:line="259" w:lineRule="auto"/>
        <w:jc w:val="both"/>
        <w:rPr>
          <w:rFonts w:eastAsia="Calibri" w:cs="Arial"/>
          <w:b/>
          <w:bCs/>
          <w:szCs w:val="20"/>
        </w:rPr>
      </w:pPr>
    </w:p>
    <w:p w:rsidR="00E302FA" w:rsidRPr="007C190F" w:rsidRDefault="00E302FA" w:rsidP="00654207">
      <w:pPr>
        <w:keepNext/>
        <w:keepLines/>
        <w:spacing w:before="40" w:line="240" w:lineRule="auto"/>
        <w:jc w:val="both"/>
        <w:outlineLvl w:val="1"/>
        <w:rPr>
          <w:rFonts w:ascii="Calibri Light" w:hAnsi="Calibri Light"/>
          <w:b/>
          <w:bCs/>
          <w:sz w:val="26"/>
          <w:szCs w:val="26"/>
        </w:rPr>
      </w:pPr>
      <w:r w:rsidRPr="007C190F">
        <w:rPr>
          <w:rFonts w:ascii="Calibri Light" w:hAnsi="Calibri Light"/>
          <w:b/>
          <w:bCs/>
          <w:sz w:val="26"/>
          <w:szCs w:val="26"/>
        </w:rPr>
        <w:t xml:space="preserve">5. </w:t>
      </w:r>
      <w:r w:rsidR="00654207" w:rsidRPr="007C190F">
        <w:rPr>
          <w:rFonts w:ascii="Calibri Light" w:hAnsi="Calibri Light"/>
          <w:b/>
          <w:bCs/>
          <w:sz w:val="26"/>
          <w:szCs w:val="26"/>
        </w:rPr>
        <w:t>PRIKAZ UREDITVE V DRUGIH PRAVNIH SISTEMIH IN PRILAGOJENOSTI PREDLAGANE UREDITVE V PRAVU EVROPSKE UNIJE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5.1 Prilagojenost predlagane ureditve pravu Evropske unije</w:t>
      </w:r>
    </w:p>
    <w:p w:rsidR="00E302FA" w:rsidRPr="007C190F" w:rsidRDefault="00E302FA" w:rsidP="00E302FA">
      <w:pPr>
        <w:spacing w:after="160" w:line="259" w:lineRule="auto"/>
        <w:jc w:val="both"/>
      </w:pPr>
      <w:r w:rsidRPr="007C190F">
        <w:t xml:space="preserve">Predlog zakona predstavlja celovito prilagoditev pravu Evropske unije, saj gre za predpis, ki v naš pravni red prenaša Direktivo (EU) 2016/680. Predlagani prenos bo tako omogočil policiji ter organom kazenskega pravosodja in izvrševanja kazenskih sankcij, da obdelujejo osebne podatke v skladu z določbami Direktive. Prav tako se s tem predlogom zakona v pravni red Republike </w:t>
      </w:r>
      <w:r w:rsidRPr="007C190F">
        <w:lastRenderedPageBreak/>
        <w:t>Slovenije delno prenaša Direktiva (EU) 2016/681 – direktiva glede Evidenc letalskih potnikov</w:t>
      </w:r>
      <w:r w:rsidRPr="007C190F">
        <w:rPr>
          <w:sz w:val="18"/>
          <w:szCs w:val="18"/>
          <w:vertAlign w:val="superscript"/>
        </w:rPr>
        <w:footnoteReference w:id="21"/>
      </w:r>
      <w:r w:rsidRPr="007C190F">
        <w:t xml:space="preserve">, in sicer v delu, ki se nanaša na poseben položaj pooblaščene osebe za varstvo osebnih podatkov glede evidence letalskih potnikov, ter glede še nekaterih tehničnih vprašanj (npr. poseben rok za hrambo podatkov iz dnevnikov obdelave). </w:t>
      </w:r>
    </w:p>
    <w:p w:rsidR="00E302FA" w:rsidRPr="007C190F" w:rsidRDefault="00E302FA" w:rsidP="00E302FA">
      <w:pPr>
        <w:spacing w:after="160" w:line="259" w:lineRule="auto"/>
        <w:jc w:val="both"/>
      </w:pPr>
      <w:r w:rsidRPr="007C190F">
        <w:t>V nadaljevanju je v primerjalno pravni ureditvi prikazana implementacija Direktive (EU) 2016/680.</w:t>
      </w:r>
    </w:p>
    <w:p w:rsidR="00E302FA" w:rsidRPr="007C190F" w:rsidRDefault="00E302FA" w:rsidP="00E302FA">
      <w:pPr>
        <w:spacing w:after="160" w:line="259" w:lineRule="auto"/>
        <w:jc w:val="both"/>
        <w:rPr>
          <w:rFonts w:eastAsia="Calibri" w:cs="Arial"/>
          <w:szCs w:val="20"/>
        </w:rPr>
      </w:pPr>
      <w:r w:rsidRPr="007C190F">
        <w:t xml:space="preserve"> </w:t>
      </w:r>
    </w:p>
    <w:p w:rsidR="00E302FA" w:rsidRPr="007C190F" w:rsidRDefault="00E302FA" w:rsidP="00E302FA">
      <w:pPr>
        <w:spacing w:after="160" w:line="259" w:lineRule="auto"/>
        <w:jc w:val="both"/>
        <w:rPr>
          <w:rFonts w:eastAsia="Calibri" w:cs="Arial"/>
          <w:b/>
          <w:bCs/>
          <w:szCs w:val="20"/>
        </w:rPr>
      </w:pPr>
      <w:r w:rsidRPr="007C190F">
        <w:rPr>
          <w:rFonts w:eastAsia="Calibri" w:cs="Arial"/>
          <w:b/>
          <w:bCs/>
          <w:szCs w:val="20"/>
        </w:rPr>
        <w:t>5.2 Uvodno o primerjalno pravni ureditvi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Med državami članicami, ki so se odločile, da direktivo prenesejo z ločenim zakonom, so med drugimi tudi Kraljevina Danska, Republika Hrvaška, Republika Finska, Republika Latvija, Kraljevina Nizozemska, Italijanska republika, Portugalska republika in Republika Litva, ki so, z izjemo Kraljevine Danske, svoje zakone sprejele šele po pričetku veljave Direktive. Trend zakonodajnega urejanja izvedbenih zakonov med naštetimi državami članicami izkazuje jasne namere slediti ciljem Direktive s posodobitvijo predpisov, s kar se da hitro in preprosto implementacijo, olajšanjem uporabe za organe pregona, preiskovanja, preprečevanja kaznivih dejanj, možnostjo prilagajanja uporabi novih tehnologij in zavezanostjo visokim standardom varstva osebnih podatkov in osnovnih človekovih pravic.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Kot poseben primer gre izpostaviti Kraljevino Dansko, ki je že leta 2017 sprejela izvedbeni zakon, ki je bistvenega pomena za nadaljnje sodelovanje Danske v okviru Europola. V njem so tako strogo ločili obdelavo osebnih podatkov s strani organov pregona za kazenske zadeve in obdelavo osebnih podatkov za civilnopravne zadeve po Zakonu o varstvu osebnih podatkov ter Splošni uredbi o varstvu podatkov (Zakon o varstvu osebnih podatkov je začel veljati leto dni kasneje).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nadaljevanju so tako predstavljeni danski, hrvaški in finski zakon (torej trije sprejeti zakoni držav članic Evropske unije), delno tudi na način, da se izpostavijo cilji predlagateljev iz uradnih obrazložitev predlogov teh zakonov. Prav tako sta izpostavljeni ureditvi Avstrije in Nemčije, ki pa sta uporabili ti. skupni zakonski pristop – skupno ureditev v enem zakonu za Splošno uredbo in Direktivo.</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 xml:space="preserve">5.2.1 Kraljevina Danska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Kraljevina Danska je 27. aprila 2017 sprejela Zakon o obdelavi osebnih podatkov s strani organov pregona, ki je pričel veljati 1. maja 2017. Ministrstvo za pravosodje Kraljevine Danske je ugotovilo, da bi za uspešno implementacijo Direktive le-ta morala biti, kolikor je to mogoče, opravljena v celovitem zakonu, ki zajema obdelavo podatkov za pristojne danske organe, da bi preprečili, preiskovali, odkrivali ali preganjali kazniva dejanja ali izvrševali kazenske sankcije, vključno s preprečevanjem groženj javni varnosti. Ta pristop ustvarja višjo stopnjo jasnosti za organe pri uporabi področne zakonodaje in vodi tudi k temu, da tovrstni osebni podatki niso več zajeti v zakonu o osebnih podatkih, kadar sodijo v okvir določb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 del zakona določa vsa področja obdelave osebnih podatkov, ki se delno ali v celoti obdelujejo z avtomatsko obdelavo podatkov in za drugo neavtomatsko obdelavo osebnih podatkov, ki so ali bodo vsebovani v ustreznih evidencah, ko se obdelava izvaja zaradi preprečevanja,  preiskovanja, odkrivanja ali pregona kaznivih dejanj ali izvrševanja kazenskih sankcij, vključno z namenom varovanja ali preprečevanja groženj javni varnosti.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II. del zakona določa pravila obdelave osebnih podatkov, vključno z določbami o razlikovanju med osebami, za katere obstaja utemeljen razlog, da so storile ali bodo storile kaznivo dejanje, osebami, obsojenimi za kaznivo dejanje, žrtvami kaznivega dejanja in osebami, za katere določena dejstva vzbujajo prepričanje, da so lahko žrtve kaznivega dejanja, in drugimi osebami v zvezi s kaznivim </w:t>
      </w:r>
      <w:r w:rsidRPr="007C190F">
        <w:rPr>
          <w:rFonts w:eastAsia="Calibri" w:cs="Arial"/>
          <w:szCs w:val="20"/>
        </w:rPr>
        <w:lastRenderedPageBreak/>
        <w:t>dejanjem (na primer osebe, ki so lahko poklicane kot priče v preiskavah v zvezi s kaznivimi dejanji ali v kasnejših kazenskih postopkih, osebe, ki lahko dajo informacije o kaznivih dejanjih itd.).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III. del zakona določa pravice posameznika, vključno s pravico do vpogleda, popravka in izbrisa podatkov, IV. del zakona določa obveznosti obdelovalca in upravljavca podatkov, vključno z vodenjem evidenc o obdelavah in vpogledih, oceno učinka in posvetovanjem z nadzornimi organi, VII. del zakona določa pravila izmenjave podatkov z drugimi državami, VIII. del določa vlogo, naloge in pristojnosti nadzornega organa, IX. del pa določa pravna sredstva ter sankcije.</w:t>
      </w:r>
    </w:p>
    <w:p w:rsidR="00E302FA" w:rsidRPr="007C190F" w:rsidRDefault="00E302FA" w:rsidP="00E302FA">
      <w:pPr>
        <w:spacing w:after="160" w:line="259" w:lineRule="auto"/>
        <w:jc w:val="both"/>
        <w:rPr>
          <w:rFonts w:eastAsia="Calibri" w:cs="Arial"/>
          <w:szCs w:val="20"/>
        </w:rPr>
      </w:pPr>
    </w:p>
    <w:p w:rsidR="00654207" w:rsidRPr="007C190F" w:rsidRDefault="00654207" w:rsidP="00E302FA">
      <w:pPr>
        <w:spacing w:after="160" w:line="259" w:lineRule="auto"/>
        <w:jc w:val="both"/>
        <w:rPr>
          <w:rFonts w:eastAsia="Calibri" w:cs="Arial"/>
          <w:szCs w:val="20"/>
        </w:rPr>
      </w:pPr>
    </w:p>
    <w:p w:rsidR="00654207" w:rsidRPr="007C190F" w:rsidRDefault="00654207"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5.2.2 Republika Hrvaška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Republika Hrvaška je 19. julija 2018 sprejela Zakon o varstvu fizičnih oseb v zvezi z obdelavo in izmenjavo osebnih podatkov zaradi preprečevanja, preiskovanja, odkrivanja ali pregona kaznivih dejanj ali izvrševanja kazenskih sankcij, ki je začel veljati 4. avgusta 2018. Ker bi prenos določb direktive v veljavne predpise zahteval spremembo več zakonov, se je vlada Republike Hrvaške odločila, da že v osnutku zadevo uredi na enoten način. Zakon tako določa, da mora biti vsaka obdelava osebnih podatkov zakonita, poštena in pregledna v odnosu do fizičnih oseb, na katere se nanaša, in se izvaja samo za namene, ki jih določa ta zakon. Fizične osebe bi morale biti seznanjene s tveganji, zaščitnimi ukrepi in pravicami v zvezi z obdelavo svojih osebnih podatkov in s tem, kako lahko uveljavljajo svoje pravice. Osebni podatki morajo biti ustrezni in skladni z namenom, za katerega se obdelujejo. Zlasti je treba paziti, da obseg podatkov, ki se zbirajo in obdelujejo, ne presega namena obdelave teh podatkov in da se ne shranjujejo dlje, kot je potrebno za namene, za katere se obdelujejo. Osebne podatke je treba obdelovati le, če namena obdelave ni mogoče razumno doseči z drugimi sredstvi.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 del zakona v okvirju splošnih določb vsebuje tudi definicije temeljnih pojmov, uporabljenih v tem zakonu. Drugi izrazi, ki se uporabljajo v tem zakonu in nimajo pomena, kot je opredeljen v prvem odstavku tega člena, imajo pomen, določen v Splošni uredbi.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II. del zakona določa načela obdelave podatkov, roke hrambe podatkov, razlikovanje med kategorijami podatkov, razlikovanje podatkov in preverjanje kakovosti osebnih podatkov, posebne pogoje obdelave in posebne vrste osebnih podatkov ter avtomatizirano obdelavo in odločanje.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III. del določa pravice posameznika v postopku, IV. del določa obveznosti obdelovalca in upravljavca podatkov, vključno z vodenjem evidenc o obdelavah in vpogledih, oceni učinka, predhodno posvetovanje z nadzornimi organi ter poročanje nadzornemu organu, varnost obdelave, V. del določa prenos podatkov tretjim državam ali mednarodnim organizacijam, VI. del določa naloge in pooblastila nadzornega organa, VII. del zakona pa ureja pravno varstvo posameznika.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5.2.3 Republika Finska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Republika Finska je 5. decembra 2018 sprejela Zakon o obdelavi osebnih podatkov v kazenskih zadevah in v povezavi z ohranjanjem nacionalne varnosti</w:t>
      </w:r>
      <w:r w:rsidRPr="007C190F">
        <w:rPr>
          <w:rFonts w:eastAsia="Calibri" w:cs="Arial"/>
          <w:szCs w:val="20"/>
          <w:vertAlign w:val="superscript"/>
        </w:rPr>
        <w:footnoteReference w:id="22"/>
      </w:r>
      <w:r w:rsidRPr="007C190F">
        <w:rPr>
          <w:rFonts w:eastAsia="Calibri" w:cs="Arial"/>
          <w:szCs w:val="20"/>
        </w:rPr>
        <w:t xml:space="preserve">, ki je pričel veljati 1. januarja 2019. Podobno kot že omenjeni Danska in Hrvaška se je tudi Republika Finska odločila, da Direktivo prenese v ločen in celovit zakon, z namenom nedvoumne ureditve in hitrejše implementacije. Tako je obdelava osebnih podatkov v kazenskih zadevah povsem izključena iz področja uporabe Splošne uredbe o varstvu podatkov. Zakon se tako uporablja za preprečevanje ali preiskovanje </w:t>
      </w:r>
      <w:r w:rsidRPr="007C190F">
        <w:rPr>
          <w:rFonts w:eastAsia="Calibri" w:cs="Arial"/>
          <w:szCs w:val="20"/>
        </w:rPr>
        <w:lastRenderedPageBreak/>
        <w:t xml:space="preserve">kaznivih dejanj, začetek obravnave obtožb, začetek pravnih dejanj, obravnavo kazenskih zadev na sodišču, izvrševanje sankcioniranj ali preprečevanje groženj javni varnosti.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 del zakona določa vsa področja obdelave osebnih podatkov za področje odkrivanja, pregona, preiskovanja in sankcioniranja kaznivih dejanj ter področja varnosti države, ob tem pa določa tudi uporabo avtomatizirane obdelave osebnih podatkov. V 2. členu ureja razmerje zakona do drugih predpisov. II. del določa pravila, načine in namen obdelave osebnih podatkov, razlikovanje med vrstami osebnih podatkov, verifikacijo in izmenjavo osebnih podatkov, obveznosti do razkritja določenih vrst obdelav osebnih podatkov, avtomatsko odločanje. III. del določa pravila za varovanje osebnih podatkov, obveznosti obdelovalca in upravljavca podatkov, evidentiranje obdelave in dostopov. IV. del določa pravice posameznika, čigar podatki se obdelujejo. V. del še dodatno in podrobneje ureja varovanje osebnih podatkov in postopke poročanja. VI. del ureja pristojnosti in naloge pooblaščenca za varstvo podatkov. VII. del ureja izmenjavo osebnih podatkov in njihovo varovanje za namene izmenjave s tretjimi državami ali mednarodnimi organizacijami. VIII. del določa naloge in pristojnosti nadzornega organa ter določa načine komunikacije in posvetovanja za namene obdelave ali varstva osebnih podatkov.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5.2.4 Zvezna republika Nemčija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Zvezna republika Nemčija je 27. aprila 2017 sprejela Zakon o prilagoditvi zakonodaje o varstvu osebnih podatkov Uredbi (EU) 2016/679 in izvajanju Direktive (EU) 2016/680 (Zakon o prilagoditvi in izvajanju zakonodaje o varstvu osebnih podatkov EU)</w:t>
      </w:r>
      <w:r w:rsidRPr="007C190F">
        <w:rPr>
          <w:rFonts w:eastAsia="Calibri" w:cs="Arial"/>
          <w:szCs w:val="20"/>
          <w:vertAlign w:val="superscript"/>
        </w:rPr>
        <w:footnoteReference w:id="23"/>
      </w:r>
      <w:r w:rsidRPr="007C190F">
        <w:rPr>
          <w:rFonts w:eastAsia="Calibri" w:cs="Arial"/>
          <w:szCs w:val="20"/>
        </w:rPr>
        <w:t xml:space="preserve">. Sistemski pristop zakona je, da upošteva obstoječo nacionalno pravno ureditev (ustavnopravno), ustaljene rešitve iz področnih zakonov Nemčije ter tradicionalno prakso varstva osebnih podatkov v Nemčiji.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 del zakona velja za vsa področja obdelave osebnih podatkov, tako tudi za področje nacionalne varnosti, obrambe in pomeni tudi </w:t>
      </w:r>
      <w:r w:rsidR="00E17FC1" w:rsidRPr="007C190F">
        <w:rPr>
          <w:rFonts w:eastAsia="Calibri" w:cs="Arial"/>
          <w:szCs w:val="20"/>
        </w:rPr>
        <w:t xml:space="preserve">prenos </w:t>
      </w:r>
      <w:r w:rsidRPr="007C190F">
        <w:rPr>
          <w:rFonts w:eastAsia="Calibri" w:cs="Arial"/>
          <w:szCs w:val="20"/>
        </w:rPr>
        <w:t xml:space="preserve">določb Direktive. Enako velja za pristojnosti Zveznega pooblaščenca za varstvo osebnih podatkov (nadzorni organ za varstvo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2. členu so podane definicije subjektov javnega in zasebnega sektorja. 3. člen določa (na posreden način) uporabo strogega načela zakonitosti za javni sektor (javno oblast) – stroga uporaba (in interpretacija) (e) točke prvega odstavka člena 6 Splošne uredbe.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člen določa široko uporabo videonadzora glede javnih površin, pri čemer se upoštevajo tudi legitimni interesi upravljavca (3. točka prvega odstavka – izvedba (f) točke prvega odstavka člena 6 Splošne uredbe). V 22. členu so določena pravila (pravne podlage) glede obdelave posebnih vrst osebnih podatkov – podano je pooblastilo upravljavcem (sicer po predpisanih strogih pravilih), kako naj tehtajo možnost obdelave posebnih vrst osebnih podatkov v konkretnih primerih, kar pa lahko izjemoma določi tudi področna zakonodaja. Na ta način je nadgrajen sistem iz 9. člena Splošne uredbe. Ko gre za obdelavo teh podatkov v druge namene, se po uvodnem delu drugega odstavka upošteva tudi področna zakonodaja. 24. člen določa stroga pravila glede obdelave osebnih podatkov v druge namene, in sicer le za potrebe preprečevanja nevarnosti za državno ali javno varnost ali za kazenski pregon</w:t>
      </w:r>
      <w:r w:rsidRPr="007C190F">
        <w:rPr>
          <w:rFonts w:eastAsia="Calibri" w:cs="Arial"/>
          <w:szCs w:val="20"/>
          <w:vertAlign w:val="superscript"/>
        </w:rPr>
        <w:footnoteReference w:id="24"/>
      </w:r>
      <w:r w:rsidRPr="007C190F">
        <w:rPr>
          <w:rFonts w:eastAsia="Calibri" w:cs="Arial"/>
          <w:szCs w:val="20"/>
        </w:rPr>
        <w:t xml:space="preserve"> ali če je to potrebno za uveljavljanje, izvajanje ali obrambo civilnopravnih zahtevkov, če ne prevladujejo interesi posameznika, na katerega se nanašajo osebni podatki, za izključitev obdelave osebnih podatkov. V 35. členu so določene omejitve pravice do izbrisa osebnih podatkov – če bi bil poseg nesorazmeren ali pa gre le za minimalno korist za posameznika.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III. del zakona implementira Direktivo. Določbe v njem, ki so enake ali podobne tistim, ki so v Splošni uredbi ali v predhodnih delih zakona, in izhajajo iz pristopa (kot je določen že v I. delu zakona), po katerem je nacionalnemu zakonodajalcu prepuščeno, kako bo prenesel določbe </w:t>
      </w:r>
      <w:r w:rsidRPr="007C190F">
        <w:rPr>
          <w:rFonts w:eastAsia="Calibri" w:cs="Arial"/>
          <w:szCs w:val="20"/>
        </w:rPr>
        <w:lastRenderedPageBreak/>
        <w:t xml:space="preserve">Direktive, kar pomeni, da lahko uporabi tudi splošni sistem urejanja varstva osebnih podatkov iz Splošne uredbe.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 predstavitev nemške pravne ureditve glede novega sistema varstva osebnih podatkov še ni celovita, saj še niso sprejeti zakoni vseh zveznih dežel Zvezne republike Nemčije, ki so pristojne za obdelavo osebnih podatkov v zasebnem sektorju ter za ureditev deželnih nadzornih organov za varstvo osebnih podatkov, ki so pristojni za nadzor osebnih podatkov na določenih ti. represivnih področjih.</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5.2.5 Republika Avstrija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rPr>
        <w:t xml:space="preserve">Republika Avstrija je v letu 2017 sprejela Zvezni zakon, s katerim se spreminja Zakon o varstvu osebnih podatkov iz leta 2000 </w:t>
      </w:r>
      <w:r w:rsidRPr="007C190F">
        <w:rPr>
          <w:rFonts w:eastAsia="Calibri" w:cs="Arial"/>
          <w:szCs w:val="20"/>
          <w:shd w:val="clear" w:color="auto" w:fill="FFFFFF"/>
        </w:rPr>
        <w:t>(Zakon o prilagoditvi varstva osebnih podatkov 2018)</w:t>
      </w:r>
      <w:r w:rsidRPr="007C190F">
        <w:rPr>
          <w:rFonts w:eastAsia="Calibri" w:cs="Arial"/>
          <w:szCs w:val="20"/>
          <w:shd w:val="clear" w:color="auto" w:fill="FFFFFF"/>
          <w:vertAlign w:val="superscript"/>
        </w:rPr>
        <w:footnoteReference w:id="25"/>
      </w:r>
      <w:r w:rsidRPr="007C190F">
        <w:rPr>
          <w:rFonts w:eastAsia="Calibri" w:cs="Arial"/>
          <w:szCs w:val="20"/>
          <w:shd w:val="clear" w:color="auto" w:fill="FFFFFF"/>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shd w:val="clear" w:color="auto" w:fill="FFFFFF"/>
        </w:rPr>
        <w:t xml:space="preserve">Sprejeti zakonski okvir zaradi novelacije sledi dotedanji ureditvi varstva osebnih podatkov v Republiki Avstriji. 1. člen veljavnega zakona, ki ureja varstvo osebnih podatkov kot osebno človekovo pravico in ima (uradni) pravni pomen ustavne norme, ni bil spremenjen zaradi </w:t>
      </w:r>
      <w:r w:rsidRPr="007C190F">
        <w:rPr>
          <w:rFonts w:eastAsia="Calibri" w:cs="Arial"/>
          <w:szCs w:val="20"/>
        </w:rPr>
        <w:t>neobstoja zahtevane dvotretjinske večine vseh poslancev in poslank Državnega zbora Republike Avstrije za ustavno revizijo, kar pomeni, da je Avstrija zadržala dosedanjo širšo opredelitev varstva osebnih podatkov kot temeljne pravice – kot nadrejeno glede vseh obdelav osebnih podatkov (tudi obdelav v druge namene). Prav tako je Avstrija zadržala tradicionalno ureditev (po sodni praksi od leta 1951 dalje) obravnavanja tudi (dela) podatkov o pravnih osebah, ki se tako varujejo, kot (da so) osebni podatki. Za obdelavo osebnih podatkov otrok v zvezi s storitvami informacijske družbe je določilo mejno starost 14 let. Glede osebnih podatkov v zvezi s kazenskimi obsodbami je določeno (nekoliko drugače kot v členu 10 Splošne uredbe), da se lahko ti podatki obdelujejo tudi s strani upravljavca, če ima za to legitimen interes. Avstrija še ni uporabila možnosti izrekanja (spornih) visokih glob po Splošni uredbi, glede katerih se v Avstriji zatrjuje kršitev človekovih pravic oziroma neustavnost tudi z razlogom, da tako visokih glob ne bi smel izrekati nadzorni organ, ki ni sodišče, ampak bo počakala na odločitev Ustavnega sodišča Republike Avstrije v podobnem primeru (visoke globe, ki jih izreka avstrijski Urad za finančni trg). V zvezi z reguliranjem višine glob je 20. aprila 2018 sprejela novelo navedenega zakona (sprememba Zakona o varstvu osebnih podatkov z zakonskim nazivom: Zakon o deregulaciji varstva osebnih podatkov - Datenschutz-Deregulierungs-Gesetz 2018, BGBl. I Nr. 24/2018) in v njej določila, da se v primeru predpisanih glob za kršitve po Splošni uredbi najprej izrekajo opozorilne sankcije, šele v primeru ponovljenih kršitev pa globe po Splošni uredbi (spremembe 11. člena), prav tako pa je v isti noveli določila, da nosilci javnih pooblastil niso odgovorni za prekrške po Splošni uredbi (spremembe 35.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del zakona določa varstvo in obdelavo osebnih podatkov kot del izvedbe določb Direktive.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prihodnosti se bo v Avstriji tako kot do sedaj dajal močan poudarek področni zakonodaji, kjer se bodo urejale vrste osebnih podatkov, nameni obdelave, roki hrambe, omejitve pravic ipd.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Pristop avstrijskega zakonodajalca je v razmerju do začetnih zakonodajnih ambicij (besedilo predloga zakona v razmerju do končno sprejetega zakona leta 2017 in njegove novele iz leta 2018) pokazal, da ne gre ne za unificiran pristop niti ne za (dovolj) harmoniziran pristop, ampak gre ob upoštevanju nespremenjenih določenih sistemskih rešitev ter novih rešitev in rešitev iz področne zakonodaje dejansko za ti. fragmentacijo pravne ureditve.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lastRenderedPageBreak/>
        <w:t>6. PRESOJA POSLEDIC, KI JIH BO IMEL SPREJEM ZAKONA</w:t>
      </w:r>
    </w:p>
    <w:p w:rsidR="00654207" w:rsidRPr="007C190F" w:rsidRDefault="00654207" w:rsidP="00E302FA">
      <w:pPr>
        <w:keepNext/>
        <w:keepLines/>
        <w:spacing w:before="40" w:line="259" w:lineRule="auto"/>
        <w:jc w:val="both"/>
        <w:outlineLvl w:val="1"/>
        <w:rPr>
          <w:rFonts w:ascii="Calibri Light" w:hAnsi="Calibri Light"/>
          <w:b/>
          <w:bCs/>
          <w:sz w:val="26"/>
          <w:szCs w:val="26"/>
        </w:rPr>
      </w:pP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t xml:space="preserve">6.1 Presoja administrativnih posledic </w:t>
      </w:r>
    </w:p>
    <w:p w:rsidR="00654207" w:rsidRPr="007C190F" w:rsidRDefault="00654207" w:rsidP="00E302FA">
      <w:pPr>
        <w:keepNext/>
        <w:keepLines/>
        <w:spacing w:before="40" w:line="259" w:lineRule="auto"/>
        <w:jc w:val="both"/>
        <w:outlineLvl w:val="1"/>
        <w:rPr>
          <w:rFonts w:ascii="Calibri Light" w:hAnsi="Calibri Light"/>
          <w:b/>
          <w:bCs/>
          <w:sz w:val="26"/>
          <w:szCs w:val="26"/>
        </w:rPr>
      </w:pPr>
    </w:p>
    <w:p w:rsidR="00E302FA" w:rsidRPr="007C190F" w:rsidRDefault="00E302FA" w:rsidP="00E302FA">
      <w:pPr>
        <w:spacing w:after="160" w:line="259" w:lineRule="auto"/>
        <w:jc w:val="both"/>
        <w:rPr>
          <w:rFonts w:eastAsia="Calibri" w:cs="Arial"/>
          <w:b/>
          <w:bCs/>
          <w:sz w:val="22"/>
          <w:szCs w:val="22"/>
        </w:rPr>
      </w:pPr>
      <w:r w:rsidRPr="007C190F">
        <w:rPr>
          <w:rFonts w:eastAsia="Calibri" w:cs="Arial"/>
          <w:b/>
          <w:bCs/>
          <w:sz w:val="22"/>
          <w:szCs w:val="22"/>
        </w:rPr>
        <w:t>a) v postopkih oziroma poslovanju javne uprave ali pravosodnih organov: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spacing w:after="160" w:line="259" w:lineRule="auto"/>
        <w:jc w:val="both"/>
        <w:rPr>
          <w:rFonts w:eastAsia="Calibri" w:cs="Arial"/>
          <w:b/>
          <w:sz w:val="22"/>
          <w:szCs w:val="22"/>
        </w:rPr>
      </w:pPr>
      <w:r w:rsidRPr="007C190F">
        <w:rPr>
          <w:rFonts w:eastAsia="Calibri" w:cs="Arial"/>
          <w:b/>
          <w:sz w:val="22"/>
          <w:szCs w:val="22"/>
        </w:rPr>
        <w:t>b) pri obveznostih strank do javne uprave ali pravosodnih organov: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t>6.2 Presoja posledic za okolje, vključno s prostorskimi in varstvenimi vidiki: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6.3 Presoja posledic za gospodarstvo: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6.4 Presoja posledic za socialno področje: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6.5 Presoja posledic za dokumente razvojnega načrtovanja: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6.6 Presoja posledic za druga področja: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Ni posledic.</w:t>
      </w:r>
    </w:p>
    <w:p w:rsidR="00E302FA" w:rsidRPr="007C190F" w:rsidRDefault="00E302FA" w:rsidP="00E302FA">
      <w:pPr>
        <w:keepNext/>
        <w:keepLines/>
        <w:spacing w:before="40" w:line="259" w:lineRule="auto"/>
        <w:jc w:val="both"/>
        <w:outlineLvl w:val="2"/>
        <w:rPr>
          <w:rFonts w:ascii="Calibri Light" w:hAnsi="Calibri Light"/>
          <w:b/>
          <w:bCs/>
          <w:sz w:val="24"/>
        </w:rPr>
      </w:pPr>
      <w:r w:rsidRPr="007C190F">
        <w:rPr>
          <w:rFonts w:ascii="Calibri Light" w:hAnsi="Calibri Light"/>
          <w:b/>
          <w:bCs/>
          <w:sz w:val="24"/>
        </w:rPr>
        <w:t>6.7 Izvajanje sprejetega predpisa: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ind w:firstLine="708"/>
        <w:jc w:val="both"/>
        <w:rPr>
          <w:rFonts w:eastAsia="Calibri" w:cs="Arial"/>
          <w:b/>
          <w:bCs/>
          <w:sz w:val="22"/>
          <w:szCs w:val="22"/>
        </w:rPr>
      </w:pPr>
      <w:r w:rsidRPr="007C190F">
        <w:rPr>
          <w:rFonts w:eastAsia="Calibri" w:cs="Arial"/>
          <w:b/>
          <w:bCs/>
          <w:sz w:val="22"/>
          <w:szCs w:val="22"/>
        </w:rPr>
        <w:t>a) Predstavitev sprejetega zakona:</w:t>
      </w:r>
    </w:p>
    <w:p w:rsidR="00E302FA" w:rsidRPr="007C190F" w:rsidRDefault="00E302FA" w:rsidP="00E302FA">
      <w:pPr>
        <w:numPr>
          <w:ilvl w:val="0"/>
          <w:numId w:val="2"/>
        </w:numPr>
        <w:overflowPunct w:val="0"/>
        <w:autoSpaceDE w:val="0"/>
        <w:autoSpaceDN w:val="0"/>
        <w:adjustRightInd w:val="0"/>
        <w:spacing w:after="160" w:line="260" w:lineRule="exact"/>
        <w:ind w:left="1593" w:hanging="525"/>
        <w:jc w:val="both"/>
        <w:textAlignment w:val="baseline"/>
        <w:rPr>
          <w:rFonts w:cs="Arial"/>
          <w:b/>
          <w:bCs/>
          <w:sz w:val="22"/>
          <w:szCs w:val="22"/>
          <w:lang w:eastAsia="sl-SI"/>
        </w:rPr>
      </w:pPr>
      <w:r w:rsidRPr="007C190F">
        <w:rPr>
          <w:rFonts w:cs="Arial"/>
          <w:b/>
          <w:bCs/>
          <w:sz w:val="22"/>
          <w:szCs w:val="22"/>
          <w:lang w:eastAsia="sl-SI"/>
        </w:rPr>
        <w:t>ciljnim skupinam (seminarji, delavnice),</w:t>
      </w:r>
    </w:p>
    <w:p w:rsidR="00E302FA" w:rsidRPr="007C190F" w:rsidRDefault="00E302FA" w:rsidP="00E302FA">
      <w:pPr>
        <w:numPr>
          <w:ilvl w:val="0"/>
          <w:numId w:val="2"/>
        </w:numPr>
        <w:overflowPunct w:val="0"/>
        <w:autoSpaceDE w:val="0"/>
        <w:autoSpaceDN w:val="0"/>
        <w:adjustRightInd w:val="0"/>
        <w:spacing w:after="160" w:line="260" w:lineRule="exact"/>
        <w:ind w:left="1593" w:hanging="525"/>
        <w:jc w:val="both"/>
        <w:textAlignment w:val="baseline"/>
        <w:rPr>
          <w:rFonts w:cs="Arial"/>
          <w:b/>
          <w:bCs/>
          <w:sz w:val="22"/>
          <w:szCs w:val="22"/>
          <w:lang w:eastAsia="sl-SI"/>
        </w:rPr>
      </w:pPr>
      <w:r w:rsidRPr="007C190F">
        <w:rPr>
          <w:rFonts w:cs="Arial"/>
          <w:b/>
          <w:bCs/>
          <w:sz w:val="22"/>
          <w:szCs w:val="22"/>
          <w:lang w:eastAsia="sl-SI"/>
        </w:rPr>
        <w:t>širši javnosti</w:t>
      </w:r>
    </w:p>
    <w:p w:rsidR="00E302FA" w:rsidRPr="007C190F" w:rsidRDefault="00E302FA" w:rsidP="00E302FA">
      <w:pPr>
        <w:overflowPunct w:val="0"/>
        <w:autoSpaceDE w:val="0"/>
        <w:autoSpaceDN w:val="0"/>
        <w:adjustRightInd w:val="0"/>
        <w:spacing w:line="260" w:lineRule="exact"/>
        <w:ind w:left="1593"/>
        <w:jc w:val="both"/>
        <w:textAlignment w:val="baseline"/>
        <w:rPr>
          <w:rFonts w:cs="Arial"/>
          <w:b/>
          <w:bCs/>
          <w:sz w:val="22"/>
          <w:szCs w:val="22"/>
          <w:lang w:eastAsia="sl-SI"/>
        </w:rPr>
      </w:pPr>
    </w:p>
    <w:p w:rsidR="00E302FA" w:rsidRPr="007C190F" w:rsidRDefault="00E302FA" w:rsidP="00E302FA">
      <w:pPr>
        <w:spacing w:after="160" w:line="259" w:lineRule="auto"/>
        <w:ind w:firstLine="708"/>
        <w:jc w:val="both"/>
        <w:rPr>
          <w:rFonts w:eastAsia="Calibri" w:cs="Arial"/>
          <w:b/>
          <w:bCs/>
          <w:sz w:val="22"/>
          <w:szCs w:val="22"/>
        </w:rPr>
      </w:pPr>
      <w:r w:rsidRPr="007C190F">
        <w:rPr>
          <w:rFonts w:eastAsia="Calibri" w:cs="Arial"/>
          <w:b/>
          <w:bCs/>
          <w:sz w:val="22"/>
          <w:szCs w:val="22"/>
        </w:rPr>
        <w:t>b) Spremljanje izvajanja sprejetega predpisa</w:t>
      </w:r>
    </w:p>
    <w:p w:rsidR="00E302FA" w:rsidRPr="007C190F" w:rsidRDefault="00E302FA" w:rsidP="00E302FA">
      <w:pPr>
        <w:spacing w:after="160" w:line="259" w:lineRule="auto"/>
        <w:jc w:val="both"/>
        <w:rPr>
          <w:rFonts w:eastAsia="Calibri" w:cs="Arial"/>
          <w:sz w:val="22"/>
          <w:szCs w:val="22"/>
        </w:rPr>
      </w:pPr>
      <w:r w:rsidRPr="007C190F">
        <w:rPr>
          <w:rFonts w:eastAsia="Calibri" w:cs="Arial"/>
          <w:sz w:val="22"/>
          <w:szCs w:val="22"/>
        </w:rPr>
        <w:t xml:space="preserve">Izvajanje sprejetega zakona bo primarno v pristojnosti Informacijskega pooblaščenca ter pristojnih državnih organov s področja policije, državnega tožilstva, izvrševanja kazenskih sankcij in probacije. </w:t>
      </w:r>
    </w:p>
    <w:p w:rsidR="00E302FA" w:rsidRPr="007C190F" w:rsidRDefault="00E302FA" w:rsidP="00E302FA">
      <w:pPr>
        <w:spacing w:after="160" w:line="259" w:lineRule="auto"/>
        <w:jc w:val="both"/>
        <w:rPr>
          <w:rFonts w:eastAsia="Calibri" w:cs="Arial"/>
          <w:b/>
          <w:bCs/>
          <w:sz w:val="22"/>
          <w:szCs w:val="22"/>
        </w:rPr>
      </w:pP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t>7. PRIKAZ SODELOVANJA JAVNOSTI PRI PRIPRAVI PREDLOGA ZAKONA</w:t>
      </w:r>
    </w:p>
    <w:p w:rsidR="00E302FA" w:rsidRPr="007C190F" w:rsidRDefault="00E302FA" w:rsidP="00E302FA">
      <w:pPr>
        <w:spacing w:after="160" w:line="259" w:lineRule="auto"/>
        <w:jc w:val="both"/>
        <w:rPr>
          <w:rFonts w:eastAsia="Calibri" w:cs="Arial"/>
          <w:b/>
          <w:bCs/>
          <w:sz w:val="22"/>
          <w:szCs w:val="22"/>
        </w:rPr>
      </w:pPr>
    </w:p>
    <w:p w:rsidR="00A821A6" w:rsidRPr="007C190F" w:rsidRDefault="00A821A6" w:rsidP="00A821A6">
      <w:pPr>
        <w:pStyle w:val="Neotevilenodstavek"/>
        <w:widowControl w:val="0"/>
        <w:spacing w:before="0" w:after="0" w:line="288" w:lineRule="auto"/>
        <w:rPr>
          <w:b/>
          <w:iCs/>
          <w:sz w:val="20"/>
          <w:szCs w:val="20"/>
        </w:rPr>
      </w:pPr>
      <w:r w:rsidRPr="007C190F">
        <w:rPr>
          <w:b/>
          <w:iCs/>
          <w:sz w:val="20"/>
          <w:szCs w:val="20"/>
        </w:rPr>
        <w:t>Informacijski pooblaščenec</w:t>
      </w:r>
    </w:p>
    <w:p w:rsidR="00A821A6" w:rsidRPr="007C190F" w:rsidRDefault="00A821A6" w:rsidP="00E302FA">
      <w:pPr>
        <w:spacing w:after="160" w:line="259" w:lineRule="auto"/>
        <w:jc w:val="both"/>
        <w:rPr>
          <w:rFonts w:eastAsia="Calibri" w:cs="Arial"/>
          <w:sz w:val="22"/>
          <w:szCs w:val="22"/>
        </w:rPr>
      </w:pPr>
    </w:p>
    <w:p w:rsidR="00A821A6" w:rsidRPr="007C190F" w:rsidRDefault="00A821A6" w:rsidP="00E302FA">
      <w:pPr>
        <w:spacing w:after="160" w:line="259" w:lineRule="auto"/>
        <w:jc w:val="both"/>
        <w:rPr>
          <w:rFonts w:eastAsia="Calibri" w:cs="Arial"/>
          <w:i/>
          <w:iCs/>
          <w:sz w:val="22"/>
          <w:szCs w:val="22"/>
        </w:rPr>
      </w:pPr>
      <w:r w:rsidRPr="007C190F">
        <w:rPr>
          <w:rFonts w:eastAsia="Calibri" w:cs="Arial"/>
          <w:i/>
          <w:iCs/>
          <w:sz w:val="22"/>
          <w:szCs w:val="22"/>
        </w:rPr>
        <w:t xml:space="preserve">IP opozarja, da predlog zakona ne prenaša členov </w:t>
      </w:r>
      <w:r w:rsidR="00E2561E" w:rsidRPr="007C190F">
        <w:rPr>
          <w:rFonts w:eastAsia="Calibri" w:cs="Arial"/>
          <w:i/>
          <w:iCs/>
          <w:sz w:val="22"/>
          <w:szCs w:val="22"/>
        </w:rPr>
        <w:t xml:space="preserve">17, 26, 40, 47(5) in 52 </w:t>
      </w:r>
      <w:r w:rsidRPr="007C190F">
        <w:rPr>
          <w:rFonts w:eastAsia="Calibri" w:cs="Arial"/>
          <w:i/>
          <w:iCs/>
          <w:sz w:val="22"/>
          <w:szCs w:val="22"/>
        </w:rPr>
        <w:t>Direktive</w:t>
      </w: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 xml:space="preserve">Glede neprenesenih posameznih členov Direktive: </w:t>
      </w: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17. členu Direktive – uresničevanje pravic posameznika prek nadzornega organa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lastRenderedPageBreak/>
        <w:t xml:space="preserve">Pripomba je bila upoštevana. Sedaj so pravice posameznika, ki jih lahko izvršuje neposredno prek nadzornega organa, urejene od 33. do 37. člena predloga zakona – prijavitelj s posebnim položajem vloži zahtevo (poimenovano kot prijava) pri nadzornem organu, ker meni, da so kršene njegove pravice s področja varstva osebnih podatkov, nadzorni organ pa ima popolna preiskovalna (nadzorna) pooblastila po 31. členu in nadzorne ukrepe po 32. členu, s katerimi lahko tudi odredi npr. popravek ali izbris posameznikovih osebnih podatkov, ki so bili nezakonito obdelovani (celo, če so nepopolni ali netočni).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26. členu Direktive – dolžnost sodelovanja z nadzornim organom</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Dodana nov peti odstavek k 41. členu, ki ureja sodelovanje z nadzornim organom.</w:t>
      </w: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 xml:space="preserve">K 40. členu Direktive – mednarodno sodelovanje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V povezavi s pripombo K 78. členu je dodan nov deseti odstavek, ki ureja zahtevo nadzornega organa, naslovljeno na nadzorne organe drugih držav članic Evropske unije.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K petemu odstavku 47. člena Direktive – pooblastilo nadzornega organa, da sodne organe opozori na kršitve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Dodana nova 11. točka k prvemu odstavku 76. člena, ki ureja posredovanje mnenja Informacijskega pooblaščenca sodišču o ugotovljenih kršitvah.</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52. členu Direktive – pravica posameznika do vložitve pritožbe zaradi kršitev zakona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ni bila upoštevana. Po mnenju ministrstva je pravica do vložitve pritožbe in drugih pravnih sredstev ustrezno urejena v zakonu, in sicer: zlasti 27. člen, 33. člen, 39. in 40. člen. Ob tem je potrebno dodati, da je nadzorni organ po tem zakonu Informacijski pooblaščenec, ki je v Republiki Sloveniji edini nadzorni organ za varstvo osebnih podatkov in tako vse pritožbe ali prijave pridejo v odločanje Informacijskemu pooblaščencu (ki odloča ali po pravilih ZUP ali pa po pravilih ZIN)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 Glede ugotovitve, da bi bilo smiselno splošno opredeliti, kdaj se za obdelave osebnih podatkov za druge namene uporablja Splošna uredba o varstvu podatkov, oziroma razmerje do novega sistemskega predpisa ZVOP-2 in do Zakona o Informacijskem pooblaščencu, ministrstvo dodaja, da iz določb drugega odstavka 8. člena izhaja, da kadar se obdelava izvaja izven namenov iz prvega odstavka 1. člena predloga zakona, se nadalje obravnava v skladu s pravili iz Splošne uredbe o varstvu podatkov.</w:t>
      </w: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18. in 45. členu Direktive – pravice posameznika in pristojnosti nadzornega organa glede obdelav sodišč</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ni bila upoštevana.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Opozorilo glede pravic posameznika se nanaša na nejasnost glede dejanj obravnav, ki jih izvajajo sodišča, kadar delujejo kot sodni organi. Ministrstvo meni, da izjem glede uveljavljanja pravic posameznikov s tem zakonom ne širi in da je v predlogu na </w:t>
      </w:r>
      <w:r w:rsidRPr="007C190F">
        <w:rPr>
          <w:rFonts w:eastAsia="Calibri" w:cs="Arial"/>
          <w:sz w:val="22"/>
          <w:szCs w:val="22"/>
        </w:rPr>
        <w:lastRenderedPageBreak/>
        <w:t xml:space="preserve">nomotehnični način dovolj jasno opredeljena »kazenska zadeva sodišča«, je pa dodatno opredeljen pojem v 23. točki prvega odstavka 4. člena na način, da je jasno, da gre za zadeve, o kateri odloča sodišče v skladu z zakoni, ki urejajo sodne postopke (kazenska preiskava, sodne obravnave, odločanje v postopkih uporabe pravnih sredstev). In nato smo v 59. členu navedli podroben seznam določb zakona, kjer lahko Informacijski pooblaščenec izvršuje nadzore glede kazenskega sodstva, seveda brez poseganja v neodvisno odločanje kazenskih sodišč.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Glede pritožbenih postopkov dodajamo, da kadar Informacijski pooblaščenec odloča kot drugostopenjski upravni (pritožbeni) organ, deluje po tem zakonu kot klasični (po Zakonu o splošnem upravnem postopku) organ druge stopnje, brez preiskovalnih pooblastil, so pa nekatere določbe splošnega upravnega postopka drugače urejene in prilagojene obravnavanim zadevam po tem zakonu (npr. omejitev vpogleda v spis). Preiskovalna pooblastila pa so določena v zakonu za nadzore na podlagi prijav (npr. 31. in 32. člen). Ima pa posameznik, ki meni da so njegove pravice kršene, po tem zakonu tudi možnost druge neposredne prijave pri Informacijskemu pooblaščencu.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Očitek o nesankcioniranju kršitev nekaterih določb zakona ministrstvo pojasnjuje, da primarni namen zakona ni sankcioniranje, ampak vzpostavitev zakonitega stanja pri obdelavi osebnih podatkov v policiji in v kazenskem pravosodju, kar se lahko doseže z močnimi in pogostimi nadzori Informacijskega pooblaščenca in nadzornimi pooblastili in ukrepi po tem zakonu, ki mu bodo na voljo. Posledično smo določili prekrške le za tiste določbe zakona, kjer je sankcioniranje nujno za uresničevanje pravic posameznikov ali učinkovitega izvajanja nadzornih postopkov.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Prav tako zakon ne vsebuje posebnih določb o arhiviranju zadev pristojnih organov po tem zakonu, niti glede statistike ter znanstvenega raziskovanja, Direktiva je namreč glede teh vprašanj izredno splošna (skopa) in ureditev prepušča državam članicam EU v nacionalni zakonodaji. Ustrezna področna zakonska ureditev že obstaja (ki se še lahko dalje razvija) – npr. ZNPPol, ZDT-1, ZVDAGA, bo pa ta vprašanja naslovil tudi bodoči ZVOP-2.</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V predlog zakona niso vključene posebne določbe o videonadzoru glede obdelave osebnih podatkov – štejemo, da to primarno spada v področne zakone s področja Direktive (kar pomeni: različne določbe za proaktivne dejavnosti npr. policije in različne npr. za zapore – le varovanje), kadar gre pa za druge državne organe ali za zasebni sektor, pa v zakone, ki bodo v skladu s Splošno uredbo o varstvu podatkov.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I. POGLAVJU</w:t>
      </w: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4. členu – pomen izrazov (sedaj 4.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IP predlaga dopolnitve nekaterih definicij terminov. Med drugim tudi glede izraza »nadzorne osebe«, kjer predlaga, da bi bilo treba izraz bodisi opredeliti manj konkretno bodisi razširiti (vsaj še npr. na namestnike in na druge, izrecno pooblaščene strokovne osebe IP).</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deloma upoštevana.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k 21. točki je sprejeta, ne pa tudi k 18. točki. Ministrstvo meni, da je v povezavi z organizacijo dela nadzornega organa to predmet urejanja v Zakonu o informacijskem pooblaščencu.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6. in 7. členu – zakonitost obdelave (sedaj 6. in 7.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Predlagano oženje pooblastila za obdelavo osebnih podatkov, ki jih posamezniki na spletu javno objavijo.</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Pripombe k posameznim odstavkom 6. člena in k 7. členu so upoštevane in ustrezno vključene v besedilo. Glede »ciljev obdelave« v prvem odstavku 6. člena navajamo, da smo ostali samo pri omembi namena, saj je namen obdelave močno poudarjen v prvem in drugem odstavku 38. člena Ustave Republike Slovenije in nato razdelan v ustavnosodni presoji Ustavnega sodišča RS, in na ta način vključuje tudi cilj obdelave. Poleg tega smo jasno določili namen zakona v prvem odstavku 1. člena </w:t>
      </w:r>
      <w:r w:rsidR="000C1E2A" w:rsidRPr="007C190F">
        <w:rPr>
          <w:rFonts w:eastAsia="Calibri" w:cs="Arial"/>
          <w:sz w:val="22"/>
          <w:szCs w:val="22"/>
        </w:rPr>
        <w:t xml:space="preserve">Predloga ZVOPPOKD </w:t>
      </w:r>
      <w:r w:rsidRPr="007C190F">
        <w:rPr>
          <w:rFonts w:eastAsia="Calibri" w:cs="Arial"/>
          <w:sz w:val="22"/>
          <w:szCs w:val="22"/>
        </w:rPr>
        <w:t xml:space="preserve">in je le-ta zamejen na področje kaznivih dejanj ter na ozek krog pristojnih organov.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8. členu - obdelava osebnih podatkov za druge namene (sedaj 8.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Predlagan redakcijski popravek.</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Sklic na Splošno uredbo</w:t>
      </w:r>
      <w:r w:rsidR="000C1E2A" w:rsidRPr="007C190F">
        <w:rPr>
          <w:rFonts w:eastAsia="Calibri" w:cs="Arial"/>
          <w:sz w:val="22"/>
          <w:szCs w:val="22"/>
        </w:rPr>
        <w:t xml:space="preserve"> o varstvu podatkov</w:t>
      </w:r>
      <w:r w:rsidRPr="007C190F">
        <w:rPr>
          <w:rFonts w:eastAsia="Calibri" w:cs="Arial"/>
          <w:sz w:val="22"/>
          <w:szCs w:val="22"/>
        </w:rPr>
        <w:t xml:space="preserve"> je bil ustrezno popravljen.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9. členu – avtomatizirano odločanje in oblikovanje profilov (sedaj 11.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Predlagano, da mora zakon vselej zagotavljati ustrezno zaščito pravic in svoboščin posameznika.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ustrezno vključena v besedilo sedaj 11. člena, ob tem je tudi v naslovu člena prišlo do dopolnitve z »oblikovanjem profilov«.</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12. členu – uveljavljanje pravic pred pristojnim organom, obdelovalcem in nadzornim organom (sedaj 18. člen in sledeči)</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Predlagana dopolnitev člena z delom vsebine iz 17. člena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uveljavljanje pravic je sedaj urejeno v 18. do 37. členu – postopek pred pristojnim organom, pritožbeni postopek pred nadzornim organom ter postopek pred nadzornim organom po prijavi prijavitelja s posebnim položajem.</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13. členu – omejitev vpogleda v spis (sedaj 14.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Pripomba, da je omejitev  vpogleda v  spis urejena preveč nejasno.</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je upoštevana glede pravic tretjih oseb, besedilo je sedaj vključeno v 14. člen.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Glede na to, da gre za skupno določbo, ki velja za vse postopke po tem zakonu, je ureditev urejena za vse ravni odločanja enako, s tem da je še dodatno v odločbi po 3. točki prvega odstavka 37. člena opredeljen dovoljen obseg pregleda spisa.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lastRenderedPageBreak/>
        <w:t>K 14. členu – preverjanje identitete posameznika (sedaj 15.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Pripomba, da ni jasno vprašanje primernosti obveznega preverjanja identitete v primeru anonimnih prijav. Prav tako  pa  ni  jasno  opredeljeno,  kaj je dejansko rok hrambe (ni jasno, kaj je 'zaključek obdelave').  Rok hrambe podatkov o  identiteti  posameznika, ki je vložil prijavo, pa  bi  moral  biti  vezan na spis  oz. dokumentacijo  obravnavane  zadeve  (npr.  ni  primeren  izbris  podatkov  o  identiteti  posameznika  iz spisa, v zvezi s katerim so še mogoča kakršnakoli pravna sredstva ali sodni postopki).</w:t>
      </w:r>
    </w:p>
    <w:p w:rsidR="00A821A6" w:rsidRPr="007C190F" w:rsidRDefault="001A5CE9" w:rsidP="00A821A6">
      <w:pPr>
        <w:spacing w:after="160" w:line="259" w:lineRule="auto"/>
        <w:jc w:val="both"/>
        <w:rPr>
          <w:rFonts w:eastAsia="Calibri" w:cs="Arial"/>
          <w:sz w:val="22"/>
          <w:szCs w:val="22"/>
        </w:rPr>
      </w:pPr>
      <w:r w:rsidRPr="007C190F">
        <w:rPr>
          <w:rFonts w:eastAsia="Calibri" w:cs="Arial"/>
          <w:sz w:val="22"/>
          <w:szCs w:val="22"/>
        </w:rPr>
        <w:t>V</w:t>
      </w:r>
      <w:r w:rsidR="00A821A6" w:rsidRPr="007C190F">
        <w:rPr>
          <w:rFonts w:eastAsia="Calibri" w:cs="Arial"/>
          <w:sz w:val="22"/>
          <w:szCs w:val="22"/>
        </w:rPr>
        <w:t xml:space="preserve"> postopkih, ki jih pristojni organi in nadzorni organ vodijo po določbah Zakona o splošnem upravnem postopku (ZUP), anonimne prijave/vloge niso mogoče. Če stranke oziroma prijavitelja ni mogoče identificirati (oziroma identifikacija ne izhaja že iz same vloge, tudi ob morebitni dopolnitvi), se takšno vlogo oziroma prijavo skladno z ZUP zavrže. Anonimne prijave so skladno z Zakonom o inšpekcijskem nadzoru mogoče v inšpekcijskem postopku.</w:t>
      </w:r>
    </w:p>
    <w:p w:rsidR="00A821A6" w:rsidRPr="007C190F" w:rsidRDefault="00A821A6" w:rsidP="00A821A6">
      <w:pPr>
        <w:spacing w:after="160" w:line="259" w:lineRule="auto"/>
        <w:jc w:val="both"/>
        <w:rPr>
          <w:rFonts w:eastAsia="Calibri" w:cs="Arial"/>
          <w:sz w:val="22"/>
          <w:szCs w:val="22"/>
        </w:rPr>
      </w:pPr>
    </w:p>
    <w:p w:rsidR="00A56C6C"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15. členu – zavarovanje osebnih podatkov, ki so predmet postopka (sedaj 16.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Drugi odstavek: v praksi bo izvajanje te določbe zelo oteženo, saj ni jasno, kako se bo presojalo, da izdelava kopije ovira izvajanje nalog. Vsak nadzor je z vidika dodatnega dela za zavezance ovira, saj pomeni dodatno obremenitev.</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Določba drugega odstavka sedaj 16. člena, da nadzorna oseba lahko ob upoštevanju okoliščin konkretnega postopka odredi drugačen način zavarovanja dokazov, zlasti izdelavo kopije osebnih podatkov ali postopkov obdelave, ne pomeni dodatne obremenitve za zavezanca, temveč je namen določbe predvsem preprečevanje potrebe po posegih v obstoječe aplikacije, v katerih se obdelujejo osebni podatki in ki ne omogočajo zavarovanja osebnih podatkov znotraj same aplikacije.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16. členu – izvršba (sedaj 17.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Tretji odstavek: niso upoštevane situacije morebitne izvršbe zoper drugega upravljavca.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ustrezno vključena v besedilo tretjega odstavka 17. člena.</w:t>
      </w:r>
    </w:p>
    <w:p w:rsidR="00A821A6" w:rsidRPr="007C190F" w:rsidRDefault="00A821A6" w:rsidP="00A821A6">
      <w:pPr>
        <w:spacing w:after="160" w:line="259" w:lineRule="auto"/>
        <w:jc w:val="both"/>
        <w:rPr>
          <w:rFonts w:eastAsia="Calibri" w:cs="Arial"/>
          <w:sz w:val="22"/>
          <w:szCs w:val="22"/>
        </w:rPr>
      </w:pPr>
    </w:p>
    <w:p w:rsidR="00A56C6C"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18. členu – uresničevanje pravic na podlagi drugih zakonov (sedaj 20. člen)</w:t>
      </w:r>
    </w:p>
    <w:p w:rsidR="001A5CE9" w:rsidRPr="007C190F" w:rsidRDefault="001A5CE9" w:rsidP="00A821A6">
      <w:pPr>
        <w:spacing w:after="160" w:line="259" w:lineRule="auto"/>
        <w:jc w:val="both"/>
        <w:rPr>
          <w:rFonts w:eastAsia="Calibri" w:cs="Arial"/>
          <w:i/>
          <w:iCs/>
          <w:sz w:val="22"/>
          <w:szCs w:val="22"/>
        </w:rPr>
      </w:pPr>
      <w:r w:rsidRPr="007C190F">
        <w:rPr>
          <w:rFonts w:eastAsia="Calibri" w:cs="Arial"/>
          <w:i/>
          <w:iCs/>
          <w:sz w:val="22"/>
          <w:szCs w:val="22"/>
        </w:rPr>
        <w:t>Predlagana dodatna uskladitev z dikcijo Direktive (člena 18 in 45).</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Kot že omenjeno v delu glede neprenesenih določb direktive (18. in 45. člen Direktive – opozorilo se nanaša na nejasnost glede dejanj obravnav, ki jih izvajajo sodišča, kadar delujejo kot sodni organi), ministrstvo meni, da se izjem glede uveljavljana pravic posameznikov s to določbo ne širi in da je v predlogu na nomotehnični način dovolj jasno opredeljena »kazenska zadeva sodišča«.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Je pa ta pojem dodatno opredeljen v 23. točki prvega odstavka 4. člena, na način, da je jasno, da gre za zadeve, o kateri odloča sodišče </w:t>
      </w:r>
      <w:r w:rsidR="000C1E2A" w:rsidRPr="007C190F">
        <w:rPr>
          <w:rFonts w:eastAsia="Calibri" w:cs="Arial"/>
          <w:sz w:val="22"/>
          <w:szCs w:val="22"/>
        </w:rPr>
        <w:t xml:space="preserve">s splošno pristojnostjo v kazenskih zadevah </w:t>
      </w:r>
      <w:r w:rsidRPr="007C190F">
        <w:rPr>
          <w:rFonts w:eastAsia="Calibri" w:cs="Arial"/>
          <w:sz w:val="22"/>
          <w:szCs w:val="22"/>
        </w:rPr>
        <w:t xml:space="preserve">v skladu z zakoni, ki urejajo sodne postopke. </w:t>
      </w:r>
    </w:p>
    <w:p w:rsidR="00A821A6" w:rsidRPr="007C190F" w:rsidRDefault="00A821A6" w:rsidP="00A821A6">
      <w:pPr>
        <w:spacing w:after="160" w:line="259" w:lineRule="auto"/>
        <w:jc w:val="both"/>
        <w:rPr>
          <w:rFonts w:eastAsia="Calibri" w:cs="Arial"/>
          <w:sz w:val="22"/>
          <w:szCs w:val="22"/>
        </w:rPr>
      </w:pPr>
    </w:p>
    <w:p w:rsidR="00A56C6C"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lastRenderedPageBreak/>
        <w:t>K 19. členu – komunikacija s posameznikom, na katerega se nanašajo osebni podatki (sedaj 21.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Tretji odstavek: ni skladen s členom 12(4) Direktive, ki zahteva, da se informacije iz člena 13 in vsa sporočila in ukrepi iz členov 11, 14-18 in 31 zagotavljajo posamezniku brezplačno (razen če so zahteve posameznika očitno utemeljene ali pretirane). Predlog ZVOPPOKD pa določa brezplačnost ožje.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sedaj 21. člen je bil ustrezno popravljen oziroma dopolnjen.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20. členu – ravnanje z očitno neutemeljeno ali pretirano zahtevo (sedaj 22.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Predlagano manjše omejevanje pravic posameznikov, da bo skladno s členom 12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sedaj 22. člen je bil ustrezno popravljen oziroma dopolnjen.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21. členu – dajanje splošnih informacij (sedaj 23. člen)</w:t>
      </w:r>
    </w:p>
    <w:p w:rsidR="00A56C6C" w:rsidRPr="007C190F" w:rsidRDefault="00A56C6C" w:rsidP="00A821A6">
      <w:pPr>
        <w:spacing w:after="160" w:line="259" w:lineRule="auto"/>
        <w:jc w:val="both"/>
        <w:rPr>
          <w:rFonts w:eastAsia="Calibri" w:cs="Arial"/>
          <w:i/>
          <w:iCs/>
          <w:sz w:val="22"/>
          <w:szCs w:val="22"/>
        </w:rPr>
      </w:pPr>
      <w:r w:rsidRPr="007C190F">
        <w:rPr>
          <w:rFonts w:eastAsia="Calibri" w:cs="Arial"/>
          <w:i/>
          <w:iCs/>
          <w:sz w:val="22"/>
          <w:szCs w:val="22"/>
        </w:rPr>
        <w:t>Predlagano manjše zoževanje pravice do informacij glede na Direktivo.</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je delno upoštevana v prvem odstavku sedaj 23. člena. Sicer pa ministrstvo meni, da je pravice posameznikov razširilo, zlasti z javno objavo določenih informacij. Ker gre za splošne informacije in javno objavo podatkov, ki se ne nanašajo na konkretne obdelave osebnih podatkov posameznikov, zagotavljanje teh informacij posameznikom ne more biti omejeno. Ne nazadnje je glede informacij iz 7. do 9. točke prvega odstavka javna objava splošnih informacij prepuščena pristojnim organom.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22. členu – pravica do dostopa do osebnih podatkov (sedaj 24. člen)</w:t>
      </w:r>
    </w:p>
    <w:p w:rsidR="00A56C6C" w:rsidRPr="007C190F" w:rsidRDefault="00A56C6C" w:rsidP="00A821A6">
      <w:pPr>
        <w:spacing w:after="160" w:line="259" w:lineRule="auto"/>
        <w:jc w:val="both"/>
        <w:rPr>
          <w:rFonts w:eastAsia="Calibri" w:cs="Arial"/>
          <w:i/>
          <w:iCs/>
          <w:sz w:val="22"/>
          <w:szCs w:val="22"/>
        </w:rPr>
      </w:pPr>
      <w:r w:rsidRPr="007C190F">
        <w:rPr>
          <w:rFonts w:eastAsia="Calibri" w:cs="Arial"/>
          <w:i/>
          <w:iCs/>
          <w:sz w:val="22"/>
          <w:szCs w:val="22"/>
        </w:rPr>
        <w:t>Predlagan rok v obliki 1 mesec.</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ni bila upoštevana (sedaj 24. člen). </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Po mnenju ministrstva ne drži, da je omejitev pravice do dostopa določena preširoko, presplošno in nedorečeno. Tretji odstavek določa, da v primerih, ko bi dostop posameznika do njegovih osebnih podatkov oviral ali vplival na uradne postopke, mu pristojni organ zaradi varovanja identitete oseb, zoper katere se izvajajo prikriti preiskovalni ukrepi po zakonu, ki ureja kazenski postopek, ali zoper katere so razpisani ukrepi prikritega evidentiranja in namenske kontrole po zakonu, ki ureja naloge in pooblastila policije, ta dostop omeji. Omejitev je časovno zamejena z določbami o najdaljšem trajanju prikritih ukrepov, kot so določeni z Zakonom o kazenskem postopku in Zakonom o nalogah in pooblastilih policije.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23. členu – omejitev pravice do dostopa do osebnih podatkov (sedaj 25. člen)</w:t>
      </w:r>
    </w:p>
    <w:p w:rsidR="00A56C6C" w:rsidRPr="007C190F" w:rsidRDefault="00A56C6C" w:rsidP="00A821A6">
      <w:pPr>
        <w:spacing w:after="160" w:line="259" w:lineRule="auto"/>
        <w:jc w:val="both"/>
        <w:rPr>
          <w:rFonts w:eastAsia="Calibri" w:cs="Arial"/>
          <w:i/>
          <w:iCs/>
          <w:sz w:val="22"/>
          <w:szCs w:val="22"/>
        </w:rPr>
      </w:pPr>
      <w:r w:rsidRPr="007C190F">
        <w:rPr>
          <w:rFonts w:eastAsia="Calibri" w:cs="Arial"/>
          <w:i/>
          <w:iCs/>
          <w:sz w:val="22"/>
          <w:szCs w:val="22"/>
        </w:rPr>
        <w:t>V prvem odstavku manjka zahteva po spoštovanju temeljnih pravic in zakonitih interesov zadevnega posameznika.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bila upoštevana, 25. člen je bil ustrezno popravljen oziroma dopolnjen.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sz w:val="22"/>
          <w:szCs w:val="22"/>
        </w:rPr>
      </w:pPr>
      <w:r w:rsidRPr="007C190F">
        <w:rPr>
          <w:rFonts w:eastAsia="Calibri" w:cs="Arial"/>
          <w:b/>
          <w:bCs/>
          <w:sz w:val="22"/>
          <w:szCs w:val="22"/>
        </w:rPr>
        <w:t>K 24. členu – pravica do popravka ali izbrisa osebnih podatkov in do omejitve obdelave (sedaj 26. člen)</w:t>
      </w:r>
    </w:p>
    <w:p w:rsidR="00A56C6C" w:rsidRPr="007C190F" w:rsidRDefault="00A56C6C" w:rsidP="00A821A6">
      <w:pPr>
        <w:spacing w:after="160" w:line="259" w:lineRule="auto"/>
        <w:jc w:val="both"/>
        <w:rPr>
          <w:rFonts w:eastAsia="Calibri" w:cs="Arial"/>
          <w:i/>
          <w:iCs/>
          <w:sz w:val="22"/>
          <w:szCs w:val="22"/>
        </w:rPr>
      </w:pPr>
      <w:r w:rsidRPr="007C190F">
        <w:rPr>
          <w:rFonts w:eastAsia="Calibri" w:cs="Arial"/>
          <w:i/>
          <w:iCs/>
          <w:sz w:val="22"/>
          <w:szCs w:val="22"/>
        </w:rPr>
        <w:t>Pripomba, da niso ustrezno urejeni omejevalni razlogi glede zagotavljanja informacij o zavrnitvi iz člena  16(4)  Direktive. Prav  tako  ni  predvidena  obveznost  obveščanja  posameznika v primeru zavrnitve.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Ministrstvo meni, da so pripombe oziroma ugotovitve že vključene v določbo, npr. v četrtem odstavku sedaj 26. člena je ustrezen sklic, prav tako pa se po tej določbi postopek zaključi z izdajo odločbe s poukom o pravnem sredstvu.</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25. členu – pravna sredstva (sedaj 27.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Predlagana ureditev pooblastil IP v  pritožbenem postopku, vključno z inšpekcijskimi pooblastili.</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ni upoštevana (sedaj 27. člen). Kot že omenjeno zgoraj glede pritožbenih postopkov, kadar Informacijski pooblaščenec odloča kot drugostopenjski upravni (pritožbeni) organ, deluje po tem zakonu kot klasični (po Zakonu o splošnem upravnem postopku) organ druge stopnje, brez preiskovalnih pooblastil, so pa nekatere določbe splošnega upravnega postopka drugače urejene in prilagojene obravnavanim zadevam po tem zakonu (npr. omejitev vpogleda v </w:t>
      </w:r>
      <w:r w:rsidR="00030F13" w:rsidRPr="007C190F">
        <w:rPr>
          <w:rFonts w:eastAsia="Calibri" w:cs="Arial"/>
          <w:sz w:val="22"/>
          <w:szCs w:val="22"/>
        </w:rPr>
        <w:t>lastne osebne podatke</w:t>
      </w:r>
      <w:r w:rsidRPr="007C190F">
        <w:rPr>
          <w:rFonts w:eastAsia="Calibri" w:cs="Arial"/>
          <w:sz w:val="22"/>
          <w:szCs w:val="22"/>
        </w:rPr>
        <w:t xml:space="preserve">).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27. členu – izvajanje postopkovnih dejanj brez prisotnosti (sedaj 29.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Pripomba, da bi morala omejitev  glede  na  naravo  pravic  veljati v  celoti tudi v postopkih pritožb pri IP v zvezi z uveljavljanjem  pravic  posameznikov.  V  kolikor  se  zdi  v  teh  primerih  omejevalni razlog  'javni  interes' preširok, bi se lahko v pritožbenih postopkih taka omejitev vezala na razloge iz člena 15(1)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ni upoštevana (sedaj 29. člen). Kot že omenjeno zgoraj v okviru opredelitve do prenosa členov 18 in 45 Direktive, gre za različne postopke, zato omejitve ne morejo biti enake.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29. členu – nadzorna pooblastila v inšpekcijskih postopkih (sedaj 31.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Predlagana dodatna pooblastila v inšpekcijskih postopkih.</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Deloma upoštevane pripombe (sedaj 31. člen) in vključene v besedilo, razen predlagane vključitve dodatne točke glede pregledovanja zavezančevih spletnih strani (spoštovanje načela neposrednosti inšpekcijskega nadzora) in navedb glede odredb sodišč. Med drugim smo smiselno sledili odločbi Ustavnega sodišča RS iz leta 2013 glede 28. in 29. člena ZPOmK-1, kjer je Vrhovno sodišče RS s svojo zahtevo za oceno ustavnosti doseglo, da so potrebne predhodne sodne odredbe za določene nadzorne pristojnosti Agencije za varstvo konkurence. Smo pa odstopili od koncepta varstva komunikacijske in prostorske zasebnosti in ohranili le besedilo glede dokaznega standarda (utemeljeni razlogi za sum, da prihaja do kršitve) ter na prvem mestu določili soglasje nadzorovanega organa.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lastRenderedPageBreak/>
        <w:t>K 30. členu – inšpekcijski ukrepi (sedaj 32.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Pripomba k 2. odstavku: nejasna in z Direktivo neskladna dikcija pojma »kazenske zadeve sodišča«, pri čemer se s  tem  omejuje  pristojnosti  IP,  poleg  omejitev  iz  76. člena. Nujno  uskladiti  z  določbami  člena  45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je bila upoštevana (sedaj 32. člen). Ustrezno je dopolnjena 23. točka prvega odstavka 4. člena.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31. do 36. členu – inšpekcijski nadzor v interesu prijavitelja s posebnim položajem (sedaj 33. do 40.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Pripombe glede razmerij postopkov, ki jih predvideva zakon.</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V zvezi s sedaj 33. do 40. členom ZVOPPOKD navajamo, da pripomba, da naj se določi rok za vložitev prijave posameznikov glede kršitev s področja njihovih osebnih podatkov, ni upoštevana, ker bi po mnenju ministrstva bi to dejansko pomenilo znižanje dosežene ravni varstva osebnih podatkov. Posameznik mora namreč imeti možnost vložiti prijavo ves čas, dokler kršitev traja.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 Glede navedb o prekrivanju postopkov in nejasnosti glede tega, kdaj nadzorni organ uvede kakšnega, je v drugi odstavek 40. člena dodana beseda »tudi«, kar izrecno omogoča, da se lahko poleg enega oz. več inšpekcijskih postopkov v lastnem interesu, začetih na podlagi prijav prizadetih posameznikov, istočasno vodi tudi postopek nadzora v javnem interesu (ko zazna sum kršitve tudi za druge), v katerem se ugotavlja obstoj istih kršitev tudi glede drugih posameznikov, ki pa niso vložili prijave. Dodajamo, da iz prvega odstavka 40. člena izhaja, da nadzorni organ uvede postopek v tem primeru tudi na lastno pobudo, kar pomeni, da samostojno odloča o uvedbi postopka.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 tem pojasnjujemo, da smo nadzorne postopke praktično uredili v skladu z vašimi predlogi.</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Glede nerealnih rokov, zlasti pri čezmejnem primeru, dodajamo, da smo sledili že določenim rokom v Splošni uredbi o varstvu podatkov in izhajamo iz pravila, da morajo biti roki določeni v korist uresničevanja pravic posameznika, zato jih ni mogoče podaljševati.</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Glede razmerja med postopki in katerega bo nadzorni organ vodil, je odvisno od posameznika, ki ima na podlagi tega zakona več možnosti, kakšno vlogo bo vložil. Če bi bila vloga nerazumljiva, nejasna ali drugače nepopolna, veljajo določbe Zakona o splošnem upravnem postopku o pozivu k dopolnitvi vloge.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Prav tako pa je preoblikovan 38. člen na način, da ni dvoma, da Informacijski pooblaščenec, ki med postopkom zazna kršitve varstva pravic, ki bi lahko vplivale na druge posameznike, uvede postopek tudi v javnem interesu (klasični inšpekcijski nadzor). Kar pomeni, da lahko vodi oba postopka.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38. členu – uvedba inšpekcijskega nadzora na pobudo drugih organov (sedaj 40.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Pripomba, da še vedno</w:t>
      </w:r>
      <w:r w:rsidR="00652BCF" w:rsidRPr="007C190F">
        <w:rPr>
          <w:rFonts w:eastAsia="Calibri" w:cs="Arial"/>
          <w:i/>
          <w:iCs/>
          <w:sz w:val="22"/>
          <w:szCs w:val="22"/>
        </w:rPr>
        <w:t xml:space="preserve"> </w:t>
      </w:r>
      <w:r w:rsidRPr="007C190F">
        <w:rPr>
          <w:rFonts w:eastAsia="Calibri" w:cs="Arial"/>
          <w:i/>
          <w:iCs/>
          <w:sz w:val="22"/>
          <w:szCs w:val="22"/>
        </w:rPr>
        <w:t>ni jasno,</w:t>
      </w:r>
      <w:r w:rsidR="00652BCF" w:rsidRPr="007C190F">
        <w:rPr>
          <w:rFonts w:eastAsia="Calibri" w:cs="Arial"/>
          <w:i/>
          <w:iCs/>
          <w:sz w:val="22"/>
          <w:szCs w:val="22"/>
        </w:rPr>
        <w:t xml:space="preserve"> </w:t>
      </w:r>
      <w:r w:rsidRPr="007C190F">
        <w:rPr>
          <w:rFonts w:eastAsia="Calibri" w:cs="Arial"/>
          <w:i/>
          <w:iCs/>
          <w:sz w:val="22"/>
          <w:szCs w:val="22"/>
        </w:rPr>
        <w:t>kakšno</w:t>
      </w:r>
      <w:r w:rsidR="00652BCF" w:rsidRPr="007C190F">
        <w:rPr>
          <w:rFonts w:eastAsia="Calibri" w:cs="Arial"/>
          <w:i/>
          <w:iCs/>
          <w:sz w:val="22"/>
          <w:szCs w:val="22"/>
        </w:rPr>
        <w:t xml:space="preserve"> </w:t>
      </w:r>
      <w:r w:rsidRPr="007C190F">
        <w:rPr>
          <w:rFonts w:eastAsia="Calibri" w:cs="Arial"/>
          <w:i/>
          <w:iCs/>
          <w:sz w:val="22"/>
          <w:szCs w:val="22"/>
        </w:rPr>
        <w:t>je</w:t>
      </w:r>
      <w:r w:rsidR="00652BCF" w:rsidRPr="007C190F">
        <w:rPr>
          <w:rFonts w:eastAsia="Calibri" w:cs="Arial"/>
          <w:i/>
          <w:iCs/>
          <w:sz w:val="22"/>
          <w:szCs w:val="22"/>
        </w:rPr>
        <w:t xml:space="preserve"> </w:t>
      </w:r>
      <w:r w:rsidRPr="007C190F">
        <w:rPr>
          <w:rFonts w:eastAsia="Calibri" w:cs="Arial"/>
          <w:i/>
          <w:iCs/>
          <w:sz w:val="22"/>
          <w:szCs w:val="22"/>
        </w:rPr>
        <w:t>ob</w:t>
      </w:r>
      <w:r w:rsidR="00652BCF" w:rsidRPr="007C190F">
        <w:rPr>
          <w:rFonts w:eastAsia="Calibri" w:cs="Arial"/>
          <w:i/>
          <w:iCs/>
          <w:sz w:val="22"/>
          <w:szCs w:val="22"/>
        </w:rPr>
        <w:t xml:space="preserve"> </w:t>
      </w:r>
      <w:r w:rsidRPr="007C190F">
        <w:rPr>
          <w:rFonts w:eastAsia="Calibri" w:cs="Arial"/>
          <w:i/>
          <w:iCs/>
          <w:sz w:val="22"/>
          <w:szCs w:val="22"/>
        </w:rPr>
        <w:t>zgoraj</w:t>
      </w:r>
      <w:r w:rsidR="00652BCF" w:rsidRPr="007C190F">
        <w:rPr>
          <w:rFonts w:eastAsia="Calibri" w:cs="Arial"/>
          <w:i/>
          <w:iCs/>
          <w:sz w:val="22"/>
          <w:szCs w:val="22"/>
        </w:rPr>
        <w:t xml:space="preserve"> </w:t>
      </w:r>
      <w:r w:rsidRPr="007C190F">
        <w:rPr>
          <w:rFonts w:eastAsia="Calibri" w:cs="Arial"/>
          <w:i/>
          <w:iCs/>
          <w:sz w:val="22"/>
          <w:szCs w:val="22"/>
        </w:rPr>
        <w:t>navedenem</w:t>
      </w:r>
      <w:r w:rsidR="00652BCF" w:rsidRPr="007C190F">
        <w:rPr>
          <w:rFonts w:eastAsia="Calibri" w:cs="Arial"/>
          <w:i/>
          <w:iCs/>
          <w:sz w:val="22"/>
          <w:szCs w:val="22"/>
        </w:rPr>
        <w:t xml:space="preserve"> </w:t>
      </w:r>
      <w:r w:rsidRPr="007C190F">
        <w:rPr>
          <w:rFonts w:eastAsia="Calibri" w:cs="Arial"/>
          <w:i/>
          <w:iCs/>
          <w:sz w:val="22"/>
          <w:szCs w:val="22"/>
        </w:rPr>
        <w:t>razmerje</w:t>
      </w:r>
      <w:r w:rsidR="00652BCF" w:rsidRPr="007C190F">
        <w:rPr>
          <w:rFonts w:eastAsia="Calibri" w:cs="Arial"/>
          <w:i/>
          <w:iCs/>
          <w:sz w:val="22"/>
          <w:szCs w:val="22"/>
        </w:rPr>
        <w:t xml:space="preserve"> </w:t>
      </w:r>
      <w:r w:rsidRPr="007C190F">
        <w:rPr>
          <w:rFonts w:eastAsia="Calibri" w:cs="Arial"/>
          <w:i/>
          <w:iCs/>
          <w:sz w:val="22"/>
          <w:szCs w:val="22"/>
        </w:rPr>
        <w:t>med</w:t>
      </w:r>
      <w:r w:rsidR="00652BCF" w:rsidRPr="007C190F">
        <w:rPr>
          <w:rFonts w:eastAsia="Calibri" w:cs="Arial"/>
          <w:i/>
          <w:iCs/>
          <w:sz w:val="22"/>
          <w:szCs w:val="22"/>
        </w:rPr>
        <w:t xml:space="preserve"> </w:t>
      </w:r>
      <w:r w:rsidRPr="007C190F">
        <w:rPr>
          <w:rFonts w:eastAsia="Calibri" w:cs="Arial"/>
          <w:i/>
          <w:iCs/>
          <w:sz w:val="22"/>
          <w:szCs w:val="22"/>
        </w:rPr>
        <w:t>vsemi</w:t>
      </w:r>
      <w:r w:rsidR="00652BCF" w:rsidRPr="007C190F">
        <w:rPr>
          <w:rFonts w:eastAsia="Calibri" w:cs="Arial"/>
          <w:i/>
          <w:iCs/>
          <w:sz w:val="22"/>
          <w:szCs w:val="22"/>
        </w:rPr>
        <w:t xml:space="preserve"> </w:t>
      </w:r>
      <w:r w:rsidRPr="007C190F">
        <w:rPr>
          <w:rFonts w:eastAsia="Calibri" w:cs="Arial"/>
          <w:i/>
          <w:iCs/>
          <w:sz w:val="22"/>
          <w:szCs w:val="22"/>
        </w:rPr>
        <w:t>vrstami</w:t>
      </w:r>
      <w:r w:rsidR="00652BCF" w:rsidRPr="007C190F">
        <w:rPr>
          <w:rFonts w:eastAsia="Calibri" w:cs="Arial"/>
          <w:i/>
          <w:iCs/>
          <w:sz w:val="22"/>
          <w:szCs w:val="22"/>
        </w:rPr>
        <w:t xml:space="preserve"> </w:t>
      </w:r>
      <w:r w:rsidRPr="007C190F">
        <w:rPr>
          <w:rFonts w:eastAsia="Calibri" w:cs="Arial"/>
          <w:i/>
          <w:iCs/>
          <w:sz w:val="22"/>
          <w:szCs w:val="22"/>
        </w:rPr>
        <w:t>inšpekcijskih postopkov.</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lastRenderedPageBreak/>
        <w:t>Glede razmerja med posameznimi vrstami inšpekcijskih oziroma nadzornih postopkov menimo, da je iz predloga zakona jasno, da Informacijski pooblaščenec vodi inšpekcijski nadzor v interesu prijavitelja s posebnim položajem (sedaj 33. člen), kar pa ne izključuje hkratne uvedbe postopka inšpekcijskega nadzora v javnem interesu (40. člen), če zazna sum kršitve pravic drugih posameznikov. Inšpekcijski nadzor v javnem interesu lahko uvede na lastno pobudo ali pobudo drugih organov.</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III. POGLAVJU (sedaj V. poglavje)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40. členu – vgrajeno in privzeto varstvo osebnih podatkov (sedaj 42.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Prvi odstavek: IP predlaga, da se kot primer ukrepov doda besedna zveza: »kot je psevdonimizacija« (enako dikcijo vsebuje člen 20(1)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glede sedaj 42. člena je upoštevana.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41. členu – skupni upravljavci (sedaj 43.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Prvi odstavek: IP izpostavlja, da morajo biti nameni določeni z zakonom, ne določijo jih izvorno skupni upravljavci. To bi moralo biti jasno razvidno iz te določbe.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Iz formulacije sedaj 43. člena jasno izhaja, da upravljavci ne morejo sami določiti namena obdelave.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44. členu – evidenca dejavnosti obdelave (sedaj 46.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Peti odstavek: med oblikami vodenja evidenc obdelav bi bilo treba dodati tudi elektronsko obliko kot določa tudi člen 24(3)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besedilo vključeno v peti odstavek sedaj 46. člena.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45. členu – vodenje dnevnikov (sedaj 47.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Predlagano podaljšanje roka hrambe podatkov o sledljivosti obravnav na 5 let.</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glede sedaj 47. člena ni upoštevana.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Po petem odstavku se vsebina dnevnika obdelave hrani dve leti od zaključka koledarskega leta, v katerem so bila v njih zabeležena dejanja obdelave, če drug zakon ne določa drugače (npr. šesti odstavek tega člena). Namen dvoletnega roka hrambe je zagotovitev sledljivosti po drugem odstavku in menimo, da je rok hrambe sorazmeren s prenehanjem obdelave. V predlaganem šestem odstavku je določeno, da se vsebina dnevnika obdelave, ki ga upravlja Nacionalna enota za informacije o potnikih po Zakonu o nalogah in pooblastilih policije, hrani pet let od zaključka koledarskega leta, v katerem so bila v njih zabeležena dejanja obdelave. V tem primeru gre za implementacijo šestega odstavka 13. člena Direktive (EU) 2016/681.</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lastRenderedPageBreak/>
        <w:t>K 46. členu – preverjanje kakovosti osebnih podatkov (sedaj 48.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Četrti odstavek: na koncu stavka vsebinsko manjka besedilo: »njihovo obdelavo«.</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glede sedaj 48. člena je upoštevana.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47. členu – razlikovanje med različnimi kategorijami posameznikov (sedaj 9.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Pripomba, da prvi odstavek 1. točka niža standard opredeljen v členu 6 Direktive, saj zajema vse osumljence, ne le tiste, zoper katere obstaja utemeljen sum, da so storile kaznivo dejanja ali ga nameravajo storiti.</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(sedaj 9. člen). Kategorije posameznikov so usklajene s 144. členom Zakona o kazenskem postopku.</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48. členu – razlikovanje med osebnimi podatki, ki temeljijo na dejstvih in osebnimi podatki, ki temeljijo na osebnih ocenah (sedaj 10. člen)</w:t>
      </w:r>
    </w:p>
    <w:p w:rsidR="00836937" w:rsidRPr="007C190F" w:rsidRDefault="00836937" w:rsidP="00A821A6">
      <w:pPr>
        <w:spacing w:after="160" w:line="259" w:lineRule="auto"/>
        <w:jc w:val="both"/>
        <w:rPr>
          <w:rFonts w:eastAsia="Calibri" w:cs="Arial"/>
          <w:i/>
          <w:iCs/>
          <w:sz w:val="22"/>
          <w:szCs w:val="22"/>
        </w:rPr>
      </w:pPr>
      <w:r w:rsidRPr="007C190F">
        <w:rPr>
          <w:rFonts w:eastAsia="Calibri" w:cs="Arial"/>
          <w:i/>
          <w:iCs/>
          <w:sz w:val="22"/>
          <w:szCs w:val="22"/>
        </w:rPr>
        <w:t>Pripomba, da predlog  ne  opredeljuje,  na  kakšen  način  se  izvaja  naknadno  preverjanje  ocen. IP predlaga konkretizacijo določbe.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Sedaj 10. člen vsebuje določbo o rednem notranjem preverjanju in ustreznem dokumentiranju. Po mnenju ministrstvo dodatna konkretizacija ni potrebna.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 xml:space="preserve">K 49. členu – predhodno posvetovanje z nadzornim organom (sedaj </w:t>
      </w:r>
      <w:r w:rsidR="00652BCF" w:rsidRPr="007C190F">
        <w:rPr>
          <w:rFonts w:eastAsia="Calibri" w:cs="Arial"/>
          <w:b/>
          <w:bCs/>
          <w:sz w:val="22"/>
          <w:szCs w:val="22"/>
        </w:rPr>
        <w:t>50</w:t>
      </w:r>
      <w:r w:rsidRPr="007C190F">
        <w:rPr>
          <w:rFonts w:eastAsia="Calibri" w:cs="Arial"/>
          <w:b/>
          <w:bCs/>
          <w:sz w:val="22"/>
          <w:szCs w:val="22"/>
        </w:rPr>
        <w:t>. člen)</w:t>
      </w:r>
    </w:p>
    <w:p w:rsidR="00652BCF" w:rsidRPr="007C190F" w:rsidRDefault="00652BCF" w:rsidP="00652BCF">
      <w:pPr>
        <w:spacing w:after="160" w:line="259" w:lineRule="auto"/>
        <w:jc w:val="both"/>
        <w:rPr>
          <w:rFonts w:eastAsia="Calibri" w:cs="Arial"/>
          <w:i/>
          <w:iCs/>
          <w:sz w:val="22"/>
          <w:szCs w:val="22"/>
        </w:rPr>
      </w:pPr>
      <w:r w:rsidRPr="007C190F">
        <w:rPr>
          <w:rFonts w:eastAsia="Calibri" w:cs="Arial"/>
          <w:i/>
          <w:iCs/>
          <w:sz w:val="22"/>
          <w:szCs w:val="22"/>
        </w:rPr>
        <w:t>Predlagano, da bi bilo bolj pravilno, da je člen z oceno učinka pred členom o predhodnem preverjanju in ne obratno.</w:t>
      </w:r>
    </w:p>
    <w:p w:rsidR="00652BCF" w:rsidRPr="007C190F" w:rsidRDefault="00652BCF" w:rsidP="00652BCF">
      <w:pPr>
        <w:spacing w:after="160" w:line="259" w:lineRule="auto"/>
        <w:jc w:val="both"/>
        <w:rPr>
          <w:rFonts w:eastAsia="Calibri" w:cs="Arial"/>
          <w:i/>
          <w:iCs/>
          <w:sz w:val="22"/>
          <w:szCs w:val="22"/>
        </w:rPr>
      </w:pPr>
      <w:r w:rsidRPr="007C190F">
        <w:rPr>
          <w:rFonts w:eastAsia="Calibri" w:cs="Arial"/>
          <w:i/>
          <w:iCs/>
          <w:sz w:val="22"/>
          <w:szCs w:val="22"/>
        </w:rPr>
        <w:t>Četrti odstavek: v primerjavi s členom 28(5) Direktive manjka, da mora nadzorni organ o podaljšanju roka in razlogih za to obvestiti pristojni organ in po potrebi obdelovalca.</w:t>
      </w:r>
    </w:p>
    <w:p w:rsidR="00652BCF" w:rsidRPr="007C190F" w:rsidRDefault="00652BCF" w:rsidP="00652BCF">
      <w:pPr>
        <w:spacing w:after="160" w:line="259" w:lineRule="auto"/>
        <w:jc w:val="both"/>
        <w:rPr>
          <w:rFonts w:eastAsia="Calibri" w:cs="Arial"/>
          <w:sz w:val="22"/>
          <w:szCs w:val="22"/>
        </w:rPr>
      </w:pPr>
      <w:r w:rsidRPr="007C190F">
        <w:rPr>
          <w:rFonts w:eastAsia="Calibri" w:cs="Arial"/>
          <w:sz w:val="22"/>
          <w:szCs w:val="22"/>
        </w:rPr>
        <w:t>Pripombi sta upoštevani (sedaj je predhodno posvetovanje urejeno v 50. členu).</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 xml:space="preserve">K 50. členu – ocena učinka (sedaj </w:t>
      </w:r>
      <w:r w:rsidR="00652BCF" w:rsidRPr="007C190F">
        <w:rPr>
          <w:rFonts w:eastAsia="Calibri" w:cs="Arial"/>
          <w:b/>
          <w:bCs/>
          <w:sz w:val="22"/>
          <w:szCs w:val="22"/>
        </w:rPr>
        <w:t>49</w:t>
      </w:r>
      <w:r w:rsidRPr="007C190F">
        <w:rPr>
          <w:rFonts w:eastAsia="Calibri" w:cs="Arial"/>
          <w:b/>
          <w:bCs/>
          <w:sz w:val="22"/>
          <w:szCs w:val="22"/>
        </w:rPr>
        <w:t>. člen)</w:t>
      </w:r>
    </w:p>
    <w:p w:rsidR="00652BCF" w:rsidRPr="007C190F" w:rsidRDefault="00652BCF" w:rsidP="00652BCF">
      <w:pPr>
        <w:spacing w:after="160" w:line="259" w:lineRule="auto"/>
        <w:jc w:val="both"/>
        <w:rPr>
          <w:rFonts w:eastAsia="Calibri" w:cs="Arial"/>
          <w:i/>
          <w:iCs/>
          <w:sz w:val="22"/>
          <w:szCs w:val="22"/>
        </w:rPr>
      </w:pPr>
      <w:r w:rsidRPr="007C190F">
        <w:rPr>
          <w:rFonts w:eastAsia="Calibri" w:cs="Arial"/>
          <w:i/>
          <w:iCs/>
          <w:sz w:val="22"/>
          <w:szCs w:val="22"/>
        </w:rPr>
        <w:t>Opozorilo, da ni razvidno, zakaj je predlagatelj uporabil namesto besed 'vrsta obdelave' pojmovno zvezo 'kategorija obdelave'.</w:t>
      </w:r>
    </w:p>
    <w:p w:rsidR="00652BCF" w:rsidRPr="007C190F" w:rsidRDefault="00652BCF" w:rsidP="00652BCF">
      <w:pPr>
        <w:spacing w:after="160" w:line="259" w:lineRule="auto"/>
        <w:jc w:val="both"/>
        <w:rPr>
          <w:rFonts w:eastAsia="Calibri" w:cs="Arial"/>
          <w:sz w:val="22"/>
          <w:szCs w:val="22"/>
        </w:rPr>
      </w:pPr>
      <w:r w:rsidRPr="007C190F">
        <w:rPr>
          <w:rFonts w:eastAsia="Calibri" w:cs="Arial"/>
          <w:sz w:val="22"/>
          <w:szCs w:val="22"/>
        </w:rPr>
        <w:t>Pripomba ni upoštevana (sedaj 49. člen). Beseda kategorije je skozi zakon pridržana na obdelave in posameznike, beseda vrsta pa na osebne podatke.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51. členu – varnost obdelave (sedaj 51.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Drugi odstavek: 14. točka – ni ustrezno poimenovana, ne gre za dostopnost, primernejši izraz bi bil razpoložljivost.</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lastRenderedPageBreak/>
        <w:t>K 52. členu – obvestilo nadzornemu organu o kršitvi varnosti osebnih podatkov (sedaj 52.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Prvi odstavek: po tej določbi se o vseh kršitvah obvešča nadzorni organ, tudi o tistih, za katere ni verjetno, da bi bilo s kršitvijo varstva osebnih podatkov povzročeno tveganje za pravice in svoboščine posameznikov. Smiselno bi bilo slediti določbam člena 30 Direktive in vključiti ta pogoj.</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besedilo prvega odstavka ustrezno dopolnjeno.</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55. členu – pooblaščena oseba za varstvo osebnih podatkov (sedaj 55.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Manjka določba člena 33(1)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dodan nov šesti odstavek 55. člena.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56. členu – pogoji za določitev pooblaščene osebe za varstvo osebnih podatkov (sedaj 56.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Prvi odstavek: IP ocenjuje, da bi kot nujni (in ne alternativni) pogoj za imenovanje pooblaščene osebe moralo biti obvezno strokovno znanje o zakonodaji in praksi na področju varstva podatkov, kot to določa člen 32 Direktive. Temu namreč ne zadosti alternativna opredelitev, kot jo je določil predlagatelj: znanja s področij varstva podatkov ali tajnih podatkov ali informacijske varnosti.</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je besedilo 5. točke prvega odstavka ustrezno preoblikovano.</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57. členu – naloge in upravičenja pooblaščene osebe za varstvo osebnih podatkov (sedaj 57. člen)</w:t>
      </w:r>
    </w:p>
    <w:p w:rsidR="00E236AD" w:rsidRPr="007C190F" w:rsidRDefault="00E236AD" w:rsidP="00A821A6">
      <w:pPr>
        <w:spacing w:after="160" w:line="259" w:lineRule="auto"/>
        <w:jc w:val="both"/>
        <w:rPr>
          <w:rFonts w:eastAsia="Calibri" w:cs="Arial"/>
          <w:i/>
          <w:iCs/>
          <w:sz w:val="22"/>
          <w:szCs w:val="22"/>
        </w:rPr>
      </w:pPr>
      <w:r w:rsidRPr="007C190F">
        <w:rPr>
          <w:rFonts w:eastAsia="Calibri" w:cs="Arial"/>
          <w:i/>
          <w:iCs/>
          <w:sz w:val="22"/>
          <w:szCs w:val="22"/>
        </w:rPr>
        <w:t>Drugi odstavek:  pooblaščena  oseba  ima  dostop  do  vsebine  vseh osebnih  podatkov,  ki  jih  obdeluje pristojni  organ. IP  se  sprašuje  o  potrebnosti  in  primernosti  tako  zelo širokega  pooblastila,  ki  ne predvideva nikakršnih izjem in presega pooblastila IP kot nadzornega organa.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drugi odstavek ustrezno dopolnjen.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58. členu – pooblaščena oseba za varstvo osebnih podatkov pri Nacionalni enoti za informacije o potnikih (sedaj 58. člen)</w:t>
      </w:r>
    </w:p>
    <w:p w:rsidR="00652BCF" w:rsidRPr="007C190F" w:rsidRDefault="00652BCF" w:rsidP="00A821A6">
      <w:pPr>
        <w:spacing w:after="160" w:line="259" w:lineRule="auto"/>
        <w:jc w:val="both"/>
        <w:rPr>
          <w:rFonts w:eastAsia="Calibri" w:cs="Arial"/>
          <w:i/>
          <w:iCs/>
          <w:sz w:val="22"/>
          <w:szCs w:val="22"/>
        </w:rPr>
      </w:pPr>
      <w:r w:rsidRPr="007C190F">
        <w:rPr>
          <w:rFonts w:eastAsia="Calibri" w:cs="Arial"/>
          <w:i/>
          <w:iCs/>
          <w:sz w:val="22"/>
          <w:szCs w:val="22"/>
        </w:rPr>
        <w:t>Drugi odstavek: neustrezno oblikovana določba. To ni materija tega zakona (urejanje razmerij oziroma imenovanj znotraj policije, bi bilo treba urediti v področni zakonodaji, ki določa pooblastila in delo policije).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ni upoštevana. Direktiv</w:t>
      </w:r>
      <w:r w:rsidR="000C1E2A" w:rsidRPr="007C190F">
        <w:rPr>
          <w:rFonts w:eastAsia="Calibri" w:cs="Arial"/>
          <w:sz w:val="22"/>
          <w:szCs w:val="22"/>
        </w:rPr>
        <w:t>o (EU) 2016/681</w:t>
      </w:r>
      <w:r w:rsidRPr="007C190F">
        <w:rPr>
          <w:rFonts w:eastAsia="Calibri" w:cs="Arial"/>
          <w:sz w:val="22"/>
          <w:szCs w:val="22"/>
        </w:rPr>
        <w:t xml:space="preserve"> mora Republika Slovenija delno prenesti tudi v tem zakonu.</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IV. POGLAVJU (sedaj VI. poglavje)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62. do 65. členu – izvajanje strokovnega nadzora (sedaj 63. do 66. člen)</w:t>
      </w:r>
    </w:p>
    <w:p w:rsidR="00E236AD" w:rsidRPr="007C190F" w:rsidRDefault="00E236AD" w:rsidP="00A821A6">
      <w:pPr>
        <w:spacing w:after="160" w:line="259" w:lineRule="auto"/>
        <w:jc w:val="both"/>
        <w:rPr>
          <w:rFonts w:eastAsia="Calibri" w:cs="Arial"/>
          <w:i/>
          <w:iCs/>
          <w:sz w:val="22"/>
          <w:szCs w:val="22"/>
        </w:rPr>
      </w:pPr>
      <w:r w:rsidRPr="007C190F">
        <w:rPr>
          <w:rFonts w:eastAsia="Calibri" w:cs="Arial"/>
          <w:i/>
          <w:iCs/>
          <w:sz w:val="22"/>
          <w:szCs w:val="22"/>
        </w:rPr>
        <w:t>Nujno  bi  bilo še določneje navesti, kdo so organi, ki lahko opravljajo strokovni nadzor, saj so jim podeljena  izredno  široka  pooblastila. Dejansko  imajo  širše  možnosti obdelave  podatkov  kot  IP (nobenih omejitev).</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z dopolnitvijo 63. člena in prvega odstavka 64. člena.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66. členu – posredovanje osebnih podatkov, ki ga izvedejo osebe javnega sektorja (sedaj 67. člen)</w:t>
      </w:r>
    </w:p>
    <w:p w:rsidR="00E236AD" w:rsidRPr="007C190F" w:rsidRDefault="00E236AD" w:rsidP="00A821A6">
      <w:pPr>
        <w:spacing w:after="160" w:line="259" w:lineRule="auto"/>
        <w:jc w:val="both"/>
        <w:rPr>
          <w:rFonts w:eastAsia="Calibri" w:cs="Arial"/>
          <w:i/>
          <w:iCs/>
          <w:sz w:val="22"/>
          <w:szCs w:val="22"/>
        </w:rPr>
      </w:pPr>
      <w:r w:rsidRPr="007C190F">
        <w:rPr>
          <w:rFonts w:eastAsia="Calibri" w:cs="Arial"/>
          <w:i/>
          <w:iCs/>
          <w:sz w:val="22"/>
          <w:szCs w:val="22"/>
        </w:rPr>
        <w:t>IP ponovno izpostavlja,  da  morajo  tudi  pravne osebe zasebnega  sektorja  imeti  za pridobivanje osebnih podatkov pravno podlago, kot izhaja iz Splošne uredbe o varstvu podatkov, zato ne zadošča le , da se 'obvežejo', da podatkov ne bodo obdelovale za drug namen.</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ustrezno dopolnjen drugi odstavek (sedaj 67. člen).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67. členu – posredovanje osebnih podatkov, ki ga izvedejo osebe zasebnega sektorja (sedaj 68. člen)</w:t>
      </w:r>
    </w:p>
    <w:p w:rsidR="00E236AD" w:rsidRPr="007C190F" w:rsidRDefault="00E236AD" w:rsidP="00A821A6">
      <w:pPr>
        <w:spacing w:after="160" w:line="259" w:lineRule="auto"/>
        <w:jc w:val="both"/>
        <w:rPr>
          <w:rFonts w:eastAsia="Calibri" w:cs="Arial"/>
          <w:i/>
          <w:iCs/>
          <w:sz w:val="22"/>
          <w:szCs w:val="22"/>
        </w:rPr>
      </w:pPr>
      <w:r w:rsidRPr="007C190F">
        <w:rPr>
          <w:rFonts w:eastAsia="Calibri" w:cs="Arial"/>
          <w:i/>
          <w:iCs/>
          <w:sz w:val="22"/>
          <w:szCs w:val="22"/>
        </w:rPr>
        <w:t>Opozorjeno, da  bi  moral  predlagatelj sistemsko člena nujno  dopolniti  v  smislu  zahteve  za  obstoj pravne podlage kot predpogoja za kakršnokoli posredovanje oz. pridobivanje podatkov, v nasprotnem primeru se izniči celoten sistem varstva in zagotavljanja zakonitosti obdelave osebnih podatkov.</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ustrezno dopolnjen prvi odstavek (sedaj 68. člen).</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68. členu – postopek posredovanja osebnih podatkov (sedaj 69. člen)</w:t>
      </w:r>
    </w:p>
    <w:p w:rsidR="00E236AD" w:rsidRPr="007C190F" w:rsidRDefault="00E236AD" w:rsidP="00A821A6">
      <w:pPr>
        <w:spacing w:after="160" w:line="259" w:lineRule="auto"/>
        <w:jc w:val="both"/>
        <w:rPr>
          <w:rFonts w:eastAsia="Calibri" w:cs="Arial"/>
          <w:i/>
          <w:iCs/>
          <w:sz w:val="22"/>
          <w:szCs w:val="22"/>
        </w:rPr>
      </w:pPr>
      <w:r w:rsidRPr="007C190F">
        <w:rPr>
          <w:rFonts w:eastAsia="Calibri" w:cs="Arial"/>
          <w:i/>
          <w:iCs/>
          <w:sz w:val="22"/>
          <w:szCs w:val="22"/>
        </w:rPr>
        <w:t>Pripomba, da člen ni jasen z vidika namena in konteksta posredovanja ter ustreznih varovalk za zagotavljanja varstva podatkov ter zakonitosti obdelave.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delno upoštevana (sedaj 69. člen). Ustrezno je dopolnjen prvi odstavek. V zvezi z ugotovitvijo, da ni jasen namen in kontekst posredovanja ter ustreznih varovalk za zagotavljanje varstva podatkov ter zakonitosti obdelave, ministrstvo pojasnjuje, da so številne varovalke predvidene v samem predlogu zakona.</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V. POGLAVJU (sedaj VII poglavje)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69. členu – splošna pravila za prenos osebnih podatkov (sedaj 70.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Drugi odstavek: preširoka in presplošna opredelitev  izjeme(npr. varstvo bistvenih političnih in gospodarskih interesov), ki presega oz. ni skladna z določbami člena 35(2)Direktive.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k prvemu odstavku je upoštevana (sedaj 70. člen).</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lastRenderedPageBreak/>
        <w:t>Pripomba k drugemu odstavku ni upoštevana. Gre za uveljavljeno terminologijo v Republiki Sloveniji, npr. prva alineja prvega odstavka 2. člena Zakona o Slovenski obveščevalno-varnostni agenciji, 5. člen Zakona o tajnih podatkih, in je bistveno ožja, saj se nanaša na »bistvene« interese.</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71. členu – prenos osebnih podatkov z uporabo ustreznih zaščitnih ukrepov (sedaj 72.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Prvi odstavek: delno neskladna uporaba pojmov glede na določbe člena 37 Direktive primerneje »pravno zavezujoč akt« (ne pravni akt).</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ni upoštevana (sedaj 72. člen). Iz 1. točke prvega odstavka jasno izhaja, da gre za pravni akt, ki obvezuje.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72. členu – izjeme za posamezne primere (sedaj 73.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Člen vsebinsko ni skladen s členom 38 Direktive, saj dopušča prenose v bistveno večjem obsegu(posebej ni skladna oz. je vsebinsko bistveno širša točka 3 prvega odstavka 72. člena predloga ZVOPPOKD).</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delno upoštevana (sedaj 73. člen). V prvem odstavku je dodano besedilo »kadar je prenos potreben«, v 2. točki prvega odstavka pa črtana beseda »predvideno«. Besedilo 3. točke je, kot je že zgoraj omenjeno, potrebno zaradi varstva suverenosti Republike Slovenije in nacionalnega interesa, kot je opredeljen v Zakonu o Slovenski obveščevalno-varnostni agenciji ali Zakonu o tajnih podatkih.</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73. členu – posebni prenosi določenim uporabnikom v tretjih državah (sedaj 74.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Opozorjeno na preširoko besedilo člena predloga. V členu glede na to manjka določba, da ne gre za samostojno pravno podlago za prenos osebnih podatkov, ampak morajo biti poleg v členu 39 Direktive navedenih pogojev najprej in kot predpogoj izpolnjeni tudi vsi ostali pogoji za zakonitost obdelave (kot izhajajo iz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delno upoštevana (sedaj 74. člen). Ministrstvo meni, da so v prvem odstavku in nato v 1. točki prvega odstavka naštete vse pravne podlage kumulativno.</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Drugi odstavek je spremenjen in v njem določeno obveščanje nadzornega organa in dodan nov tretji odstavek. </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75. členu – pristojnosti nadzornega organa (sedaj 76.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Drugi odstavek: opredelitev kdo lahko sodeluje pri inšpekcijskem nadzoru(»strokovno osebje nadzornega organa s področja informacijskih in komunikacijskih tehnologij«)ni skladno z določbo člena 42(5) Direktive, in lahko pomeni poseg v samostojnost in neodvisnost nadzornega organa. Prav tako izpostavljamo uskladitev besedne zveze »nadzorne zveze« na način, ki bo skladen s členom 42(5) Direktive.</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lastRenderedPageBreak/>
        <w:t>Glede navedbe, da ni jasno kaj so pritožbeni postopki po tem zakonu, ministrstvo pojasnjuje, da gre za postopke iz II. poglavja tega zakona. Za te pritožbene postopke pred nadzornim organom veljajo tudi skupne določbe iz 1. oddelka III. poglavja tega zakona, ko se posameznik, na katerega se nanašajo osebni podatki, z zahtevo obrne na pristojni organ in po odločitvi s pritožbo na nadzorni organ (27. člen), lahko pa gre tudi za prijavo prijavitelja s posebnim položajem, ki meni, da pristojni organ krši zakon pri obdelavi njegovih osebnih podatkov (33. člen).</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k drugemu odstavku ni upoštevana. Ministrstvo meni, da je širitev določitve nadzornih oseb pri Informacijskem pooblaščencu, ki lahko samostojno izvajajo nadzorne postopke, predmet Zakona o Informacijskem pooblaščencu.</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76. členu – omejitve pri izvajanju nadzorna (sedaj 77.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Pripomba glede nejasnosti termina »kazenska zadeva sodišča«.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Pojem ali izraz »kazenska zadeva« iz pristojnosti sodišča s splošno pristojnostjo obstaja, in sicer je določen v 101. členu Zakona o sodiščih. Besedilo člena je usklajeno tudi s preambulo k direktivi, </w:t>
      </w:r>
      <w:r w:rsidR="000C1E2A" w:rsidRPr="007C190F">
        <w:rPr>
          <w:rFonts w:eastAsia="Calibri" w:cs="Arial"/>
          <w:sz w:val="22"/>
          <w:szCs w:val="22"/>
        </w:rPr>
        <w:t xml:space="preserve">uvodna navedba št. </w:t>
      </w:r>
      <w:r w:rsidRPr="007C190F">
        <w:rPr>
          <w:rFonts w:eastAsia="Calibri" w:cs="Arial"/>
          <w:sz w:val="22"/>
          <w:szCs w:val="22"/>
        </w:rPr>
        <w:t>49, ki navaja, da kadar se osebni podatki obdelujejo med kazensko preiskavo in v sodnem kazenskem postopku, bi moralo biti državam članicam omogočeno, da zagotovijo, da se uresničevanje pravic do informacij, dostopa in popravka ali izbrisa osebnih podatkov in omejitve obdelave izvajajo v skladu z nacionalnimi predpisi o sodnih postopkih.</w:t>
      </w:r>
    </w:p>
    <w:p w:rsidR="00A821A6" w:rsidRPr="007C190F" w:rsidRDefault="00A821A6"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77. členu – medsebojna pomoč (sedaj 78.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Predlagana dopolnitev na način, da bo jasno, da velja enak obseg pomoči in izmenjave informacij za oba primera (tako za primer ko zaprosi IP druge nadzorne organ EU, kot tudi za primere, ko drugi nadzorni organi zaprosijo IP).</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Pripomba je upoštevana in dodan nov deseti odstavek (sedaj 78. člen).</w:t>
      </w:r>
    </w:p>
    <w:p w:rsidR="00AE0769" w:rsidRPr="007C190F" w:rsidRDefault="00AE0769" w:rsidP="00A821A6">
      <w:pPr>
        <w:spacing w:after="160" w:line="259" w:lineRule="auto"/>
        <w:jc w:val="both"/>
        <w:rPr>
          <w:rFonts w:eastAsia="Calibri" w:cs="Arial"/>
          <w:sz w:val="22"/>
          <w:szCs w:val="22"/>
        </w:rPr>
      </w:pPr>
    </w:p>
    <w:p w:rsidR="00A821A6" w:rsidRPr="007C190F" w:rsidRDefault="00A821A6" w:rsidP="00A821A6">
      <w:pPr>
        <w:spacing w:after="160" w:line="259" w:lineRule="auto"/>
        <w:jc w:val="both"/>
        <w:rPr>
          <w:rFonts w:eastAsia="Calibri" w:cs="Arial"/>
          <w:b/>
          <w:bCs/>
          <w:sz w:val="22"/>
          <w:szCs w:val="22"/>
        </w:rPr>
      </w:pPr>
      <w:r w:rsidRPr="007C190F">
        <w:rPr>
          <w:rFonts w:eastAsia="Calibri" w:cs="Arial"/>
          <w:b/>
          <w:bCs/>
          <w:sz w:val="22"/>
          <w:szCs w:val="22"/>
        </w:rPr>
        <w:t>K 78. do 80. členu – prekrškovne določbe (sedaj 79. do 82. člen)</w:t>
      </w:r>
    </w:p>
    <w:p w:rsidR="00AE0769" w:rsidRPr="007C190F" w:rsidRDefault="00AE0769" w:rsidP="00A821A6">
      <w:pPr>
        <w:spacing w:after="160" w:line="259" w:lineRule="auto"/>
        <w:jc w:val="both"/>
        <w:rPr>
          <w:rFonts w:eastAsia="Calibri" w:cs="Arial"/>
          <w:i/>
          <w:iCs/>
          <w:sz w:val="22"/>
          <w:szCs w:val="22"/>
        </w:rPr>
      </w:pPr>
      <w:r w:rsidRPr="007C190F">
        <w:rPr>
          <w:rFonts w:eastAsia="Calibri" w:cs="Arial"/>
          <w:i/>
          <w:iCs/>
          <w:sz w:val="22"/>
          <w:szCs w:val="22"/>
        </w:rPr>
        <w:t>IP ugotavlja, da še vedno  manjka sankcija za  odgovorno osebo  organa, ki zaupa  obdelavo pogodbenemu obdelovalcu v nasprotju z določbami 42. člena predloga ZVOPPOKD, če ne vodi dnevnika obdelave po 45. členu, če krši pravice posameznika do dostopa do osebnih podatkov po 22. členu ali do popravka ali izbrisa po 24. členu ali če pri povezovanju zbirk osebnih podatkov ravna v nasprotju z 61. členom. Dodati bi bilo treba še prekrškovno določbo za izvajalca strokovnega nadzora, ki ne varuje zaupnosti osebnih podatkov, s katerimi se seznani v okviru strokovnega nadzora kršitev za drugega odstavka 63. člena.</w:t>
      </w:r>
    </w:p>
    <w:p w:rsidR="00A821A6" w:rsidRPr="007C190F" w:rsidRDefault="00A821A6" w:rsidP="00A821A6">
      <w:pPr>
        <w:spacing w:after="160" w:line="259" w:lineRule="auto"/>
        <w:jc w:val="both"/>
        <w:rPr>
          <w:rFonts w:eastAsia="Calibri" w:cs="Arial"/>
          <w:sz w:val="22"/>
          <w:szCs w:val="22"/>
        </w:rPr>
      </w:pPr>
      <w:r w:rsidRPr="007C190F">
        <w:rPr>
          <w:rFonts w:eastAsia="Calibri" w:cs="Arial"/>
          <w:sz w:val="22"/>
          <w:szCs w:val="22"/>
        </w:rPr>
        <w:t xml:space="preserve">Pripomba je delno upoštevana (sedaj 79. do 82. člen). Dodana je nova 13. točka prvega odstavka 79. člena, ki kot prekršek določa povezovanje zbirke podatkov brez pravne podlage v zakonu (prvi odstavek 61. člena) in tretji odstavek 90. člena, ki se nanaša na sankcioniranje odgovorne osebe pogodbenega obdelovalca. Kot že navedeno zgoraj pri opredelitvi do neprenesenih določb direktive (očitek o nesankcioniranju kršitev nekaterih določb zakona), ministrstvo pojasnjuje, da primarni namen zakona ni sankcioniranje, </w:t>
      </w:r>
      <w:r w:rsidRPr="007C190F">
        <w:rPr>
          <w:rFonts w:eastAsia="Calibri" w:cs="Arial"/>
          <w:sz w:val="22"/>
          <w:szCs w:val="22"/>
        </w:rPr>
        <w:lastRenderedPageBreak/>
        <w:t>ampak vzpostavitev zakonitega stanja pri obdelavi osebnih podatkov v policiji in v kazenskem pravosodju, kar se lahko doseže z močnimi in pogostimi nadzori Informacijskega pooblaščenca in nadzornimi pooblastili in ukrepi po tem zakonu, ki mu bodo na voljo. Posledično smo določili prekrške le za tiste določbe zakona, kjer je sankcioniranje nujno za uresničevanje pravic posameznikov ali učinkovitega izvajanja nadzornih postopkov.</w:t>
      </w:r>
    </w:p>
    <w:p w:rsidR="00A821A6" w:rsidRPr="007C190F" w:rsidRDefault="00A821A6" w:rsidP="00E302FA">
      <w:pPr>
        <w:spacing w:after="160" w:line="259" w:lineRule="auto"/>
        <w:jc w:val="both"/>
        <w:rPr>
          <w:rFonts w:eastAsia="Calibri" w:cs="Arial"/>
          <w:sz w:val="22"/>
          <w:szCs w:val="22"/>
        </w:rPr>
      </w:pPr>
    </w:p>
    <w:p w:rsidR="00154C3D" w:rsidRPr="007C190F" w:rsidRDefault="00154C3D" w:rsidP="00154C3D">
      <w:pPr>
        <w:pStyle w:val="Neotevilenodstavek"/>
        <w:widowControl w:val="0"/>
        <w:spacing w:before="0" w:after="0" w:line="288" w:lineRule="auto"/>
        <w:rPr>
          <w:b/>
          <w:iCs/>
          <w:sz w:val="20"/>
          <w:szCs w:val="20"/>
        </w:rPr>
      </w:pPr>
      <w:r w:rsidRPr="007C190F">
        <w:rPr>
          <w:b/>
          <w:iCs/>
          <w:sz w:val="20"/>
          <w:szCs w:val="20"/>
        </w:rPr>
        <w:t>Vrhovno državno tožilstvo</w:t>
      </w:r>
      <w:r w:rsidR="000C1E2A" w:rsidRPr="007C190F">
        <w:rPr>
          <w:b/>
          <w:iCs/>
          <w:sz w:val="20"/>
          <w:szCs w:val="20"/>
        </w:rPr>
        <w:t xml:space="preserve"> Republike Slovenije</w:t>
      </w:r>
    </w:p>
    <w:p w:rsidR="00A060B7" w:rsidRPr="007C190F" w:rsidRDefault="00A060B7" w:rsidP="00154C3D">
      <w:pPr>
        <w:pStyle w:val="Neotevilenodstavek"/>
        <w:widowControl w:val="0"/>
        <w:spacing w:before="0" w:after="0" w:line="288" w:lineRule="auto"/>
        <w:rPr>
          <w:b/>
          <w:iCs/>
          <w:sz w:val="20"/>
          <w:szCs w:val="20"/>
        </w:rPr>
      </w:pPr>
    </w:p>
    <w:p w:rsidR="00154C3D" w:rsidRPr="007C190F" w:rsidRDefault="00154C3D" w:rsidP="00154C3D">
      <w:pPr>
        <w:pStyle w:val="Neotevilenodstavek"/>
        <w:widowControl w:val="0"/>
        <w:spacing w:before="0" w:after="0" w:line="288" w:lineRule="auto"/>
        <w:rPr>
          <w:b/>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7. točki 4. člena – pomen izrazov - upravljavec</w:t>
      </w:r>
    </w:p>
    <w:p w:rsidR="00154C3D" w:rsidRPr="007C190F" w:rsidRDefault="00154C3D" w:rsidP="00154C3D">
      <w:pPr>
        <w:pStyle w:val="Neotevilenodstavek"/>
        <w:widowControl w:val="0"/>
        <w:spacing w:line="288" w:lineRule="auto"/>
        <w:rPr>
          <w:i/>
          <w:sz w:val="20"/>
          <w:szCs w:val="20"/>
        </w:rPr>
      </w:pPr>
      <w:r w:rsidRPr="007C190F">
        <w:rPr>
          <w:i/>
          <w:sz w:val="20"/>
          <w:szCs w:val="20"/>
        </w:rPr>
        <w:t>Izražen je pomislek glede uporabe pojma »pristojni organ«, ki se skozi celoten predlog zakona uporablja v smislu »upravljavca«, ki je opredeljen v 7. točki prvega odstavka 4. člena predloga zakona. Menite, da je glede na navedeno definicijo primernejša uporaba pojma »upravljavec«, saj uporaba pojma »pristojni organ« lahko zbuja nejasnosti.</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Pripombe ni mogoče upoštevati. Definicija pristojnega organa, kot je določena v prvem odstavku 1. člena je vezana na zamejen manjši krog državnih organov, ki bodo izvajali ta zakon oziroma direktivo, ki se z zakonom prenaša v naš pravni red, s tem da je definicija upravljavca dovolj široka, da bo lahko kakšen drug upravljavec sodeloval s pristojnim organom npr. institut skupnega upravljavca (43. člen predloga zakona).</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17. in 18. točki 4. člena – pomen izrazov – nadzornik – nadzorne osebe</w:t>
      </w:r>
    </w:p>
    <w:p w:rsidR="00154C3D" w:rsidRPr="007C190F" w:rsidRDefault="00154C3D" w:rsidP="00154C3D">
      <w:pPr>
        <w:pStyle w:val="Neotevilenodstavek"/>
        <w:widowControl w:val="0"/>
        <w:spacing w:line="288" w:lineRule="auto"/>
        <w:rPr>
          <w:i/>
          <w:sz w:val="20"/>
          <w:szCs w:val="20"/>
        </w:rPr>
      </w:pPr>
      <w:r w:rsidRPr="007C190F">
        <w:rPr>
          <w:i/>
          <w:sz w:val="20"/>
          <w:szCs w:val="20"/>
        </w:rPr>
        <w:t>Glede na opredelitev izrazov v 17. in 18. točki 4.člena menite, da bi bilo bolje opredeliti le izraz »nadzorne osebe« in kot take našteti tiste nadzorne osebe, ki skladno z zakonom, ki ureja Informacijskega pooblaščenca lahko izvajajo nadzor po določbah predloga zakona. S tem bi omejili nejasnosti in hkrati sledili zahtevam člena 42/(5) Direktive, ki določa, da: »Vsaka država članica zagotovi, da vsak nadzorni organ izbere in ima svoje osebje, ki ga usmerja izključno član oziroma člani zadevnega nadzornega organa.«. Zakon, ki ureja Informacijskega pooblaščenca, naj bo tisti, ki znotraj nadzornega organa določa, kdo je lahko pooblaščen za izvajanje nadzora.</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 xml:space="preserve">Pripomba je upoštevana in 17. točka 4. člena predloga zakona je črtana. </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21. členu – dajanje splošnih informacij</w:t>
      </w:r>
    </w:p>
    <w:p w:rsidR="00154C3D" w:rsidRPr="007C190F" w:rsidRDefault="00154C3D" w:rsidP="00154C3D">
      <w:pPr>
        <w:pStyle w:val="Neotevilenodstavek"/>
        <w:widowControl w:val="0"/>
        <w:spacing w:line="288" w:lineRule="auto"/>
        <w:rPr>
          <w:i/>
          <w:sz w:val="20"/>
          <w:szCs w:val="20"/>
        </w:rPr>
      </w:pPr>
      <w:r w:rsidRPr="007C190F">
        <w:rPr>
          <w:i/>
          <w:sz w:val="20"/>
          <w:szCs w:val="20"/>
        </w:rPr>
        <w:t>Menite, da je treba slediti dikciji Direktive, ki v 13(3) členu določa, »kadar je to ustrezno«, saj imata lahko drugačen pomen in bi pomenilo neustrezno implementacijo Direktive. V 8. točki prvega odstavka 21. člena je namreč določeno »če so informacije o tem na razpolago«.</w:t>
      </w:r>
    </w:p>
    <w:p w:rsidR="00154C3D" w:rsidRPr="007C190F" w:rsidRDefault="00154C3D" w:rsidP="00154C3D">
      <w:pPr>
        <w:pStyle w:val="Neotevilenodstavek"/>
        <w:widowControl w:val="0"/>
        <w:spacing w:line="288" w:lineRule="auto"/>
        <w:rPr>
          <w:i/>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Pripomba ni upoštevana. V predlogu zakona v sedaj 23. členu sledimo višjemu standardu, torej informacije se dajo na razpolago ne le, če je to ustrezno temveč, če so na razpolago.</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46. členu – preverjanje kakovosti osebnih podatkov</w:t>
      </w:r>
    </w:p>
    <w:p w:rsidR="00154C3D" w:rsidRPr="007C190F" w:rsidRDefault="00154C3D" w:rsidP="00154C3D">
      <w:pPr>
        <w:pStyle w:val="Neotevilenodstavek"/>
        <w:widowControl w:val="0"/>
        <w:spacing w:line="288" w:lineRule="auto"/>
        <w:rPr>
          <w:i/>
          <w:sz w:val="20"/>
          <w:szCs w:val="20"/>
        </w:rPr>
      </w:pPr>
      <w:r w:rsidRPr="007C190F">
        <w:rPr>
          <w:i/>
          <w:sz w:val="20"/>
          <w:szCs w:val="20"/>
        </w:rPr>
        <w:t xml:space="preserve">Pripomba se nanaša na obveznost, da se posredovanje osebnih podatkov opremi s potrebnimi informacijami, ki bi brez dodatka »kolikor je to mogoče« pomenilo, da se te informacije priloži vedno. </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Pripomba je upoštevana in v drugem odstavku sedaj 48. člena je na začetku določbe dodano besedilo »kolikor je to mogoče«.</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 xml:space="preserve">K 47. členu – razlikovanje med različnimi kategorijami posameznikov </w:t>
      </w:r>
    </w:p>
    <w:p w:rsidR="00154C3D" w:rsidRPr="007C190F" w:rsidRDefault="00154C3D" w:rsidP="00154C3D">
      <w:pPr>
        <w:pStyle w:val="Neotevilenodstavek"/>
        <w:widowControl w:val="0"/>
        <w:spacing w:line="288" w:lineRule="auto"/>
        <w:rPr>
          <w:i/>
          <w:sz w:val="20"/>
          <w:szCs w:val="20"/>
        </w:rPr>
      </w:pPr>
      <w:r w:rsidRPr="007C190F">
        <w:rPr>
          <w:i/>
          <w:sz w:val="20"/>
          <w:szCs w:val="20"/>
        </w:rPr>
        <w:t xml:space="preserve">V 47. členu predloga zakona so navedene različne kategorije posameznikov, med drugim osumljenci, obdolženci in obtoženci (v točkah 1-3). Menite, da razlikovanje navedenih kategorij ni primerno, razlog za takšno razčlembo kategorij pa tudi ni razviden iz obrazložitve k temu členu. V Direktivi v členu 6(1)a je navedena le kategorija oseb, v zvezi s katerimi obstaja utemeljen sum, zato predlagate, da se ohrani le-ta. </w:t>
      </w:r>
    </w:p>
    <w:p w:rsidR="00154C3D" w:rsidRPr="007C190F" w:rsidRDefault="00154C3D" w:rsidP="00154C3D">
      <w:pPr>
        <w:pStyle w:val="Neotevilenodstavek"/>
        <w:widowControl w:val="0"/>
        <w:spacing w:line="288" w:lineRule="auto"/>
        <w:rPr>
          <w:i/>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Pripomba ni upoštevana. Iz obrazložitve k temu členu (sedaj 9. člen) je razvidno, da so kategorije oseb od 1. do 6.  naštete primeroma, posebej odprta je kategorija pod 6. točko. To omogoča, da jih pristojni organ v praksi glede na dejanske okoliščine razširi, torej določi dodatne kategorije posameznikov glede na njihov drugačen položaj. Kategorije sledijo razlikovanju v 144. členu Zakona o kazenskem postopku, saj v našem pravnem redu ne poznamo drugih osumljencev. Upoštevati je potrebno tako presumpcijo nedolžnosti iz 27. člena Ustave Republike Slovenije kot tudi razmerje do pristojnosti (vloge) posameznega pristojnega organa. Ob tem smo sledili tudi uvodni navedbi št. 31 Direktive, ki navaja, da bi bilo treba, kadar je to ustrezno in v največji možni meri, jasno razlikovati med osebnimi podatki različnih kategorij posameznikov, na katere se nanašajo osebni podatki, kot so osumljenci, osebe, obsojene za kaznivo dejanje, žrtve in druge osebe, kot so priče, osebe, ki imajo pomembne informacije ali stike, ter udeleženci pri kaznivem dejanju, povezani z osumljenci in obsojenimi storilci kaznivih dejanj. To ne bi smelo preprečevati uresničevanja pravice do domneve nedolžnosti, ki jo zagotavljata Listina o temeljnih pravicah Evropske unije in Evropska konvencija o človekovih pravicah, kot ju razlaga sodna praksa Sodišča Evropske unije in Evropskega sodišča za človekove pravice.</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49. členu – ocena učinka</w:t>
      </w:r>
    </w:p>
    <w:p w:rsidR="00154C3D" w:rsidRPr="007C190F" w:rsidRDefault="00154C3D" w:rsidP="00154C3D">
      <w:pPr>
        <w:pStyle w:val="Neotevilenodstavek"/>
        <w:widowControl w:val="0"/>
        <w:spacing w:line="288" w:lineRule="auto"/>
        <w:rPr>
          <w:i/>
          <w:sz w:val="20"/>
          <w:szCs w:val="20"/>
        </w:rPr>
      </w:pPr>
      <w:r w:rsidRPr="007C190F">
        <w:rPr>
          <w:i/>
          <w:sz w:val="20"/>
          <w:szCs w:val="20"/>
        </w:rPr>
        <w:t>Ugotavljate, da ne iz obrazložitve členov, ne iz člena samega ni razvidno, zakaj je v prvem odstavku 49. člena predloga zakona namesto »vrsta obdelave«, kot izhaja iz člena 27 Direktive, uporabljena »kategorija obdelave«. Predlagate, da se sledi poimenovanju iz Direktive.</w:t>
      </w:r>
    </w:p>
    <w:p w:rsidR="00154C3D" w:rsidRPr="007C190F" w:rsidRDefault="00154C3D" w:rsidP="00154C3D">
      <w:pPr>
        <w:pStyle w:val="Neotevilenodstavek"/>
        <w:widowControl w:val="0"/>
        <w:spacing w:line="288" w:lineRule="auto"/>
        <w:rPr>
          <w:i/>
          <w:sz w:val="20"/>
          <w:szCs w:val="20"/>
        </w:rPr>
      </w:pPr>
    </w:p>
    <w:p w:rsidR="00154C3D" w:rsidRPr="007C190F" w:rsidRDefault="00154C3D" w:rsidP="00154C3D">
      <w:pPr>
        <w:pStyle w:val="Neotevilenodstavek"/>
        <w:widowControl w:val="0"/>
        <w:spacing w:line="288" w:lineRule="auto"/>
        <w:rPr>
          <w:iCs/>
          <w:sz w:val="20"/>
          <w:szCs w:val="20"/>
        </w:rPr>
      </w:pPr>
      <w:r w:rsidRPr="007C190F">
        <w:rPr>
          <w:iCs/>
          <w:sz w:val="20"/>
          <w:szCs w:val="20"/>
        </w:rPr>
        <w:t>Pripomba ni upoštevana. Beseda »kategorije« je skozi celoten zakon pridržana na obdelave in posameznike, beseda »vrsta« pa na osebne podatke.</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line="288" w:lineRule="auto"/>
        <w:rPr>
          <w:b/>
          <w:bCs/>
          <w:iCs/>
          <w:sz w:val="20"/>
          <w:szCs w:val="20"/>
        </w:rPr>
      </w:pPr>
      <w:r w:rsidRPr="007C190F">
        <w:rPr>
          <w:b/>
          <w:bCs/>
          <w:iCs/>
          <w:sz w:val="20"/>
          <w:szCs w:val="20"/>
        </w:rPr>
        <w:t>K 66. členu – posredovanje osebnih podatkov, ki ga izvedejo osebe javnega sektorja</w:t>
      </w:r>
    </w:p>
    <w:p w:rsidR="00154C3D" w:rsidRPr="007C190F" w:rsidRDefault="00154C3D" w:rsidP="00154C3D">
      <w:pPr>
        <w:pStyle w:val="Neotevilenodstavek"/>
        <w:widowControl w:val="0"/>
        <w:spacing w:line="288" w:lineRule="auto"/>
        <w:rPr>
          <w:i/>
          <w:sz w:val="20"/>
          <w:szCs w:val="20"/>
        </w:rPr>
      </w:pPr>
      <w:r w:rsidRPr="007C190F">
        <w:rPr>
          <w:i/>
          <w:sz w:val="20"/>
          <w:szCs w:val="20"/>
        </w:rPr>
        <w:t xml:space="preserve">Pripomba se nanaša na nejasno ureditev oziroma vprašanje ali obstaja pravna podlaga za pridobivanje podatkov s strani zasebnega sektorja. </w:t>
      </w:r>
    </w:p>
    <w:p w:rsidR="00154C3D" w:rsidRPr="007C190F" w:rsidRDefault="00154C3D" w:rsidP="00154C3D">
      <w:pPr>
        <w:pStyle w:val="Neotevilenodstavek"/>
        <w:widowControl w:val="0"/>
        <w:spacing w:line="288" w:lineRule="auto"/>
        <w:rPr>
          <w:iCs/>
          <w:sz w:val="20"/>
          <w:szCs w:val="20"/>
        </w:rPr>
      </w:pPr>
    </w:p>
    <w:p w:rsidR="00154C3D" w:rsidRPr="007C190F" w:rsidRDefault="00154C3D" w:rsidP="00154C3D">
      <w:pPr>
        <w:pStyle w:val="Neotevilenodstavek"/>
        <w:widowControl w:val="0"/>
        <w:spacing w:before="0" w:after="0" w:line="288" w:lineRule="auto"/>
        <w:rPr>
          <w:iCs/>
          <w:sz w:val="20"/>
          <w:szCs w:val="20"/>
        </w:rPr>
      </w:pPr>
      <w:r w:rsidRPr="007C190F">
        <w:rPr>
          <w:iCs/>
          <w:sz w:val="20"/>
          <w:szCs w:val="20"/>
        </w:rPr>
        <w:t>Pripomba je upoštevana in je preoblikovan drugi odstavek sedaj 67. člena na način, da je jasno razvidna druga pravna podlaga za pridobivanje podatkov, v povezavi z 2. točko prvega odstavka 69.člena predloga zakona.</w:t>
      </w:r>
    </w:p>
    <w:p w:rsidR="00154C3D" w:rsidRPr="007C190F" w:rsidRDefault="00154C3D" w:rsidP="00154C3D">
      <w:pPr>
        <w:pStyle w:val="Neotevilenodstavek"/>
        <w:widowControl w:val="0"/>
        <w:spacing w:before="0" w:after="0" w:line="288" w:lineRule="auto"/>
        <w:rPr>
          <w:iCs/>
          <w:sz w:val="20"/>
          <w:szCs w:val="20"/>
        </w:rPr>
      </w:pPr>
    </w:p>
    <w:p w:rsidR="00154C3D" w:rsidRPr="007C190F" w:rsidRDefault="00154C3D" w:rsidP="00154C3D">
      <w:pPr>
        <w:rPr>
          <w:b/>
          <w:bCs/>
        </w:rPr>
      </w:pPr>
      <w:r w:rsidRPr="007C190F">
        <w:rPr>
          <w:b/>
          <w:bCs/>
        </w:rPr>
        <w:t>Upravno sodišče</w:t>
      </w:r>
      <w:r w:rsidR="00A060B7" w:rsidRPr="007C190F">
        <w:rPr>
          <w:b/>
          <w:bCs/>
        </w:rPr>
        <w:t xml:space="preserve"> Republike Slovenije</w:t>
      </w:r>
    </w:p>
    <w:p w:rsidR="00154C3D" w:rsidRPr="007C190F" w:rsidRDefault="00154C3D" w:rsidP="00154C3D"/>
    <w:p w:rsidR="00154C3D" w:rsidRPr="007C190F" w:rsidRDefault="00154C3D" w:rsidP="00154C3D">
      <w:pPr>
        <w:rPr>
          <w:b/>
          <w:bCs/>
        </w:rPr>
      </w:pPr>
      <w:r w:rsidRPr="007C190F">
        <w:rPr>
          <w:b/>
          <w:bCs/>
        </w:rPr>
        <w:t>K 1. členu – vsebina</w:t>
      </w:r>
    </w:p>
    <w:p w:rsidR="00154C3D" w:rsidRPr="007C190F" w:rsidRDefault="00154C3D" w:rsidP="00154C3D"/>
    <w:p w:rsidR="00292219" w:rsidRPr="007C190F" w:rsidRDefault="00292219" w:rsidP="00154C3D">
      <w:pPr>
        <w:rPr>
          <w:i/>
          <w:iCs/>
        </w:rPr>
      </w:pPr>
      <w:r w:rsidRPr="007C190F">
        <w:rPr>
          <w:i/>
          <w:iCs/>
        </w:rPr>
        <w:t xml:space="preserve">Predlagana dopolnitev prvega odstavka 1. člena glede na opredeljeno delovanje sodišč v23. členu Ustave RS. </w:t>
      </w:r>
    </w:p>
    <w:p w:rsidR="00292219" w:rsidRPr="007C190F" w:rsidRDefault="00292219" w:rsidP="00154C3D"/>
    <w:p w:rsidR="00154C3D" w:rsidRPr="007C190F" w:rsidRDefault="00154C3D" w:rsidP="00154C3D">
      <w:r w:rsidRPr="007C190F">
        <w:t xml:space="preserve">V zvezi s pripombo k prvemu odstavku 1. člena je pojem »kazenska zadeva sodišča« podrobneje opredeljen v 23. točki 4. člena, dodan pa je še novi odstavek 1. člena, ki posebej določa uporabo predloga zakona za sodišča s splošno pristojnostjo v kazenskih zadevah, v 59. členu pa je dodan seznam določb, ki se v teh primerih uporabljajo. </w:t>
      </w:r>
    </w:p>
    <w:p w:rsidR="005C7E3B" w:rsidRPr="007C190F" w:rsidRDefault="005C7E3B" w:rsidP="00154C3D"/>
    <w:p w:rsidR="005C7E3B" w:rsidRPr="007C190F" w:rsidRDefault="005C7E3B" w:rsidP="00154C3D">
      <w:pPr>
        <w:rPr>
          <w:i/>
          <w:iCs/>
        </w:rPr>
      </w:pPr>
      <w:r w:rsidRPr="007C190F">
        <w:rPr>
          <w:i/>
          <w:iCs/>
        </w:rPr>
        <w:t>Predlagan je terminološki popravek, da bi se besedna zveza »kaznivost za prekrške« nadomestila z besedno zvezo »odgovornost za prekrške«.</w:t>
      </w:r>
    </w:p>
    <w:p w:rsidR="00154C3D" w:rsidRPr="007C190F" w:rsidRDefault="00154C3D" w:rsidP="00154C3D"/>
    <w:p w:rsidR="00154C3D" w:rsidRPr="007C190F" w:rsidRDefault="00154C3D" w:rsidP="00154C3D">
      <w:r w:rsidRPr="007C190F">
        <w:t>Pripomba k drugemu odstavka 1.člena predloga zakona je upoštevana in besedna zveza »kaznivost za prekrške« nadomeščena z »odgovornost za prekrške« (sedaj je to vsebina tretjega odstavka 1. člena).</w:t>
      </w:r>
    </w:p>
    <w:p w:rsidR="00154C3D" w:rsidRPr="007C190F" w:rsidRDefault="00154C3D" w:rsidP="00154C3D"/>
    <w:p w:rsidR="00154C3D" w:rsidRPr="007C190F" w:rsidRDefault="00154C3D" w:rsidP="00154C3D">
      <w:pPr>
        <w:rPr>
          <w:b/>
          <w:bCs/>
        </w:rPr>
      </w:pPr>
      <w:r w:rsidRPr="007C190F">
        <w:rPr>
          <w:b/>
          <w:bCs/>
        </w:rPr>
        <w:t>K 2. členu – prepoved diskriminacije glede obdelave osebnih podatkov</w:t>
      </w:r>
    </w:p>
    <w:p w:rsidR="00154C3D" w:rsidRPr="007C190F" w:rsidRDefault="00154C3D" w:rsidP="00154C3D"/>
    <w:p w:rsidR="005C7E3B" w:rsidRPr="007C190F" w:rsidRDefault="005C7E3B" w:rsidP="00154C3D">
      <w:pPr>
        <w:rPr>
          <w:i/>
          <w:iCs/>
        </w:rPr>
      </w:pPr>
      <w:r w:rsidRPr="007C190F">
        <w:rPr>
          <w:i/>
          <w:iCs/>
        </w:rPr>
        <w:t>Predlaga se preoblikovanje besedila, da bo jasno izhajalo, da je osebne podatke nedopustno obdelovati na način, ki ima lahko za posledico diskriminacijo, glede na v nadaljevanju naštete osebne okoliščine.</w:t>
      </w:r>
    </w:p>
    <w:p w:rsidR="005C7E3B" w:rsidRPr="007C190F" w:rsidRDefault="005C7E3B" w:rsidP="00154C3D"/>
    <w:p w:rsidR="00154C3D" w:rsidRPr="007C190F" w:rsidRDefault="00154C3D" w:rsidP="00154C3D">
      <w:r w:rsidRPr="007C190F">
        <w:t>Pripomba je upoštevana in je 2. člen preoblikovan.</w:t>
      </w:r>
    </w:p>
    <w:p w:rsidR="00154C3D" w:rsidRPr="007C190F" w:rsidRDefault="00154C3D" w:rsidP="00154C3D"/>
    <w:p w:rsidR="00154C3D" w:rsidRPr="007C190F" w:rsidRDefault="00154C3D" w:rsidP="00154C3D">
      <w:pPr>
        <w:rPr>
          <w:b/>
          <w:bCs/>
        </w:rPr>
      </w:pPr>
      <w:r w:rsidRPr="007C190F">
        <w:rPr>
          <w:b/>
          <w:bCs/>
        </w:rPr>
        <w:t>K 10. točki 4. člena – pomen izrazov – privolitev</w:t>
      </w:r>
    </w:p>
    <w:p w:rsidR="00154C3D" w:rsidRPr="007C190F" w:rsidRDefault="00154C3D" w:rsidP="00154C3D"/>
    <w:p w:rsidR="005C7E3B" w:rsidRPr="007C190F" w:rsidRDefault="005C7E3B" w:rsidP="00154C3D">
      <w:pPr>
        <w:rPr>
          <w:i/>
          <w:iCs/>
        </w:rPr>
      </w:pPr>
      <w:r w:rsidRPr="007C190F">
        <w:rPr>
          <w:i/>
          <w:iCs/>
        </w:rPr>
        <w:t>Podane so pripombe k izrazom »privolitev«, »konkretno«, »iz katerega je mogoče sklepati na želje posameznika« in »informirano«.</w:t>
      </w:r>
    </w:p>
    <w:p w:rsidR="005C7E3B" w:rsidRPr="007C190F" w:rsidRDefault="005C7E3B" w:rsidP="00154C3D"/>
    <w:p w:rsidR="00154C3D" w:rsidRPr="007C190F" w:rsidRDefault="00154C3D" w:rsidP="00154C3D">
      <w:r w:rsidRPr="007C190F">
        <w:t>Obsežnejše pripombe k pomenu izraza »privolitev« niso upoštevane. Predlog zakona je v celoti prevzel besedilo, kot je za pomen izraza »privolitev« določena v Splošni uredbi o varstvu osebnih podatkov (11. točka 4. člena). Od uporabe Splošne uredbe v maju 2018 do danes se v praksi ni pokazalo, da bi z razumevanjem pojma bile nejasnosti ali težave.</w:t>
      </w:r>
    </w:p>
    <w:p w:rsidR="00154C3D" w:rsidRPr="007C190F" w:rsidRDefault="00154C3D" w:rsidP="00154C3D"/>
    <w:p w:rsidR="00154C3D" w:rsidRPr="007C190F" w:rsidRDefault="00154C3D" w:rsidP="00154C3D">
      <w:pPr>
        <w:rPr>
          <w:b/>
          <w:bCs/>
        </w:rPr>
      </w:pPr>
      <w:r w:rsidRPr="007C190F">
        <w:rPr>
          <w:b/>
          <w:bCs/>
        </w:rPr>
        <w:t>K 5. členu – načela varstva osebnih podatkov</w:t>
      </w:r>
    </w:p>
    <w:p w:rsidR="00154C3D" w:rsidRPr="007C190F" w:rsidRDefault="00154C3D" w:rsidP="00154C3D"/>
    <w:p w:rsidR="005C7E3B" w:rsidRPr="007C190F" w:rsidRDefault="005C7E3B" w:rsidP="00154C3D">
      <w:pPr>
        <w:rPr>
          <w:i/>
          <w:iCs/>
        </w:rPr>
      </w:pPr>
      <w:r w:rsidRPr="007C190F">
        <w:rPr>
          <w:i/>
          <w:iCs/>
        </w:rPr>
        <w:t>Predlagano črtanje besedne zvez »ali drugim predpisom«.</w:t>
      </w:r>
    </w:p>
    <w:p w:rsidR="005C7E3B" w:rsidRPr="007C190F" w:rsidRDefault="005C7E3B" w:rsidP="00154C3D"/>
    <w:p w:rsidR="00154C3D" w:rsidRPr="007C190F" w:rsidRDefault="00154C3D" w:rsidP="00154C3D">
      <w:r w:rsidRPr="007C190F">
        <w:t>Pripomba k 5. točki prvega odstavka 5. člena je upoštevana in besedilo »ali drugim predpisom« črtano.</w:t>
      </w:r>
    </w:p>
    <w:p w:rsidR="00154C3D" w:rsidRPr="007C190F" w:rsidRDefault="00154C3D" w:rsidP="00154C3D"/>
    <w:p w:rsidR="00154C3D" w:rsidRPr="007C190F" w:rsidRDefault="00154C3D" w:rsidP="00154C3D">
      <w:pPr>
        <w:rPr>
          <w:b/>
          <w:bCs/>
        </w:rPr>
      </w:pPr>
      <w:r w:rsidRPr="007C190F">
        <w:rPr>
          <w:b/>
          <w:bCs/>
        </w:rPr>
        <w:t xml:space="preserve">K 6. členu – zakonitost obdelave </w:t>
      </w:r>
    </w:p>
    <w:p w:rsidR="00154C3D" w:rsidRPr="007C190F" w:rsidRDefault="00154C3D" w:rsidP="00154C3D"/>
    <w:p w:rsidR="005C7E3B" w:rsidRPr="007C190F" w:rsidRDefault="005C7E3B" w:rsidP="00154C3D">
      <w:pPr>
        <w:rPr>
          <w:i/>
          <w:iCs/>
        </w:rPr>
      </w:pPr>
      <w:r w:rsidRPr="007C190F">
        <w:rPr>
          <w:i/>
          <w:iCs/>
        </w:rPr>
        <w:t>Izraženo nasprotovanje obdelavi osebnih podatkov za namene, ki so drugačni od tistih, za katere so bili pridobljeni (38. člen Ustave RS).</w:t>
      </w:r>
    </w:p>
    <w:p w:rsidR="005C7E3B" w:rsidRPr="007C190F" w:rsidRDefault="005C7E3B" w:rsidP="00154C3D"/>
    <w:p w:rsidR="00154C3D" w:rsidRPr="007C190F" w:rsidRDefault="00154C3D" w:rsidP="00154C3D">
      <w:r w:rsidRPr="007C190F">
        <w:t xml:space="preserve">Pripomba k četrtemu odstavku 6. člena ni upoštevana. Glede prepovedi obdelave za druge namene je treba upoštevati že tretji odstavek 15. člena Ustave, ki določa, da so človekove pravice in temeljne svoboščine omejene samo s pravicami drugih in v primerih, ki jih določa ta ustava, kar pomeni, da gre za sorazmerje med človekovimi pravicami po ustavi, zlasti so pomembne pravice iz 34. člena (pravica do osebnega dostojanstva in varnosti), iz 17. člena (nedotakljivost človekovega življenja) in 18. člena (prepoved mučenja), takšno določbo je </w:t>
      </w:r>
      <w:r w:rsidRPr="007C190F">
        <w:lastRenderedPageBreak/>
        <w:t>vseboval že ZVOP iz leta 1999 (9. člen) in veljavni ZVOP-1 iz leta 2004 (npr. 16. in 17. člen) in je nenazadnje tudi v sami Direktivi (prvi odstavek 9. člena). Pravni red Republike Slovenije takšno naknadno obdelavo pod določenimi pogoji torej dovoljuje, to je razvidno tudi ustavnosodne presoje Ustavnega sodišča Republike Slovenije, ki je potrdila možnost zakonskega določanja naknadnih (dodatnih) namenov obdelave osebnih podatkov, glejte npr.: Odločba US, št. U-I-70/12, 21. 3. 2014, 12. in 19. točka odločbe in opomba št. 11.</w:t>
      </w:r>
    </w:p>
    <w:p w:rsidR="00154C3D" w:rsidRPr="007C190F" w:rsidRDefault="00154C3D" w:rsidP="00154C3D"/>
    <w:p w:rsidR="00154C3D" w:rsidRPr="007C190F" w:rsidRDefault="00154C3D" w:rsidP="00154C3D">
      <w:pPr>
        <w:rPr>
          <w:b/>
          <w:bCs/>
        </w:rPr>
      </w:pPr>
      <w:r w:rsidRPr="007C190F">
        <w:rPr>
          <w:b/>
          <w:bCs/>
        </w:rPr>
        <w:t>K 7. členu – zakonitost obdelave posebnih vrst osebnih podatkov</w:t>
      </w:r>
    </w:p>
    <w:p w:rsidR="00154C3D" w:rsidRPr="007C190F" w:rsidRDefault="00154C3D" w:rsidP="00154C3D"/>
    <w:p w:rsidR="005C7E3B" w:rsidRPr="007C190F" w:rsidRDefault="005C7E3B" w:rsidP="00154C3D">
      <w:pPr>
        <w:rPr>
          <w:i/>
          <w:iCs/>
        </w:rPr>
      </w:pPr>
      <w:r w:rsidRPr="007C190F">
        <w:rPr>
          <w:i/>
          <w:iCs/>
        </w:rPr>
        <w:t>Predlagano, da se besedna zveza »je zagotovljeno« nadomesti z besedno zvezo »so v zakonu določeni pogoji in ukrepi, s katerimi je zagotovljeno«.</w:t>
      </w:r>
    </w:p>
    <w:p w:rsidR="005C7E3B" w:rsidRPr="007C190F" w:rsidRDefault="005C7E3B" w:rsidP="00154C3D"/>
    <w:p w:rsidR="00154C3D" w:rsidRPr="007C190F" w:rsidRDefault="00154C3D" w:rsidP="00154C3D">
      <w:r w:rsidRPr="007C190F">
        <w:t>Pripomba k drugemu odstavku 7. člena je upoštevana in dodano besedilo, »če so v zakonu določeni pogoji in ukrepi«.</w:t>
      </w:r>
    </w:p>
    <w:p w:rsidR="00154C3D" w:rsidRPr="007C190F" w:rsidRDefault="00154C3D" w:rsidP="00154C3D"/>
    <w:p w:rsidR="00154C3D" w:rsidRPr="007C190F" w:rsidRDefault="00154C3D" w:rsidP="00154C3D">
      <w:pPr>
        <w:rPr>
          <w:b/>
          <w:bCs/>
        </w:rPr>
      </w:pPr>
      <w:r w:rsidRPr="007C190F">
        <w:rPr>
          <w:b/>
          <w:bCs/>
        </w:rPr>
        <w:t>K 8. členu – obdelava osebnih podatkov za druge namene</w:t>
      </w:r>
    </w:p>
    <w:p w:rsidR="00154C3D" w:rsidRPr="007C190F" w:rsidRDefault="00154C3D" w:rsidP="00154C3D"/>
    <w:p w:rsidR="005C7E3B" w:rsidRPr="007C190F" w:rsidRDefault="005C7E3B" w:rsidP="00154C3D">
      <w:pPr>
        <w:rPr>
          <w:i/>
          <w:iCs/>
        </w:rPr>
      </w:pPr>
      <w:r w:rsidRPr="007C190F">
        <w:rPr>
          <w:i/>
          <w:iCs/>
        </w:rPr>
        <w:t>Predlagano črtanje člena.</w:t>
      </w:r>
    </w:p>
    <w:p w:rsidR="005C7E3B" w:rsidRPr="007C190F" w:rsidRDefault="005C7E3B" w:rsidP="00154C3D"/>
    <w:p w:rsidR="00154C3D" w:rsidRPr="007C190F" w:rsidRDefault="00154C3D" w:rsidP="00154C3D">
      <w:r w:rsidRPr="007C190F">
        <w:t xml:space="preserve">Pripomba ni upoštevana. Obrazložitev je dana že k pripombam k četrtemu odstavku 6. člena predloga zakona. </w:t>
      </w:r>
    </w:p>
    <w:p w:rsidR="00154C3D" w:rsidRPr="007C190F" w:rsidRDefault="00154C3D" w:rsidP="00154C3D"/>
    <w:p w:rsidR="00154C3D" w:rsidRPr="007C190F" w:rsidRDefault="00154C3D" w:rsidP="00154C3D">
      <w:pPr>
        <w:rPr>
          <w:b/>
          <w:bCs/>
        </w:rPr>
      </w:pPr>
      <w:r w:rsidRPr="007C190F">
        <w:rPr>
          <w:b/>
          <w:bCs/>
        </w:rPr>
        <w:t>K 9. členu – avtomatizirano odločanje in oblikovanje profilov</w:t>
      </w:r>
    </w:p>
    <w:p w:rsidR="00154C3D" w:rsidRPr="007C190F" w:rsidRDefault="00154C3D" w:rsidP="00154C3D"/>
    <w:p w:rsidR="005C7E3B" w:rsidRPr="007C190F" w:rsidRDefault="005C7E3B" w:rsidP="00154C3D">
      <w:pPr>
        <w:rPr>
          <w:i/>
          <w:iCs/>
        </w:rPr>
      </w:pPr>
      <w:r w:rsidRPr="007C190F">
        <w:rPr>
          <w:i/>
          <w:iCs/>
        </w:rPr>
        <w:t>Predlagano, da se v prvem odstavku beseda »ali« nadomesti z besedo »in«.</w:t>
      </w:r>
    </w:p>
    <w:p w:rsidR="005C7E3B" w:rsidRPr="007C190F" w:rsidRDefault="005C7E3B" w:rsidP="00154C3D"/>
    <w:p w:rsidR="00154C3D" w:rsidRPr="007C190F" w:rsidRDefault="00154C3D" w:rsidP="00154C3D">
      <w:r w:rsidRPr="007C190F">
        <w:t>Pripomba k prvemu odstavku 9. člena (sedaj 11. člen) je upoštevana.</w:t>
      </w:r>
    </w:p>
    <w:p w:rsidR="005C7E3B" w:rsidRPr="007C190F" w:rsidRDefault="005C7E3B" w:rsidP="00154C3D"/>
    <w:p w:rsidR="005C7E3B" w:rsidRPr="007C190F" w:rsidRDefault="005C7E3B" w:rsidP="00154C3D">
      <w:pPr>
        <w:rPr>
          <w:i/>
          <w:iCs/>
        </w:rPr>
      </w:pPr>
      <w:r w:rsidRPr="007C190F">
        <w:rPr>
          <w:i/>
          <w:iCs/>
        </w:rPr>
        <w:t>Predlagano črtanje besedne zveze »posebnih vrst« v četrtem odstavku.</w:t>
      </w:r>
    </w:p>
    <w:p w:rsidR="00154C3D" w:rsidRPr="007C190F" w:rsidRDefault="00154C3D" w:rsidP="00154C3D"/>
    <w:p w:rsidR="00154C3D" w:rsidRPr="007C190F" w:rsidRDefault="00154C3D" w:rsidP="00154C3D">
      <w:r w:rsidRPr="007C190F">
        <w:t>Pripomba k četrtemu odstavku 9. člena ni upoštevana. Gre za prenos določbe tretjega odstavka 11. člena Direktive.</w:t>
      </w:r>
    </w:p>
    <w:p w:rsidR="00154C3D" w:rsidRPr="007C190F" w:rsidRDefault="00154C3D" w:rsidP="00154C3D"/>
    <w:p w:rsidR="00154C3D" w:rsidRPr="007C190F" w:rsidRDefault="00154C3D" w:rsidP="00154C3D">
      <w:pPr>
        <w:rPr>
          <w:b/>
          <w:bCs/>
        </w:rPr>
      </w:pPr>
      <w:r w:rsidRPr="007C190F">
        <w:rPr>
          <w:b/>
          <w:bCs/>
        </w:rPr>
        <w:t>K 10. členu – sodno varstvo</w:t>
      </w:r>
    </w:p>
    <w:p w:rsidR="00154C3D" w:rsidRPr="007C190F" w:rsidRDefault="00154C3D" w:rsidP="00154C3D"/>
    <w:p w:rsidR="005C7E3B" w:rsidRPr="007C190F" w:rsidRDefault="005C7E3B" w:rsidP="00154C3D">
      <w:pPr>
        <w:rPr>
          <w:i/>
          <w:iCs/>
        </w:rPr>
      </w:pPr>
      <w:r w:rsidRPr="007C190F">
        <w:rPr>
          <w:i/>
          <w:iCs/>
        </w:rPr>
        <w:t>Izraženo nasprotovanje ureditvi sodnega varstva</w:t>
      </w:r>
      <w:r w:rsidR="00C53C0B" w:rsidRPr="007C190F">
        <w:rPr>
          <w:i/>
          <w:iCs/>
        </w:rPr>
        <w:t xml:space="preserve"> z možnostjo neposredne tožbe v upravnem sporu.</w:t>
      </w:r>
    </w:p>
    <w:p w:rsidR="005C7E3B" w:rsidRPr="007C190F" w:rsidRDefault="005C7E3B" w:rsidP="00154C3D"/>
    <w:p w:rsidR="00154C3D" w:rsidRPr="007C190F" w:rsidRDefault="00154C3D" w:rsidP="00154C3D">
      <w:r w:rsidRPr="007C190F">
        <w:t>10. člen ne odstopa od dosedanje ureditve po ZVOP-1 (34. člen) in je mišljen kot samostojno sodno varstvo. To možnost vsaj dopušča oziroma k njej poziva tudi Direktiva, saj v 54. členu določa: »Brez poseganja v katero koli razpoložljivo upravno ali izvensodno sredstvo, vključno s pravico do vložitve pritožbe pri nadzornem organu na podlagi člena 52, države članice določijo, da ima vsak posameznik, na katerega se nanašajo osebni podatki, pravico do učinkovitega pravnega sredstva, kadar meni da so bile njegove pravice iz predpisov, sprejetih na podlagi te direktive, kršene zaradi obdelave njegovih osebnih podatkov, ki ni bila v skladu z navedenimi predpisi.«</w:t>
      </w:r>
    </w:p>
    <w:p w:rsidR="00154C3D" w:rsidRPr="007C190F" w:rsidRDefault="00154C3D" w:rsidP="00154C3D"/>
    <w:p w:rsidR="00154C3D" w:rsidRPr="007C190F" w:rsidRDefault="00154C3D" w:rsidP="00154C3D">
      <w:pPr>
        <w:rPr>
          <w:b/>
          <w:bCs/>
        </w:rPr>
      </w:pPr>
      <w:r w:rsidRPr="007C190F">
        <w:rPr>
          <w:b/>
          <w:bCs/>
        </w:rPr>
        <w:t>K 21. in 22. členu – dajanje informacij in pravica do dostopa do osebnih podatkov</w:t>
      </w:r>
    </w:p>
    <w:p w:rsidR="00154C3D" w:rsidRPr="007C190F" w:rsidRDefault="00154C3D" w:rsidP="00154C3D"/>
    <w:p w:rsidR="00C53C0B" w:rsidRPr="007C190F" w:rsidRDefault="00C53C0B" w:rsidP="00154C3D">
      <w:pPr>
        <w:rPr>
          <w:i/>
          <w:iCs/>
        </w:rPr>
      </w:pPr>
      <w:r w:rsidRPr="007C190F">
        <w:rPr>
          <w:i/>
          <w:iCs/>
        </w:rPr>
        <w:t>Predlagano, da se z vidika jasnosti besedila pravica do pritožbe vključi v 5. in ne 6. alinejo drugega odstavka 22. člena predloga zakona.</w:t>
      </w:r>
    </w:p>
    <w:p w:rsidR="00C53C0B" w:rsidRPr="007C190F" w:rsidRDefault="00C53C0B" w:rsidP="00154C3D"/>
    <w:p w:rsidR="00154C3D" w:rsidRPr="007C190F" w:rsidRDefault="00154C3D" w:rsidP="00154C3D">
      <w:r w:rsidRPr="007C190F">
        <w:lastRenderedPageBreak/>
        <w:t>Pripomba je upoštevana in so temu primerno preoblikovane točke obeh členov (sedaj 23. in 24. člen).</w:t>
      </w:r>
    </w:p>
    <w:p w:rsidR="00154C3D" w:rsidRPr="007C190F" w:rsidRDefault="00154C3D" w:rsidP="00154C3D"/>
    <w:p w:rsidR="00154C3D" w:rsidRPr="007C190F" w:rsidRDefault="00154C3D" w:rsidP="00154C3D">
      <w:pPr>
        <w:rPr>
          <w:b/>
          <w:bCs/>
        </w:rPr>
      </w:pPr>
      <w:r w:rsidRPr="007C190F">
        <w:rPr>
          <w:b/>
          <w:bCs/>
        </w:rPr>
        <w:t>Vrhovno sodišče Republike Slovenije</w:t>
      </w:r>
    </w:p>
    <w:p w:rsidR="00154C3D" w:rsidRPr="007C190F" w:rsidRDefault="00154C3D" w:rsidP="00154C3D"/>
    <w:p w:rsidR="00154C3D" w:rsidRPr="007C190F" w:rsidRDefault="00154C3D" w:rsidP="00154C3D">
      <w:pPr>
        <w:rPr>
          <w:b/>
          <w:bCs/>
        </w:rPr>
      </w:pPr>
      <w:r w:rsidRPr="007C190F">
        <w:rPr>
          <w:b/>
          <w:bCs/>
        </w:rPr>
        <w:t>K 1. členu – vsebina</w:t>
      </w:r>
    </w:p>
    <w:p w:rsidR="00154C3D" w:rsidRPr="007C190F" w:rsidRDefault="00154C3D" w:rsidP="00154C3D"/>
    <w:p w:rsidR="00C53C0B" w:rsidRPr="007C190F" w:rsidRDefault="00C53C0B" w:rsidP="00154C3D">
      <w:pPr>
        <w:rPr>
          <w:i/>
          <w:iCs/>
        </w:rPr>
      </w:pPr>
      <w:r w:rsidRPr="007C190F">
        <w:rPr>
          <w:i/>
          <w:iCs/>
        </w:rPr>
        <w:t>Izražen pomislek, ali je predlagatelj zakona imel v mislih tudi sodišče, pri čemer v prvem odstavku 1. člena ni izrecno navedeno sojenje.</w:t>
      </w:r>
    </w:p>
    <w:p w:rsidR="00C53C0B" w:rsidRPr="007C190F" w:rsidRDefault="00C53C0B" w:rsidP="00154C3D"/>
    <w:p w:rsidR="00154C3D" w:rsidRPr="007C190F" w:rsidRDefault="00154C3D" w:rsidP="00154C3D">
      <w:r w:rsidRPr="007C190F">
        <w:t>V zvezi s pripombo k prvemu odstavku 1. člena je pojem »kazenska zadeva sodišča« podrobneje opredeljen v 23. točki 4. člena, dodan pa je nov 59. člen, ki ureja uporabo določb tega zakona za obdelavo osebnih podatkov s strani sodišč s splošno pristojnostjo v kazenskih zadevah.</w:t>
      </w:r>
    </w:p>
    <w:p w:rsidR="00154C3D" w:rsidRPr="007C190F" w:rsidRDefault="00154C3D" w:rsidP="00154C3D"/>
    <w:p w:rsidR="00154C3D" w:rsidRPr="007C190F" w:rsidRDefault="00154C3D" w:rsidP="00154C3D">
      <w:pPr>
        <w:rPr>
          <w:b/>
          <w:bCs/>
        </w:rPr>
      </w:pPr>
      <w:r w:rsidRPr="007C190F">
        <w:rPr>
          <w:b/>
          <w:bCs/>
        </w:rPr>
        <w:t>K 24. točki 4. člena – pomen izrazov (sedanja 23. točka)</w:t>
      </w:r>
    </w:p>
    <w:p w:rsidR="00154C3D" w:rsidRPr="007C190F" w:rsidRDefault="00154C3D" w:rsidP="00154C3D"/>
    <w:p w:rsidR="00C53C0B" w:rsidRPr="007C190F" w:rsidRDefault="00C53C0B" w:rsidP="00154C3D">
      <w:pPr>
        <w:rPr>
          <w:i/>
          <w:iCs/>
        </w:rPr>
      </w:pPr>
      <w:r w:rsidRPr="007C190F">
        <w:rPr>
          <w:i/>
          <w:iCs/>
        </w:rPr>
        <w:t>Predlagana dopolnitev pojma »kazenska zadeva sodišča«.</w:t>
      </w:r>
    </w:p>
    <w:p w:rsidR="00C53C0B" w:rsidRPr="007C190F" w:rsidRDefault="00C53C0B" w:rsidP="00154C3D"/>
    <w:p w:rsidR="00154C3D" w:rsidRPr="007C190F" w:rsidRDefault="00C53C0B" w:rsidP="00154C3D">
      <w:r w:rsidRPr="007C190F">
        <w:t>P</w:t>
      </w:r>
      <w:r w:rsidR="00154C3D" w:rsidRPr="007C190F">
        <w:t xml:space="preserve">ojem »kazenska zadeva sodišča« </w:t>
      </w:r>
      <w:r w:rsidRPr="007C190F">
        <w:t xml:space="preserve">je </w:t>
      </w:r>
      <w:r w:rsidR="00154C3D" w:rsidRPr="007C190F">
        <w:t>podrobneje opredeljen v 23. točki 4. člena in dodan 59. člen.</w:t>
      </w:r>
    </w:p>
    <w:p w:rsidR="00A34F7E" w:rsidRPr="007C190F" w:rsidRDefault="00A34F7E" w:rsidP="00154C3D"/>
    <w:p w:rsidR="00A34F7E" w:rsidRPr="007C190F" w:rsidRDefault="00A34F7E" w:rsidP="00A34F7E">
      <w:r w:rsidRPr="007C190F">
        <w:rPr>
          <w:b/>
          <w:bCs/>
        </w:rPr>
        <w:t>K 10. členu – uporaba določb zakona, ki ureja splošni upravni postopek</w:t>
      </w:r>
    </w:p>
    <w:p w:rsidR="00A34F7E" w:rsidRPr="007C190F" w:rsidRDefault="00A34F7E" w:rsidP="00A34F7E"/>
    <w:p w:rsidR="00A34F7E" w:rsidRPr="007C190F" w:rsidRDefault="00A34F7E" w:rsidP="00A34F7E">
      <w:pPr>
        <w:rPr>
          <w:i/>
          <w:iCs/>
        </w:rPr>
      </w:pPr>
      <w:r w:rsidRPr="007C190F">
        <w:rPr>
          <w:i/>
          <w:iCs/>
        </w:rPr>
        <w:t>Predlog dopolnitve besedila člena z vidika bolj jasnega dometa uporabe določb ZUP.</w:t>
      </w:r>
    </w:p>
    <w:p w:rsidR="00A34F7E" w:rsidRPr="007C190F" w:rsidRDefault="00A34F7E" w:rsidP="00A34F7E"/>
    <w:p w:rsidR="00A34F7E" w:rsidRPr="007C190F" w:rsidRDefault="00A34F7E" w:rsidP="00A34F7E">
      <w:r w:rsidRPr="007C190F">
        <w:t>Pripomba je upoštevana.</w:t>
      </w:r>
    </w:p>
    <w:p w:rsidR="00154C3D" w:rsidRPr="007C190F" w:rsidRDefault="00154C3D" w:rsidP="00154C3D"/>
    <w:p w:rsidR="00154C3D" w:rsidRPr="007C190F" w:rsidRDefault="00154C3D" w:rsidP="00154C3D">
      <w:pPr>
        <w:rPr>
          <w:b/>
          <w:bCs/>
        </w:rPr>
      </w:pPr>
      <w:r w:rsidRPr="007C190F">
        <w:rPr>
          <w:b/>
          <w:bCs/>
        </w:rPr>
        <w:t>K 12. členu – uveljavljanje pravic pred pristojnim organom, obdelovalcem in nadzornim organom</w:t>
      </w:r>
    </w:p>
    <w:p w:rsidR="00154C3D" w:rsidRPr="007C190F" w:rsidRDefault="00154C3D" w:rsidP="00154C3D"/>
    <w:p w:rsidR="00C53C0B" w:rsidRPr="007C190F" w:rsidRDefault="00C53C0B" w:rsidP="00154C3D">
      <w:pPr>
        <w:rPr>
          <w:i/>
          <w:iCs/>
        </w:rPr>
      </w:pPr>
      <w:r w:rsidRPr="007C190F">
        <w:rPr>
          <w:i/>
          <w:iCs/>
        </w:rPr>
        <w:t>Pomisleki glede dometa tega člena (sodna preiskava, kazenski postopek, prekrški).</w:t>
      </w:r>
    </w:p>
    <w:p w:rsidR="00C53C0B" w:rsidRPr="007C190F" w:rsidRDefault="00C53C0B" w:rsidP="00154C3D"/>
    <w:p w:rsidR="00154C3D" w:rsidRPr="007C190F" w:rsidRDefault="00154C3D" w:rsidP="00154C3D">
      <w:r w:rsidRPr="007C190F">
        <w:t xml:space="preserve">Pripomba je upoštevana, sedaj je to 18. člen, </w:t>
      </w:r>
      <w:r w:rsidR="00C53C0B" w:rsidRPr="007C190F">
        <w:t>o</w:t>
      </w:r>
      <w:r w:rsidRPr="007C190F">
        <w:t xml:space="preserve">brazložitev člena je dopolnjena in s tem v zvezi je usklajen tudi peti odstavek 69. člena predloga zakona. Prav tako je črtan dosedanji drugi odstavek 12. člena. V 59. členu pa je določen natančen seznam, ki določa uporabo določb predloga zakona za sodišča s splošno pristojnostjo v kazenskih zadevah. </w:t>
      </w:r>
    </w:p>
    <w:p w:rsidR="00154C3D" w:rsidRPr="007C190F" w:rsidRDefault="00154C3D" w:rsidP="00154C3D"/>
    <w:p w:rsidR="00154C3D" w:rsidRPr="007C190F" w:rsidRDefault="00154C3D" w:rsidP="00154C3D">
      <w:pPr>
        <w:rPr>
          <w:b/>
          <w:bCs/>
        </w:rPr>
      </w:pPr>
      <w:r w:rsidRPr="007C190F">
        <w:rPr>
          <w:b/>
          <w:bCs/>
        </w:rPr>
        <w:t xml:space="preserve">K 18. členu – uresničevanje pravic na podlagi drugih zakonov </w:t>
      </w:r>
    </w:p>
    <w:p w:rsidR="00154C3D" w:rsidRPr="007C190F" w:rsidRDefault="00154C3D" w:rsidP="00154C3D"/>
    <w:p w:rsidR="00A34F7E" w:rsidRPr="007C190F" w:rsidRDefault="00A34F7E" w:rsidP="00154C3D">
      <w:pPr>
        <w:rPr>
          <w:i/>
          <w:iCs/>
        </w:rPr>
      </w:pPr>
      <w:r w:rsidRPr="007C190F">
        <w:rPr>
          <w:i/>
          <w:iCs/>
        </w:rPr>
        <w:t>Predlog za jasno omejitev uveljavljanja pravic posameznikov v sodnih postopkih. Podana tudi pripomba k obrazložitvi člena.</w:t>
      </w:r>
    </w:p>
    <w:p w:rsidR="00A34F7E" w:rsidRPr="007C190F" w:rsidRDefault="00A34F7E" w:rsidP="00154C3D"/>
    <w:p w:rsidR="00154C3D" w:rsidRPr="007C190F" w:rsidRDefault="00A34F7E" w:rsidP="00154C3D">
      <w:r w:rsidRPr="007C190F">
        <w:t>U</w:t>
      </w:r>
      <w:r w:rsidR="00154C3D" w:rsidRPr="007C190F">
        <w:t xml:space="preserve">porabljajo se določbe področnih zakonov. Prav tako je bila dopolnjena obrazložitev člena glede na pripombo Službe za odnose z javnostmi Vrhovnega sodišča Republike Slovenije. </w:t>
      </w:r>
    </w:p>
    <w:p w:rsidR="00A34F7E" w:rsidRPr="007C190F" w:rsidRDefault="00A34F7E" w:rsidP="00154C3D"/>
    <w:p w:rsidR="00154C3D" w:rsidRPr="007C190F" w:rsidRDefault="00154C3D" w:rsidP="00154C3D">
      <w:r w:rsidRPr="007C190F">
        <w:t>Preostalo sodno odločanje sodne oblasti bo izključeno z novim Zakonom o varstvu osebnih podatkov (ZVOP-2), ki bo implementiral Splošno uredbo o varstvu podatkov.</w:t>
      </w:r>
    </w:p>
    <w:p w:rsidR="00154C3D" w:rsidRPr="007C190F" w:rsidRDefault="00154C3D" w:rsidP="00154C3D"/>
    <w:p w:rsidR="00154C3D" w:rsidRPr="007C190F" w:rsidRDefault="00154C3D" w:rsidP="00154C3D">
      <w:pPr>
        <w:rPr>
          <w:b/>
          <w:bCs/>
        </w:rPr>
      </w:pPr>
      <w:r w:rsidRPr="007C190F">
        <w:rPr>
          <w:b/>
          <w:bCs/>
        </w:rPr>
        <w:t>K 21. členu – dajanje informacij</w:t>
      </w:r>
    </w:p>
    <w:p w:rsidR="00154C3D" w:rsidRPr="007C190F" w:rsidRDefault="00154C3D" w:rsidP="00154C3D"/>
    <w:p w:rsidR="00A34F7E" w:rsidRPr="007C190F" w:rsidRDefault="00A34F7E" w:rsidP="00154C3D">
      <w:pPr>
        <w:rPr>
          <w:i/>
          <w:iCs/>
        </w:rPr>
      </w:pPr>
      <w:r w:rsidRPr="007C190F">
        <w:rPr>
          <w:i/>
          <w:iCs/>
        </w:rPr>
        <w:t>Pripomba, da so obveznosti sodišč glede dajanja splošnih informacij nejasno definirane.</w:t>
      </w:r>
    </w:p>
    <w:p w:rsidR="00A34F7E" w:rsidRPr="007C190F" w:rsidRDefault="00A34F7E" w:rsidP="00154C3D"/>
    <w:p w:rsidR="00154C3D" w:rsidRPr="007C190F" w:rsidRDefault="00154C3D" w:rsidP="00154C3D">
      <w:r w:rsidRPr="007C190F">
        <w:lastRenderedPageBreak/>
        <w:t xml:space="preserve">Glede na podrobneje definiran pojem kazenske zadeve sodišča in nov drugi odstavek 1. člena tega predloga zakona ter novi 59. člen predloga zakona, se obveznost dajanja informacij nanaša tudi na sodišča (sedaj je to urejeno v 23. členu). Dajanje informacij o pravnih podlagah, namenih obdelave ipd. ni del sodnega odločanja, gre za zadevo sodne uprave in menimo, da je primerno to obveznost predpisati za kazensko sodstvo.  </w:t>
      </w:r>
    </w:p>
    <w:p w:rsidR="00154C3D" w:rsidRPr="007C190F" w:rsidRDefault="00154C3D" w:rsidP="00154C3D"/>
    <w:p w:rsidR="00154C3D" w:rsidRPr="007C190F" w:rsidRDefault="00154C3D" w:rsidP="00154C3D">
      <w:pPr>
        <w:rPr>
          <w:b/>
          <w:bCs/>
        </w:rPr>
      </w:pPr>
      <w:r w:rsidRPr="007C190F">
        <w:rPr>
          <w:b/>
          <w:bCs/>
        </w:rPr>
        <w:t>K 23. členu – omejitve pravice do dostopa do osebnih podatkov</w:t>
      </w:r>
    </w:p>
    <w:p w:rsidR="00A34F7E" w:rsidRPr="007C190F" w:rsidRDefault="00A34F7E" w:rsidP="00154C3D">
      <w:pPr>
        <w:rPr>
          <w:b/>
          <w:bCs/>
        </w:rPr>
      </w:pPr>
    </w:p>
    <w:p w:rsidR="00A34F7E" w:rsidRPr="007C190F" w:rsidRDefault="00A34F7E" w:rsidP="00154C3D">
      <w:pPr>
        <w:rPr>
          <w:i/>
          <w:iCs/>
        </w:rPr>
      </w:pPr>
      <w:r w:rsidRPr="007C190F">
        <w:rPr>
          <w:i/>
          <w:iCs/>
        </w:rPr>
        <w:t>Pomislek o ustreznosti implementacije 15. člena Direktive.</w:t>
      </w:r>
    </w:p>
    <w:p w:rsidR="00154C3D" w:rsidRPr="007C190F" w:rsidRDefault="00154C3D" w:rsidP="00154C3D"/>
    <w:p w:rsidR="00154C3D" w:rsidRPr="007C190F" w:rsidRDefault="00154C3D" w:rsidP="00154C3D">
      <w:r w:rsidRPr="007C190F">
        <w:t>Pripomba ni upoštevana. Zaradi različnih konkretnih situacij, s katerimi se srečujemo na področju uporabe tega zakona, je namenoma puščen prostor za področno zakonodajo, ki specialno in neposredno uredi omejitve pravic dostopa. Besedilo se sedaj nahaja v 25. členu.</w:t>
      </w:r>
    </w:p>
    <w:p w:rsidR="00A34F7E" w:rsidRPr="007C190F" w:rsidRDefault="00A34F7E" w:rsidP="00154C3D"/>
    <w:p w:rsidR="00A34F7E" w:rsidRPr="007C190F" w:rsidRDefault="00A34F7E" w:rsidP="00154C3D">
      <w:pPr>
        <w:rPr>
          <w:b/>
          <w:bCs/>
        </w:rPr>
      </w:pPr>
      <w:r w:rsidRPr="007C190F">
        <w:rPr>
          <w:b/>
          <w:bCs/>
        </w:rPr>
        <w:t xml:space="preserve">K 47. členu – razlikovanje med različnimi kategorijami posameznikov </w:t>
      </w:r>
    </w:p>
    <w:p w:rsidR="00A34F7E" w:rsidRPr="007C190F" w:rsidRDefault="00A34F7E" w:rsidP="00154C3D"/>
    <w:p w:rsidR="00A34F7E" w:rsidRPr="007C190F" w:rsidRDefault="00A34F7E" w:rsidP="00154C3D">
      <w:pPr>
        <w:rPr>
          <w:i/>
          <w:iCs/>
        </w:rPr>
      </w:pPr>
      <w:r w:rsidRPr="007C190F">
        <w:rPr>
          <w:i/>
          <w:iCs/>
        </w:rPr>
        <w:t>Pripomba, da ni razvidno, v čem naj bi se razlikovale osebnih podatkov različnih kategorij posameznikov.</w:t>
      </w:r>
    </w:p>
    <w:p w:rsidR="00A34F7E" w:rsidRPr="007C190F" w:rsidRDefault="00A34F7E" w:rsidP="00154C3D"/>
    <w:p w:rsidR="00A34F7E" w:rsidRPr="007C190F" w:rsidRDefault="002D4001" w:rsidP="00154C3D">
      <w:r w:rsidRPr="007C190F">
        <w:t>P</w:t>
      </w:r>
      <w:r w:rsidR="00A34F7E" w:rsidRPr="007C190F">
        <w:t xml:space="preserve">ri osebnih podatkih posameznikov </w:t>
      </w:r>
      <w:r w:rsidRPr="007C190F">
        <w:t xml:space="preserve">je </w:t>
      </w:r>
      <w:r w:rsidR="00A34F7E" w:rsidRPr="007C190F">
        <w:t xml:space="preserve">treba vsaj navesti, v katero kategorijo sodijo (osumljenci, obsojenci, priče, oškodovanci in podobno, kot to določa področna zakonodaja). </w:t>
      </w:r>
      <w:r w:rsidR="00903B24" w:rsidRPr="007C190F">
        <w:t>(sedaj 9. člen).</w:t>
      </w:r>
    </w:p>
    <w:p w:rsidR="00A34F7E" w:rsidRPr="007C190F" w:rsidRDefault="00A34F7E" w:rsidP="00154C3D"/>
    <w:p w:rsidR="00A34F7E" w:rsidRPr="007C190F" w:rsidRDefault="00A34F7E" w:rsidP="00154C3D">
      <w:pPr>
        <w:rPr>
          <w:b/>
          <w:bCs/>
        </w:rPr>
      </w:pPr>
      <w:r w:rsidRPr="007C190F">
        <w:rPr>
          <w:b/>
          <w:bCs/>
        </w:rPr>
        <w:t xml:space="preserve"> K 66. členu</w:t>
      </w:r>
      <w:r w:rsidR="00903B24" w:rsidRPr="007C190F">
        <w:rPr>
          <w:b/>
          <w:bCs/>
        </w:rPr>
        <w:t xml:space="preserve"> – posredovanje osebnih podatkov, ki ga izvedejo osebe javnega sektorja</w:t>
      </w:r>
    </w:p>
    <w:p w:rsidR="00903B24" w:rsidRPr="007C190F" w:rsidRDefault="00903B24" w:rsidP="00154C3D"/>
    <w:p w:rsidR="00903B24" w:rsidRPr="007C190F" w:rsidRDefault="00903B24" w:rsidP="00154C3D">
      <w:pPr>
        <w:rPr>
          <w:i/>
          <w:iCs/>
        </w:rPr>
      </w:pPr>
      <w:r w:rsidRPr="007C190F">
        <w:rPr>
          <w:i/>
          <w:iCs/>
        </w:rPr>
        <w:t>Pripomba, da je drugi odstavek, ki ureja posredovanje podatkov od pristojnega organa k pravnim ali fizičnim osebam zasebnega sektorja premalo določen.</w:t>
      </w:r>
    </w:p>
    <w:p w:rsidR="00903B24" w:rsidRPr="007C190F" w:rsidRDefault="00903B24" w:rsidP="00154C3D"/>
    <w:p w:rsidR="00903B24" w:rsidRPr="007C190F" w:rsidRDefault="002D4001" w:rsidP="00154C3D">
      <w:r w:rsidRPr="007C190F">
        <w:t>G</w:t>
      </w:r>
      <w:r w:rsidR="00903B24" w:rsidRPr="007C190F">
        <w:t>re pri določbi za napotilo zakonodajalcu.</w:t>
      </w:r>
    </w:p>
    <w:p w:rsidR="00612705" w:rsidRPr="007C190F" w:rsidRDefault="00612705" w:rsidP="00154C3D"/>
    <w:p w:rsidR="00612705" w:rsidRPr="007C190F" w:rsidRDefault="00612705" w:rsidP="00154C3D">
      <w:pPr>
        <w:rPr>
          <w:b/>
          <w:bCs/>
        </w:rPr>
      </w:pPr>
      <w:r w:rsidRPr="007C190F">
        <w:rPr>
          <w:b/>
          <w:bCs/>
        </w:rPr>
        <w:t>Uprava za izvrševanje kazenskih sankcij</w:t>
      </w:r>
      <w:r w:rsidR="00A060B7" w:rsidRPr="007C190F">
        <w:rPr>
          <w:b/>
          <w:bCs/>
        </w:rPr>
        <w:t xml:space="preserve"> Ministrstva za pravosodje</w:t>
      </w:r>
    </w:p>
    <w:p w:rsidR="00612705" w:rsidRPr="007C190F" w:rsidRDefault="00612705" w:rsidP="00154C3D"/>
    <w:p w:rsidR="00612705" w:rsidRPr="007C190F" w:rsidRDefault="00612705" w:rsidP="00154C3D">
      <w:pPr>
        <w:rPr>
          <w:b/>
          <w:bCs/>
        </w:rPr>
      </w:pPr>
      <w:r w:rsidRPr="007C190F">
        <w:rPr>
          <w:b/>
          <w:bCs/>
        </w:rPr>
        <w:t>K 4. členu – pomen izrazov</w:t>
      </w:r>
    </w:p>
    <w:p w:rsidR="00612705" w:rsidRPr="007C190F" w:rsidRDefault="00612705" w:rsidP="00154C3D"/>
    <w:p w:rsidR="00612705" w:rsidRPr="007C190F" w:rsidRDefault="00612705" w:rsidP="00962590">
      <w:pPr>
        <w:jc w:val="both"/>
      </w:pPr>
      <w:r w:rsidRPr="007C190F">
        <w:t>Glede vprašanja, ali se vpis oziroma izbris v ali iz kazenske evidence ne šteje za posebno vrsto osebnih podatkov (glede na 19.tč. 6. člena ZVOP-1-občutljivi podatki), podatki o predkaznovanosti</w:t>
      </w:r>
      <w:r w:rsidR="002D4001" w:rsidRPr="007C190F">
        <w:t xml:space="preserve"> so</w:t>
      </w:r>
      <w:r w:rsidRPr="007C190F">
        <w:t xml:space="preserve"> posebni osebni podatki, vendar pa področje kazenske evidence ne sodi v domet tega zakona</w:t>
      </w:r>
      <w:r w:rsidR="00A060B7" w:rsidRPr="007C190F">
        <w:t xml:space="preserve">, temveč v domet Splošne uredbe o varstvu podatkov, katere relevantne vsebine se bodo izvajale </w:t>
      </w:r>
      <w:r w:rsidRPr="007C190F">
        <w:t>.</w:t>
      </w:r>
    </w:p>
    <w:p w:rsidR="00612705" w:rsidRPr="007C190F" w:rsidRDefault="00612705" w:rsidP="00154C3D"/>
    <w:p w:rsidR="00612705" w:rsidRPr="007C190F" w:rsidRDefault="00612705" w:rsidP="00154C3D">
      <w:pPr>
        <w:rPr>
          <w:b/>
          <w:bCs/>
        </w:rPr>
      </w:pPr>
      <w:r w:rsidRPr="007C190F">
        <w:rPr>
          <w:b/>
          <w:bCs/>
        </w:rPr>
        <w:t>K 7. členu – zakonitost obdelave posebnih vrst osebnih podatkov</w:t>
      </w:r>
    </w:p>
    <w:p w:rsidR="00612705" w:rsidRPr="007C190F" w:rsidRDefault="00612705" w:rsidP="00154C3D"/>
    <w:p w:rsidR="00612705" w:rsidRPr="007C190F" w:rsidRDefault="00612705" w:rsidP="00612705">
      <w:pPr>
        <w:rPr>
          <w:i/>
          <w:iCs/>
        </w:rPr>
      </w:pPr>
      <w:r w:rsidRPr="007C190F">
        <w:rPr>
          <w:i/>
          <w:iCs/>
        </w:rPr>
        <w:t xml:space="preserve">URSIKS postavlja vprašanje glede zakonitosti obdelave posebnih vrst osebnih podatkov v povezavi s pogoji, ki jih predlog zakona določa bolj strogo kot direktiva (standard »nujne potrebnosti«). </w:t>
      </w:r>
    </w:p>
    <w:p w:rsidR="00612705" w:rsidRPr="007C190F" w:rsidRDefault="00612705" w:rsidP="00612705"/>
    <w:p w:rsidR="00612705" w:rsidRPr="007C190F" w:rsidRDefault="00612705" w:rsidP="00612705">
      <w:r w:rsidRPr="007C190F">
        <w:t>Standard »nujne potrebnosti« za obdelave posebnih osebnih podatkov določa že direktiva v svojem 10. členu.</w:t>
      </w:r>
    </w:p>
    <w:p w:rsidR="0062356B" w:rsidRPr="007C190F" w:rsidRDefault="0062356B" w:rsidP="00612705"/>
    <w:p w:rsidR="0062356B" w:rsidRPr="007C190F" w:rsidRDefault="0062356B" w:rsidP="00612705">
      <w:pPr>
        <w:rPr>
          <w:b/>
          <w:bCs/>
        </w:rPr>
      </w:pPr>
      <w:r w:rsidRPr="007C190F">
        <w:rPr>
          <w:b/>
          <w:bCs/>
        </w:rPr>
        <w:t>K 23. členu – omejitve pravice do dostopa do osebnih podatkov</w:t>
      </w:r>
    </w:p>
    <w:p w:rsidR="0062356B" w:rsidRPr="007C190F" w:rsidRDefault="0062356B" w:rsidP="00612705"/>
    <w:p w:rsidR="0062356B" w:rsidRPr="007C190F" w:rsidRDefault="0062356B" w:rsidP="00612705">
      <w:pPr>
        <w:rPr>
          <w:i/>
          <w:iCs/>
        </w:rPr>
      </w:pPr>
      <w:r w:rsidRPr="007C190F">
        <w:rPr>
          <w:i/>
          <w:iCs/>
        </w:rPr>
        <w:t>URSIKS opozarja na drugačno ureditev v omejitev dostopa do osebnih podatkov v tretjem odstavku 38. člena ZIKS-1.</w:t>
      </w:r>
    </w:p>
    <w:p w:rsidR="0062356B" w:rsidRPr="007C190F" w:rsidRDefault="0062356B" w:rsidP="00612705"/>
    <w:p w:rsidR="0062356B" w:rsidRPr="007C190F" w:rsidRDefault="0062356B" w:rsidP="00612705">
      <w:r w:rsidRPr="007C190F">
        <w:lastRenderedPageBreak/>
        <w:t>ZVOPPOKD</w:t>
      </w:r>
      <w:r w:rsidR="002D4001" w:rsidRPr="007C190F">
        <w:t xml:space="preserve"> je</w:t>
      </w:r>
      <w:r w:rsidRPr="007C190F">
        <w:t xml:space="preserve"> splošni zakon, ki določa, da se lahko z zakonom pravico do dostopa do osebnih podatkov omeji, kar je konkretizirano v tretjem odstavku 38. člena ZIKS-1.</w:t>
      </w:r>
    </w:p>
    <w:p w:rsidR="0062356B" w:rsidRPr="007C190F" w:rsidRDefault="0062356B" w:rsidP="00612705"/>
    <w:p w:rsidR="0062356B" w:rsidRPr="007C190F" w:rsidRDefault="0062356B" w:rsidP="00612705">
      <w:pPr>
        <w:rPr>
          <w:b/>
          <w:bCs/>
        </w:rPr>
      </w:pPr>
      <w:r w:rsidRPr="007C190F">
        <w:rPr>
          <w:b/>
          <w:bCs/>
        </w:rPr>
        <w:t>K 47. členu – razlikovanje med različnimi kategorijami posameznikov</w:t>
      </w:r>
    </w:p>
    <w:p w:rsidR="0062356B" w:rsidRPr="007C190F" w:rsidRDefault="0062356B" w:rsidP="00612705"/>
    <w:p w:rsidR="0062356B" w:rsidRPr="007C190F" w:rsidRDefault="0062356B" w:rsidP="00612705">
      <w:pPr>
        <w:rPr>
          <w:i/>
          <w:iCs/>
        </w:rPr>
      </w:pPr>
      <w:r w:rsidRPr="007C190F">
        <w:rPr>
          <w:i/>
          <w:iCs/>
        </w:rPr>
        <w:t>URSIKS predlaga, da bi med kategorije posameznikov dodali vsaj še kategorijo mladoletniki z izrečenim vzgojnim ukrepom ali kaznijo zapora, osebe z izrečenim varnostnim ukrepom, osebe z izrečenim nadomestnim zaporom.</w:t>
      </w:r>
    </w:p>
    <w:p w:rsidR="0062356B" w:rsidRPr="007C190F" w:rsidRDefault="0062356B" w:rsidP="00612705"/>
    <w:p w:rsidR="0062356B" w:rsidRPr="007C190F" w:rsidRDefault="0062356B" w:rsidP="00612705">
      <w:r w:rsidRPr="007C190F">
        <w:t>ZVOPPOKD le primeroma našteva kategorije, v posameznih področnih zakonih pa je mogoče določiti kategorije, ki ustrezajo specifičnemu področju uporabe.</w:t>
      </w:r>
    </w:p>
    <w:p w:rsidR="00994BF5" w:rsidRPr="007C190F" w:rsidRDefault="00994BF5" w:rsidP="00612705"/>
    <w:p w:rsidR="00994BF5" w:rsidRPr="007C190F" w:rsidRDefault="00994BF5" w:rsidP="00612705">
      <w:pPr>
        <w:rPr>
          <w:szCs w:val="20"/>
        </w:rPr>
      </w:pPr>
    </w:p>
    <w:p w:rsidR="00994BF5" w:rsidRPr="007C190F" w:rsidRDefault="00994BF5" w:rsidP="00612705">
      <w:pPr>
        <w:rPr>
          <w:b/>
          <w:bCs/>
          <w:szCs w:val="20"/>
        </w:rPr>
      </w:pPr>
      <w:r w:rsidRPr="007C190F">
        <w:rPr>
          <w:b/>
          <w:bCs/>
          <w:szCs w:val="20"/>
        </w:rPr>
        <w:t xml:space="preserve">Zagovornik načela enakosti </w:t>
      </w:r>
    </w:p>
    <w:p w:rsidR="00994BF5" w:rsidRPr="007C190F" w:rsidRDefault="00994BF5" w:rsidP="00612705">
      <w:pPr>
        <w:rPr>
          <w:szCs w:val="20"/>
        </w:rPr>
      </w:pPr>
    </w:p>
    <w:p w:rsidR="00885AED" w:rsidRPr="007C190F" w:rsidRDefault="00885AED" w:rsidP="00885AED">
      <w:pPr>
        <w:jc w:val="both"/>
        <w:rPr>
          <w:b/>
          <w:bCs/>
          <w:szCs w:val="20"/>
        </w:rPr>
      </w:pPr>
      <w:r w:rsidRPr="007C190F">
        <w:rPr>
          <w:b/>
          <w:bCs/>
          <w:szCs w:val="20"/>
        </w:rPr>
        <w:t xml:space="preserve">K 9. členu – avtomatizirano odločanje in oblikovanje profilov </w:t>
      </w:r>
    </w:p>
    <w:p w:rsidR="00885AED" w:rsidRPr="007C190F" w:rsidRDefault="00885AED" w:rsidP="00885AED">
      <w:pPr>
        <w:jc w:val="both"/>
        <w:rPr>
          <w:i/>
          <w:iCs/>
          <w:szCs w:val="20"/>
        </w:rPr>
      </w:pPr>
    </w:p>
    <w:p w:rsidR="00994BF5" w:rsidRPr="007C190F" w:rsidRDefault="00885AED" w:rsidP="009C0CED">
      <w:pPr>
        <w:jc w:val="both"/>
        <w:rPr>
          <w:i/>
          <w:iCs/>
          <w:szCs w:val="20"/>
        </w:rPr>
      </w:pPr>
      <w:r w:rsidRPr="007C190F">
        <w:rPr>
          <w:i/>
          <w:iCs/>
          <w:szCs w:val="20"/>
        </w:rPr>
        <w:t>Zagovornik načela enakosti je predlagal, da se 9. člen (sedaj 11. člen) dopolni z dodatnim pogojem izjeme od prepovedi odločanja, ki temelji izključno na avtomatizirani obdelavi osebnih podatkov, in sicer, da se določi vsakokratno naknadno (ročno) preverjanje rezultatov avtomatizirane obdelave osebnih podatkov.</w:t>
      </w:r>
    </w:p>
    <w:p w:rsidR="00885AED" w:rsidRPr="007C190F" w:rsidRDefault="00885AED" w:rsidP="009C0CED">
      <w:pPr>
        <w:jc w:val="both"/>
        <w:rPr>
          <w:szCs w:val="20"/>
        </w:rPr>
      </w:pPr>
    </w:p>
    <w:p w:rsidR="00885AED" w:rsidRPr="007C190F" w:rsidRDefault="00885AED" w:rsidP="00885AED">
      <w:pPr>
        <w:jc w:val="both"/>
        <w:rPr>
          <w:szCs w:val="20"/>
        </w:rPr>
      </w:pPr>
      <w:r w:rsidRPr="007C190F">
        <w:rPr>
          <w:szCs w:val="20"/>
        </w:rPr>
        <w:t xml:space="preserve">Predlog ni sprejet, možnost ročnega preverjanja je že določena v zakonu, je pa le ena od možnosti za preverjanje. Uvedba obveznega ročnega preverjanja bi pomenila, da avtomatizirana obdelava osebnih podatkov nima pomena – če je treba vedno izvesti naknadno ročno preverjanje. Poleg tega so znatne razlike med področnimi (zakonskimi) ureditvami pristojnih organov in isto obvezujoče pravilo ne bi moglo veljati za vsa področja.  </w:t>
      </w:r>
    </w:p>
    <w:p w:rsidR="00885AED" w:rsidRPr="007C190F" w:rsidRDefault="00885AED" w:rsidP="00885AED">
      <w:pPr>
        <w:jc w:val="both"/>
        <w:rPr>
          <w:szCs w:val="20"/>
        </w:rPr>
      </w:pPr>
    </w:p>
    <w:p w:rsidR="00885AED" w:rsidRPr="007C190F" w:rsidRDefault="00885AED" w:rsidP="00885AED">
      <w:pPr>
        <w:jc w:val="both"/>
        <w:rPr>
          <w:b/>
          <w:bCs/>
          <w:szCs w:val="20"/>
        </w:rPr>
      </w:pPr>
      <w:r w:rsidRPr="007C190F">
        <w:rPr>
          <w:b/>
          <w:bCs/>
          <w:szCs w:val="20"/>
        </w:rPr>
        <w:t>K 49. členu – ocena učinka</w:t>
      </w:r>
    </w:p>
    <w:p w:rsidR="00885AED" w:rsidRPr="007C190F" w:rsidRDefault="00885AED" w:rsidP="00885AED">
      <w:pPr>
        <w:jc w:val="both"/>
        <w:rPr>
          <w:szCs w:val="20"/>
        </w:rPr>
      </w:pPr>
    </w:p>
    <w:p w:rsidR="00885AED" w:rsidRPr="007C190F" w:rsidRDefault="00885AED" w:rsidP="00885AED">
      <w:pPr>
        <w:jc w:val="both"/>
        <w:rPr>
          <w:i/>
          <w:iCs/>
          <w:szCs w:val="20"/>
        </w:rPr>
      </w:pPr>
      <w:r w:rsidRPr="007C190F">
        <w:rPr>
          <w:i/>
          <w:iCs/>
          <w:szCs w:val="20"/>
        </w:rPr>
        <w:t>Prav tako je predlagano, da se v 2. točki četrtega odstavka 49. člena za besedno zvezo »osebni podatki«, doda besedilo »,zlasti glede prepovedi diskriminacije«</w:t>
      </w:r>
      <w:r w:rsidR="00030F13" w:rsidRPr="007C190F">
        <w:rPr>
          <w:i/>
          <w:iCs/>
          <w:szCs w:val="20"/>
        </w:rPr>
        <w:t>, t</w:t>
      </w:r>
      <w:r w:rsidRPr="007C190F">
        <w:rPr>
          <w:i/>
          <w:iCs/>
          <w:szCs w:val="20"/>
        </w:rPr>
        <w:t>er da se v petem odstavku 49. člena določi, da mora pristojni organ pred uvedbo novega sistema za avtomatizirano obdelavo osebnih podatkov oceno učinka izvesti tudi glede tveganj za človekove pravice in temeljne svoboščine, zlasti glede prepovedi diskriminacije, ter glede ukrepov za obvladovanje teh tveganj.</w:t>
      </w:r>
    </w:p>
    <w:p w:rsidR="00885AED" w:rsidRPr="007C190F" w:rsidRDefault="00885AED" w:rsidP="00885AED">
      <w:pPr>
        <w:jc w:val="both"/>
        <w:rPr>
          <w:i/>
          <w:iCs/>
          <w:szCs w:val="20"/>
        </w:rPr>
      </w:pPr>
    </w:p>
    <w:p w:rsidR="00885AED" w:rsidRPr="007C190F" w:rsidRDefault="00885AED" w:rsidP="00885AED">
      <w:pPr>
        <w:jc w:val="both"/>
        <w:rPr>
          <w:szCs w:val="20"/>
        </w:rPr>
      </w:pPr>
      <w:r w:rsidRPr="007C190F">
        <w:rPr>
          <w:szCs w:val="20"/>
        </w:rPr>
        <w:t>Predlog glede 2. točke četrtega odstavka 49. člena je bil sprejet. Predlog glede petega odstavka ni bil sprejet, saj je ocena učinka na morebitno diskriminacijo že morala biti opravljena pri prvi oceni učinka.</w:t>
      </w:r>
    </w:p>
    <w:p w:rsidR="00885AED" w:rsidRPr="007C190F" w:rsidRDefault="00885AED" w:rsidP="00885AED">
      <w:pPr>
        <w:jc w:val="both"/>
        <w:rPr>
          <w:szCs w:val="20"/>
        </w:rPr>
      </w:pPr>
    </w:p>
    <w:p w:rsidR="00885AED" w:rsidRPr="007C190F" w:rsidRDefault="00885AED" w:rsidP="00885AED">
      <w:pPr>
        <w:jc w:val="both"/>
        <w:rPr>
          <w:b/>
          <w:bCs/>
          <w:szCs w:val="20"/>
        </w:rPr>
      </w:pPr>
      <w:r w:rsidRPr="007C190F">
        <w:rPr>
          <w:b/>
          <w:bCs/>
          <w:szCs w:val="20"/>
        </w:rPr>
        <w:t xml:space="preserve">K 6. in 7. členu – zakonitost obdelave in zakonitost obdelave posebnih vrst osebnih podatkov </w:t>
      </w:r>
    </w:p>
    <w:p w:rsidR="00885AED" w:rsidRPr="007C190F" w:rsidRDefault="00885AED" w:rsidP="009C0CED">
      <w:pPr>
        <w:jc w:val="both"/>
        <w:rPr>
          <w:szCs w:val="20"/>
          <w:u w:val="single"/>
        </w:rPr>
      </w:pPr>
    </w:p>
    <w:p w:rsidR="00154C3D" w:rsidRPr="007C190F" w:rsidRDefault="009C0CED" w:rsidP="00885AED">
      <w:pPr>
        <w:spacing w:after="160" w:line="259" w:lineRule="auto"/>
        <w:jc w:val="both"/>
        <w:rPr>
          <w:rFonts w:eastAsia="Calibri" w:cs="Arial"/>
          <w:i/>
          <w:iCs/>
          <w:szCs w:val="20"/>
        </w:rPr>
      </w:pPr>
      <w:r w:rsidRPr="007C190F">
        <w:rPr>
          <w:rFonts w:eastAsia="Calibri" w:cs="Arial"/>
          <w:i/>
          <w:iCs/>
          <w:szCs w:val="20"/>
        </w:rPr>
        <w:t>Priporočeno je bilo tudi, da se v obrazložitvi 6. (zakonitost obdelave) in/ali 7. (zakonitost obdelave posebnih vrst osebnih podatkov) člena predloga ZVOPPOKD v okvir izjem od prepovedi obdelave (posebnih vrst) osebnih podatkov izrecno vključi situacije, v katerih je posameznik, na katerega se osebni podatki nanašajo, oškodovanec kaznivega dejanja, katerega motiv je sovraštvo na podlagi osebnih okoliščin.</w:t>
      </w:r>
    </w:p>
    <w:p w:rsidR="009C0CED" w:rsidRPr="007C190F" w:rsidRDefault="009C0CED" w:rsidP="00885AED">
      <w:pPr>
        <w:spacing w:after="160" w:line="259" w:lineRule="auto"/>
        <w:jc w:val="both"/>
        <w:rPr>
          <w:rFonts w:eastAsia="Calibri" w:cs="Arial"/>
          <w:b/>
          <w:bCs/>
          <w:szCs w:val="20"/>
        </w:rPr>
      </w:pPr>
      <w:r w:rsidRPr="007C190F">
        <w:rPr>
          <w:rFonts w:eastAsia="Calibri" w:cs="Arial"/>
          <w:szCs w:val="20"/>
        </w:rPr>
        <w:t xml:space="preserve">Predlog ni sprejet, to je lahko le tematika področnih zakonov za posebne situacije, kjer se vsakič posebej oceni, ali je predlog sprejemljiv ali ne. </w:t>
      </w:r>
      <w:r w:rsidRPr="007C190F">
        <w:rPr>
          <w:rFonts w:eastAsia="Calibri" w:cs="Arial"/>
          <w:b/>
          <w:bCs/>
          <w:szCs w:val="20"/>
        </w:rPr>
        <w:t xml:space="preserve"> </w:t>
      </w:r>
    </w:p>
    <w:p w:rsidR="009C0CED" w:rsidRPr="007C190F" w:rsidRDefault="009C0CED" w:rsidP="00885AED">
      <w:pPr>
        <w:spacing w:after="160" w:line="259" w:lineRule="auto"/>
        <w:jc w:val="both"/>
        <w:rPr>
          <w:rFonts w:eastAsia="Calibri" w:cs="Arial"/>
          <w:b/>
          <w:bCs/>
          <w:sz w:val="22"/>
          <w:szCs w:val="22"/>
        </w:rPr>
      </w:pP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lastRenderedPageBreak/>
        <w:t>8. PODATEK O ZUNANJEM STROKOVNJAKU OZIROMA PRAVNI OSEBI, KI JE SODELOVALA PRI PRIPRAVI PREDLOGA ZAKONA, IN ZNESKU PLAČILA ZA TA NAMEN</w:t>
      </w:r>
    </w:p>
    <w:p w:rsidR="00E302FA" w:rsidRPr="007C190F" w:rsidRDefault="00E302FA" w:rsidP="00E302FA">
      <w:pPr>
        <w:spacing w:after="160" w:line="259" w:lineRule="auto"/>
        <w:jc w:val="both"/>
        <w:rPr>
          <w:rFonts w:eastAsia="Calibri" w:cs="Arial"/>
          <w:bCs/>
          <w:szCs w:val="20"/>
        </w:rPr>
      </w:pPr>
      <w:r w:rsidRPr="007C190F">
        <w:rPr>
          <w:rFonts w:eastAsia="Calibri" w:cs="Arial"/>
          <w:bCs/>
          <w:szCs w:val="20"/>
        </w:rPr>
        <w:t>Pri pripravi predloga zakona zunanji strokovnjaki niso sodelovali.</w:t>
      </w:r>
    </w:p>
    <w:p w:rsidR="00E302FA" w:rsidRPr="007C190F" w:rsidRDefault="00E302FA" w:rsidP="00E302FA">
      <w:pPr>
        <w:spacing w:after="160" w:line="259" w:lineRule="auto"/>
        <w:jc w:val="both"/>
        <w:rPr>
          <w:rFonts w:eastAsia="Calibri" w:cs="Arial"/>
          <w:bCs/>
          <w:szCs w:val="20"/>
        </w:rPr>
      </w:pP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b/>
          <w:bCs/>
          <w:sz w:val="26"/>
          <w:szCs w:val="26"/>
        </w:rPr>
        <w:t>9. NAVEDBA, KATERI PREDSTAVNIKI PREDLAGATELJA BODO SODELOVALI PRI DELU DRŽAVNEGA ZBORA IN DELOVNIH TELES</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 delu Državnega zbora in njegovih delovnih teles bodo sodelovali: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mag. Lilijana Kozlovič, ministrica za pravosodje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Matic Zupan, državni sekretar</w:t>
      </w:r>
    </w:p>
    <w:p w:rsidR="00E302FA" w:rsidRPr="007C190F" w:rsidRDefault="00E302FA" w:rsidP="00962590">
      <w:pPr>
        <w:tabs>
          <w:tab w:val="left" w:pos="4980"/>
        </w:tabs>
        <w:spacing w:after="160" w:line="259" w:lineRule="auto"/>
        <w:jc w:val="both"/>
        <w:rPr>
          <w:rFonts w:eastAsia="Calibri" w:cs="Arial"/>
          <w:szCs w:val="20"/>
        </w:rPr>
      </w:pPr>
      <w:r w:rsidRPr="007C190F">
        <w:rPr>
          <w:rFonts w:eastAsia="Calibri" w:cs="Arial"/>
          <w:szCs w:val="20"/>
        </w:rPr>
        <w:t>– Zlatko Ratej, državni sekretar</w:t>
      </w:r>
      <w:r w:rsidR="00B61B01" w:rsidRPr="007C190F">
        <w:rPr>
          <w:rFonts w:eastAsia="Calibri" w:cs="Arial"/>
          <w:szCs w:val="20"/>
        </w:rPr>
        <w:tab/>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mag. Nina Koželj, generalna direktorica Direktorata za kaznovalno pravo in človekove pravice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Peter Pavlin, višji sekretar</w:t>
      </w:r>
    </w:p>
    <w:p w:rsidR="00E302FA" w:rsidRPr="007C190F" w:rsidRDefault="00E302FA" w:rsidP="00E302FA">
      <w:pPr>
        <w:spacing w:after="160" w:line="259" w:lineRule="auto"/>
        <w:jc w:val="both"/>
        <w:rPr>
          <w:rFonts w:eastAsia="Calibri" w:cs="Arial"/>
          <w:bCs/>
          <w:szCs w:val="20"/>
          <w:lang w:val="it-IT"/>
        </w:rPr>
      </w:pP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spacing w:after="160" w:line="259" w:lineRule="auto"/>
        <w:rPr>
          <w:rFonts w:eastAsia="Calibri" w:cs="Arial"/>
          <w:b/>
          <w:bCs/>
          <w:szCs w:val="20"/>
        </w:rPr>
      </w:pPr>
      <w:r w:rsidRPr="007C190F">
        <w:rPr>
          <w:rFonts w:eastAsia="Calibri" w:cs="Arial"/>
          <w:b/>
          <w:bCs/>
          <w:szCs w:val="20"/>
        </w:rPr>
        <w:br w:type="page"/>
      </w:r>
    </w:p>
    <w:p w:rsidR="00E302FA" w:rsidRPr="007C190F" w:rsidRDefault="00E302FA" w:rsidP="00E302FA">
      <w:pPr>
        <w:spacing w:after="160" w:line="259" w:lineRule="auto"/>
        <w:jc w:val="both"/>
        <w:rPr>
          <w:rFonts w:eastAsia="Calibri" w:cs="Arial"/>
          <w:b/>
          <w:bCs/>
          <w:szCs w:val="20"/>
        </w:rPr>
      </w:pPr>
      <w:r w:rsidRPr="007C190F">
        <w:rPr>
          <w:rFonts w:eastAsia="Calibri" w:cs="Arial"/>
          <w:b/>
          <w:bCs/>
          <w:szCs w:val="20"/>
        </w:rPr>
        <w:lastRenderedPageBreak/>
        <w:t>II. BESEDILO ČLENOV</w:t>
      </w:r>
    </w:p>
    <w:p w:rsidR="00E302FA" w:rsidRPr="007C190F" w:rsidRDefault="00E302FA" w:rsidP="00E302FA">
      <w:pPr>
        <w:spacing w:after="160" w:line="259" w:lineRule="auto"/>
        <w:jc w:val="center"/>
        <w:rPr>
          <w:rFonts w:eastAsia="Calibri" w:cs="Arial"/>
          <w:b/>
          <w:bCs/>
          <w:szCs w:val="20"/>
        </w:rPr>
      </w:pPr>
    </w:p>
    <w:p w:rsidR="00E302FA" w:rsidRPr="007C190F" w:rsidRDefault="00E302FA" w:rsidP="00E302FA">
      <w:pPr>
        <w:keepNext/>
        <w:keepLines/>
        <w:spacing w:before="40" w:line="259" w:lineRule="auto"/>
        <w:jc w:val="center"/>
        <w:outlineLvl w:val="1"/>
        <w:rPr>
          <w:rFonts w:ascii="Calibri Light" w:hAnsi="Calibri Light"/>
          <w:sz w:val="22"/>
          <w:szCs w:val="22"/>
        </w:rPr>
      </w:pPr>
      <w:r w:rsidRPr="007C190F">
        <w:rPr>
          <w:rFonts w:ascii="Calibri Light" w:hAnsi="Calibri Light"/>
          <w:sz w:val="22"/>
          <w:szCs w:val="22"/>
        </w:rPr>
        <w:t>I. POGLAVJE</w:t>
      </w:r>
      <w:r w:rsidRPr="007C190F">
        <w:rPr>
          <w:rFonts w:ascii="Calibri Light" w:hAnsi="Calibri Light"/>
          <w:sz w:val="22"/>
          <w:szCs w:val="22"/>
        </w:rPr>
        <w:br/>
        <w:t>SPLOŠNE DOLOČBE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 w:name="_Ref40430122"/>
      <w:r w:rsidRPr="007C190F">
        <w:rPr>
          <w:rFonts w:eastAsia="Calibri"/>
          <w:b/>
          <w:szCs w:val="20"/>
        </w:rPr>
        <w:t>člen</w:t>
      </w:r>
      <w:r w:rsidRPr="007C190F">
        <w:rPr>
          <w:rFonts w:eastAsia="Calibri"/>
          <w:b/>
          <w:szCs w:val="20"/>
        </w:rPr>
        <w:br/>
        <w:t>(vsebina)</w:t>
      </w:r>
      <w:bookmarkEnd w:id="6"/>
    </w:p>
    <w:p w:rsidR="00E302FA" w:rsidRPr="007C190F" w:rsidRDefault="00E302FA" w:rsidP="00E302FA">
      <w:pPr>
        <w:spacing w:after="160" w:line="259" w:lineRule="auto"/>
        <w:jc w:val="both"/>
        <w:rPr>
          <w:rFonts w:eastAsia="Calibri" w:cs="Arial"/>
          <w:szCs w:val="20"/>
        </w:rPr>
      </w:pPr>
      <w:r w:rsidRPr="007C190F">
        <w:rPr>
          <w:rFonts w:eastAsia="Calibri" w:cs="Arial"/>
          <w:szCs w:val="20"/>
        </w:rPr>
        <w:t>(1) Ta zakon ureja varstvo</w:t>
      </w:r>
      <w:r w:rsidR="001E1310">
        <w:rPr>
          <w:rFonts w:eastAsia="Calibri" w:cs="Arial"/>
          <w:szCs w:val="20"/>
        </w:rPr>
        <w:t xml:space="preserve"> pri obdelavi osebnih podatkov</w:t>
      </w:r>
      <w:r w:rsidRPr="007C190F">
        <w:rPr>
          <w:rFonts w:eastAsia="Calibri" w:cs="Arial"/>
          <w:szCs w:val="20"/>
        </w:rPr>
        <w:t>, k</w:t>
      </w:r>
      <w:r w:rsidR="001E1310">
        <w:rPr>
          <w:rFonts w:eastAsia="Calibri" w:cs="Arial"/>
          <w:szCs w:val="20"/>
        </w:rPr>
        <w:t xml:space="preserve">i  jih </w:t>
      </w:r>
      <w:r w:rsidRPr="007C190F">
        <w:rPr>
          <w:rFonts w:eastAsia="Calibri" w:cs="Arial"/>
          <w:szCs w:val="20"/>
        </w:rPr>
        <w:t xml:space="preserve">državni organi Republike Slovenije, </w:t>
      </w:r>
      <w:r w:rsidRPr="007C190F">
        <w:rPr>
          <w:rFonts w:eastAsia="Calibri" w:cs="Arial"/>
          <w:iCs/>
          <w:szCs w:val="20"/>
          <w:lang w:eastAsia="sl-SI"/>
        </w:rPr>
        <w:t>zakonsko določeni kot pristojni za področja preprečevanja, preiskovanja, odkrivanja ali pregona kaznivih dejanj ali izvrševanja kazenskih sankcij (v nadaljnjem besedilu: pristojni organi), obdelujejo za namene izvrševanja teh pristojnosti.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Ta zakon ureja tudi</w:t>
      </w:r>
      <w:r w:rsidRPr="007C190F">
        <w:rPr>
          <w:rFonts w:eastAsia="Calibri" w:cs="Arial"/>
          <w:iCs/>
          <w:szCs w:val="20"/>
          <w:lang w:eastAsia="sl-SI"/>
        </w:rPr>
        <w:t>, kdaj sodišča, ki odločajo v kazenskih zadevah, uporabljajo določbe tega zakona o obdelavi in dostopu do osebnih podatkov v kazenskih zadevah.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Ta zakon ureja tudi pogoje za zakonito in pošteno obdelavo osebnih podatkov, postopke in načine odkrivanja in preprečevanja nezakonitih posegov v pravice </w:t>
      </w:r>
      <w:r w:rsidR="001E1310">
        <w:rPr>
          <w:rFonts w:eastAsia="Calibri" w:cs="Arial"/>
          <w:szCs w:val="20"/>
        </w:rPr>
        <w:t xml:space="preserve">posameznice ali </w:t>
      </w:r>
      <w:r w:rsidRPr="007C190F">
        <w:rPr>
          <w:rFonts w:eastAsia="Calibri" w:cs="Arial"/>
          <w:szCs w:val="20"/>
        </w:rPr>
        <w:t>posameznik</w:t>
      </w:r>
      <w:r w:rsidR="001E1310">
        <w:rPr>
          <w:rFonts w:eastAsia="Calibri" w:cs="Arial"/>
          <w:szCs w:val="20"/>
        </w:rPr>
        <w:t>a (v nadaljnjem besedilu: posameznik)</w:t>
      </w:r>
      <w:r w:rsidRPr="007C190F">
        <w:rPr>
          <w:rFonts w:eastAsia="Calibri" w:cs="Arial"/>
          <w:szCs w:val="20"/>
        </w:rPr>
        <w:t>, na katere</w:t>
      </w:r>
      <w:r w:rsidR="001E1310">
        <w:rPr>
          <w:rFonts w:eastAsia="Calibri" w:cs="Arial"/>
          <w:szCs w:val="20"/>
        </w:rPr>
        <w:t>ga</w:t>
      </w:r>
      <w:r w:rsidRPr="007C190F">
        <w:rPr>
          <w:rFonts w:eastAsia="Calibri" w:cs="Arial"/>
          <w:szCs w:val="20"/>
        </w:rPr>
        <w:t xml:space="preserve"> se nanašajo osebni podatki. Za učinkovito varstvo zakonitosti in poštenosti obdelave osebnih podatkov ureja tudi nadzorna pooblastila in nadzorne ukrepe nadzornega organa ter odgovornost za prekrške glede njihovih kršitev.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S tem zakonom se v pravni red Republike Slovenije prenašata 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(UL L št. 119 z dne 4. 5. 2016, str. 89), zadnjič popravljena s Popravkom (UL L št. 127 z dne 23. 5. 2018, str. 20), (v nadaljnjem besedilu: Direktiva 2016/680</w:t>
      </w:r>
      <w:r w:rsidR="00E17FC1" w:rsidRPr="007C190F">
        <w:rPr>
          <w:rFonts w:eastAsia="Calibri" w:cs="Arial"/>
          <w:szCs w:val="20"/>
        </w:rPr>
        <w:t>/EU</w:t>
      </w:r>
      <w:r w:rsidRPr="007C190F">
        <w:rPr>
          <w:rFonts w:eastAsia="Calibri" w:cs="Arial"/>
          <w:szCs w:val="20"/>
        </w:rPr>
        <w:t>) ter Direktiva (EU) 2016/681 Evropskega parlamenta in Sveta z dne 27. aprila 2016 o uporabi podatkov iz evidence podatkov o potnikih (PNR) za preprečevanje, odkrivanje, preiskovanje in pregon terorističnih in hudih kaznivih dejanj (UL L št. 119 z dne 4. 5. 2016, str. 132) v delu, ki se nanaša na položaj in naloge pooblaščenih oseb za varstvo osebnih podatkov.</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7" w:name="_Ref40430946"/>
      <w:r w:rsidRPr="007C190F">
        <w:rPr>
          <w:rFonts w:eastAsia="Calibri"/>
          <w:b/>
          <w:szCs w:val="20"/>
        </w:rPr>
        <w:t>člen</w:t>
      </w:r>
      <w:r w:rsidRPr="007C190F">
        <w:rPr>
          <w:rFonts w:eastAsia="Calibri"/>
          <w:b/>
          <w:szCs w:val="20"/>
        </w:rPr>
        <w:br/>
        <w:t>(prepoved diskriminacije glede obdelave osebnih podatkov)</w:t>
      </w:r>
      <w:bookmarkEnd w:id="7"/>
    </w:p>
    <w:p w:rsidR="00E302FA" w:rsidRPr="007C190F" w:rsidRDefault="00E302FA" w:rsidP="00E302FA">
      <w:pPr>
        <w:spacing w:after="160" w:line="259" w:lineRule="auto"/>
        <w:jc w:val="both"/>
        <w:rPr>
          <w:rFonts w:eastAsia="Calibri" w:cs="Arial"/>
          <w:szCs w:val="20"/>
        </w:rPr>
      </w:pPr>
      <w:r w:rsidRPr="007C190F">
        <w:rPr>
          <w:rFonts w:eastAsia="Calibri" w:cs="Arial"/>
          <w:szCs w:val="20"/>
        </w:rPr>
        <w:t>Obdelava osebnih podatkov je prepovedana, če se izvaja na način ali ima za posledico nedopustno diskriminacijo glede na narodnost, raso, barvo kože, veroizpoved, etnično pripadnost, spol, jezik, politično ali drugo prepričanje, spolno usmerjenost, spolno identiteto, premoženjsko stanje, kraj rojstva, izobrazbo, družbeni položaj, državljanstvo, kraj oziroma vrsto prebivališča, zdravstveno stanje, genske predispozicije ali katero koli drugo osebno okoliščino posameznika.</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(področje uporabe)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Določbe tega zakona se uporabljajo za obdelave osebnih podatkov, ki se v celoti ali delno izvajajo z avtomatiziranimi sredstvi, in za obdelave osebnih podatkov, ki so del zbirke ali so namenjeni oblikovanju dela zbirke, ki se ne izvajajo z avtomatiziranimi sredstvi.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lastRenderedPageBreak/>
        <w:t>člen</w:t>
      </w:r>
      <w:r w:rsidRPr="007C190F">
        <w:rPr>
          <w:rFonts w:eastAsia="Calibri"/>
          <w:b/>
          <w:szCs w:val="20"/>
        </w:rPr>
        <w:br/>
        <w:t>(pomen izrazov)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Izrazi, uporabljeni v tem zakonu, pomenijo: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»osebni podatek« je katera koli informacija v zvezi z določenim ali določljivim posameznikom (v nadaljnjem besedilu: posameznik, na katerega se nanašajo osebni podatki); določljiv posameznik je tisti, ki ga je mogoče neposredno ali posredno določiti, zlasti z navedbo identifikatorja, kot so ime, identifikacijska številka, podatki o lokaciji in spletni identifikator, ali z navedbo enega ali več dejavnikov, značilnih za fizično, fiziološko, gensko, duševno, gospodarsko, kulturno ali družbeno identiteto tega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»obdelava« je vsako dejanje ali niz dejanj, ki se izvaja v zvezi z osebnimi podatki ali nizi osebnih podatkov z avtomatiziranimi sredstvi ali brez njih, kot so zbiranje, beleženje, urejanje, strukturiranje, shranjevanje, prilagajanje ali spreminjanje, priklic, vpogled, uporaba, razkritje s posredovanjem, razširjanje ali drugačno omogočanje dostopa, prilagajanje ali kombiniranje, omejevanje, izbris ali uničenje;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»omejitev obdelave« je označevanje shranjenih osebnih podatkov zaradi omejevanja njihove obdelave v prihodnosti;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»oblikovanje profilov« je vsaka oblika avtomatizirane obdelave osebnih podatkov, ki vključuje uporabo osebnih podatkov za ocenjevanje nekaterih osebnih vidikov v zvezi s posameznikom, zlasti za analizo ali predvidevanje uspešnosti pri delu, ekonomskega položaja, zdravja, osebnega okusa, interesov, zanesljivosti, vedenja, lokacije ali gibanja tega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»psevdonimizacija« je obdelava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»zbirka« je vsak strukturiran niz osebnih podatkov, dostopnih v skladu s posebnimi merili, niz pa je lahko centraliziran, decentraliziran ali razpršen na funkcionalni ali geografski podlagi;</w:t>
      </w:r>
    </w:p>
    <w:p w:rsidR="00E302FA" w:rsidRPr="007C190F" w:rsidRDefault="00E302FA" w:rsidP="00E302FA">
      <w:pPr>
        <w:spacing w:line="240" w:lineRule="auto"/>
        <w:jc w:val="both"/>
        <w:rPr>
          <w:rFonts w:eastAsia="Calibri" w:cs="Arial"/>
          <w:szCs w:val="20"/>
        </w:rPr>
      </w:pPr>
      <w:r w:rsidRPr="007C190F">
        <w:rPr>
          <w:rFonts w:eastAsia="Calibri" w:cs="Arial"/>
          <w:szCs w:val="20"/>
        </w:rPr>
        <w:t>7. »upravljavec« je pristojni organ, ki sam ali skupaj z drugimi določa sredstva obdelave osebnih podatkov; upravljavec je določen z zakonom; zakon določi tudi namen obdelave osebnih podatkov;</w:t>
      </w:r>
    </w:p>
    <w:p w:rsidR="00E302FA" w:rsidRPr="007C190F" w:rsidRDefault="00E302FA" w:rsidP="00E302FA">
      <w:pPr>
        <w:spacing w:line="240"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»obdelovalec« je fizična ali pravna oseba, državni organ, organ samoupravne lokalne skupnosti, javna agencija ali drugo telo, ki obdeluje osebne podatke v imenu upravljavca;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»uporabnik« je fizična ali pravna oseba, državni organ, organ samoupravne lokalne skupnosti, javna agencija ali drugo telo, ki so mu bili osebni podatki razkriti, ne glede na to, ali je tretja oseba ali ne. Državni organi, ki imajo za obdelavo osebnih podatkov zakonsko podlago in so jim osebni podatki posredovani za zakonit namen obdelave, niso uporabniki po določbah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»privolitev« posameznika, na katerega se nanašajo osebni podatki, je vsako prostovoljno, konkretno, informirano in nedvoumno ravnanje v obliki izjave ali jasnega pritrdilnega dejanja, iz katerega je mogoče sklepati na želje posameznika, na katerega se nanašajo osebni podatki, s katerim izrazi strinjanje z obdelavo osebnih podatkov, ki se nanašajo nanj;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11. »kršitev varnosti osebnih podatkov« je kršitev varnosti, ki povzroči nenamerno ali nezakonito uničenje, izgubo, spremembo, nepooblaščeno razkritje ali dostop do osebnih podatkov, ki so poslani, shranjeni ali kako drugače obdelani;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12. »posebne vrste osebnih podatkov« so osebni podatki, ki razkrivajo rasno ali etnično poreklo, politično mnenje, versko ali filozofsko prepričanje ali članstvo v sindikatu, obdelavo genskih podatkov, biometričnih podatkov za namene edinstvene identifikacije posameznika, podatke v </w:t>
      </w:r>
      <w:r w:rsidRPr="007C190F">
        <w:rPr>
          <w:rFonts w:eastAsia="Calibri" w:cs="Arial"/>
          <w:szCs w:val="20"/>
        </w:rPr>
        <w:lastRenderedPageBreak/>
        <w:t>zvezi z zdravjem posameznikov in podatke v zvezi s posameznikovim spolnim življenjem ali spolno usmerjenostjo;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13. »genski podatki« so osebni podatki v zvezi s podedovanimi ali pridobljenimi genskimi značilnostmi posameznika, ki dajejo edinstvene informacije o fiziologiji ali zdravju tega posameznika in so zlasti rezultat analize biološkega vzorca zadevnega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14. »biometrični podatki« so osebni podatki, ki so rezultat posebne tehnične obdelave v zvezi s fizičnimi, fiziološkimi ali vedenjskimi značilnostmi posameznika, ki omogočajo ali potrjujejo edinstveno identifikacijo tega posameznika, kot so podobe obraza ali daktiloskopski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15. »podatki o zdravstvenem stanju« so osebni podatki, ki se nanašajo na telesno ali duševno zdravje posameznika, vključno z zagotavljanjem zdravstvenih storitev, in razkrivajo informacije o njegovem zdravstvenem stanju;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16. »nadzorni organ« je Informacijski pooblaščenec, določen z zakonom, ki ureja Informacijskega pooblaščenca;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17. »nadzorne osebe« so informacijski pooblaščenec in nadzorniki za varstvo osebnih podatkov, kot jih določa zakon, ki ureja Informacijskega pooblaščenca, kadar izvajajo nadzor po določbah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18. »mednarodna organizacija« je organizacija in njena podrejena telesa, ki jih ureja mednarodno javno pravo, ali katera koli druga telesa, ustanovljena z mednarodno pogodbo med dvema ali več državami ali na podlagi take mednarodne pogodbe;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19. »izbris« je trajna odstranitev ali uničenje osebnega podatka, tako da ga ni več mogoče obnoviti;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20. »anonimiziranje« je takšna sprememba osebnih podatkov, da jih ni več mogoče povezati s posameznikom ali je to mogoče le z nesorazmerno velikimi napori, stroški ali porabo časa; tako anonimizirani podatki pa ne veljajo za osebne podatke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21. »blokiranje« je takšna označitev ali izločitev osebnih podatkov, da se omeji ali prepreči njihova nadaljnja obdelava, blokirani podatki pa veljajo za osebne podatke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22. »povezovalni znak« je osebna identifikacijska številka in druge z zakonom opredeljene enolične identifikacijske številke posameznika, z uporabo katerih je mogoče zbrati oziroma priklicati osebne podatke iz zbirk osebnih podatkov, v katerih so enolične identifikacijske številke obdelovane, ter druge podobne znake v javnem sektorju, ki se redno ali sistematično uporabljajo za povezovanje zbirk med različnimi upravljavci ali dveh ali več zbirk, ki jih upravlja en upravljavec;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23. »kazenska zadeva sodišča« je opravljanje preiskave in preiskovalnih dejanj, sojenje in obravnavanje pravnih sredstev v kazenski zadevi iz pristojnosti sodišč s splošno pristojnostjo, kot jo določa zakon, ki ureja sodišča, ter o kateri odloča sodišče v skladu z zakoni, ki urejajo sodne postopke;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24. »zakon« je ta zakon, drugi zakoni, obvezujoče mednarodne pogodbe, ki zavezujejo Republiko Slovenijo, ter pravni akti ali odločitve Evropske unije, katerih določbe so enakovredne zakonom in neposredno uporabljive ali neposredno učinkovite.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8" w:name="_Ref44419809"/>
      <w:r w:rsidRPr="007C190F">
        <w:rPr>
          <w:rFonts w:eastAsia="Calibri"/>
          <w:b/>
          <w:szCs w:val="20"/>
        </w:rPr>
        <w:t>člen</w:t>
      </w:r>
      <w:r w:rsidRPr="007C190F">
        <w:rPr>
          <w:rFonts w:eastAsia="Calibri"/>
          <w:b/>
          <w:szCs w:val="20"/>
        </w:rPr>
        <w:br/>
        <w:t>(načela varstva osebnih podatkov)</w:t>
      </w:r>
      <w:bookmarkEnd w:id="8"/>
    </w:p>
    <w:p w:rsidR="00E302FA" w:rsidRPr="007C190F" w:rsidRDefault="00E302FA" w:rsidP="00E302FA">
      <w:pPr>
        <w:spacing w:after="160" w:line="259" w:lineRule="auto"/>
        <w:jc w:val="both"/>
        <w:rPr>
          <w:rFonts w:eastAsia="Calibri" w:cs="Arial"/>
          <w:szCs w:val="20"/>
        </w:rPr>
      </w:pPr>
      <w:r w:rsidRPr="007C190F">
        <w:rPr>
          <w:rFonts w:eastAsia="Calibri" w:cs="Arial"/>
          <w:szCs w:val="20"/>
        </w:rPr>
        <w:t>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se obdelujejo zakonito, pošteno in pregledno za posameznika, na katerega se nanašajo osebni podatki (zakonitost, poštenost in preglednost);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se zbirajo za določene, izrecne in zakonite namene ter jih ni dovoljeno nadalje obdelovati na način, ki ni združljiv s temi nameni (omejitev namena);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3. so ustrezni, relevantni in omejeni na to, kar je potrebno za namene, za katere se obdelujejo (najmanjši obseg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so točni in, kadar je to potrebno, posodobljeni; sprejeti je treba vse razumne ukrepe za zagotovitev, da se netočni osebni podatki brez odlašanja izbrišejo ali popravijo ob upoštevanju namenov, za katere se obdelujejo (točnost in posodobljenost);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se hranijo v obliki, ki dopušča identifikacijo posameznikov, na katere se nanašajo osebni podatki, le toliko časa, kolikor je potrebno za izpolnitev namena, za katerega se osebni podatki obdelujejo, razen če je z zakonom določen drug rok hrambe (omejitev roka hrambe);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se obdelujejo na način, ki zagotavlja ustrezno varnost osebnih podatkov, vključno z zaščito pred nedovoljeno ali nezakonito obdelavo, pred nenamerno izgubo, uničenjem, poškodbo ali izgubo razpoložljivosti, z ustreznimi tehničnimi ali organizacijskimi ukrepi (celovitost, zaupnost in razpoložljivost).</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9" w:name="_Ref40183940"/>
      <w:bookmarkStart w:id="10" w:name="_Hlk47443377"/>
      <w:r w:rsidRPr="007C190F">
        <w:rPr>
          <w:rFonts w:eastAsia="Calibri"/>
          <w:b/>
          <w:szCs w:val="20"/>
        </w:rPr>
        <w:t>člen</w:t>
      </w:r>
      <w:r w:rsidRPr="007C190F">
        <w:rPr>
          <w:rFonts w:eastAsia="Calibri"/>
          <w:b/>
          <w:szCs w:val="20"/>
        </w:rPr>
        <w:br/>
        <w:t>(zakonitost obdelave)</w:t>
      </w:r>
      <w:bookmarkEnd w:id="9"/>
    </w:p>
    <w:bookmarkEnd w:id="10"/>
    <w:p w:rsidR="00E302FA" w:rsidRPr="007C190F" w:rsidRDefault="00E302FA" w:rsidP="00E302FA">
      <w:pPr>
        <w:spacing w:before="100" w:beforeAutospacing="1" w:after="100" w:afterAutospacing="1" w:line="259" w:lineRule="auto"/>
        <w:jc w:val="both"/>
        <w:rPr>
          <w:rFonts w:eastAsia="Calibri" w:cs="Arial"/>
          <w:szCs w:val="20"/>
        </w:rPr>
      </w:pPr>
      <w:r w:rsidRPr="007C190F">
        <w:rPr>
          <w:rFonts w:eastAsia="Calibri" w:cs="Arial"/>
          <w:szCs w:val="20"/>
        </w:rPr>
        <w:t xml:space="preserve">(1) Obdelava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je zakonita le, če je potrebna in v obsegu, v katerem je potrebna, za opravljanje nalog pristojnih organov, določenih z zakonom, ter če vrste osebnih podatkov, kategorije posameznikov, na katere se ti osebni podatki nanašajo, namen obdelave in rok hrambe ali rok za redni pregled potrebe po hrambi določa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Pristojni organi lahko obdelujejo tudi osebne podatke posameznika, ki je podal privolitev za obdelavo svojih osebnih podatkov za enega ali več namenov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če takšno možnost, namen obdelave in vrste osebnih podatkov, ki naj se obdelujejo, določa zakon.</w:t>
      </w:r>
      <w:r w:rsidRPr="007C190F" w:rsidDel="008E74F5">
        <w:rPr>
          <w:rFonts w:eastAsia="Calibri" w:cs="Arial"/>
          <w:szCs w:val="20"/>
        </w:rPr>
        <w:t xml:space="preserve"> </w:t>
      </w:r>
      <w:bookmarkStart w:id="11" w:name="_Hlk47443284"/>
    </w:p>
    <w:p w:rsidR="00E302FA" w:rsidRPr="007C190F" w:rsidRDefault="00E830D8" w:rsidP="00E302FA">
      <w:pPr>
        <w:spacing w:after="160" w:line="259" w:lineRule="auto"/>
        <w:jc w:val="both"/>
        <w:rPr>
          <w:rFonts w:eastAsia="Calibri" w:cs="Arial"/>
          <w:szCs w:val="20"/>
        </w:rPr>
      </w:pPr>
      <w:r w:rsidRPr="007C190F" w:rsidDel="00E830D8">
        <w:rPr>
          <w:rFonts w:eastAsia="Calibri" w:cs="Arial"/>
          <w:szCs w:val="20"/>
        </w:rPr>
        <w:t xml:space="preserve"> </w:t>
      </w:r>
      <w:bookmarkEnd w:id="11"/>
      <w:r w:rsidR="00E302FA" w:rsidRPr="007C190F">
        <w:rPr>
          <w:rFonts w:eastAsia="Calibri" w:cs="Arial"/>
          <w:szCs w:val="20"/>
        </w:rPr>
        <w:t>(</w:t>
      </w:r>
      <w:r w:rsidRPr="007C190F">
        <w:rPr>
          <w:rFonts w:eastAsia="Calibri" w:cs="Arial"/>
          <w:szCs w:val="20"/>
        </w:rPr>
        <w:t>3</w:t>
      </w:r>
      <w:r w:rsidR="00E302FA" w:rsidRPr="007C190F">
        <w:rPr>
          <w:rFonts w:eastAsia="Calibri" w:cs="Arial"/>
          <w:szCs w:val="20"/>
        </w:rPr>
        <w:t xml:space="preserve">) Pristojni organi lahko ne glede na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00E302FA" w:rsidRPr="007C190F">
        <w:rPr>
          <w:rFonts w:eastAsia="Calibri" w:cs="Arial"/>
          <w:szCs w:val="20"/>
        </w:rPr>
        <w:t>. člena tega zakona obdelujejo osebne podatke, nujno potrebne za varovanje življenja, telesa ali zdravja posameznika, na katerega se osebni podatki nanašajo, ali druge osebe. Po izvedeni obdelavi pristojni organ sestavi poročilo o razlogih za obdelavo in o obsegu obdelanih osebnih podatkov. Poročilo se najpozneje v osmih dneh po izvedeni obdelavi posreduje posamezniku, na katerega se nanašajo osebni podatki, in je na razpolago nadzornemu organu.</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12" w:name="_Ref40183951"/>
      <w:r w:rsidRPr="007C190F">
        <w:rPr>
          <w:rFonts w:eastAsia="Calibri"/>
          <w:b/>
          <w:szCs w:val="20"/>
        </w:rPr>
        <w:t>člen</w:t>
      </w:r>
      <w:r w:rsidRPr="007C190F">
        <w:rPr>
          <w:rFonts w:eastAsia="Calibri"/>
          <w:b/>
          <w:szCs w:val="20"/>
        </w:rPr>
        <w:br/>
        <w:t>(zakonitost obdelave posebnih vrst osebnih podatkov)</w:t>
      </w:r>
      <w:bookmarkEnd w:id="12"/>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Obdelava posebnih vrst osebnih podatkov je prepovedana.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Ne glede na določbo prejšnjega odstavka je obdelava posebnih vrst osebnih podatkov  zakonita, če je skladna z določbami prejšnjega člena</w:t>
      </w:r>
      <w:r w:rsidR="00E830D8" w:rsidRPr="007C190F">
        <w:rPr>
          <w:rFonts w:eastAsia="Calibri" w:cs="Arial"/>
          <w:szCs w:val="20"/>
        </w:rPr>
        <w:t>, so v zakonu določeni pogoji in ukrepi, s katerimi je zagotovljeno ustrezno varstvo človekovih pravic ali temeljnih svoboščin posameznika, na katerega se nanašajo osebni podatki</w:t>
      </w:r>
      <w:r w:rsidR="003475F4" w:rsidRPr="007C190F">
        <w:rPr>
          <w:rFonts w:eastAsia="Calibri" w:cs="Arial"/>
          <w:szCs w:val="20"/>
        </w:rPr>
        <w:t>,</w:t>
      </w:r>
      <w:r w:rsidRPr="007C190F">
        <w:rPr>
          <w:rFonts w:eastAsia="Calibri" w:cs="Arial"/>
          <w:szCs w:val="20"/>
        </w:rPr>
        <w:t xml:space="preserve"> in: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je nujno potrebna za opravljanje nalog pristojnih organov, določenih z zakonom, </w:t>
      </w:r>
      <w:r w:rsidR="00E830D8" w:rsidRPr="007C190F">
        <w:rPr>
          <w:rFonts w:eastAsia="Calibri" w:cs="Arial"/>
          <w:szCs w:val="20"/>
        </w:rPr>
        <w:t>ali</w:t>
      </w:r>
    </w:p>
    <w:p w:rsidR="00A410C7" w:rsidRPr="007C190F" w:rsidRDefault="00A410C7" w:rsidP="00E302FA">
      <w:pPr>
        <w:spacing w:after="160" w:line="259" w:lineRule="auto"/>
        <w:jc w:val="both"/>
        <w:rPr>
          <w:rFonts w:eastAsia="Calibri" w:cs="Arial"/>
          <w:szCs w:val="20"/>
        </w:rPr>
      </w:pPr>
      <w:r w:rsidRPr="007C190F">
        <w:rPr>
          <w:rFonts w:eastAsia="Calibri" w:cs="Arial"/>
          <w:szCs w:val="20"/>
        </w:rPr>
        <w:t>2. jih je posameznik očitno naredil javno dostopne ali objavil, razen če gre za komunikacijo znotraj dejansko ožjega kroga oseb.</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13" w:name="_Ref40183958"/>
      <w:r w:rsidRPr="007C190F">
        <w:rPr>
          <w:rFonts w:eastAsia="Calibri"/>
          <w:b/>
          <w:szCs w:val="20"/>
        </w:rPr>
        <w:t>člen</w:t>
      </w:r>
      <w:r w:rsidRPr="007C190F">
        <w:rPr>
          <w:rFonts w:eastAsia="Calibri"/>
          <w:b/>
          <w:szCs w:val="20"/>
        </w:rPr>
        <w:br/>
        <w:t>(obdelava osebnih podatkov za druge namene)</w:t>
      </w:r>
      <w:bookmarkEnd w:id="13"/>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(1) Obdelava osebnih podatkov s strani istega ali drugega pristojnega organa za druge namene obdelave od tistih, za katere so bili podatki pridobljeni, je dovoljena, če ti nameni obdelave spadajo med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in tako določa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Osebni podatki, ki jih pristojni organi zbirajo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zakona, se ne obdelujejo za druge namene, kot so nameni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zakona, razen če to dovoljuje zakon. V tem primeru za obdelavo veljajo določbe Uredbe (EU) 2016/679 Evropskega parlamenta in Sveta z dne 27. aprila 2016 o varstvu posameznikov pri obdelavi osebnih podatkov in o prostem pretoku takih podatkov ter o razveljavitvi Direktive 95/46/ES (Splošna uredba o varstvu podatkov) </w:t>
      </w:r>
      <w:bookmarkStart w:id="14" w:name="_Hlk10036647"/>
      <w:r w:rsidRPr="007C190F">
        <w:rPr>
          <w:rFonts w:eastAsia="Calibri" w:cs="Arial"/>
          <w:szCs w:val="20"/>
        </w:rPr>
        <w:t>(</w:t>
      </w:r>
      <w:bookmarkStart w:id="15" w:name="_Hlk7004609"/>
      <w:r w:rsidRPr="007C190F">
        <w:rPr>
          <w:rFonts w:eastAsia="Calibri" w:cs="Arial"/>
          <w:szCs w:val="20"/>
        </w:rPr>
        <w:t>UL L št. 119 z dne 4. 5. 2016, str. 1), zadnjič popravljene s Popravkom (UL L št. 127 z dne 23. 5. 2018, str. 2</w:t>
      </w:r>
      <w:bookmarkEnd w:id="15"/>
      <w:r w:rsidRPr="007C190F">
        <w:rPr>
          <w:rFonts w:eastAsia="Calibri" w:cs="Arial"/>
          <w:szCs w:val="20"/>
        </w:rPr>
        <w:t>)</w:t>
      </w:r>
      <w:bookmarkEnd w:id="14"/>
      <w:r w:rsidRPr="007C190F">
        <w:rPr>
          <w:rFonts w:eastAsia="Calibri" w:cs="Arial"/>
          <w:szCs w:val="20"/>
        </w:rPr>
        <w:t>, zakona, ki ureja varstvo osebnih podatkov, in drugih zakonov.</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16" w:name="_Ref45616381"/>
      <w:r w:rsidRPr="007C190F">
        <w:rPr>
          <w:rFonts w:eastAsia="Calibri"/>
          <w:b/>
          <w:szCs w:val="20"/>
        </w:rPr>
        <w:t>člen</w:t>
      </w:r>
      <w:r w:rsidRPr="007C190F">
        <w:rPr>
          <w:rFonts w:eastAsia="Calibri"/>
          <w:b/>
          <w:szCs w:val="20"/>
        </w:rPr>
        <w:br/>
        <w:t>(razlikovanje med različnimi kategorijami posameznikov)</w:t>
      </w:r>
      <w:bookmarkEnd w:id="16"/>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Pristojni organ pri obdelavi v največji možni meri in z uporabo razumnih ukrepov razlikuje med osebnimi podatki različnih kategorij posameznikov, na katere se nanašajo osebni podatki, kot so: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osumljenci;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obdolženci;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obtoženci;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obsojenci;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žrtve kaznivega dejanja ali osebe, pri katerih določena dejstva upravičujejo domnevo, da so ali bi lahko bile žrtve kaznivega dejanja;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druge osebe, povezane s kaznivim dejanjem, zlasti osebe, ki bi lahko nastopale kot priče, osebe, ki lahko podajo informacije o kaznivem dejanju, ali osebe, ki so ali so bile v stiku ali povezane z osebami iz 1. do 5. točke tega člena.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 xml:space="preserve">(razlikovanje med osebnimi podatki, ki temeljijo na dejstvih, </w:t>
      </w:r>
      <w:r w:rsidRPr="007C190F">
        <w:rPr>
          <w:rFonts w:eastAsia="Calibri"/>
          <w:b/>
          <w:szCs w:val="20"/>
        </w:rPr>
        <w:br/>
        <w:t>in osebnimi podatki, ki temeljijo na osebnih ocenah)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Pristojni organ pri obdelavi v največji možni meri razlikuje med osebnimi podatki, ki temeljijo na dejstvih, in osebnimi podatki, ki temeljijo na osebnih ocenah. Pristojni organ izvaja redno notranje preverjanje skladnosti teh obdelav in to dokumentira. Pri tem osebne podatke, ki temeljijo na osebnih ocenah, v največji možni meri ustrezno označi in utemelji na način, ki omogoča naknadno preverjanje teh ocen.</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17" w:name="_Ref40430975"/>
      <w:r w:rsidRPr="007C190F">
        <w:rPr>
          <w:rFonts w:eastAsia="Calibri"/>
          <w:b/>
          <w:szCs w:val="20"/>
        </w:rPr>
        <w:t>člen</w:t>
      </w:r>
      <w:r w:rsidRPr="007C190F">
        <w:rPr>
          <w:rFonts w:eastAsia="Calibri"/>
          <w:b/>
          <w:szCs w:val="20"/>
        </w:rPr>
        <w:br/>
        <w:t>(avtomatizirano odločanje in oblikovanje profilov)</w:t>
      </w:r>
      <w:bookmarkEnd w:id="17"/>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Odločanje, ki temelji izključno na avtomatizirani obdelavi osebnih podatkov, vključno z oblikovanjem profilov, ki ima lahko negativne posledice za pravni položaj ali pravice posameznika, na katerega se nanašajo osebni podatki, ali ga lahko bistveno prizadene, je prepovedano, razen če je to določeno z zakonom, ki določa pravico posameznika, da zahteva vsaj ponovni in ročni pregled odločitve s strani fizične osebe pri pristojnem organu in da do odločitve izrazi lastno stališče, ter določa druge ukrepe za zagotavljanje ustreznega varstva človekovih pravic in temeljnih svoboščin, ki jih mora izvesti pristojni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Odločitve iz prejšnjega odstavka ne smejo temeljiti na obdelavah posebnih vrst osebnih podatkov, razen če zakon določa ustrezne ukrepe za varstvo človekovih pravic in temeljnih svoboščin ter zakonitih interesov posameznika, na katerega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(3) Pred sprejetjem zakona, ki določa avtomatizirano odločanje, mora pristojni predlagatelj zakona izvesti oceno učinka iz </w:t>
      </w:r>
      <w:r w:rsidR="005041E7">
        <w:fldChar w:fldCharType="begin"/>
      </w:r>
      <w:r w:rsidR="005041E7">
        <w:instrText xml:space="preserve"> REF _Ref40098002 \r \h  \* MERGEFORMAT </w:instrText>
      </w:r>
      <w:r w:rsidR="005041E7">
        <w:fldChar w:fldCharType="separate"/>
      </w:r>
      <w:r w:rsidR="009C0CED" w:rsidRPr="007C190F">
        <w:rPr>
          <w:rFonts w:eastAsia="Calibri" w:cs="Arial"/>
          <w:szCs w:val="20"/>
        </w:rPr>
        <w:t>49</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Oblikovanje profilov v okviru avtomatizirane ali drugačne obdelave posebnih vrst osebnih podatkov, ki ima za posledico diskriminacijo posameznikov, na katere se nanašajo osebni podatki, je prepovedano.</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(sodno varstvo)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Posameznik, ki meni, da določena obdelava njegovih osebnih podatkov s strani pristojnega organa ali obdelovalca krši določbe tega zakona ali drugih zakonov, ki urejajo obdelavo ali varstvo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lahko zahteva sodno varstvo svojih pravic ves čas, dokler kršitev traja.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Posameznik lahko s sodnim varstvom po določbah tega člena zahteva poleg prenehanja kršitve in vzpostavitve zakonitega stanja tudi povrnitev škode.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Če je kršitev iz prvega odstavka tega člena prenehala, lahko posameznik s tožbo zahteva ugotovitev, da je kršitev obstajala.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V postopku po prvem, drugem in tretjem odstavku tega člena odloča upravno sodišče po postopku, ki ga zakon, ki ureja upravni spor, določa za tožbo zaradi kršitve človekovih pravic in temeljnih svoboščin, posameznik pa lahko v tožbo vključi tudi odškodninski zahtevek.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V postopku pred upravnim sodiščem je javnost izključena, če sodišče na predlog posameznika, na katerega se nanašajo osebni podatki, iz utemeljenih razlogov ne odloči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Sodišče v postopku odloči najpozneje v šestih mesecih.</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(zastopanje s strani nevladnih organizacij)</w:t>
      </w:r>
    </w:p>
    <w:p w:rsidR="00E302FA" w:rsidRPr="007C190F" w:rsidRDefault="00E302FA" w:rsidP="00E302FA">
      <w:pPr>
        <w:spacing w:after="160" w:line="259" w:lineRule="auto"/>
        <w:jc w:val="both"/>
        <w:rPr>
          <w:rFonts w:eastAsia="Calibri" w:cs="Arial"/>
          <w:b/>
          <w:szCs w:val="20"/>
        </w:rPr>
      </w:pPr>
      <w:r w:rsidRPr="007C190F">
        <w:rPr>
          <w:rFonts w:eastAsia="Calibri" w:cs="Arial"/>
          <w:szCs w:val="20"/>
        </w:rPr>
        <w:t>Posameznik, na katerega se nanašajo osebni podatki, lahko pisno pooblasti nevladno organizacijo s področja varstva človekovih pravic in temeljnih svoboščin, ki ima status nevladne organizacije v javnem interesu, da v njegovem imenu glede obdelav njegovih osebnih podatkov uveljavlja sodno varstvo ali vloži pritožbo ali prijavo po določbah tega zakona.</w:t>
      </w:r>
      <w:r w:rsidRPr="007C190F" w:rsidDel="00EB5A4E">
        <w:rPr>
          <w:rFonts w:eastAsia="Calibri" w:cs="Arial"/>
          <w:szCs w:val="20"/>
        </w:rPr>
        <w:t xml:space="preserve"> </w:t>
      </w:r>
    </w:p>
    <w:p w:rsidR="00E302FA" w:rsidRPr="007C190F" w:rsidRDefault="00E302FA" w:rsidP="00247AE7">
      <w:pPr>
        <w:pStyle w:val="Odstavekseznama"/>
        <w:numPr>
          <w:ilvl w:val="0"/>
          <w:numId w:val="22"/>
        </w:numPr>
        <w:spacing w:before="360" w:after="160" w:line="259" w:lineRule="auto"/>
        <w:jc w:val="center"/>
        <w:outlineLvl w:val="4"/>
        <w:rPr>
          <w:rFonts w:eastAsia="Calibri"/>
          <w:b/>
          <w:szCs w:val="20"/>
        </w:rPr>
      </w:pPr>
      <w:bookmarkStart w:id="18" w:name="_Ref44325486"/>
      <w:bookmarkStart w:id="19" w:name="_Hlk45182551"/>
      <w:r w:rsidRPr="007C190F">
        <w:rPr>
          <w:rFonts w:eastAsia="Calibri"/>
          <w:b/>
          <w:szCs w:val="20"/>
        </w:rPr>
        <w:t>člen</w:t>
      </w:r>
      <w:r w:rsidRPr="007C190F">
        <w:rPr>
          <w:rFonts w:eastAsia="Calibri"/>
          <w:b/>
          <w:szCs w:val="20"/>
        </w:rPr>
        <w:br/>
        <w:t>(</w:t>
      </w:r>
      <w:r w:rsidR="00E5691A" w:rsidRPr="007C190F">
        <w:rPr>
          <w:rFonts w:eastAsia="Calibri"/>
          <w:b/>
          <w:szCs w:val="20"/>
        </w:rPr>
        <w:t xml:space="preserve">omejitev </w:t>
      </w:r>
      <w:r w:rsidRPr="007C190F">
        <w:rPr>
          <w:rFonts w:eastAsia="Calibri"/>
          <w:b/>
          <w:szCs w:val="20"/>
        </w:rPr>
        <w:t>vpogled</w:t>
      </w:r>
      <w:r w:rsidR="00E5691A" w:rsidRPr="007C190F">
        <w:rPr>
          <w:rFonts w:eastAsia="Calibri"/>
          <w:b/>
          <w:szCs w:val="20"/>
        </w:rPr>
        <w:t>a</w:t>
      </w:r>
      <w:r w:rsidRPr="007C190F">
        <w:rPr>
          <w:rFonts w:eastAsia="Calibri"/>
          <w:b/>
          <w:szCs w:val="20"/>
        </w:rPr>
        <w:t xml:space="preserve"> v </w:t>
      </w:r>
      <w:r w:rsidR="00E5691A" w:rsidRPr="007C190F">
        <w:rPr>
          <w:rFonts w:eastAsia="Calibri"/>
          <w:b/>
          <w:szCs w:val="20"/>
        </w:rPr>
        <w:t xml:space="preserve">lastne </w:t>
      </w:r>
      <w:r w:rsidRPr="007C190F">
        <w:rPr>
          <w:rFonts w:eastAsia="Calibri"/>
          <w:b/>
          <w:szCs w:val="20"/>
        </w:rPr>
        <w:t>osebne podatke)</w:t>
      </w:r>
      <w:bookmarkEnd w:id="18"/>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w:t>
      </w:r>
      <w:r w:rsidR="00FE2490" w:rsidRPr="007C190F">
        <w:rPr>
          <w:rFonts w:eastAsia="Calibri" w:cs="Arial"/>
          <w:szCs w:val="20"/>
        </w:rPr>
        <w:t>P</w:t>
      </w:r>
      <w:r w:rsidRPr="007C190F">
        <w:rPr>
          <w:rFonts w:eastAsia="Calibri" w:cs="Arial"/>
          <w:szCs w:val="20"/>
        </w:rPr>
        <w:t>osameznik, na katerega se nanašajo osebni podatki, do dokončnosti odločitve</w:t>
      </w:r>
      <w:r w:rsidR="00FE2490" w:rsidRPr="007C190F">
        <w:rPr>
          <w:rFonts w:eastAsia="Calibri" w:cs="Arial"/>
          <w:szCs w:val="20"/>
        </w:rPr>
        <w:t xml:space="preserve"> v postopku uveljavljanja pravic po tem zakonu</w:t>
      </w:r>
      <w:r w:rsidRPr="007C190F">
        <w:rPr>
          <w:rFonts w:eastAsia="Calibri" w:cs="Arial"/>
          <w:szCs w:val="20"/>
        </w:rPr>
        <w:t xml:space="preserve"> nima pravice do pregledovanja osebnih podatkov,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bi to lahko glede na okoliščine konkretne zadeve škodovalo izvedbi uradnih postopkov ali varstvu ali uresničevanju človekovih pravic in temeljnih svoboščin tretjih oseb ter je omejitev vpogleda v osebne podatke nujna in sorazmerna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mu je ta pravica omejena na podlagi določbe </w:t>
      </w:r>
      <w:r w:rsidR="005041E7">
        <w:fldChar w:fldCharType="begin"/>
      </w:r>
      <w:r w:rsidR="005041E7">
        <w:instrText xml:space="preserve"> REF _Ref49940018 \r \h  \* MERGEFORMAT </w:instrText>
      </w:r>
      <w:r w:rsidR="005041E7">
        <w:fldChar w:fldCharType="separate"/>
      </w:r>
      <w:r w:rsidR="009C0CED" w:rsidRPr="007C190F">
        <w:rPr>
          <w:rFonts w:eastAsia="Calibri" w:cs="Arial"/>
          <w:szCs w:val="20"/>
        </w:rPr>
        <w:t>20</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Če je posamezniku, na katerega se nanašajo osebni podatki, z zakonom prepovedan ali omejen dostop do osebnih podatkov, se mu glede teh podatkov tudi ne dovoli pregled in prepis </w:t>
      </w:r>
      <w:r w:rsidR="00FE2490" w:rsidRPr="007C190F">
        <w:rPr>
          <w:rFonts w:eastAsia="Calibri" w:cs="Arial"/>
          <w:szCs w:val="20"/>
        </w:rPr>
        <w:t xml:space="preserve">dokumentov zadeve oziroma </w:t>
      </w:r>
      <w:r w:rsidRPr="007C190F">
        <w:rPr>
          <w:rFonts w:eastAsia="Calibri" w:cs="Arial"/>
          <w:szCs w:val="20"/>
        </w:rPr>
        <w:t>spisa</w:t>
      </w:r>
      <w:r w:rsidR="00FE2490" w:rsidRPr="007C190F">
        <w:rPr>
          <w:rFonts w:eastAsia="Calibri" w:cs="Arial"/>
          <w:szCs w:val="20"/>
        </w:rPr>
        <w:t xml:space="preserve"> </w:t>
      </w:r>
      <w:r w:rsidRPr="007C190F">
        <w:rPr>
          <w:rFonts w:eastAsia="Calibri" w:cs="Arial"/>
          <w:szCs w:val="20"/>
        </w:rPr>
        <w:t>pristojnega ali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Po dokončnosti odločitve </w:t>
      </w:r>
      <w:r w:rsidR="00E5691A" w:rsidRPr="007C190F">
        <w:rPr>
          <w:rFonts w:eastAsia="Calibri" w:cs="Arial"/>
          <w:szCs w:val="20"/>
        </w:rPr>
        <w:t>v postopk</w:t>
      </w:r>
      <w:r w:rsidR="00FE2490" w:rsidRPr="007C190F">
        <w:rPr>
          <w:rFonts w:eastAsia="Calibri" w:cs="Arial"/>
          <w:szCs w:val="20"/>
        </w:rPr>
        <w:t>u uveljavljanja pravic</w:t>
      </w:r>
      <w:r w:rsidR="00E5691A" w:rsidRPr="007C190F">
        <w:rPr>
          <w:rFonts w:eastAsia="Calibri" w:cs="Arial"/>
          <w:szCs w:val="20"/>
        </w:rPr>
        <w:t xml:space="preserve"> po tem zakonu </w:t>
      </w:r>
      <w:r w:rsidRPr="007C190F">
        <w:rPr>
          <w:rFonts w:eastAsia="Calibri" w:cs="Arial"/>
          <w:szCs w:val="20"/>
        </w:rPr>
        <w:t xml:space="preserve">lahko posameznik pregleda </w:t>
      </w:r>
      <w:r w:rsidR="00E5691A" w:rsidRPr="007C190F">
        <w:rPr>
          <w:rFonts w:eastAsia="Calibri" w:cs="Arial"/>
          <w:szCs w:val="20"/>
        </w:rPr>
        <w:t xml:space="preserve">dokumente </w:t>
      </w:r>
      <w:r w:rsidRPr="007C190F">
        <w:rPr>
          <w:rFonts w:eastAsia="Calibri" w:cs="Arial"/>
          <w:szCs w:val="20"/>
        </w:rPr>
        <w:t>zadev</w:t>
      </w:r>
      <w:r w:rsidR="00E5691A" w:rsidRPr="007C190F">
        <w:rPr>
          <w:rFonts w:eastAsia="Calibri" w:cs="Arial"/>
          <w:szCs w:val="20"/>
        </w:rPr>
        <w:t>e oziroma spisa</w:t>
      </w:r>
      <w:r w:rsidRPr="007C190F">
        <w:rPr>
          <w:rFonts w:eastAsia="Calibri" w:cs="Arial"/>
          <w:szCs w:val="20"/>
        </w:rPr>
        <w:t xml:space="preserve"> v obsegu, dovoljenem z odločitvijo pristojnega ali nadzornega organa.</w:t>
      </w:r>
    </w:p>
    <w:bookmarkEnd w:id="19"/>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lastRenderedPageBreak/>
        <w:t>člen</w:t>
      </w:r>
      <w:r w:rsidRPr="007C190F">
        <w:rPr>
          <w:rFonts w:eastAsia="Calibri"/>
          <w:b/>
          <w:szCs w:val="20"/>
        </w:rPr>
        <w:br/>
        <w:t>(preverjanje identitete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Če pristojni organ, drug upravljavec, obdelovalec ali nadzorni organ opravičeno dvomi o identiteti posameznika, ki je vložil zahtevo ali pritožbo, ali opravičeno dvomi o identiteti prijavitelja s posebnim položajem iz </w:t>
      </w:r>
      <w:r w:rsidR="005041E7">
        <w:fldChar w:fldCharType="begin"/>
      </w:r>
      <w:r w:rsidR="005041E7">
        <w:instrText xml:space="preserve"> REF _Ref44325519 \r \h  \* MERGEFORMAT </w:instrText>
      </w:r>
      <w:r w:rsidR="005041E7">
        <w:fldChar w:fldCharType="separate"/>
      </w:r>
      <w:r w:rsidR="009C0CED" w:rsidRPr="007C190F">
        <w:rPr>
          <w:rFonts w:eastAsia="Calibri" w:cs="Arial"/>
          <w:szCs w:val="20"/>
        </w:rPr>
        <w:t>33</w:t>
      </w:r>
      <w:r w:rsidR="005041E7">
        <w:fldChar w:fldCharType="end"/>
      </w:r>
      <w:r w:rsidRPr="007C190F">
        <w:rPr>
          <w:rFonts w:eastAsia="Calibri" w:cs="Arial"/>
          <w:szCs w:val="20"/>
        </w:rPr>
        <w:t xml:space="preserve">. člena tega zakona, lahko od njega zahteva dodatne informacije, potrebne za potrditev njegove identitete, ali pa v skladu s </w:t>
      </w:r>
      <w:r w:rsidR="005041E7">
        <w:fldChar w:fldCharType="begin"/>
      </w:r>
      <w:r w:rsidR="005041E7">
        <w:instrText xml:space="preserve"> REF _Ref40098225 \r \h  \* MERGEFORMAT </w:instrText>
      </w:r>
      <w:r w:rsidR="005041E7">
        <w:fldChar w:fldCharType="separate"/>
      </w:r>
      <w:r w:rsidR="009C0CED" w:rsidRPr="007C190F">
        <w:rPr>
          <w:rFonts w:eastAsia="Calibri" w:cs="Arial"/>
          <w:szCs w:val="20"/>
        </w:rPr>
        <w:t>60</w:t>
      </w:r>
      <w:r w:rsidR="005041E7">
        <w:fldChar w:fldCharType="end"/>
      </w:r>
      <w:r w:rsidRPr="007C190F">
        <w:rPr>
          <w:rFonts w:eastAsia="Calibri" w:cs="Arial"/>
          <w:szCs w:val="20"/>
        </w:rPr>
        <w:t>. členom tega zakona zahteva vpogled v njegov uradni identifikacijski dokument. Osebne podatke, ki jih pridobi pri tem, lahko obdeluje le za ta namen in jih sme za namen izkazovanja skladnosti obdelave s tem zakonom hraniti dve leti od zaključka obdelave.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0" w:name="_Ref40430984"/>
      <w:r w:rsidRPr="007C190F">
        <w:rPr>
          <w:rFonts w:eastAsia="Calibri"/>
          <w:b/>
          <w:szCs w:val="20"/>
        </w:rPr>
        <w:t>člen</w:t>
      </w:r>
      <w:r w:rsidRPr="007C190F">
        <w:rPr>
          <w:rFonts w:eastAsia="Calibri"/>
          <w:b/>
          <w:szCs w:val="20"/>
        </w:rPr>
        <w:br/>
        <w:t>(zavarovanje osebnih podatkov, ki so predmet postopka)</w:t>
      </w:r>
      <w:bookmarkEnd w:id="20"/>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drug upravljavec ali obdelovalec od seznanitve z uvedbo postopka po tem poglavju ne sme izbrisati ali spremeniti zahtevanih osebnih podatkov, ki so predmet postopka, ne glede na potek rokov hrambe, dokler o zadevi ni pravnomočno odločeno.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Ob upoštevanju okoliščin konkretnega postopka lahko nadzorna oseba zaradi učinkovitega izvajanja nalog ali pooblastil pristojnega organa odredi izdelavo kopije osebnih podatkov ali kopije postopkov obdelave ali na drug način, ki ne otežuje dela pristojnega organa, zavaruje osebne podatke, ki so predmet postopka. </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1" w:name="_Ref44325497"/>
      <w:r w:rsidRPr="007C190F">
        <w:rPr>
          <w:rFonts w:eastAsia="Calibri"/>
          <w:b/>
          <w:szCs w:val="20"/>
        </w:rPr>
        <w:t>člen</w:t>
      </w:r>
      <w:r w:rsidRPr="007C190F">
        <w:rPr>
          <w:rFonts w:eastAsia="Calibri"/>
          <w:b/>
          <w:szCs w:val="20"/>
        </w:rPr>
        <w:br/>
        <w:t>(izvršba)</w:t>
      </w:r>
      <w:bookmarkEnd w:id="21"/>
    </w:p>
    <w:p w:rsidR="00E302FA" w:rsidRPr="007C190F" w:rsidRDefault="00E302FA" w:rsidP="00E302FA">
      <w:pPr>
        <w:spacing w:after="160" w:line="259" w:lineRule="auto"/>
        <w:jc w:val="both"/>
        <w:rPr>
          <w:rFonts w:eastAsia="Calibri" w:cs="Arial"/>
          <w:szCs w:val="20"/>
        </w:rPr>
      </w:pPr>
      <w:r w:rsidRPr="007C190F">
        <w:rPr>
          <w:rFonts w:eastAsia="Calibri" w:cs="Arial"/>
          <w:szCs w:val="20"/>
        </w:rPr>
        <w:t>(1) Izvršba izvršljive odločbe nadzornega organa se opravlja po postopku, ki ga določa zakon, ki ureja splošni upravni postopek, če ta zakon ne določa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Za izvršbo je pristojen nadzorni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Izvršba se opravi na zahtevo posameznika, na katerega se nanašajo osebni podatki, na podlagi izvršljive odločbe in sklepa o dovolitvi izvršbe, in sicer s prisilitvijo zoper pristojni organ ali drugega upravljavca. Denarna kazen bremeni odgovorno osebo pristojnega organa ali drugega upravljavca, ki ni izvršila odločbe nadzornega organa.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II. POGLAVJE</w:t>
      </w:r>
      <w:r w:rsidRPr="007C190F">
        <w:rPr>
          <w:rFonts w:ascii="Calibri Light" w:hAnsi="Calibri Light"/>
          <w:sz w:val="26"/>
          <w:szCs w:val="26"/>
        </w:rPr>
        <w:br/>
        <w:t>PRAVICE POSAMEZNIKA IN POSTOPEK PRED PRISTOJNIM ORGANOM</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2" w:name="_Ref45616221"/>
      <w:r w:rsidRPr="007C190F">
        <w:rPr>
          <w:rFonts w:eastAsia="Calibri"/>
          <w:b/>
          <w:szCs w:val="20"/>
        </w:rPr>
        <w:t>člen</w:t>
      </w:r>
      <w:r w:rsidRPr="007C190F">
        <w:rPr>
          <w:rFonts w:eastAsia="Calibri"/>
          <w:b/>
          <w:szCs w:val="20"/>
        </w:rPr>
        <w:br/>
        <w:t>(uveljavljanje pravic pred pristojnim organom ali obdelovalcem)</w:t>
      </w:r>
      <w:bookmarkEnd w:id="22"/>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Posameznik, na katerega se nanašajo osebni podatki, lahko uveljavlja svoje pravice iz tega zakona pred pristojnim organom, v primeru iz petega odstavka </w:t>
      </w:r>
      <w:r w:rsidR="005041E7">
        <w:fldChar w:fldCharType="begin"/>
      </w:r>
      <w:r w:rsidR="005041E7">
        <w:instrText xml:space="preserve"> REF _Ref40098112 \r \h  \* MERGEFORMAT </w:instrText>
      </w:r>
      <w:r w:rsidR="005041E7">
        <w:fldChar w:fldCharType="separate"/>
      </w:r>
      <w:r w:rsidR="009C0CED" w:rsidRPr="007C190F">
        <w:rPr>
          <w:rFonts w:eastAsia="Calibri" w:cs="Arial"/>
          <w:szCs w:val="20"/>
        </w:rPr>
        <w:t>44</w:t>
      </w:r>
      <w:r w:rsidR="005041E7">
        <w:fldChar w:fldCharType="end"/>
      </w:r>
      <w:r w:rsidRPr="007C190F">
        <w:rPr>
          <w:rFonts w:eastAsia="Calibri" w:cs="Arial"/>
          <w:szCs w:val="20"/>
        </w:rPr>
        <w:t xml:space="preserve">. člena tega zakona pa pred obdelovalcem. </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(uporaba določb zakona, ki ureja splošni upravni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 vprašanja postopka uveljavljanja pravic posameznika, na katerega se nanašajo osebni podatki, po tem poglavju in za odločanje o teh pravicah se uporabljajo določbe zakona, ki ureja splošni upravni postopek, če ta zakon ne določa drugače.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3" w:name="_Ref49940018"/>
      <w:bookmarkStart w:id="24" w:name="_Hlk45182481"/>
      <w:r w:rsidRPr="007C190F">
        <w:rPr>
          <w:rFonts w:eastAsia="Calibri"/>
          <w:b/>
          <w:szCs w:val="20"/>
        </w:rPr>
        <w:lastRenderedPageBreak/>
        <w:t>člen</w:t>
      </w:r>
      <w:r w:rsidRPr="007C190F">
        <w:rPr>
          <w:rFonts w:eastAsia="Calibri"/>
          <w:b/>
          <w:szCs w:val="20"/>
        </w:rPr>
        <w:br/>
        <w:t>(omejitve in uresničevanje pravic na podlagi drugih zakonov)</w:t>
      </w:r>
      <w:bookmarkEnd w:id="23"/>
    </w:p>
    <w:p w:rsidR="00E302FA" w:rsidRPr="007C190F" w:rsidRDefault="00E302FA" w:rsidP="00E302FA">
      <w:pPr>
        <w:spacing w:after="160" w:line="259" w:lineRule="auto"/>
        <w:jc w:val="both"/>
        <w:rPr>
          <w:rFonts w:eastAsia="Calibri" w:cs="Arial"/>
          <w:szCs w:val="20"/>
        </w:rPr>
      </w:pPr>
      <w:r w:rsidRPr="007C190F">
        <w:rPr>
          <w:rFonts w:eastAsia="Calibri" w:cs="Arial"/>
          <w:szCs w:val="20"/>
        </w:rPr>
        <w:t>(1) Če je v skladu z drugim zakonom omejena pravica posameznika, na katerega se nanašajo osebni podatki, do dostopa do njegovih osebnih podatkov, lahko uveljavlja svoje pravice iz tega zakona le v obsegu, ki ga dovoljuje drugi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Če drug zakon določa uresničevanje pravic iz 7., 8. in 9. točke prvega odstavka </w:t>
      </w:r>
      <w:r w:rsidR="005041E7">
        <w:fldChar w:fldCharType="begin"/>
      </w:r>
      <w:r w:rsidR="005041E7">
        <w:instrText xml:space="preserve"> REF _Ref40177833 \n \h  \* MERGEFORMAT </w:instrText>
      </w:r>
      <w:r w:rsidR="005041E7">
        <w:fldChar w:fldCharType="separate"/>
      </w:r>
      <w:r w:rsidR="009C0CED" w:rsidRPr="007C190F">
        <w:rPr>
          <w:rFonts w:eastAsia="Calibri" w:cs="Arial"/>
          <w:szCs w:val="20"/>
        </w:rPr>
        <w:t>23</w:t>
      </w:r>
      <w:r w:rsidR="005041E7">
        <w:fldChar w:fldCharType="end"/>
      </w:r>
      <w:r w:rsidRPr="007C190F">
        <w:rPr>
          <w:rFonts w:eastAsia="Calibri" w:cs="Arial"/>
          <w:szCs w:val="20"/>
        </w:rPr>
        <w:t xml:space="preserve">. člena ter </w:t>
      </w:r>
      <w:r w:rsidR="005041E7">
        <w:fldChar w:fldCharType="begin"/>
      </w:r>
      <w:r w:rsidR="005041E7">
        <w:instrText xml:space="preserve"> REF _Ref40182487 \n \h  \* MERGEFORMAT </w:instrText>
      </w:r>
      <w:r w:rsidR="005041E7">
        <w:fldChar w:fldCharType="separate"/>
      </w:r>
      <w:r w:rsidR="009C0CED" w:rsidRPr="007C190F">
        <w:rPr>
          <w:rFonts w:eastAsia="Calibri" w:cs="Arial"/>
          <w:szCs w:val="20"/>
        </w:rPr>
        <w:t>24</w:t>
      </w:r>
      <w:r w:rsidR="005041E7">
        <w:fldChar w:fldCharType="end"/>
      </w:r>
      <w:r w:rsidRPr="007C190F">
        <w:rPr>
          <w:rFonts w:eastAsia="Calibri" w:cs="Arial"/>
          <w:szCs w:val="20"/>
        </w:rPr>
        <w:t xml:space="preserve">. in </w:t>
      </w:r>
      <w:r w:rsidR="005041E7">
        <w:fldChar w:fldCharType="begin"/>
      </w:r>
      <w:r w:rsidR="005041E7">
        <w:instrText xml:space="preserve"> REF _Ref40182498 \n \h  \* MERGEFORMAT </w:instrText>
      </w:r>
      <w:r w:rsidR="005041E7">
        <w:fldChar w:fldCharType="separate"/>
      </w:r>
      <w:r w:rsidR="009C0CED" w:rsidRPr="007C190F">
        <w:rPr>
          <w:rFonts w:eastAsia="Calibri" w:cs="Arial"/>
          <w:szCs w:val="20"/>
        </w:rPr>
        <w:t>26</w:t>
      </w:r>
      <w:r w:rsidR="005041E7">
        <w:fldChar w:fldCharType="end"/>
      </w:r>
      <w:r w:rsidRPr="007C190F">
        <w:rPr>
          <w:rFonts w:eastAsia="Calibri" w:cs="Arial"/>
          <w:szCs w:val="20"/>
        </w:rPr>
        <w:t>. člena tega zakona v kazenski zadevi sodišča, posameznik, na katerega se nanašajo osebni podatki, uresničuje te pravice le v obsegu in na način, kot je določeno z drugim zakonom.</w:t>
      </w:r>
    </w:p>
    <w:bookmarkEnd w:id="24"/>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(komunikacija s posameznikom, na katerega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posamezniku, na katerega se nanašajo osebni podatki, vse informacije o obdelavi (</w:t>
      </w:r>
      <w:r w:rsidR="005041E7">
        <w:fldChar w:fldCharType="begin"/>
      </w:r>
      <w:r w:rsidR="005041E7">
        <w:instrText xml:space="preserve"> REF _Ref40177833 \n \h  \* MERGEFORMAT </w:instrText>
      </w:r>
      <w:r w:rsidR="005041E7">
        <w:fldChar w:fldCharType="separate"/>
      </w:r>
      <w:r w:rsidR="009C0CED" w:rsidRPr="007C190F">
        <w:rPr>
          <w:rFonts w:eastAsia="Calibri" w:cs="Arial"/>
          <w:szCs w:val="20"/>
        </w:rPr>
        <w:t>23</w:t>
      </w:r>
      <w:r w:rsidR="005041E7">
        <w:fldChar w:fldCharType="end"/>
      </w:r>
      <w:r w:rsidRPr="007C190F">
        <w:rPr>
          <w:rFonts w:eastAsia="Calibri" w:cs="Arial"/>
          <w:szCs w:val="20"/>
        </w:rPr>
        <w:t>. člen tega zakona) ter vsa sporočila v zvezi z uveljavljanjem njegovih pravic (</w:t>
      </w:r>
      <w:r w:rsidR="005041E7">
        <w:fldChar w:fldCharType="begin"/>
      </w:r>
      <w:r w:rsidR="005041E7">
        <w:instrText xml:space="preserve"> REF _Ref40182487 \n \h  \* MERGEFORMAT </w:instrText>
      </w:r>
      <w:r w:rsidR="005041E7">
        <w:fldChar w:fldCharType="separate"/>
      </w:r>
      <w:r w:rsidR="009C0CED" w:rsidRPr="007C190F">
        <w:rPr>
          <w:rFonts w:eastAsia="Calibri" w:cs="Arial"/>
          <w:szCs w:val="20"/>
        </w:rPr>
        <w:t>24</w:t>
      </w:r>
      <w:r w:rsidR="005041E7">
        <w:fldChar w:fldCharType="end"/>
      </w:r>
      <w:r w:rsidRPr="007C190F">
        <w:rPr>
          <w:rFonts w:eastAsia="Calibri" w:cs="Arial"/>
          <w:szCs w:val="20"/>
        </w:rPr>
        <w:t xml:space="preserve">. do </w:t>
      </w:r>
      <w:r w:rsidR="005041E7">
        <w:fldChar w:fldCharType="begin"/>
      </w:r>
      <w:r w:rsidR="005041E7">
        <w:instrText xml:space="preserve"> REF _Ref40182498 \n \h  \* MERGEFORMAT </w:instrText>
      </w:r>
      <w:r w:rsidR="005041E7">
        <w:fldChar w:fldCharType="separate"/>
      </w:r>
      <w:r w:rsidR="009C0CED" w:rsidRPr="007C190F">
        <w:rPr>
          <w:rFonts w:eastAsia="Calibri" w:cs="Arial"/>
          <w:szCs w:val="20"/>
        </w:rPr>
        <w:t>26</w:t>
      </w:r>
      <w:r w:rsidR="005041E7">
        <w:fldChar w:fldCharType="end"/>
      </w:r>
      <w:r w:rsidRPr="007C190F">
        <w:rPr>
          <w:rFonts w:eastAsia="Calibri" w:cs="Arial"/>
          <w:szCs w:val="20"/>
        </w:rPr>
        <w:t>. člen tega zakona) zagotovi v jedrnati, razumljivi in lahko dostopni obliki ter v jasnem in preprostem jeziku. Pristojni organ lahko te informacije oziroma sporočila posamezniku posreduje na vse ustrezne načine, vključno z elektronsko obliko, pri čemer jih praviloma posreduje v obliki, v kateri je bila zahteva vložena.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posamezniku, na katerega se nanašajo osebni podatki, olajša uresničevanje njegovih pravic zlasti tako, da pripravi obrazce za uveljavljanje pravic.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posamezniku, na katerega se nanašajo osebni podatki, brezplačno zagotovi: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informacije in sporočila iz prvega odstavka tega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izvedbo ustreznih ukrepov iz prvega odstavka 11.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uveljavljanje pravic posameznika, na katerega se nanašajo osebni podatki, po določbah tega zakona;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sporočila o kršitvah iz 53. člena tega zakona.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5" w:name="_Ref40355887"/>
      <w:r w:rsidRPr="007C190F">
        <w:rPr>
          <w:rFonts w:eastAsia="Calibri"/>
          <w:b/>
          <w:szCs w:val="20"/>
        </w:rPr>
        <w:t>člen</w:t>
      </w:r>
      <w:r w:rsidRPr="007C190F">
        <w:rPr>
          <w:rFonts w:eastAsia="Calibri"/>
          <w:b/>
          <w:szCs w:val="20"/>
        </w:rPr>
        <w:br/>
        <w:t>(ravnanje z očitno neutemeljeno ali pretirano zahtevo)</w:t>
      </w:r>
      <w:bookmarkEnd w:id="25"/>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Pristojni organ zahtevo posameznika, na katerega se nanašajo osebni podatki, </w:t>
      </w:r>
      <w:r w:rsidR="003B21BB" w:rsidRPr="007C190F">
        <w:rPr>
          <w:rFonts w:eastAsia="Calibri" w:cs="Arial"/>
          <w:szCs w:val="20"/>
        </w:rPr>
        <w:t xml:space="preserve">nemudoma </w:t>
      </w:r>
      <w:r w:rsidRPr="007C190F">
        <w:rPr>
          <w:rFonts w:eastAsia="Calibri" w:cs="Arial"/>
          <w:szCs w:val="20"/>
        </w:rPr>
        <w:t>zavrne,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je glede na njeno vsebino očitno neutemeljena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so zahteva ali zahteve posameznika pretirane, zlasti zato, ker posameznik </w:t>
      </w:r>
      <w:r w:rsidRPr="007C190F">
        <w:rPr>
          <w:rFonts w:eastAsia="Calibri" w:cs="Arial"/>
          <w:szCs w:val="20"/>
          <w:shd w:val="clear" w:color="auto" w:fill="FFFFFF"/>
        </w:rPr>
        <w:t>nerazumno in ponavljajoče vlaga enake zahteve, ali če zlorabi svoje pravice iz tega zakona z navajanjem napačnih ali zavajajočih navedb v zahtevi.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6" w:name="_Ref40177833"/>
      <w:r w:rsidRPr="007C190F">
        <w:rPr>
          <w:rFonts w:eastAsia="Calibri"/>
          <w:b/>
          <w:szCs w:val="20"/>
        </w:rPr>
        <w:t>člen</w:t>
      </w:r>
      <w:r w:rsidRPr="007C190F">
        <w:rPr>
          <w:rFonts w:eastAsia="Calibri"/>
          <w:b/>
          <w:szCs w:val="20"/>
        </w:rPr>
        <w:br/>
        <w:t>(dajanje informacij)</w:t>
      </w:r>
      <w:bookmarkEnd w:id="26"/>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da na razpolago najmanj naslednje informacije: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naziv in kontaktne podatke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kontaktne podatke pooblaščene osebe za varstvo osebnih podatkov iz četrtega odstavka </w:t>
      </w:r>
      <w:r w:rsidR="005041E7">
        <w:fldChar w:fldCharType="begin"/>
      </w:r>
      <w:r w:rsidR="005041E7">
        <w:instrText xml:space="preserve"> REF _Ref40183206 \n \h  \* MERGEFORMAT </w:instrText>
      </w:r>
      <w:r w:rsidR="005041E7">
        <w:fldChar w:fldCharType="separate"/>
      </w:r>
      <w:r w:rsidR="009C0CED" w:rsidRPr="007C190F">
        <w:rPr>
          <w:rFonts w:eastAsia="Calibri" w:cs="Arial"/>
          <w:szCs w:val="20"/>
        </w:rPr>
        <w:t>55</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 namenih obdelave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 pravici do prijave pri nadzornem organu in njegove kontaktne podatke;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5. o pravici, da od pristojnega organa zahteva dostop do osebnih podatkov in popravek ali izbris osebnih podatkov in omejitev obdelave osebnih podatkov, ter pravici do vložitve pritožbe pri nadzornem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pravno podlago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7. </w:t>
      </w:r>
      <w:bookmarkStart w:id="27" w:name="_Hlk30492214"/>
      <w:r w:rsidRPr="007C190F">
        <w:rPr>
          <w:rFonts w:eastAsia="Calibri" w:cs="Arial"/>
          <w:szCs w:val="20"/>
        </w:rPr>
        <w:t>rok hrambe ali rok za redni pregled potrebe po hrambi</w:t>
      </w:r>
      <w:bookmarkEnd w:id="27"/>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če so informacije o tem na razpolago, kategorije uporabnikov osebnih podatkov, vključno z uporabniki v tretjih državah ali mednarodnih organizacijah;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če je to potrebno zaradi uresničevanja pravic posameznikov, na katere se nanašajo osebni podatki, dodatne informacije, zlasti če so bili osebni podatki pridobljeni brez vednosti posameznikov, na katere se nanašajo.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Informacije iz prejšnjega odstavka ne vključujejo podatkov o konkretnih obdelavah osebnih podatkov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informacije iz 1. do 6. točke prvega odstavka tega člena javno objavi.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28" w:name="_Ref40182487"/>
      <w:r w:rsidRPr="007C190F">
        <w:rPr>
          <w:rFonts w:eastAsia="Calibri"/>
          <w:b/>
          <w:szCs w:val="20"/>
        </w:rPr>
        <w:t>člen</w:t>
      </w:r>
      <w:r w:rsidRPr="007C190F">
        <w:rPr>
          <w:rFonts w:eastAsia="Calibri"/>
          <w:b/>
          <w:szCs w:val="20"/>
        </w:rPr>
        <w:br/>
        <w:t>(pravica do dostopa do osebnih podatkov)</w:t>
      </w:r>
      <w:bookmarkEnd w:id="28"/>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Posameznik, na katerega se nanašajo osebni podatki, ima pravico od pristojnega organa zahtevati podatek o tem, ali se obdelujejo njegovi osebni podatki, in kopijo ali izpis teh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Če se obdelujejo njegovi osebni podatki, ima posameznik pravico pridobiti konkretne informacije 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namenih obdelave in njihovi pravni podlagi;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vrstah osebnih podatkov, ki se obdelujejo;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uporabnikih ali kategorijah uporabnikov, ki so jim bili podatki razkriti, zlasti če gre za uporabnike v tretjih državah ali mednarodnih organizacijah, v primerih omejitev iz prvega odstavka </w:t>
      </w:r>
      <w:r w:rsidR="005041E7">
        <w:fldChar w:fldCharType="begin"/>
      </w:r>
      <w:r w:rsidR="005041E7">
        <w:instrText xml:space="preserve"> REF _Ref40177841 \n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člena tega zakona pa se lahko navede le okvirni opis uporabnikov;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roku hrambe ali roku za redni pregled potrebe po hrambi;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obstoju pravice zahtevati popravek ali izbris podatkov ali omejitev obdelave in pravici do vložitve pritožbe pri nadzornem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obstoju pravice do vložitve prijave pri nadzornem organu in njegovih kontaktnih podatkih;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vseh razpoložljivih informacijah o viru osebnih podatkov, razen če je identiteta vira varovana kot tajna ali zaupna po določbah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Pristojni organ posamezniku iz razloga po 1. ali 2. točki prvega odstavka </w:t>
      </w:r>
      <w:r w:rsidR="005041E7">
        <w:fldChar w:fldCharType="begin"/>
      </w:r>
      <w:r w:rsidR="005041E7">
        <w:instrText xml:space="preserve"> REF _Ref40177841 \n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člena tega zakona ne zagotovi informacij iz prejšnjega odstavka, kadar bi se s tem razkrila identiteta oseb, zoper katere se izvajajo prikriti preiskovalni ukrepi po zakonu, ki ureja kazenski postopek, ali zoper katere so razpisani ukrepi prikritega evidentiranja in namenske kontrole po zakonu, ki ureja naloge in pooblastila policije.</w:t>
      </w:r>
    </w:p>
    <w:p w:rsidR="00E302FA" w:rsidRPr="007C190F" w:rsidRDefault="00E302FA" w:rsidP="00E302FA">
      <w:pPr>
        <w:spacing w:after="160" w:line="259" w:lineRule="auto"/>
        <w:jc w:val="both"/>
        <w:rPr>
          <w:rFonts w:eastAsia="Calibri" w:cs="Arial"/>
          <w:szCs w:val="20"/>
        </w:rPr>
      </w:pPr>
      <w:r w:rsidRPr="007C190F">
        <w:rPr>
          <w:rFonts w:eastAsia="Calibri" w:cs="Arial"/>
          <w:iCs/>
          <w:szCs w:val="20"/>
        </w:rPr>
        <w:t xml:space="preserve">(4) Pristojni organ o zahtevi </w:t>
      </w:r>
      <w:r w:rsidRPr="007C190F">
        <w:rPr>
          <w:rFonts w:eastAsia="Calibri" w:cs="Arial"/>
          <w:szCs w:val="20"/>
        </w:rPr>
        <w:t>odloči brez nepotrebnega odlašanja, najpozneje pa v enem mesecu po prejemu zahteve.</w:t>
      </w:r>
      <w:bookmarkStart w:id="29" w:name="_Hlk30769635"/>
      <w:r w:rsidRPr="007C190F">
        <w:rPr>
          <w:rFonts w:eastAsia="Calibri" w:cs="Arial"/>
          <w:szCs w:val="20"/>
        </w:rPr>
        <w:t xml:space="preserve"> Odločba vsebuje tudi pouk o pravici do pritožbe pri nadzornem organu.</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0" w:name="_Ref40177841"/>
      <w:bookmarkEnd w:id="29"/>
      <w:r w:rsidRPr="007C190F">
        <w:rPr>
          <w:rFonts w:eastAsia="Calibri"/>
          <w:b/>
          <w:szCs w:val="20"/>
        </w:rPr>
        <w:t>člen</w:t>
      </w:r>
      <w:r w:rsidRPr="007C190F">
        <w:rPr>
          <w:rFonts w:eastAsia="Calibri"/>
          <w:b/>
          <w:szCs w:val="20"/>
        </w:rPr>
        <w:br/>
        <w:t>(omejitve pravice do dostopa do osebnih podatkov)</w:t>
      </w:r>
      <w:bookmarkEnd w:id="30"/>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(1) Pravica posameznika do dostopa do lastnih osebnih podatkov se lahko ob upoštevanju njegovih človekovih pravic in temeljnih svoboščin ter zakonitih interesov z zakonom delno ali popolnoma omeji glede posameznih obdelav ali posameznih kategorij obdelav, če in dokler je to nujno in sorazmerno: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da se onemogoči oviranje ali vplivanje na uradne postopke, katerih nameni so določeni v prvem odstavku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da se onemogoči oviranje ali vplivanje na druge uradne postopke, povezane s prejšnjo točko;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zaradi zagotavljanja javne varnosti;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zaradi zagotavljanja varnosti države ali obrambe države;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zaradi varstva ali uresničevanja človekovih pravic in temeljnih svoboščin tretjih oseb.</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brez nepotrebnega odlašanja, najpozneje pa v 15 dneh od prejema zahteve, odloči o zavrnitvi ali omejitvi dostopa in razlogih za to. Ta rok lahko organ po potrebi s sklepom podaljša za največ 15 dni ob upoštevanju zapletenosti zahteve oziroma števila zahtev. Odločba vsebuje tudi pouk o pravici do pritožbe pri nadzornem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v odločbi iz prejšnjega odstavka ne navede konkretnih razlogov za zavrnitev ali omejitev dostopa, če bi to ogrozilo izvrševanje namena zavrnitve ali omejitve dostopa iz prvega odstavka tega člena. Odločba ne sme obsegati navedb, s katerimi bi se potrdila ali zanikala obdelava osebnih podatkov ali morebitne omejitve dostopa do njih.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Kadar gre za vprašanje, ali se v zvezi s posameznikom izvajajo ali ne izvajajo prikriti preiskovalni ukrepi iz zakona, ki ureja kazenski postopek, ali ukrepi prikrite in namenske kontrole iz zakona, ki ureja naloge in pooblastila policije, odločba pristojnega organa ne obsega razlogov za zavrnitev ali omejitev dostopa, če bi to ogrozilo izvrševanje namena zavrnitve ali omejitve dostopa iz prvega odstavka tega člena. Odločba ne sme obsegati navedb, s katerimi bi se potrdila ali zanikala obdelava osebnih podatkov  ali morebitne omejitve dostopa do njih.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Konkretne razloge iz prvega stavka tretjega odstavka tega člena in prvega stavka prejšnjega odstavka pristojni organ navede ločeno v prilogi k odločbi. Priloga</w:t>
      </w:r>
      <w:r w:rsidR="001D4E25" w:rsidRPr="007C190F">
        <w:rPr>
          <w:rFonts w:eastAsia="Calibri" w:cs="Arial"/>
          <w:szCs w:val="20"/>
        </w:rPr>
        <w:t>, opremljena s številko zadeve, datumom in podpisom pristojne uradne osebe,</w:t>
      </w:r>
      <w:r w:rsidRPr="007C190F">
        <w:rPr>
          <w:rFonts w:eastAsia="Calibri" w:cs="Arial"/>
          <w:szCs w:val="20"/>
        </w:rPr>
        <w:t xml:space="preserve"> se ne vroča posamezniku in je  dostopna pooblaščeni osebi za varstvo osebnih podatkov pristojnega organa in nadzornemu organu na podlagi zahteve zaradi opravljanja nalog v konkretni zadevi.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1" w:name="_Ref40182498"/>
      <w:r w:rsidRPr="007C190F">
        <w:rPr>
          <w:rFonts w:eastAsia="Calibri"/>
          <w:b/>
          <w:szCs w:val="20"/>
        </w:rPr>
        <w:t>člen</w:t>
      </w:r>
      <w:r w:rsidRPr="007C190F">
        <w:rPr>
          <w:rFonts w:eastAsia="Calibri"/>
          <w:b/>
          <w:szCs w:val="20"/>
        </w:rPr>
        <w:br/>
        <w:t>(pravica do popravka ali izbrisa osebnih podatkov in do omejitve obdelave)</w:t>
      </w:r>
      <w:bookmarkEnd w:id="31"/>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Posameznik, na katerega se nanašajo osebni podatki, ima pravico od pristojnega organa zahtevati popravek oziroma dopolnitev svojih netočnih oziroma nepopolnih osebnih podatkov. Pristojni organ brez nepotrebnega odlašanja, najpozneje pa v 15 dneh od prejema zahteve, popravi netočne osebne podatke ali dopolni nepopolne osebne podatke in o tem obvesti posameznika. Rok se lahko  s sklepom podaljša za največ 15 dni ob upoštevanju zapletenosti zahteve in števila zahtev. Če netočnih ali nepopolnih osebnih podatkov ni mogoče ali </w:t>
      </w:r>
      <w:r w:rsidR="004829A4">
        <w:rPr>
          <w:rFonts w:eastAsia="Calibri" w:cs="Arial"/>
          <w:szCs w:val="20"/>
        </w:rPr>
        <w:t xml:space="preserve">ni </w:t>
      </w:r>
      <w:r w:rsidRPr="007C190F">
        <w:rPr>
          <w:rFonts w:eastAsia="Calibri" w:cs="Arial"/>
          <w:szCs w:val="20"/>
        </w:rPr>
        <w:t>dopustno dopolniti ali popraviti, jim lahko pristojni organ priloži dopolnilno izjavo posameznika, na katerega se nanašajo osebni podatki.  Če so osebni podatki posameznika, ki zahteva njihov popravek ali dopolnitev, točni in popolni, ali če pristojni organ ne more ravnati po določbi prejšnjega stavka, z odločbo zahtevo zavrne.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Posameznik, na katerega se nanašajo osebni podatki, ima pravico od pristojnega organa zahtevati, da izbriše njegove osebne podatke, če obdelava krši določbe </w:t>
      </w:r>
      <w:r w:rsidR="005041E7">
        <w:fldChar w:fldCharType="begin"/>
      </w:r>
      <w:r w:rsidR="005041E7">
        <w:instrText xml:space="preserve"> REF _Ref44419809 \r \h  \* MERGEFORMAT </w:instrText>
      </w:r>
      <w:r w:rsidR="005041E7">
        <w:fldChar w:fldCharType="separate"/>
      </w:r>
      <w:r w:rsidR="009C0CED" w:rsidRPr="007C190F">
        <w:rPr>
          <w:rFonts w:eastAsia="Calibri" w:cs="Arial"/>
          <w:szCs w:val="20"/>
        </w:rPr>
        <w:t>5</w:t>
      </w:r>
      <w:r w:rsidR="005041E7">
        <w:fldChar w:fldCharType="end"/>
      </w:r>
      <w:r w:rsidRPr="007C190F">
        <w:rPr>
          <w:rFonts w:eastAsia="Calibri" w:cs="Arial"/>
          <w:szCs w:val="20"/>
        </w:rPr>
        <w:t xml:space="preserve">., </w:t>
      </w:r>
      <w:r w:rsidR="005041E7">
        <w:fldChar w:fldCharType="begin"/>
      </w:r>
      <w:r w:rsidR="005041E7">
        <w:instrText xml:space="preserve"> REF _Ref40183940 \n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xml:space="preserve">. ali </w:t>
      </w:r>
      <w:r w:rsidR="005041E7">
        <w:fldChar w:fldCharType="begin"/>
      </w:r>
      <w:r w:rsidR="005041E7">
        <w:instrText xml:space="preserve"> REF _Ref40183951 \n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szCs w:val="20"/>
        </w:rPr>
        <w:t xml:space="preserve">. člena tega zakona ali če je treba osebne podatke izbrisati za izpolnitev pravne obveznosti, ki velja za pristojni organ. Pristojni organ brez nepotrebnega odlašanja, najpozneje pa v 15 dneh od prejema zahteve, </w:t>
      </w:r>
      <w:r w:rsidRPr="007C190F">
        <w:rPr>
          <w:rFonts w:eastAsia="Calibri" w:cs="Arial"/>
          <w:szCs w:val="20"/>
        </w:rPr>
        <w:lastRenderedPageBreak/>
        <w:t>izbriše te podatke in o tem obvesti posameznika. Rok se lahko s sklepom podaljša za največ 15 dni ob upoštevanju zapletenosti zahteve in števila zahtev.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Pristojni organ v primerih kršitev določb </w:t>
      </w:r>
      <w:r w:rsidR="005041E7">
        <w:fldChar w:fldCharType="begin"/>
      </w:r>
      <w:r w:rsidR="005041E7">
        <w:instrText xml:space="preserve"> REF _Ref44419809 \r \h  \* MERGEFORMAT </w:instrText>
      </w:r>
      <w:r w:rsidR="005041E7">
        <w:fldChar w:fldCharType="separate"/>
      </w:r>
      <w:r w:rsidR="009C0CED" w:rsidRPr="007C190F">
        <w:rPr>
          <w:rFonts w:eastAsia="Calibri" w:cs="Arial"/>
          <w:szCs w:val="20"/>
        </w:rPr>
        <w:t>5</w:t>
      </w:r>
      <w:r w:rsidR="005041E7">
        <w:fldChar w:fldCharType="end"/>
      </w:r>
      <w:r w:rsidRPr="007C190F">
        <w:rPr>
          <w:rFonts w:eastAsia="Calibri" w:cs="Arial"/>
          <w:szCs w:val="20"/>
        </w:rPr>
        <w:t xml:space="preserve">.,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xml:space="preserve">. ali </w:t>
      </w:r>
      <w:r w:rsidR="005041E7">
        <w:fldChar w:fldCharType="begin"/>
      </w:r>
      <w:r w:rsidR="005041E7">
        <w:instrText xml:space="preserve"> REF _Ref40183951 \r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szCs w:val="20"/>
        </w:rPr>
        <w:t>. člena ali izpolnitve pravne obveznosti iz prejšnjega odstavka z odločbo zavrne zahtevo za izbris in omeji obdelavo,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posameznik, na katerega se osebni podatki nanašajo, izpodbija točnost ali posodobljenost osebnih podatkov in točnosti ali posodobljenosti ni mogoče preveriti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je treba osebne podatke še nadalje hraniti za namene dokazovanja.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Pristojni organ v odločbi iz prejšnjega odstavka pod pogoji iz prvega ali tretjega odstavka prejšnjega člena ne navede razlogov za zavrnitev in ravna v skladu s petim odstavkom prejšnjega člena. Kadar pristojni organ omejitev iz 1. točke prejšnjega odstavka pozneje prekliče, o tem nemudoma obvesti posameznika, na katerega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Pristojni organ sporoči popravek netočnih ali dopolnitev nepopolnih osebnih podatkov upravljavcu, od katerega je prejel te osebne podatke.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V primerih popravka, dopolnitve, izbrisa ali omejitve dostopa do osebnih podatkov ali omejitve obdelave pristojni organ obvesti vse uporabnike osebnih podatkov. Uporabniki osebne podatke, ki jih v okviru svojih pristojnosti obdelujejo, nemudoma popravijo, izbrišejo, ustrezno označijo ali omejijo njihovo obdelavo.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Pristojni organ v odločitev po tem členu, s katero ne ugodi zahtevku v celoti, vključi tudi pouk o pravici do pritožbe pri nadzornem organu.</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2" w:name="_Ref45614400"/>
      <w:r w:rsidRPr="007C190F">
        <w:rPr>
          <w:rFonts w:eastAsia="Calibri"/>
          <w:b/>
          <w:szCs w:val="20"/>
        </w:rPr>
        <w:t>člen</w:t>
      </w:r>
      <w:r w:rsidRPr="007C190F">
        <w:rPr>
          <w:rFonts w:eastAsia="Calibri"/>
          <w:b/>
          <w:szCs w:val="20"/>
        </w:rPr>
        <w:br/>
        <w:t>(pravna sredstva)</w:t>
      </w:r>
      <w:bookmarkEnd w:id="32"/>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O pritožbi posameznika, na katerega se nanašajo osebni podatki, zoper odločitev pristojnega organa odloča nadzorni organ kot organ druge stopnje.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Zoper odločbo nadzornega organa ni pritožbe, je pa dopusten upravni spor.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Tožbo v upravnem sporu lahko vložijo posameznik, na katerega se nanašajo osebni podatki, in pristojni organ, drug upravljavec ali obdelovalec.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III. POGLAVJE</w:t>
      </w:r>
      <w:r w:rsidRPr="007C190F">
        <w:rPr>
          <w:rFonts w:ascii="Calibri Light" w:hAnsi="Calibri Light"/>
          <w:sz w:val="26"/>
          <w:szCs w:val="26"/>
        </w:rPr>
        <w:br/>
        <w:t>PRAVICE POSAMEZNIKA IN POSTOPEK PRED NADZORNIM ORGANOM</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 xml:space="preserve">1. oddelek – </w:t>
      </w:r>
      <w:bookmarkStart w:id="33" w:name="_Hlk47362019"/>
      <w:r w:rsidRPr="007C190F">
        <w:rPr>
          <w:rFonts w:ascii="Calibri Light" w:hAnsi="Calibri Light"/>
          <w:sz w:val="24"/>
        </w:rPr>
        <w:t>skupne določbe glede pravic posameznika in postopka pred nadzornim organom</w:t>
      </w:r>
      <w:bookmarkEnd w:id="33"/>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(uporaba določb zakona, ki ureja splošni upravni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postopkih pred nadzornim organom po tem poglavju se uporabljajo določbe zakona, ki ureja splošni upravni postopek, če ta zakon ne določa drugače.</w:t>
      </w:r>
    </w:p>
    <w:p w:rsidR="00E302FA" w:rsidRPr="007C190F" w:rsidRDefault="00E302FA" w:rsidP="00247AE7">
      <w:pPr>
        <w:pStyle w:val="Odstavekseznama"/>
        <w:numPr>
          <w:ilvl w:val="0"/>
          <w:numId w:val="22"/>
        </w:numPr>
        <w:spacing w:before="360" w:after="160" w:line="259" w:lineRule="auto"/>
        <w:jc w:val="center"/>
        <w:outlineLvl w:val="4"/>
        <w:rPr>
          <w:rFonts w:eastAsia="Calibri"/>
          <w:b/>
          <w:szCs w:val="20"/>
        </w:rPr>
      </w:pPr>
      <w:bookmarkStart w:id="34" w:name="_Ref44325510"/>
      <w:r w:rsidRPr="007C190F">
        <w:rPr>
          <w:rFonts w:eastAsia="Calibri"/>
          <w:b/>
          <w:szCs w:val="20"/>
        </w:rPr>
        <w:t>člen</w:t>
      </w:r>
      <w:r w:rsidRPr="007C190F">
        <w:rPr>
          <w:rFonts w:eastAsia="Calibri"/>
          <w:b/>
          <w:szCs w:val="20"/>
        </w:rPr>
        <w:br/>
        <w:t>(izvajanje postopkovnih dejanj brez prisotnosti)</w:t>
      </w:r>
      <w:bookmarkEnd w:id="34"/>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V postopku po tem poglavju lahko nadzorni organ opravlja razgovore z osebami pri pristojnem organu in s pričami brez prisotnosti posameznika, na katerega se nanašajo osebni podatki, v celoti </w:t>
      </w:r>
      <w:r w:rsidRPr="007C190F">
        <w:rPr>
          <w:rFonts w:eastAsia="Calibri" w:cs="Arial"/>
          <w:szCs w:val="20"/>
        </w:rPr>
        <w:lastRenderedPageBreak/>
        <w:t xml:space="preserve">ali deloma, če </w:t>
      </w:r>
      <w:r w:rsidR="00AE77A5" w:rsidRPr="007C190F">
        <w:rPr>
          <w:rFonts w:eastAsia="Calibri" w:cs="Arial"/>
          <w:szCs w:val="20"/>
        </w:rPr>
        <w:t xml:space="preserve">bi </w:t>
      </w:r>
      <w:r w:rsidRPr="007C190F">
        <w:rPr>
          <w:rFonts w:eastAsia="Calibri" w:cs="Arial"/>
          <w:szCs w:val="20"/>
        </w:rPr>
        <w:t xml:space="preserve">takšna prisotnost </w:t>
      </w:r>
      <w:r w:rsidR="00AE77A5" w:rsidRPr="007C190F">
        <w:rPr>
          <w:rFonts w:eastAsia="Calibri" w:cs="Arial"/>
          <w:szCs w:val="20"/>
        </w:rPr>
        <w:t>škodovala izvedbi uradnih postopkov ali varstvu ali uresničevanju človekovih pravic in temeljnih svoboščin tretjih oseb</w:t>
      </w:r>
      <w:r w:rsidRPr="007C190F">
        <w:rPr>
          <w:rFonts w:eastAsia="Calibri" w:cs="Arial"/>
          <w:szCs w:val="20"/>
        </w:rPr>
        <w:t>, o čemer obvesti tega posameznika. V tem primeru nadzorni organ tudi ne dovoli prisotnosti pri drugih dejanjih v postopku in posamezniku ne vroča zapisnikov o teh dejanjih.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Nadzorni organ v primerih iz tretjega odstavka </w:t>
      </w:r>
      <w:r w:rsidR="005041E7">
        <w:fldChar w:fldCharType="begin"/>
      </w:r>
      <w:r w:rsidR="005041E7">
        <w:instrText xml:space="preserve"> REF _Ref40182487 \r \h  \* MERGEFORMAT </w:instrText>
      </w:r>
      <w:r w:rsidR="005041E7">
        <w:fldChar w:fldCharType="separate"/>
      </w:r>
      <w:r w:rsidR="009C0CED" w:rsidRPr="007C190F">
        <w:rPr>
          <w:rFonts w:eastAsia="Calibri" w:cs="Arial"/>
          <w:szCs w:val="20"/>
        </w:rPr>
        <w:t>24</w:t>
      </w:r>
      <w:r w:rsidR="005041E7">
        <w:fldChar w:fldCharType="end"/>
      </w:r>
      <w:r w:rsidRPr="007C190F">
        <w:rPr>
          <w:rFonts w:eastAsia="Calibri" w:cs="Arial"/>
          <w:szCs w:val="20"/>
        </w:rPr>
        <w:t xml:space="preserve">. člena in četrtega odstavka </w:t>
      </w:r>
      <w:r w:rsidR="005041E7">
        <w:fldChar w:fldCharType="begin"/>
      </w:r>
      <w:r w:rsidR="005041E7">
        <w:instrText xml:space="preserve"> REF _Ref40177841 \n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člena tega zakona opravlja razgovore z osebami pri pristojnem organu brez prisotnosti posameznika, na katerega se nanašajo osebni podatki, ter ne dovoli njegove prisotnosti pri drugih dejanjih v postopku in mu ne vroča zapisnikov o teh dejanjih.</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(izključitev stranske udeležbe)</w:t>
      </w:r>
    </w:p>
    <w:p w:rsidR="00E302FA" w:rsidRDefault="00E302FA" w:rsidP="00E302FA">
      <w:pPr>
        <w:spacing w:after="160" w:line="259" w:lineRule="auto"/>
        <w:jc w:val="both"/>
        <w:rPr>
          <w:rFonts w:eastAsia="Calibri" w:cs="Arial"/>
          <w:szCs w:val="20"/>
        </w:rPr>
      </w:pPr>
      <w:r w:rsidRPr="007C190F">
        <w:rPr>
          <w:rFonts w:eastAsia="Calibri" w:cs="Arial"/>
          <w:szCs w:val="20"/>
        </w:rPr>
        <w:t>V postopku po tem oddelku ni dopustna stranska udeležba, kot jo določa zakon, ki ureja splošni upravni postopek.</w:t>
      </w:r>
    </w:p>
    <w:p w:rsidR="00D65B1B" w:rsidRDefault="00D65B1B" w:rsidP="00E302FA">
      <w:pPr>
        <w:spacing w:after="160" w:line="259" w:lineRule="auto"/>
        <w:jc w:val="both"/>
        <w:rPr>
          <w:rFonts w:eastAsia="Calibri" w:cs="Arial"/>
          <w:szCs w:val="20"/>
        </w:rPr>
      </w:pPr>
    </w:p>
    <w:p w:rsidR="00D65B1B" w:rsidRPr="007C190F" w:rsidRDefault="00D65B1B" w:rsidP="00E302FA">
      <w:pPr>
        <w:spacing w:after="160" w:line="259" w:lineRule="auto"/>
        <w:jc w:val="both"/>
        <w:rPr>
          <w:rFonts w:eastAsia="Calibri" w:cs="Arial"/>
          <w:szCs w:val="20"/>
        </w:rPr>
      </w:pPr>
      <w:bookmarkStart w:id="35" w:name="_Hlk50542055"/>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6" w:name="_Hlk47443446"/>
      <w:r w:rsidRPr="007C190F">
        <w:rPr>
          <w:rFonts w:eastAsia="Calibri"/>
          <w:b/>
          <w:szCs w:val="20"/>
        </w:rPr>
        <w:t>člen</w:t>
      </w:r>
      <w:r w:rsidRPr="007C190F">
        <w:rPr>
          <w:rFonts w:eastAsia="Calibri"/>
          <w:b/>
          <w:szCs w:val="20"/>
        </w:rPr>
        <w:br/>
        <w:t>(nadzorna pooblastila)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Nadzorna pooblastila nadzornega organa so: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pregled dokumentacije pristojnega organa ali obdelovalca, ki se nanaša na obdelavo osebnih podatkov, ne glede na njeno zaupnost ali tajnost, ter prenos osebnih podatkov v tretjo državo in posredovanje osebnih podatkov tujim uporabnikom;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pregled poslovnih knjig, pogodb, listin, poslovne korespondence, poslovnih evidenc in drugih podatkov, ki se nanašajo na obdelavo osebnih podatkov s strani pristojnega organa ali obdelovalca ali druge pravne ali fizične osebe po njunem pooblastilu oziroma na prenos osebnih podatkov v tretjo državo ali posredovanje uporabnikom osebnih podatkov iz tretjih držav s strani pristojnega organa ali obdelovalca oziroma druge pravne ali fizične osebe po njunem pooblastilu (v nadaljnjem besedilu: poslovne knjige in druga dokumentacija), ne glede na njihovo tajnost ali drugo vrsto zaupnosti ter ne glede na vrsto nosilca, na katerem so zapisani ali shranjeni;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vstop in pregled prostora, zemljišča, prevoznih sredstev ter opreme in sredstev za obdelavo osebnih podatkov (v nadaljnjem besedilu: prostori in oprema), v oziroma s katerimi pristojni organ ali obdelovalec sam ali drug poslovni subjekt ali posameznik po njunem pooblastilu opravlja obdelavo osebnih podatkov, za katero izhaja verjetnost kršitve določb zakona, podzakonskih predpisov ali splošnih aktov za izvrševanje javnih pooblastil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zavarovanje in pregled elektronskih in z njimi povezanih naprav ter nosilcev elektronskih podatkov, vključno s preko omrežja dosegljivimi informacijskimi sistemi, na katerih so shranjeni podatki (v nadaljnjem besedilu: elektronska naprava), za katere je verjetno, da so na njih podatki, glede katerih izhaja verjetnost kršitve določb zakona, podzakonskih predpisov ali drugih splošnih aktov za izvrševanje javnih pooblastil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zakona;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odvzem ali pridobitev ustrezne kopije na stroške pristojnega organa ali obdelovalca, forenzične kopije ali izvlečka iz poslovnih knjig in druge dokumentacije v kakršni koli obliki z uporabo fotokopirnih sredstev ali računalniške opreme pristojnega organa ali obdelovalca oziroma nadzornega organa. Če zaradi tehničnih ali časovnih razlogov ni mogoče narediti kopij na kraju samem, se lahko poslovne knjige in druga dokumentacija odnesejo za čas, potreben, da se naredijo kopije, o čemer se naredi uradni zaznamek, če so osebni podatki označeni s stopnjo tajnosti, pa se naredijo le ustrezne kopije;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6. zapečatenje ustreznega dela prostorov in opreme, poslovnih knjig in druge dokumentacije ter elektronskih naprav za največ pet delovnih dni, v najmanjšem možnem obsegu, potrebnem za izvedbo nadzora, o čemer se naredi uradni zaznamek;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zaseg predmetov ter poslovnih knjig in druge dokumentacije za največ deset delovnih dni, če je to potrebno za izvedbo postopka, o čemer se izda potrdilo o zasegu, ki vsebuje navedbo zaseženih predmetov in njihov opis, navedbo kraja, kjer so bili najdeni, ter navedbo razloga za zaseg.</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Nadzorna oseba nadzornega organa lahko odredi začasno zapečatenje oziroma blokiranje ustreznega predela prostorov in opreme ali elektronske naprave, le če je to nujno, da se ohranijo možni dokazi, in če zapečatenje ali blokiranje ustreznega predela prostorov in opreme ali elektronske naprave ne onemogoča izvajanja drugih zakonskih nalog pristojnega organa, vendar le za čas, dokler ni izdana sodna odredba oziroma do poteka roka za njeno izdajo iz drugega stavka tretjega odstavka tega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Nadzorna oseba nadzornega organa v zvezi z izvedbo nadzornih pooblastil iz 3. in 4. točke prvega odstavka tega člena izvede pregled skritih predelov prostorov in opreme ali zavarovanje in pregled elektronskih naprav pristojnega organa ali drugega upravljavca ali obdelovalca z njihovim soglasjem ali na podlagi predhodne pisne odredbe sodišča. O predlogu nadzorne osebe za izdajo odredbe iz prejšnjega stavka preiskovalna sodnica ali preiskovalni sodnik (v nadaljnjem besedilu: preiskovalni sodnik) pri Okrožnem sodišču v Ljubljani odloči najpozneje v 48 urah od prejema predloga. Nadzorna oseba predlogu za izdajo odredbe priloži stališče pristojnega organa ali drugega upravljavca ali obdelovalca, do katerega se lahko tudi opredeli.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Preiskovalni sodnik z odredbo odloči, da se pregled izvede, če obstajajo utemeljeni razlogi za sum, da je pristojni organ ali obdelovalec kršil ali krši določbe zakona, podzakonskih predpisov ali drugih splošnih aktov za izvrševanje javnih pooblastil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zakona, in je verjetno, da se bodo pri pregledu prostorov in opreme oziroma elektronskih naprav našli dokazi, pomembni za odločanje v postopku nadzora ali povezanem prekrškovnem postopku. Odredba vsebuje: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opredelitev skritih predelov prostorov in opreme, ki jih je treba pregledati, oziroma elektronskih naprav, ki jih je treba zavarovati in pregledati;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opredelitev razlogov za pregled;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opredelitev dokazov oziroma vsebine podatkov, ki se iščejo;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navedbo razlogov, ki utemeljujejo uporabo nadzornega pooblastila in način njegove izvršitve.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w:t>
      </w:r>
      <w:r w:rsidR="004477C3" w:rsidRPr="007C190F">
        <w:rPr>
          <w:rFonts w:eastAsia="Calibri" w:cs="Arial"/>
          <w:szCs w:val="20"/>
        </w:rPr>
        <w:t xml:space="preserve">Pregled prostora, zemljišča, prevoznega sredstva ali elektronske naprave se opravi na način, s katerim se v najmanjši možni meri posega v pravice oseb, zoper katere ni uveden nadzor, in varuje tajnost oziroma zaupnost podatkov ter ne povzroča nesorazmerna škoda, kadar je izdana odredba preiskovalnega sodnika, pa tudi v skladu z njo. Za zavarovanje podatkov na elektronskih napravah se smiselno uporabljajo določbe zakona, ki ureja kazenski postopek glede zavarovanja podatkov v elektronski obliki. Predstavnika pristojnega organa ali obdelovalca imata pravico biti navzoča pri zavarovanju in pregledu elektronske naprave ter pri pregledu prostora, zemljišča ali prevoznega sredstva. Če določeno elektronsko napravo uporablja oseba, ki upravičeno pričakuje zasebnost na njej, ima pravico biti navzoča ob zavarovanju ali pregledu elektronske naprave sama ali po pooblaščencu. Če prostor, zemljišče ali prevozno sredstvo uporablja druga oseba, ki upravičeno pričakuje zasebnost na njem, ima pravico biti navzoča ob zavarovanju ali pregledu sama ali po pooblaščencu, nadzorni organ pa pri </w:t>
      </w:r>
      <w:r w:rsidR="00D65B1B">
        <w:rPr>
          <w:rFonts w:eastAsia="Calibri" w:cs="Arial"/>
          <w:szCs w:val="20"/>
        </w:rPr>
        <w:t>pregledu</w:t>
      </w:r>
      <w:r w:rsidR="00D65B1B" w:rsidRPr="007C190F">
        <w:rPr>
          <w:rFonts w:eastAsia="Calibri" w:cs="Arial"/>
          <w:szCs w:val="20"/>
        </w:rPr>
        <w:t xml:space="preserve"> </w:t>
      </w:r>
      <w:r w:rsidR="004477C3" w:rsidRPr="007C190F">
        <w:rPr>
          <w:rFonts w:eastAsia="Calibri" w:cs="Arial"/>
          <w:szCs w:val="20"/>
        </w:rPr>
        <w:t xml:space="preserve">zagotovi tudi prisotnost dveh </w:t>
      </w:r>
      <w:r w:rsidR="00816485" w:rsidRPr="007C190F">
        <w:rPr>
          <w:rFonts w:eastAsia="Calibri" w:cs="Arial"/>
          <w:szCs w:val="20"/>
        </w:rPr>
        <w:t xml:space="preserve">polnoletnih </w:t>
      </w:r>
      <w:r w:rsidR="004477C3" w:rsidRPr="007C190F">
        <w:rPr>
          <w:rFonts w:eastAsia="Calibri" w:cs="Arial"/>
          <w:szCs w:val="20"/>
        </w:rPr>
        <w:t>prič.</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(6) O opravljenem nadzoru se sestavi zapisnik, ki se lahko ne glede na določbe zakona, ki ureja splošni upravni postopek, kadar gre za nujne in neodložljive ukrepe, sestavi takoj, v drugih primerih pa najpozneje v treh dneh od dneva opravljenega nadzora ter se vroči pristojnemu organu ali obdelovalcu ali predstavnikom pristojnega organa ali obdelovalca. Pristojni organ ali obdelovalec lahko na zapisnik podata pripombe v roku, ki ga določi nadzorni organ in ne sme biti krajši od dveh delovnih dni po vročitvi zapisnika, o čemer se ju v zapisniku izrecno pouči. Določbe prejšnjega </w:t>
      </w:r>
      <w:r w:rsidRPr="007C190F">
        <w:rPr>
          <w:rFonts w:eastAsia="Calibri" w:cs="Arial"/>
          <w:szCs w:val="20"/>
        </w:rPr>
        <w:lastRenderedPageBreak/>
        <w:t xml:space="preserve">stavka ne veljajo za zapisnike, ki vsebujejo vsebine glede nujnih in neodložljivih ukrepov, pristojni organ in obdelovalec pa lahko na tak zapisnik takoj ustno podata pripombe.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Zoper odredbo preiskovalnega sodnika o posredovanju gradiva ni dovoljena pritožba, sme pa se izpodbijati v upravnem sporu zoper končno odločitev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Pooblastila iz prvega do sedmega odstavka tega člena se izvajajo v skladu s predpisi, ki urejajo tajne podatke in poslovno skrivnost.</w:t>
      </w:r>
      <w:bookmarkEnd w:id="35"/>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7" w:name="_Ref44321027"/>
      <w:bookmarkEnd w:id="36"/>
      <w:r w:rsidRPr="007C190F">
        <w:rPr>
          <w:rFonts w:eastAsia="Calibri"/>
          <w:b/>
          <w:szCs w:val="20"/>
        </w:rPr>
        <w:t>člen</w:t>
      </w:r>
      <w:r w:rsidRPr="007C190F">
        <w:rPr>
          <w:rFonts w:eastAsia="Calibri"/>
          <w:b/>
          <w:szCs w:val="20"/>
        </w:rPr>
        <w:br/>
        <w:t>(nadzorni ukrepi)</w:t>
      </w:r>
      <w:bookmarkEnd w:id="37"/>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Kadar se pri opravljanju nadzora ugotovi kršitev določb zakona, podzakonskih predpisov ali splošnih aktov za izvrševanje javnih pooblastil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v delih, ki urejajo varstvo osebnih podatkov,</w:t>
      </w:r>
      <w:r w:rsidR="0000648A" w:rsidRPr="007C190F">
        <w:rPr>
          <w:rFonts w:eastAsia="Calibri" w:cs="Arial"/>
          <w:szCs w:val="20"/>
        </w:rPr>
        <w:t xml:space="preserve"> n</w:t>
      </w:r>
      <w:r w:rsidRPr="007C190F">
        <w:rPr>
          <w:rFonts w:eastAsia="Calibri" w:cs="Arial"/>
          <w:szCs w:val="20"/>
        </w:rPr>
        <w:t>adzorni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odredi, da se nepravilnosti ali pomanjkljivosti, ki jih ugotovi, odpravijo na način in v roku, ki ga sam določi;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odredi omejitve obdelave, kot so anonimiziranje, blokiranje ali arhiviranje;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odredi prepoved prenosa osebnih podatkov v tretjo državo ali njihovega posredovanja tujim uporabnikom osebnih podatkov, če se iznašajo ali posredujejo v nasprotju z določbami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odredi brisanje ali uničenje osebnih podatkov ali druge ukrepe, ki pomenijo prepoved obdelave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odredi druge ukrepe skladno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6. </w:t>
      </w:r>
      <w:r w:rsidR="0000648A" w:rsidRPr="007C190F">
        <w:rPr>
          <w:rFonts w:eastAsia="Calibri" w:cs="Arial"/>
          <w:szCs w:val="20"/>
        </w:rPr>
        <w:t xml:space="preserve">izvaja </w:t>
      </w:r>
      <w:r w:rsidRPr="007C190F">
        <w:rPr>
          <w:rFonts w:eastAsia="Calibri" w:cs="Arial"/>
          <w:szCs w:val="20"/>
        </w:rPr>
        <w:t>preventivne ukrepe</w:t>
      </w:r>
      <w:r w:rsidR="00D72B6C" w:rsidRPr="007C190F">
        <w:rPr>
          <w:rFonts w:eastAsia="Calibri" w:cs="Arial"/>
          <w:szCs w:val="20"/>
        </w:rPr>
        <w:t xml:space="preserve"> in </w:t>
      </w:r>
      <w:r w:rsidRPr="007C190F">
        <w:rPr>
          <w:rFonts w:eastAsia="Calibri" w:cs="Arial"/>
          <w:szCs w:val="20"/>
        </w:rPr>
        <w:t>izre</w:t>
      </w:r>
      <w:r w:rsidR="0000648A" w:rsidRPr="007C190F">
        <w:rPr>
          <w:rFonts w:eastAsia="Calibri" w:cs="Arial"/>
          <w:szCs w:val="20"/>
        </w:rPr>
        <w:t xml:space="preserve">ka </w:t>
      </w:r>
      <w:r w:rsidRPr="007C190F">
        <w:rPr>
          <w:rFonts w:eastAsia="Calibri" w:cs="Arial"/>
          <w:szCs w:val="20"/>
        </w:rPr>
        <w:t>opozorila v skladu z zakonom, ki ureja inšpekcijski nadzor.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S pooblastili in ukrepi iz prejšnjega člena in prejšnjega odstavka se ne sme posegati v kazenske zadeve sodišč in zadeve Ustavnega sodišča Republike Slovenije, kadar obravnava kazenske zadeve sodišča.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2. oddelek – položaj prijavitelja s posebnim položajem in nadzorovanega organa</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38" w:name="_Ref44325519"/>
      <w:r w:rsidRPr="007C190F">
        <w:rPr>
          <w:rFonts w:eastAsia="Calibri"/>
          <w:b/>
          <w:szCs w:val="20"/>
        </w:rPr>
        <w:t>člen</w:t>
      </w:r>
      <w:r w:rsidRPr="007C190F">
        <w:rPr>
          <w:rFonts w:eastAsia="Calibri"/>
          <w:b/>
          <w:szCs w:val="20"/>
        </w:rPr>
        <w:br/>
        <w:t>(prijava in prijavitelj s posebnim položajem)</w:t>
      </w:r>
      <w:bookmarkEnd w:id="38"/>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Posameznik, ki meni, da določena obdelava njegovih osebnih podatkov s strani pristojnega organa, skupnega upravljavca oziroma drugega  obdelovalca (v nadaljnjem besedilu: nadzorovani organ) krši določbe tega zakona ali drugih zakonov, ki urejajo obdelavo ali varstvo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ali krši določbe s  temi zakoni povezanih podzakonskih predpisov ali splošnih aktov za izvrševanje javnih pooblastil (v nadaljnjem besedilu: prijavitelj s posebnim položajem), lahko pri nadzornem organu vloži zahtevo v upravnem postopku, s katero zahteva nadzor zakonitosti obdelave svojih osebnih podatkov</w:t>
      </w:r>
      <w:r w:rsidR="00F42A03" w:rsidRPr="007C190F">
        <w:rPr>
          <w:rFonts w:eastAsia="Calibri" w:cs="Arial"/>
          <w:szCs w:val="20"/>
        </w:rPr>
        <w:t xml:space="preserve"> (v nadaljnjem besedilu: prijava), lahko pa v njej predlaga tudi </w:t>
      </w:r>
      <w:r w:rsidRPr="007C190F">
        <w:rPr>
          <w:rFonts w:eastAsia="Calibri" w:cs="Arial"/>
          <w:szCs w:val="20"/>
        </w:rPr>
        <w:t>potrebno ukrepanje v primeru ugotovljenih kršitev.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Nadzorni organ vodi postopek v zvezi s prijavo v interesu prijavitelja s posebnim položajem.</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(posebna pravila postopka)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(1) V primeru prijave prijavitelja s posebnim položajem nadzorni organ vedno uvede postopek nadzora, če prijava vsebuje sestavine, kot jih za vlogo določa zakon, ki ureja splošni upravni postopek</w:t>
      </w:r>
      <w:r w:rsidR="009328A2" w:rsidRPr="007C190F">
        <w:rPr>
          <w:rFonts w:eastAsia="Calibri" w:cs="Arial"/>
          <w:szCs w:val="20"/>
        </w:rPr>
        <w:t>,</w:t>
      </w:r>
      <w:r w:rsidR="00F42A03" w:rsidRPr="007C190F">
        <w:rPr>
          <w:rFonts w:eastAsia="Calibri" w:cs="Arial"/>
          <w:szCs w:val="20"/>
        </w:rPr>
        <w:t xml:space="preserve"> ter navedbo pristojnega organa in </w:t>
      </w:r>
      <w:r w:rsidR="009328A2" w:rsidRPr="007C190F">
        <w:rPr>
          <w:rFonts w:eastAsia="Calibri" w:cs="Arial"/>
          <w:szCs w:val="20"/>
        </w:rPr>
        <w:t>razloge za uvedbo postopka</w:t>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Nadzorni organ o prijavi odloči z odločbo najpozneje v roku treh mesecev po prejemu prijave. Rok lahko nadzorni organ zaradi zahtevnosti obravnavanja zadeve s sklepom podaljša za največ en mesec. </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(pravice prijavitelja s posebnim položajem)</w:t>
      </w:r>
    </w:p>
    <w:p w:rsidR="00DC2FE4" w:rsidRPr="007C190F" w:rsidRDefault="00DC2FE4" w:rsidP="00DC2FE4">
      <w:pPr>
        <w:spacing w:after="160" w:line="259" w:lineRule="auto"/>
        <w:jc w:val="both"/>
        <w:rPr>
          <w:rFonts w:eastAsia="Calibri" w:cs="Arial"/>
          <w:szCs w:val="20"/>
        </w:rPr>
      </w:pPr>
      <w:r w:rsidRPr="007C190F">
        <w:rPr>
          <w:rFonts w:eastAsia="Calibri" w:cs="Arial"/>
          <w:szCs w:val="20"/>
        </w:rPr>
        <w:t>(1) Nadzorni organ prijavitelja s posebnim položajem na njegovo zahtevo obvešča o opravljenih dejanjih in stanju zadeve.</w:t>
      </w:r>
    </w:p>
    <w:p w:rsidR="00E302FA" w:rsidRPr="007C190F" w:rsidRDefault="00DC2FE4" w:rsidP="00DC2FE4">
      <w:pPr>
        <w:spacing w:after="160" w:line="259" w:lineRule="auto"/>
        <w:jc w:val="both"/>
        <w:rPr>
          <w:rFonts w:eastAsia="Calibri" w:cs="Arial"/>
          <w:szCs w:val="20"/>
        </w:rPr>
      </w:pPr>
      <w:r w:rsidRPr="007C190F">
        <w:rPr>
          <w:rFonts w:eastAsia="Calibri" w:cs="Arial"/>
          <w:szCs w:val="20"/>
        </w:rPr>
        <w:t>(2) Nadzorni organ pred izdajo odločbe prijavitelju vroči zapis ugotovitev, bistvenih za odločitev</w:t>
      </w:r>
      <w:r w:rsidR="004616DB" w:rsidRPr="007C190F">
        <w:rPr>
          <w:rFonts w:eastAsia="Calibri" w:cs="Arial"/>
          <w:szCs w:val="20"/>
        </w:rPr>
        <w:t xml:space="preserve"> v tem postopku</w:t>
      </w:r>
      <w:r w:rsidRPr="007C190F">
        <w:rPr>
          <w:rFonts w:eastAsia="Calibri" w:cs="Arial"/>
          <w:szCs w:val="20"/>
        </w:rPr>
        <w:t xml:space="preserve">, in ga pozove, naj se v določenem roku, ki ne sme biti krajši od 48 ur, pisno ali ustno o njih izjavi, o čemer se nadzorni organ opredeli v odločbi. Zapis ugotovitev ne vsebuje razlogov in navedb iz drugega odstavka </w:t>
      </w:r>
      <w:r w:rsidR="005041E7">
        <w:fldChar w:fldCharType="begin"/>
      </w:r>
      <w:r w:rsidR="005041E7">
        <w:instrText xml:space="preserve"> REF _Ref45808881 \r \h  \* MERGEFORMAT </w:instrText>
      </w:r>
      <w:r w:rsidR="005041E7">
        <w:fldChar w:fldCharType="separate"/>
      </w:r>
      <w:r w:rsidRPr="007C190F">
        <w:rPr>
          <w:rFonts w:eastAsia="Calibri" w:cs="Arial"/>
          <w:szCs w:val="20"/>
        </w:rPr>
        <w:t>37</w:t>
      </w:r>
      <w:r w:rsidR="005041E7">
        <w:fldChar w:fldCharType="end"/>
      </w:r>
      <w:r w:rsidRPr="007C190F">
        <w:rPr>
          <w:rFonts w:eastAsia="Calibri" w:cs="Arial"/>
          <w:szCs w:val="20"/>
        </w:rPr>
        <w:t>. člena tega zakona. Če se prijavitelj v določenem roku ne izjavi, to ni ovira za izdajo odločbe.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(položaj nadzorovanega organa)</w:t>
      </w:r>
    </w:p>
    <w:p w:rsidR="00DC2FE4" w:rsidRPr="007C190F" w:rsidRDefault="00DC2FE4" w:rsidP="00DC2FE4">
      <w:pPr>
        <w:spacing w:after="160" w:line="259" w:lineRule="auto"/>
        <w:jc w:val="both"/>
        <w:rPr>
          <w:rFonts w:eastAsia="Calibri" w:cs="Arial"/>
          <w:szCs w:val="20"/>
        </w:rPr>
      </w:pPr>
      <w:r w:rsidRPr="007C190F">
        <w:rPr>
          <w:rFonts w:eastAsia="Calibri" w:cs="Arial"/>
          <w:szCs w:val="20"/>
        </w:rPr>
        <w:t>(1) Pri izvajanju nadzora po določbah tega oddelka ima nadzorovani organ položaj stranke.</w:t>
      </w:r>
    </w:p>
    <w:p w:rsidR="00E302FA" w:rsidRPr="007C190F" w:rsidRDefault="00DC2FE4" w:rsidP="00DC2FE4">
      <w:pPr>
        <w:spacing w:after="160" w:line="259" w:lineRule="auto"/>
        <w:jc w:val="both"/>
        <w:rPr>
          <w:rFonts w:eastAsia="Calibri" w:cs="Arial"/>
          <w:szCs w:val="20"/>
        </w:rPr>
      </w:pPr>
      <w:r w:rsidRPr="007C190F">
        <w:rPr>
          <w:rFonts w:eastAsia="Calibri" w:cs="Arial"/>
          <w:szCs w:val="20"/>
        </w:rPr>
        <w:t>(2) Nadzorni organ pred izdajo odločbe nadzorovanemu organu vroči zapis ugotovitev, bistvenih za odločitev</w:t>
      </w:r>
      <w:r w:rsidR="004616DB" w:rsidRPr="007C190F">
        <w:rPr>
          <w:rFonts w:eastAsia="Calibri" w:cs="Arial"/>
          <w:szCs w:val="20"/>
        </w:rPr>
        <w:t xml:space="preserve"> v tem postopku</w:t>
      </w:r>
      <w:r w:rsidRPr="007C190F">
        <w:rPr>
          <w:rFonts w:eastAsia="Calibri" w:cs="Arial"/>
          <w:szCs w:val="20"/>
        </w:rPr>
        <w:t>, in ga pozove, naj se v določenem roku, ki ne sme biti krajši od 48 ur, pisno ali ustno o njih izjavi, o čemer se nadzorni organ opredeli v odločbi. Če se nadzorovani organ v določenem roku ne izjavi, to ni ovira za izdajo odločbe.</w:t>
      </w:r>
    </w:p>
    <w:p w:rsidR="00E302FA" w:rsidRPr="007C190F" w:rsidRDefault="00E302FA" w:rsidP="00247AE7">
      <w:pPr>
        <w:pStyle w:val="Odstavekseznama"/>
        <w:numPr>
          <w:ilvl w:val="0"/>
          <w:numId w:val="22"/>
        </w:numPr>
        <w:spacing w:before="360" w:after="160" w:line="259" w:lineRule="auto"/>
        <w:jc w:val="center"/>
        <w:outlineLvl w:val="4"/>
        <w:rPr>
          <w:rFonts w:eastAsia="Calibri"/>
          <w:b/>
          <w:szCs w:val="20"/>
        </w:rPr>
      </w:pPr>
      <w:bookmarkStart w:id="39" w:name="_Ref45808881"/>
      <w:r w:rsidRPr="007C190F">
        <w:rPr>
          <w:rFonts w:eastAsia="Calibri"/>
          <w:b/>
          <w:szCs w:val="20"/>
        </w:rPr>
        <w:t>člen</w:t>
      </w:r>
      <w:r w:rsidRPr="007C190F">
        <w:rPr>
          <w:rFonts w:eastAsia="Calibri"/>
          <w:b/>
          <w:szCs w:val="20"/>
        </w:rPr>
        <w:br/>
        <w:t>(odločba)</w:t>
      </w:r>
      <w:bookmarkEnd w:id="39"/>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Odločba v postopku nadzora po določbah tega oddelka poleg sestavin, ki jih določa zakon, ki ureja splošni upravni postopek, vsebuje: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ugotovitev o obstoju ali neobstoju zatrjevane kršitve obdelave osebnih podatkov prijavitelja s posebnim položajem v trenutku vložitve prijave;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ukrepe, odrejene nadzorovanemu organu glede obdelave osebnih podatkov, ki se nanašajo na prijavitelja s posebnim položajem, in rok za njihovo izvedbo;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dovoljen obseg pregleda spisa zadeve za prijavitelja s posebnim položajem.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Ne glede na prejšnji odstavek odločba v skladu z določbo tretjega odstavka </w:t>
      </w:r>
      <w:r w:rsidR="005041E7">
        <w:fldChar w:fldCharType="begin"/>
      </w:r>
      <w:r w:rsidR="005041E7">
        <w:instrText xml:space="preserve"> REF _Ref40177841 \r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xml:space="preserve">. člena tega zakona ne obsega razlogov za zavrnitev ali omejitev dostopa, če bi to ogrozilo izvrševanje namena zavrnitve ali omejitve dostopa iz prvega odstavka </w:t>
      </w:r>
      <w:r w:rsidR="005041E7">
        <w:fldChar w:fldCharType="begin"/>
      </w:r>
      <w:r w:rsidR="005041E7">
        <w:instrText xml:space="preserve"> REF _Ref40177841 \r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xml:space="preserve">. člena tega zakona. Odločba v skladu s četrtim odstavkom </w:t>
      </w:r>
      <w:r w:rsidR="005041E7">
        <w:fldChar w:fldCharType="begin"/>
      </w:r>
      <w:r w:rsidR="005041E7">
        <w:instrText xml:space="preserve"> REF _Ref40177841 \r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člena tega zakona tudi ne obsega navedb, s katerimi bi se potrdilo ali zanikalo izvajanje ali neizvajanje prikritih preiskovalnih ukrepov iz zakona, ki ureja kazenski postopek, ali prikritih in namenskih kontrol iz zakona, ki ureja naloge in pooblastila policije.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Konkretne razloge iz prvega stavka prejšnjega odstavka nadzorni organ navede ločeno v prilogi k odločbi. Priloga</w:t>
      </w:r>
      <w:r w:rsidR="001427C8" w:rsidRPr="007C190F">
        <w:rPr>
          <w:rFonts w:eastAsia="Calibri" w:cs="Arial"/>
          <w:szCs w:val="20"/>
        </w:rPr>
        <w:t>, opremljena s številko zadeve, datumom in podpisom pristojne uradne osebe,</w:t>
      </w:r>
      <w:r w:rsidRPr="007C190F">
        <w:rPr>
          <w:rFonts w:eastAsia="Calibri" w:cs="Arial"/>
          <w:szCs w:val="20"/>
        </w:rPr>
        <w:t xml:space="preserve"> se ne vroča prijavitelju s posebnim položajem.</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(ukrepanje glede obdelav osebnih podatkov drugih posameznikov)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Kadar nadzorni organ v postopku nadzora zazna sum kršitve varstva pravic glede osebnih podatkov po določbah tega oddelka, ki bi lahko vplivale na pravico drugih posameznikov, na katere se nanašajo osebni podatki, uvede tudi postopek nadzora po določbah naslednjega poglavja.</w:t>
      </w: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IV. POGLAVJE</w:t>
      </w:r>
      <w:r w:rsidRPr="007C190F">
        <w:rPr>
          <w:rFonts w:ascii="Calibri Light" w:hAnsi="Calibri Light"/>
          <w:sz w:val="26"/>
          <w:szCs w:val="26"/>
        </w:rPr>
        <w:br/>
        <w:t>INŠPEKCIJSKI NADZOR GLEDE VARSTVA OSEBNIH PODATKOV</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(uporaba zakona, ki ureja inšpekcijski nadzor)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postopku inšpekcijskega nadzora po tem poglavju se uporabljajo določbe </w:t>
      </w:r>
      <w:r w:rsidR="005041E7">
        <w:fldChar w:fldCharType="begin"/>
      </w:r>
      <w:r w:rsidR="005041E7">
        <w:instrText xml:space="preserve"> REF _Ref44325486 \r \h  \* MERGEFORMAT </w:instrText>
      </w:r>
      <w:r w:rsidR="005041E7">
        <w:fldChar w:fldCharType="separate"/>
      </w:r>
      <w:r w:rsidR="009C0CED" w:rsidRPr="007C190F">
        <w:rPr>
          <w:rFonts w:eastAsia="Calibri" w:cs="Arial"/>
          <w:szCs w:val="20"/>
        </w:rPr>
        <w:t>14</w:t>
      </w:r>
      <w:r w:rsidR="005041E7">
        <w:fldChar w:fldCharType="end"/>
      </w:r>
      <w:r w:rsidRPr="007C190F">
        <w:rPr>
          <w:rFonts w:eastAsia="Calibri" w:cs="Arial"/>
          <w:szCs w:val="20"/>
        </w:rPr>
        <w:t xml:space="preserve">. člena, </w:t>
      </w:r>
      <w:r w:rsidR="005041E7">
        <w:fldChar w:fldCharType="begin"/>
      </w:r>
      <w:r w:rsidR="005041E7">
        <w:instrText xml:space="preserve"> REF _Ref44325510 \r \h  \* MERGEFORMAT </w:instrText>
      </w:r>
      <w:r w:rsidR="005041E7">
        <w:fldChar w:fldCharType="separate"/>
      </w:r>
      <w:r w:rsidR="009C0CED" w:rsidRPr="007C190F">
        <w:rPr>
          <w:rFonts w:eastAsia="Calibri" w:cs="Arial"/>
          <w:szCs w:val="20"/>
        </w:rPr>
        <w:t>29</w:t>
      </w:r>
      <w:r w:rsidR="005041E7">
        <w:fldChar w:fldCharType="end"/>
      </w:r>
      <w:r w:rsidRPr="007C190F">
        <w:rPr>
          <w:rFonts w:eastAsia="Calibri" w:cs="Arial"/>
          <w:szCs w:val="20"/>
        </w:rPr>
        <w:t xml:space="preserve">. do </w:t>
      </w:r>
      <w:r w:rsidR="005041E7">
        <w:fldChar w:fldCharType="begin"/>
      </w:r>
      <w:r w:rsidR="005041E7">
        <w:instrText xml:space="preserve"> REF _Ref44321027 \r \h  \* MERGEFORMAT </w:instrText>
      </w:r>
      <w:r w:rsidR="005041E7">
        <w:fldChar w:fldCharType="separate"/>
      </w:r>
      <w:r w:rsidR="009C0CED" w:rsidRPr="007C190F">
        <w:rPr>
          <w:rFonts w:eastAsia="Calibri" w:cs="Arial"/>
          <w:szCs w:val="20"/>
        </w:rPr>
        <w:t>32</w:t>
      </w:r>
      <w:r w:rsidR="005041E7">
        <w:fldChar w:fldCharType="end"/>
      </w:r>
      <w:r w:rsidRPr="007C190F">
        <w:rPr>
          <w:rFonts w:eastAsia="Calibri" w:cs="Arial"/>
          <w:szCs w:val="20"/>
        </w:rPr>
        <w:t xml:space="preserve">. člena ter drugega in tretjega odstavka </w:t>
      </w:r>
      <w:r w:rsidR="005041E7">
        <w:fldChar w:fldCharType="begin"/>
      </w:r>
      <w:r w:rsidR="005041E7">
        <w:instrText xml:space="preserve"> REF _Ref45808881 \r \h  \* MERGEFORMAT </w:instrText>
      </w:r>
      <w:r w:rsidR="005041E7">
        <w:fldChar w:fldCharType="separate"/>
      </w:r>
      <w:r w:rsidR="009C0CED" w:rsidRPr="007C190F">
        <w:rPr>
          <w:rFonts w:eastAsia="Calibri" w:cs="Arial"/>
          <w:szCs w:val="20"/>
        </w:rPr>
        <w:t>37</w:t>
      </w:r>
      <w:r w:rsidR="005041E7">
        <w:fldChar w:fldCharType="end"/>
      </w:r>
      <w:r w:rsidRPr="007C190F">
        <w:rPr>
          <w:rFonts w:eastAsia="Calibri" w:cs="Arial"/>
          <w:szCs w:val="20"/>
        </w:rPr>
        <w:t xml:space="preserve">. člena tega zakona. Za vprašanja inšpekcijskega nadzora, ki niso urejena z določbami </w:t>
      </w:r>
      <w:r w:rsidR="005041E7">
        <w:fldChar w:fldCharType="begin"/>
      </w:r>
      <w:r w:rsidR="005041E7">
        <w:instrText xml:space="preserve"> REF _Ref44325486 \r \h  \* MERGEFORMAT </w:instrText>
      </w:r>
      <w:r w:rsidR="005041E7">
        <w:fldChar w:fldCharType="separate"/>
      </w:r>
      <w:r w:rsidR="009C0CED" w:rsidRPr="007C190F">
        <w:rPr>
          <w:rFonts w:eastAsia="Calibri" w:cs="Arial"/>
          <w:szCs w:val="20"/>
        </w:rPr>
        <w:t>14</w:t>
      </w:r>
      <w:r w:rsidR="005041E7">
        <w:fldChar w:fldCharType="end"/>
      </w:r>
      <w:r w:rsidRPr="007C190F">
        <w:rPr>
          <w:rFonts w:eastAsia="Calibri" w:cs="Arial"/>
          <w:szCs w:val="20"/>
        </w:rPr>
        <w:t xml:space="preserve">. člena in </w:t>
      </w:r>
      <w:r w:rsidR="005041E7">
        <w:fldChar w:fldCharType="begin"/>
      </w:r>
      <w:r w:rsidR="005041E7">
        <w:instrText xml:space="preserve"> REF _Ref44325510 \r \h  \* MERGEFORMAT </w:instrText>
      </w:r>
      <w:r w:rsidR="005041E7">
        <w:fldChar w:fldCharType="separate"/>
      </w:r>
      <w:r w:rsidR="009C0CED" w:rsidRPr="007C190F">
        <w:rPr>
          <w:rFonts w:eastAsia="Calibri" w:cs="Arial"/>
          <w:szCs w:val="20"/>
        </w:rPr>
        <w:t>29</w:t>
      </w:r>
      <w:r w:rsidR="005041E7">
        <w:fldChar w:fldCharType="end"/>
      </w:r>
      <w:r w:rsidRPr="007C190F">
        <w:rPr>
          <w:rFonts w:eastAsia="Calibri" w:cs="Arial"/>
          <w:szCs w:val="20"/>
        </w:rPr>
        <w:t xml:space="preserve">. do </w:t>
      </w:r>
      <w:r w:rsidR="005041E7">
        <w:fldChar w:fldCharType="begin"/>
      </w:r>
      <w:r w:rsidR="005041E7">
        <w:instrText xml:space="preserve"> REF _Ref44321027 \r \h  \* MERGEFORMAT </w:instrText>
      </w:r>
      <w:r w:rsidR="005041E7">
        <w:fldChar w:fldCharType="separate"/>
      </w:r>
      <w:r w:rsidR="009C0CED" w:rsidRPr="007C190F">
        <w:rPr>
          <w:rFonts w:eastAsia="Calibri" w:cs="Arial"/>
          <w:szCs w:val="20"/>
        </w:rPr>
        <w:t>32</w:t>
      </w:r>
      <w:r w:rsidR="005041E7">
        <w:fldChar w:fldCharType="end"/>
      </w:r>
      <w:r w:rsidRPr="007C190F">
        <w:rPr>
          <w:rFonts w:eastAsia="Calibri" w:cs="Arial"/>
          <w:szCs w:val="20"/>
        </w:rPr>
        <w:t>. člena tega zakona, se uporabljajo določbe zakona, ki ureja inšpekcijski nadzor.</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(uvedba inšpekcijskega nadzora)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Nadzorni organ uvede inšpekcijski nadzor v skladu z določbami zakona, ki ureja inšpekcijski nadzor.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Nadzorni organ uvede inšpekcijski nadzor tudi na pobudo, ki jo prejme od drugega državnega organa, nadzornih javnih agencij Republike Slovenije ali nadzornega organa za varstvo osebnih podatkov države članice Evropske unije in Sveta Evrope.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V. POGLAVJE</w:t>
      </w:r>
      <w:r w:rsidRPr="007C190F">
        <w:rPr>
          <w:rFonts w:ascii="Calibri Light" w:hAnsi="Calibri Light"/>
          <w:sz w:val="26"/>
          <w:szCs w:val="26"/>
        </w:rPr>
        <w:br/>
        <w:t>OBVEZNOSTI PRISTOJNIH ORGANOV, OBDELOVALCEV IN SKUPNIH UPRAVLJAVCEV</w:t>
      </w: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1. oddelek – splošne obveznosti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0" w:name="_Ref40185553"/>
      <w:r w:rsidRPr="007C190F">
        <w:rPr>
          <w:rFonts w:eastAsia="Calibri"/>
          <w:b/>
          <w:szCs w:val="20"/>
        </w:rPr>
        <w:t>člen</w:t>
      </w:r>
      <w:r w:rsidRPr="007C190F">
        <w:rPr>
          <w:rFonts w:eastAsia="Calibri"/>
          <w:b/>
          <w:szCs w:val="20"/>
        </w:rPr>
        <w:br/>
        <w:t>(odgovornost pristojnega organa za skladnost obdelave)</w:t>
      </w:r>
      <w:bookmarkEnd w:id="40"/>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izvede in dokumentira ustrezne tehnične in organizacijske ukrepe, s katerimi zagotovi skladnost obdelave z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pri izbiri ukrepov iz prejšnjega odstavka upošteva naravo, obseg, okoliščine in namene obdelave ter tveganja za človekove pravice in temeljne svoboščine, ki so povezana z obdelavo in se razlikujejo po verjetnosti in resnosti. Kadar je to sorazmerno glede na dejavnosti obdelave, ukrepi vključujejo tudi izvajanje ustreznih politik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ukrepe iz prvega odstavka tega člena pregleda in dopolni, kadar se spremenijo okoliščine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Pristojni organ izbriše osebne podatke po uradni dolžnosti, ko poteče rok hrambe, določen z zakonom, ali v drugih primerih, ki jih določa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Pristojni organ omogoči nadzornemu organu nemoteno opravljanje njegovih nalog in na zahtevo nadzornega organa z njim sodeluje pri izvajanju pristojnosti nadzornega organa, določenih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Pristojni organ mora biti zmožen izkazati skladnost obdelave z zakonom.</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cs="Arial"/>
          <w:b/>
          <w:szCs w:val="20"/>
        </w:rPr>
        <w:lastRenderedPageBreak/>
        <w:t>člen</w:t>
      </w:r>
      <w:r w:rsidRPr="007C190F">
        <w:rPr>
          <w:rFonts w:eastAsia="Calibri"/>
          <w:b/>
          <w:szCs w:val="20"/>
        </w:rPr>
        <w:br/>
        <w:t>(vgrajeno in privzeto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izvede ustrezne tehnične in organizacijske ukrepe za vgrajeno varstvo osebnih podatkov, kot je psevdonimizacija, s katerimi se med načrtovanjem obdelave in med njenim izvajanjem zagotovi učinkovito uveljavljanje načel varstva osebnih podatkov ter varstvo pravic posameznikov, na katere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pri izbiri ukrepov iz prejšnjega odstavka upošteva stanje najnovejšega tehnološkega razvoja in stroške izvajanja ter naravo, obseg, okoliščine in namene obdelave, pa tudi tveganja za človekove pravice in temeljne svoboščine posameznikov, povezane z obdelavo, ki se razlikujejo po verjetnosti in resnosti.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izvede ustrezne tehnične in organizacijske ukrepe, s katerimi vzpostavi sistem privzetega varstva osebnih podatkov, kar vključuje privzeto obdelavo samo tistih osebnih podatkov, ki so potrebni za vsak posamični namen obdelave. Obveznost iz prejšnjega stavka velja glede na količino zbranih osebnih podatkov, obseg njihove obdelave, rok njihove hrambe in njihovo dostopnost. S temi ukrepi je treba zagotoviti zlasti, da osebni podatki niso samodejno dostopni nedoločenemu številu oseb brez posredovanja pristojne osebe pristojnega organa.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1" w:name="_Ref40188865"/>
      <w:r w:rsidRPr="007C190F">
        <w:rPr>
          <w:rFonts w:eastAsia="Calibri"/>
          <w:b/>
          <w:szCs w:val="20"/>
        </w:rPr>
        <w:t>člen</w:t>
      </w:r>
      <w:r w:rsidRPr="007C190F">
        <w:rPr>
          <w:rFonts w:eastAsia="Calibri"/>
          <w:b/>
          <w:szCs w:val="20"/>
        </w:rPr>
        <w:br/>
        <w:t>(skupni upravljavci)</w:t>
      </w:r>
      <w:bookmarkEnd w:id="41"/>
    </w:p>
    <w:p w:rsidR="00E302FA" w:rsidRPr="007C190F" w:rsidRDefault="00E302FA" w:rsidP="00E302FA">
      <w:pPr>
        <w:spacing w:after="160" w:line="259" w:lineRule="auto"/>
        <w:jc w:val="both"/>
        <w:rPr>
          <w:rFonts w:eastAsia="Calibri" w:cs="Arial"/>
          <w:szCs w:val="20"/>
        </w:rPr>
      </w:pPr>
      <w:r w:rsidRPr="007C190F">
        <w:rPr>
          <w:rFonts w:eastAsia="Calibri" w:cs="Arial"/>
          <w:szCs w:val="20"/>
        </w:rPr>
        <w:t>(1) V primerih, ko dva ali več pristojnih organov ali pristojnih organov in upravljavcev skupaj določijo sredstva obdelave, ti veljajo za skupne upravljavce. Skupni upravljavci pregledno z medsebojnim pisnim dogovorom določijo dolžnosti vsakega od njih za izpolnjevanje obveznosti iz tega zakona, zlasti v zvezi z uresničevanjem pravic posameznika, na katerega se nanašajo osebni podatki, ter v zvezi z nalogami vsakega od njih glede dajanja informacij, razen če in kolikor so te dolžnosti določene že z zakonom. Z dogovorom ali zakonom se lahko določi tudi enotna kontaktna točka za uveljavljanje pravic posameznikov, na katere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Posameznik, na katerega se nanašajo osebni podatki, lahko ne glede na določbe dogovora oziroma zakona uresničuje pravice, ki jih ima na podlagi tega zakona glede varstva svojih pravic s področja osebnih podatkov, pri vsakem od skupnih upravljavcev.</w:t>
      </w:r>
    </w:p>
    <w:p w:rsidR="00E302FA" w:rsidRPr="007C190F" w:rsidRDefault="00E302FA" w:rsidP="00247AE7">
      <w:pPr>
        <w:pStyle w:val="Odstavekseznama"/>
        <w:numPr>
          <w:ilvl w:val="0"/>
          <w:numId w:val="22"/>
        </w:numPr>
        <w:spacing w:before="360" w:after="160" w:line="259" w:lineRule="auto"/>
        <w:jc w:val="center"/>
        <w:outlineLvl w:val="4"/>
        <w:rPr>
          <w:rFonts w:eastAsia="Calibri"/>
          <w:b/>
          <w:szCs w:val="20"/>
        </w:rPr>
      </w:pPr>
      <w:bookmarkStart w:id="42" w:name="_Ref40098112"/>
      <w:r w:rsidRPr="007C190F">
        <w:rPr>
          <w:rFonts w:eastAsia="Calibri"/>
          <w:b/>
          <w:szCs w:val="20"/>
        </w:rPr>
        <w:t>člen</w:t>
      </w:r>
      <w:r w:rsidRPr="007C190F">
        <w:rPr>
          <w:rFonts w:eastAsia="Calibri"/>
          <w:b/>
          <w:szCs w:val="20"/>
        </w:rPr>
        <w:br/>
        <w:t>(obdelovalec)</w:t>
      </w:r>
      <w:bookmarkEnd w:id="42"/>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sme zaupati izvajanje posamezne obdelave le tistemu obdelovalcu, ki da zadostna zagotovila za izvedbo ustreznih tehničnih in organizacijskih ukrepov, da bo obdelava potekala v skladu z zakonom in da bo zagotovljeno varstvo pravic posameznika, na katerega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Obdelovalec lahko izvajanje posamezne obdelave nadalje zaupa drugemu obdelovalcu, ob izpolnjevanju pogojev iz prejšnjega odstavka, le na podlagi predhodnega posebnega pisnega dovoljenja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in obdelovalec s pogodbo določita vsebino in trajanje dejanj obdelave, katerih izvajanje se zaupa obdelovalcu, naravo in namen teh obdelav, vrste osebnih podatkov, ki naj se obdelujejo, kategorije posameznikov, na katere se nanašajo osebni podatki, ter obveznosti in pravice pristojnega organa in obdelovalca. Pogodba poleg navedenega določa tudi, da obdelovalec:</w:t>
      </w:r>
    </w:p>
    <w:p w:rsidR="00E302FA" w:rsidRPr="007C190F" w:rsidRDefault="00E302FA" w:rsidP="00E302FA">
      <w:pPr>
        <w:spacing w:line="259" w:lineRule="auto"/>
        <w:jc w:val="both"/>
        <w:rPr>
          <w:rFonts w:eastAsia="Calibri" w:cs="Arial"/>
          <w:szCs w:val="20"/>
        </w:rPr>
      </w:pPr>
      <w:r w:rsidRPr="007C190F">
        <w:rPr>
          <w:rFonts w:eastAsia="Calibri" w:cs="Arial"/>
          <w:szCs w:val="20"/>
        </w:rPr>
        <w:t>1. deluje samo po navodilih upravljavca;</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line="259" w:lineRule="auto"/>
        <w:jc w:val="both"/>
        <w:rPr>
          <w:rFonts w:eastAsia="Calibri" w:cs="Arial"/>
          <w:szCs w:val="20"/>
        </w:rPr>
      </w:pPr>
      <w:r w:rsidRPr="007C190F">
        <w:rPr>
          <w:rFonts w:eastAsia="Calibri" w:cs="Arial"/>
          <w:szCs w:val="20"/>
        </w:rPr>
        <w:t>2. zagotovi, da so osebe pri obdelovalcu, ki bodo pooblaščene za obdelavo osebnih podatkov, zavezane k zaupnosti ali jih k zaupnosti zavezuje zakon;</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line="259" w:lineRule="auto"/>
        <w:jc w:val="both"/>
        <w:rPr>
          <w:rFonts w:eastAsia="Calibri" w:cs="Arial"/>
          <w:szCs w:val="20"/>
        </w:rPr>
      </w:pPr>
      <w:r w:rsidRPr="007C190F">
        <w:rPr>
          <w:rFonts w:eastAsia="Calibri" w:cs="Arial"/>
          <w:szCs w:val="20"/>
        </w:rPr>
        <w:t>3. ustrezno pomaga pristojnemu organu pri zagotavljanju pravic posameznika, na katerega se nanašajo osebni podatki;</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line="259" w:lineRule="auto"/>
        <w:jc w:val="both"/>
        <w:rPr>
          <w:rFonts w:eastAsia="Calibri" w:cs="Arial"/>
          <w:szCs w:val="20"/>
        </w:rPr>
      </w:pPr>
      <w:r w:rsidRPr="007C190F">
        <w:rPr>
          <w:rFonts w:eastAsia="Calibri" w:cs="Arial"/>
          <w:szCs w:val="20"/>
        </w:rPr>
        <w:t>4. v skladu z navodili pristojnega organa po zaključku izvajanja obdelave izbriše ali vrne vse osebne podatke pristojnemu organu</w:t>
      </w:r>
      <w:r w:rsidRPr="007C190F" w:rsidDel="003033B8">
        <w:rPr>
          <w:rFonts w:eastAsia="Calibri" w:cs="Arial"/>
          <w:szCs w:val="20"/>
        </w:rPr>
        <w:t xml:space="preserve"> </w:t>
      </w:r>
      <w:r w:rsidRPr="007C190F">
        <w:rPr>
          <w:rFonts w:eastAsia="Calibri" w:cs="Arial"/>
          <w:szCs w:val="20"/>
        </w:rPr>
        <w:t>ter uniči obstoječe kopije teh osebnih podatkov, vključno z morebitnimi dnevniškimi zapisi in varnostnimi kopijami, razen v primerih, ko zakon predpisuje nadaljnjo hrambo teh osebnih podatkov;</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line="259" w:lineRule="auto"/>
        <w:jc w:val="both"/>
        <w:rPr>
          <w:rFonts w:eastAsia="Calibri" w:cs="Arial"/>
          <w:szCs w:val="20"/>
        </w:rPr>
      </w:pPr>
      <w:r w:rsidRPr="007C190F">
        <w:rPr>
          <w:rFonts w:eastAsia="Calibri" w:cs="Arial"/>
          <w:szCs w:val="20"/>
        </w:rPr>
        <w:t xml:space="preserve">5. da pristojnemu organu na razpolago vse informacije, potrebne za izkazovanje skladnosti obdelave z določbami tega člena; </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pri vključitvi drugega obdelovalca zagotovi izpolnjevanje pogojev iz prejšnjega in tega odstavka.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Pogodba iz prejšnjega odstavka mora biti sklenjena v pisni obliki.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Če obdelovalec iz prvega ali drugega odstavka tega člena v nasprotju z določbami tega zakona oziroma pogodbe iz tretjega odstavka tega člana samostojno določi druge namene oziroma sredstva obdelave, se ta obdelovalec v zvezi s to obdelavo šteje za upravljavca.</w:t>
      </w:r>
    </w:p>
    <w:p w:rsidR="00E302FA" w:rsidRPr="007C190F" w:rsidRDefault="00E302FA" w:rsidP="00E302FA">
      <w:pPr>
        <w:spacing w:after="160" w:line="259" w:lineRule="auto"/>
        <w:jc w:val="both"/>
        <w:rPr>
          <w:rFonts w:eastAsia="Calibri" w:cs="Arial"/>
          <w:b/>
          <w:szCs w:val="20"/>
        </w:rPr>
      </w:pPr>
      <w:r w:rsidRPr="007C190F">
        <w:rPr>
          <w:rFonts w:eastAsia="Calibri" w:cs="Arial"/>
          <w:szCs w:val="20"/>
        </w:rPr>
        <w:t>(6) Obdelovalec nadzornemu organu omogoči nemoteno opravljanje njegovih nalog in na zahtevo sodeluje z nadzornim organom pri izvajanju njegovih pristojnosti, v skladu z določbami tega zakona.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3" w:name="_Ref45616327"/>
      <w:r w:rsidRPr="007C190F">
        <w:rPr>
          <w:rFonts w:eastAsia="Calibri"/>
          <w:b/>
          <w:szCs w:val="20"/>
        </w:rPr>
        <w:t>člen</w:t>
      </w:r>
      <w:r w:rsidRPr="007C190F">
        <w:rPr>
          <w:rFonts w:eastAsia="Calibri"/>
          <w:b/>
          <w:szCs w:val="20"/>
        </w:rPr>
        <w:br/>
        <w:t>(dolžnost upoštevanja navodil pristojnega organa)</w:t>
      </w:r>
      <w:bookmarkEnd w:id="43"/>
    </w:p>
    <w:p w:rsidR="00E302FA" w:rsidRPr="007C190F" w:rsidRDefault="00E302FA" w:rsidP="00E302FA">
      <w:pPr>
        <w:spacing w:after="160" w:line="259" w:lineRule="auto"/>
        <w:jc w:val="both"/>
        <w:rPr>
          <w:rFonts w:eastAsia="Calibri" w:cs="Arial"/>
          <w:szCs w:val="20"/>
        </w:rPr>
      </w:pPr>
      <w:r w:rsidRPr="007C190F">
        <w:rPr>
          <w:rFonts w:eastAsia="Calibri" w:cs="Arial"/>
          <w:szCs w:val="20"/>
        </w:rPr>
        <w:t>Vsakdo, ki dela za pristojni organ ali drugega upravljavca ali obdelovalca in ima dostop do osebnih podatkov, teh osebnih podatkov ne sme obdelovati brez navodila pristojnega organa, razen če to določa zakon.</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4" w:name="_Ref40431019"/>
      <w:r w:rsidRPr="007C190F">
        <w:rPr>
          <w:rFonts w:eastAsia="Calibri"/>
          <w:b/>
          <w:szCs w:val="20"/>
        </w:rPr>
        <w:t>člen</w:t>
      </w:r>
      <w:r w:rsidRPr="007C190F">
        <w:rPr>
          <w:rFonts w:eastAsia="Calibri"/>
          <w:b/>
          <w:szCs w:val="20"/>
        </w:rPr>
        <w:br/>
        <w:t>(evidenca dejavnosti obdelave)</w:t>
      </w:r>
      <w:bookmarkEnd w:id="44"/>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upravlja evidenco vseh kategorij dejavnosti obdelave osebnih podatkov ter skrbi za njeno točnost in posodobljenost.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Evidenca iz prejšnjega odstavka vsebuje: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naziv oziroma ime in kontaktne podatke pristojnega organa in njegove pooblaščene osebe za varstvo osebnih podatkov in, kadar obstaja, skupnega upravljavca;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namene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opis kategorij posameznikov, na katere se nanašajo osebni podatki, in vrst osebnih podatkov, ki se obdelujejo;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kategorije uporabnikov, ki so jim bili ali jim bodo razkriti osebni podatki, vključno z uporabniki v tretjih državah ali mednarodnih organizacijah;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kategorije prenosov osebnih podatkov v tretjo državo ali mednarodno organizacijo;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roke za izbris oziroma pregled potrebe po hrambi za posamezne kategorije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kadar je ustrezno, splošni opis tehničnih in organizacijskih ukrepov za zagotavljanje varnosti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navedbo pravne podlage za dejavnost obdelave, vključno s pravno podlago za prenose;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informacijo, ali se pri dejavnosti obdelave oblikujejo profili.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(3) Obdelovalec upravlja evidenco vseh kategorij dejavnosti obdelave, ki jih izvaja v imenu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Evidenca iz prejšnjega odstavka vsebuje: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naziv oziroma ime in kontaktne podatke obdelovalca ali obdelovalcev, posameznih pristojnih organov, v imenu katerih deluje obdelovalec, kadar jo ima imenovano, pa tudi naziv oziroma ime in kontaktne podatke pooblaščene osebe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kategorije obdelav, ki jih izvaja v imenu posameznega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kadar je ustrezno, prenose osebnih podatkov v tretjo državo ali mednarodno organizacijo in identifikacijo te tretje države ali mednarodne organizacije, kadar to izrecno naroči pristojni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kadar je ustrezno, splošni opis tehničnih in organizacijskih ukrepov za zagotavljanje varnosti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Evidenci iz prvega in tretjega odstavka tega člena morata biti v pisni obliki ali z njo enakovredni elektronski obliki.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Pristojni organ in obdelovalec nadzornemu organu na njegovo zahtevo omogočita dostop do evidenc iz prvega in tretjega odstavka tega člena.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5" w:name="_Ref40430102"/>
      <w:r w:rsidRPr="007C190F">
        <w:rPr>
          <w:rFonts w:eastAsia="Calibri"/>
          <w:b/>
          <w:szCs w:val="20"/>
        </w:rPr>
        <w:t>člen</w:t>
      </w:r>
      <w:r w:rsidRPr="007C190F">
        <w:rPr>
          <w:rFonts w:eastAsia="Calibri"/>
          <w:b/>
          <w:szCs w:val="20"/>
        </w:rPr>
        <w:br/>
        <w:t>(vodenje dnevnikov)</w:t>
      </w:r>
      <w:bookmarkEnd w:id="45"/>
    </w:p>
    <w:p w:rsidR="00E302FA" w:rsidRPr="007C190F" w:rsidRDefault="00E302FA" w:rsidP="00E302FA">
      <w:pPr>
        <w:spacing w:line="240" w:lineRule="auto"/>
        <w:jc w:val="both"/>
        <w:rPr>
          <w:rFonts w:cs="Arial"/>
          <w:szCs w:val="20"/>
          <w:lang w:eastAsia="sl-SI"/>
        </w:rPr>
      </w:pPr>
      <w:r w:rsidRPr="007C190F">
        <w:rPr>
          <w:rFonts w:cs="Arial"/>
          <w:szCs w:val="20"/>
          <w:lang w:eastAsia="sl-SI"/>
        </w:rPr>
        <w:t xml:space="preserve">(1) Pristojni organi, skupni upravljavci iz </w:t>
      </w:r>
      <w:r w:rsidR="005041E7">
        <w:fldChar w:fldCharType="begin"/>
      </w:r>
      <w:r w:rsidR="005041E7">
        <w:instrText xml:space="preserve"> REF _Ref40188865 \n \h  \* MERGEFORMAT </w:instrText>
      </w:r>
      <w:r w:rsidR="005041E7">
        <w:fldChar w:fldCharType="separate"/>
      </w:r>
      <w:r w:rsidR="009C0CED" w:rsidRPr="007C190F">
        <w:rPr>
          <w:rFonts w:cs="Arial"/>
          <w:szCs w:val="20"/>
          <w:lang w:eastAsia="sl-SI"/>
        </w:rPr>
        <w:t>43</w:t>
      </w:r>
      <w:r w:rsidR="005041E7">
        <w:fldChar w:fldCharType="end"/>
      </w:r>
      <w:r w:rsidRPr="007C190F">
        <w:rPr>
          <w:rFonts w:cs="Arial"/>
          <w:szCs w:val="20"/>
          <w:lang w:eastAsia="sl-SI"/>
        </w:rPr>
        <w:t>. člena tega zakona in obdelovalci po tem zakonu vodijo dnevnik obdelave vsaj o naslednjih dejanjih obdelave osebnih podatkov v avtomatiziranih sistemih obdelave osebnih podatkov:</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1. zbiranje</w:t>
      </w:r>
      <w:r w:rsidR="004829A4">
        <w:rPr>
          <w:rFonts w:cs="Arial"/>
          <w:szCs w:val="20"/>
          <w:lang w:eastAsia="sl-SI"/>
        </w:rPr>
        <w:t>;</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2. spreminjanje</w:t>
      </w:r>
      <w:r w:rsidR="004829A4">
        <w:rPr>
          <w:rFonts w:cs="Arial"/>
          <w:szCs w:val="20"/>
          <w:lang w:eastAsia="sl-SI"/>
        </w:rPr>
        <w:t>;</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3. vpogled</w:t>
      </w:r>
      <w:r w:rsidR="004829A4">
        <w:rPr>
          <w:rFonts w:cs="Arial"/>
          <w:szCs w:val="20"/>
          <w:lang w:eastAsia="sl-SI"/>
        </w:rPr>
        <w:t>;</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4. razkritje, vključno s prenosi</w:t>
      </w:r>
      <w:r w:rsidR="004829A4">
        <w:rPr>
          <w:rFonts w:cs="Arial"/>
          <w:szCs w:val="20"/>
          <w:lang w:eastAsia="sl-SI"/>
        </w:rPr>
        <w:t>;</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5. povezovanje</w:t>
      </w:r>
      <w:r w:rsidR="004829A4">
        <w:rPr>
          <w:rFonts w:cs="Arial"/>
          <w:szCs w:val="20"/>
          <w:lang w:eastAsia="sl-SI"/>
        </w:rPr>
        <w:t>;</w:t>
      </w:r>
    </w:p>
    <w:p w:rsidR="00E302FA" w:rsidRPr="007C190F" w:rsidRDefault="00E302FA" w:rsidP="00E302FA">
      <w:pPr>
        <w:spacing w:before="120" w:line="240" w:lineRule="auto"/>
        <w:jc w:val="both"/>
        <w:rPr>
          <w:rFonts w:cs="Arial"/>
          <w:szCs w:val="20"/>
          <w:lang w:eastAsia="sl-SI"/>
        </w:rPr>
      </w:pPr>
      <w:r w:rsidRPr="007C190F">
        <w:rPr>
          <w:rFonts w:cs="Arial"/>
          <w:szCs w:val="20"/>
          <w:lang w:eastAsia="sl-SI"/>
        </w:rPr>
        <w:t>6. izbris.</w:t>
      </w:r>
    </w:p>
    <w:p w:rsidR="00E302FA" w:rsidRPr="007C190F" w:rsidRDefault="00E302FA" w:rsidP="00E302FA">
      <w:pPr>
        <w:spacing w:line="240" w:lineRule="auto"/>
        <w:jc w:val="both"/>
        <w:rPr>
          <w:rFonts w:cs="Arial"/>
          <w:szCs w:val="20"/>
          <w:lang w:eastAsia="sl-SI"/>
        </w:rPr>
      </w:pPr>
    </w:p>
    <w:p w:rsidR="00E302FA" w:rsidRPr="007C190F" w:rsidRDefault="00E302FA" w:rsidP="00E302FA">
      <w:pPr>
        <w:spacing w:line="240" w:lineRule="auto"/>
        <w:jc w:val="both"/>
        <w:rPr>
          <w:rFonts w:cs="Arial"/>
          <w:szCs w:val="20"/>
          <w:lang w:eastAsia="sl-SI"/>
        </w:rPr>
      </w:pPr>
      <w:r w:rsidRPr="007C190F">
        <w:rPr>
          <w:rFonts w:cs="Arial"/>
          <w:szCs w:val="20"/>
          <w:lang w:eastAsia="sl-SI"/>
        </w:rPr>
        <w:t xml:space="preserve">(2) Dnevnik obdelave iz prejšnjega odstavka mora vsaj za dejanja vpogleda in razkritja osebnih podatkov vsebovati utemeljitev dejanja obdelave, datum in čas obdelave, identifikacijo organa ali osebe, ki je izvedla dejanje obdelave, ter identifikacijo uporabnikov osebnih podatkov. Dodatne vsebine dnevnika obdelave določi pristojni organ ob upoštevanju drugega odstavka </w:t>
      </w:r>
      <w:r w:rsidR="005041E7">
        <w:fldChar w:fldCharType="begin"/>
      </w:r>
      <w:r w:rsidR="005041E7">
        <w:instrText xml:space="preserve"> REF _Ref40185553 \r \h  \* MERGEFORMAT </w:instrText>
      </w:r>
      <w:r w:rsidR="005041E7">
        <w:fldChar w:fldCharType="separate"/>
      </w:r>
      <w:r w:rsidR="009C0CED" w:rsidRPr="007C190F">
        <w:rPr>
          <w:rFonts w:cs="Arial"/>
          <w:szCs w:val="20"/>
          <w:lang w:eastAsia="sl-SI"/>
        </w:rPr>
        <w:t>41</w:t>
      </w:r>
      <w:r w:rsidR="005041E7">
        <w:fldChar w:fldCharType="end"/>
      </w:r>
      <w:r w:rsidRPr="007C190F">
        <w:rPr>
          <w:rFonts w:cs="Arial"/>
          <w:szCs w:val="20"/>
          <w:lang w:eastAsia="sl-SI"/>
        </w:rPr>
        <w:t>. člena tega zakona.</w:t>
      </w:r>
    </w:p>
    <w:p w:rsidR="00E302FA" w:rsidRPr="007C190F" w:rsidRDefault="00E302FA" w:rsidP="00E302FA">
      <w:pPr>
        <w:spacing w:line="240" w:lineRule="auto"/>
        <w:jc w:val="both"/>
        <w:rPr>
          <w:rFonts w:cs="Arial"/>
          <w:szCs w:val="20"/>
          <w:lang w:eastAsia="sl-SI"/>
        </w:rPr>
      </w:pPr>
    </w:p>
    <w:p w:rsidR="00E302FA" w:rsidRPr="007C190F" w:rsidRDefault="00E302FA" w:rsidP="00E302FA">
      <w:pPr>
        <w:spacing w:line="240" w:lineRule="auto"/>
        <w:jc w:val="both"/>
        <w:rPr>
          <w:rFonts w:cs="Arial"/>
          <w:szCs w:val="20"/>
          <w:lang w:eastAsia="sl-SI"/>
        </w:rPr>
      </w:pPr>
      <w:r w:rsidRPr="007C190F">
        <w:rPr>
          <w:rFonts w:cs="Arial"/>
          <w:szCs w:val="20"/>
          <w:lang w:eastAsia="sl-SI"/>
        </w:rPr>
        <w:t>(3) Dnevnik obdelave se uporablja le za preverjanje zakonitosti obdelave</w:t>
      </w:r>
      <w:r w:rsidRPr="007C190F">
        <w:rPr>
          <w:rFonts w:ascii="Times New Roman" w:hAnsi="Times New Roman"/>
          <w:sz w:val="24"/>
          <w:lang w:eastAsia="sl-SI"/>
        </w:rPr>
        <w:t xml:space="preserve"> </w:t>
      </w:r>
      <w:r w:rsidRPr="007C190F">
        <w:rPr>
          <w:rFonts w:cs="Arial"/>
          <w:szCs w:val="20"/>
          <w:lang w:eastAsia="sl-SI"/>
        </w:rPr>
        <w:t>s strani nadzornega organa ali drugih pristojnih organov, notranji nadzor, zagotavljanje celovitosti in varnosti osebnih podatkov ter za potrebe predkazenskih in kazenskih postopkov.</w:t>
      </w:r>
    </w:p>
    <w:p w:rsidR="00E302FA" w:rsidRPr="007C190F" w:rsidRDefault="00E302FA" w:rsidP="00E302FA">
      <w:pPr>
        <w:spacing w:line="240" w:lineRule="auto"/>
        <w:jc w:val="both"/>
        <w:rPr>
          <w:rFonts w:cs="Arial"/>
          <w:szCs w:val="20"/>
          <w:lang w:eastAsia="sl-SI"/>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Pristojni organi, skupni upravljavci iz </w:t>
      </w:r>
      <w:r w:rsidR="005041E7">
        <w:fldChar w:fldCharType="begin"/>
      </w:r>
      <w:r w:rsidR="005041E7">
        <w:instrText xml:space="preserve"> REF _Ref40188865 \n \h  \* MERGEFORMAT </w:instrText>
      </w:r>
      <w:r w:rsidR="005041E7">
        <w:fldChar w:fldCharType="separate"/>
      </w:r>
      <w:r w:rsidR="009C0CED" w:rsidRPr="007C190F">
        <w:rPr>
          <w:rFonts w:eastAsia="Calibri" w:cs="Arial"/>
          <w:szCs w:val="20"/>
        </w:rPr>
        <w:t>43</w:t>
      </w:r>
      <w:r w:rsidR="005041E7">
        <w:fldChar w:fldCharType="end"/>
      </w:r>
      <w:r w:rsidRPr="007C190F">
        <w:rPr>
          <w:rFonts w:eastAsia="Calibri" w:cs="Arial"/>
          <w:szCs w:val="20"/>
        </w:rPr>
        <w:t>. člena tega zakona in obdelovalci nadzornemu organu na njegovo zahtevo</w:t>
      </w:r>
      <w:r w:rsidRPr="007C190F" w:rsidDel="003F7902">
        <w:rPr>
          <w:rFonts w:eastAsia="Calibri" w:cs="Arial"/>
          <w:szCs w:val="20"/>
        </w:rPr>
        <w:t xml:space="preserve"> </w:t>
      </w:r>
      <w:r w:rsidRPr="007C190F">
        <w:rPr>
          <w:rFonts w:eastAsia="Calibri" w:cs="Arial"/>
          <w:szCs w:val="20"/>
        </w:rPr>
        <w:t>omogočijo dostop do dnevnika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Vsebina dnevnika obdelave se hrani dve leti od zaključka koledarskega leta, v katerem so bila v njih zabeležena dejanja obdelave, če drug  zakon ne določa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Vsebina dnevnika obdelave, ki ga upravlja Nacionalna enota za informacije o potnikih po zakonu, ki ureja naloge in pooblastila policije, se hrani pet let od zaključka koledarskega leta, v katerem so bila v njih zabeležena dejanja obdelave.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6" w:name="_Ref40431038"/>
      <w:r w:rsidRPr="007C190F">
        <w:rPr>
          <w:rFonts w:eastAsia="Calibri"/>
          <w:b/>
          <w:szCs w:val="20"/>
        </w:rPr>
        <w:lastRenderedPageBreak/>
        <w:t>člen</w:t>
      </w:r>
      <w:r w:rsidRPr="007C190F">
        <w:rPr>
          <w:rFonts w:eastAsia="Calibri"/>
          <w:b/>
          <w:szCs w:val="20"/>
        </w:rPr>
        <w:br/>
        <w:t>(preverjanje kakovosti osebnih podatkov)</w:t>
      </w:r>
      <w:bookmarkEnd w:id="46"/>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sprejme vse razumne ukrepe, da se pred posredovanjem osebnih podatkov ali njihovim dajanjem na razpolago preveri njihova točnost, popolnost, zanesljivost in posodobljenost.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Kolikor je to mogoče, pristojni organ osebnim podatkom, ki se posredujejo ali dajo na razpolago, priloži informacije, na podlagi katerih lahko uporabnik oceni njihovo točnost, popolnost, zanesljivost in posodobljenost.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Kadar se izkaže, da so bili posredovani ali dani na razpolago osebni podatki, ki ne ustrezajo zahtevam iz prvega odstavka tega člena, ali so bili posredovani nezakonito, pristojni organ to nemudoma sporoči vsem uporabnikom.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Pristojni organ v primeru iz prejšnjega odstavka nemudoma popravi osebne podatke oziroma jih izbriše ali omeji njihovo obdelavo.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Ob izbrisu osebnih podatkov je zaradi zagotavljanja sledljivosti obdelave osebnih podatkov v skladu </w:t>
      </w:r>
      <w:r w:rsidRPr="007C190F">
        <w:rPr>
          <w:rFonts w:eastAsia="Calibri" w:cs="Arial"/>
          <w:iCs/>
          <w:szCs w:val="20"/>
        </w:rPr>
        <w:t>s prejšnjim členom</w:t>
      </w:r>
      <w:r w:rsidRPr="007C190F">
        <w:rPr>
          <w:rFonts w:eastAsia="Calibri" w:cs="Arial"/>
          <w:szCs w:val="20"/>
        </w:rPr>
        <w:t xml:space="preserve"> dopustno tudi zabeležiti zaznamek, da je bil v zvezi z osebnimi podatki določenega posameznika izveden izbris, pri čemer pa zaznamek ne vsebuje podatkov, ki bi omogočali obnovo izbrisanega osebnega podatka.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2. oddelek – ukrepi pred obdelavo in varnost osebnih podatkov</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7" w:name="_Ref40098002"/>
      <w:r w:rsidRPr="007C190F">
        <w:rPr>
          <w:rFonts w:eastAsia="Calibri"/>
          <w:b/>
          <w:szCs w:val="20"/>
        </w:rPr>
        <w:t>člen</w:t>
      </w:r>
      <w:r w:rsidRPr="007C190F">
        <w:rPr>
          <w:rFonts w:eastAsia="Calibri"/>
          <w:b/>
          <w:szCs w:val="20"/>
        </w:rPr>
        <w:br/>
        <w:t>(ocena učinka)</w:t>
      </w:r>
      <w:bookmarkEnd w:id="47"/>
    </w:p>
    <w:p w:rsidR="00E302FA" w:rsidRPr="007C190F" w:rsidRDefault="00E302FA" w:rsidP="00E302FA">
      <w:pPr>
        <w:spacing w:line="259" w:lineRule="auto"/>
        <w:jc w:val="both"/>
        <w:rPr>
          <w:rFonts w:eastAsia="Calibri" w:cs="Arial"/>
          <w:szCs w:val="20"/>
        </w:rPr>
      </w:pPr>
      <w:r w:rsidRPr="007C190F">
        <w:rPr>
          <w:rFonts w:eastAsia="Calibri" w:cs="Arial"/>
          <w:szCs w:val="20"/>
        </w:rPr>
        <w:t>(1) Kadar bi lahko kategorija obdelave, zlasti zaradi uporabe novih tehnologij ali ob upoštevanju narave, obsega, okoliščin oziroma namena obdelave, povzročila veliko tveganje za človekove pravice in temeljne svoboščine posameznikov, mora pristojni organ pred začetkom obdelave opraviti oceno učinka predvidenih dejanj obdelave na varstvo osebnih podatkov (v nadaljnjem besedilu: ocena učinka).</w:t>
      </w:r>
    </w:p>
    <w:p w:rsidR="00E302FA" w:rsidRPr="007C190F" w:rsidRDefault="00E302FA" w:rsidP="00E302FA">
      <w:pPr>
        <w:spacing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Oceno učinka je vedno treba opraviti glede: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obdelav, ki vključujejo sistematično in obsežno vrednotenje osebnih podatkov s sredstvi avtomatizirane obdelave, vključno z oblikovanjem profilov, ki so potem podlaga za odločitve, ki imajo za posameznika pravne posledice ali nanj na podoben način znatno vplivajo;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obdelav posebnih vrst osebnih podatkov ali osebnih podatkov v velikem obsegu;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trajajočega obsežnega in sistematičnega nadzora javno dostopnega območja;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povezovanja zbirk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Ocene učinka ni treba opraviti za obdelavo, glede katere je bila ocena učinka izvedena že v postopku sprejemanja zakona, ki je podlaga za obdelavo, vendar le, če se okoliščine obdelave po izdelavi ocene učinka niso bistveno spremenile.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Ocena učinka obsega: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splošni opis predvidenih dejanj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oceno tveganj za človekove pravice in temeljne svoboščine ter zakonite interese posameznikov, na katere se nanašajo osebni podatki</w:t>
      </w:r>
      <w:r w:rsidR="00123F4F" w:rsidRPr="007C190F">
        <w:rPr>
          <w:rFonts w:eastAsia="Calibri" w:cs="Arial"/>
          <w:szCs w:val="20"/>
        </w:rPr>
        <w:t>, zlasti glede prepovedi diskriminacije</w:t>
      </w:r>
      <w:r w:rsidR="002158AB" w:rsidRPr="007C190F">
        <w:rPr>
          <w:rFonts w:eastAsia="Calibri" w:cs="Arial"/>
          <w:szCs w:val="20"/>
        </w:rPr>
        <w:t xml:space="preserve"> iz </w:t>
      </w:r>
      <w:r w:rsidR="005041E7">
        <w:fldChar w:fldCharType="begin"/>
      </w:r>
      <w:r w:rsidR="005041E7">
        <w:instrText xml:space="preserve"> REF _Ref40430946 \r \h  \* MERGEFORMAT </w:instrText>
      </w:r>
      <w:r w:rsidR="005041E7">
        <w:fldChar w:fldCharType="separate"/>
      </w:r>
      <w:r w:rsidR="009C0CED" w:rsidRPr="007C190F">
        <w:rPr>
          <w:rFonts w:eastAsia="Calibri" w:cs="Arial"/>
          <w:szCs w:val="20"/>
        </w:rPr>
        <w:t>2</w:t>
      </w:r>
      <w:r w:rsidR="005041E7">
        <w:fldChar w:fldCharType="end"/>
      </w:r>
      <w:r w:rsidR="002158AB" w:rsidRPr="007C190F">
        <w:rPr>
          <w:rFonts w:eastAsia="Calibri" w:cs="Arial"/>
          <w:szCs w:val="20"/>
        </w:rPr>
        <w:t>. člena tega zakona</w:t>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ukrepe, namenjene obvladovanju teh tveganj;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zaščitne ukrepe, kot so notranji nadzori;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5. ukrepe za zagotavljanje varnosti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mehanizme za zagotavljanje varstva osebnih podatkov in za izkazovanje skladnosti z zakonom, pri čemer se upoštevajo pravice in zakoniti interesi posameznikov, na katere se nanašajo osebni podatki, in tretjih oseb.</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Pred uvedbo novega sistema za avtomatizirano obdelavo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pristojni organ izdela oceno učinka glede ukrepov za zagotavljanje varnosti obdelave po 5. in 6. točki prejšnjega odstavka.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(predhodno posvetovanje z nadzornim organom)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in obdelovalec pred začetkom obdelave, ki bo del nove zbirke, izvedeta predhodno posvetovanje z nadzornim organom, kadar: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iz ocene učinka iz prejšnjega člena izhaja, da bi obdelava povzročila veliko tveganje za človekove pravice ali temeljne svoboščine posameznikov, na katere se nanašajo osebni podatki, če pristojni organ ne bi sprejel ukrepov za zmanjšanje tega tveganja,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kategorija obdelave, zlasti kadar vključuje uporabo novih tehnologij, mehanizmov ali postopkov, predstavlja veliko tveganje za človekove pravice ali temeljne svoboščine posameznikov, na katere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Nadzorni organ lahko določi in na svojih spletnih straneh objavi seznam kategorij obdelave, za katere mora pristojni organ v skladu s prejšnjim odstavkom opraviti predhodno posvetovanje.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in obdelovalec nadzornemu organu na njegovo zahtevo zagotovita dostop do vsebine ocene učinka ter druge informacije, potrebne za oceno skladnosti obdelave z zakonom in tveganja za varstvo osebnih podatkov posameznika, na katerega se ti podatki nanašajo, ter s tem povezane zaščitne ukrepe.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Kadar nadzorni organ meni, da bi načrtovana obdelava osebnih podatkov lahko pomenila kršitev zakona, zlasti ker pristojni organ ni ustrezno opredelil tveganja ali ni sprejel ustreznih ukrepov za zmanjšanje tveganja, v roku šestih tednov po prejetju zaprosila za posvetovanje pisno svetuje pristojnemu organu in, kadar je to primerno, obdelovalcu, katere dodatne ukrepe je treba sprejeti. Nadzorni organ lahko ob upoštevanju zapletenosti zadeve rok podaljša za en mesec ter o podaljšanju roka in o razlogih za to obvesti pristojni organ in po potrebi obdelovalca.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8" w:name="_Ref40431222"/>
      <w:r w:rsidRPr="007C190F">
        <w:rPr>
          <w:rFonts w:eastAsia="Calibri"/>
          <w:b/>
          <w:szCs w:val="20"/>
        </w:rPr>
        <w:t>člen</w:t>
      </w:r>
      <w:r w:rsidRPr="007C190F">
        <w:rPr>
          <w:rFonts w:eastAsia="Calibri"/>
          <w:b/>
          <w:szCs w:val="20"/>
        </w:rPr>
        <w:br/>
        <w:t>(varnost obdelave)</w:t>
      </w:r>
      <w:bookmarkEnd w:id="48"/>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Pristojni organi, skupni upravljavci iz </w:t>
      </w:r>
      <w:r w:rsidR="005041E7">
        <w:fldChar w:fldCharType="begin"/>
      </w:r>
      <w:r w:rsidR="005041E7">
        <w:instrText xml:space="preserve"> REF _Ref40188865 \n \h  \* MERGEFORMAT </w:instrText>
      </w:r>
      <w:r w:rsidR="005041E7">
        <w:fldChar w:fldCharType="separate"/>
      </w:r>
      <w:r w:rsidR="009C0CED" w:rsidRPr="007C190F">
        <w:rPr>
          <w:rFonts w:eastAsia="Calibri" w:cs="Arial"/>
          <w:szCs w:val="20"/>
        </w:rPr>
        <w:t>43</w:t>
      </w:r>
      <w:r w:rsidR="005041E7">
        <w:fldChar w:fldCharType="end"/>
      </w:r>
      <w:r w:rsidRPr="007C190F">
        <w:rPr>
          <w:rFonts w:eastAsia="Calibri" w:cs="Arial"/>
          <w:szCs w:val="20"/>
        </w:rPr>
        <w:t>. člena tega zakona in obdelovalci morajo ob upoštevanju tehnološkega razvoja, stroškov izvajanja in narave, obsega, okoliščin in namenov obdelave, pa tudi tveganj za človekove pravice in temeljne svoboščine posameznikov, ki se razlikujejo po verjetnosti in resnosti, z ustreznimi tehničnimi in organizacijskimi ukrepi zagotoviti ustrezno raven varnosti obdelave osebnih podatkov glede na tveganje, zlasti kar zadeva obdelavo posebnih vrst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Kadar se obdelava izvaja v sistemih za avtomatizirano obdelavo osebnih podatkov, morajo pristojni organi, skupni upravljavci iz </w:t>
      </w:r>
      <w:r w:rsidR="005041E7">
        <w:fldChar w:fldCharType="begin"/>
      </w:r>
      <w:r w:rsidR="005041E7">
        <w:instrText xml:space="preserve"> REF _Ref40188865 \n \h  \* MERGEFORMAT </w:instrText>
      </w:r>
      <w:r w:rsidR="005041E7">
        <w:fldChar w:fldCharType="separate"/>
      </w:r>
      <w:r w:rsidR="009C0CED" w:rsidRPr="007C190F">
        <w:rPr>
          <w:rFonts w:eastAsia="Calibri" w:cs="Arial"/>
          <w:szCs w:val="20"/>
        </w:rPr>
        <w:t>43</w:t>
      </w:r>
      <w:r w:rsidR="005041E7">
        <w:fldChar w:fldCharType="end"/>
      </w:r>
      <w:r w:rsidRPr="007C190F">
        <w:rPr>
          <w:rFonts w:eastAsia="Calibri" w:cs="Arial"/>
          <w:szCs w:val="20"/>
        </w:rPr>
        <w:t>. člena tega zakona in obdelovalci po izvedeni oceni tveganj iz prejšnjega odstavka izvesti ukrepe, 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preprečujejo dostop nepooblaščenih oseb do opreme, ki se uporablja za obdelavo (nadzor dostopa do opreme);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preprečujejo nepooblaščeno branje, prepisovanje, spreminjanje ali odnašanje nosilcev podatkov (nadzor nosilcev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3. preprečujejo nepooblaščeno vnašanje osebnih podatkov v podatkovne zbirke in nepooblaščeno pregledovanje, spreminjanje ali brisanje shranjenih osebnih podatkov (nadzor shranjevanja);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preprečujejo uporabo sistemov za avtomatizirano obdelavo nepooblaščenim uporabnikom, ki do sistemov dostopajo z uporabo komunikacijske opreme (nadzor uporabnikov);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zagotavljajo, da imajo osebe, pooblaščene za uporabo sistema za avtomatizirano obdelavo, dostop samo do podatkov, ki jih vključuje njihovo pooblastilo za dostop (nadzor dostopa do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zagotavljajo, da je mogoče preveriti in ugotoviti, komu so bili ali bi mu lahko bili osebni podatki poslani oziroma komu je bil ali bi lahko bil omogočen dostop do njih prek komunikacijske opreme (nadzor prenosa);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zagotavljajo, da je mogoče naknadno preveriti in ugotoviti, katere vrste osebnih podatkov so bile vnesene v sisteme za avtomatizirano obdelavo ter kdaj in kdo jih je vnesel (nadzor vnosa);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preprečujejo nepooblaščeno branje, prepisovanje, spreminjanje ali izbris osebnih podatkov med pošiljanjem osebnih podatkov ali med premeščanjem nosilcev podatkov (nadzor premeščanja);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zagotavljajo, da se osebni podatki, ki jih za pristojni organ obdelujejo njegovi zaposleni oziroma obdelovalec, obdelujejo le v skladu z navodili pristojnega organa (nadzor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zagotavljajo, da se osebni podatki, zbrani za različne namene, obdelujejo ločeno, razen če zakon določa drugače (ločenost);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11. zagotavljajo, da je mogoče nameščene sisteme v primeru prekinitve delovanja ponovno vzpostaviti (obnova);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12. zagotavljajo, da funkcije sistema delujejo in da se morebitne napake v funkcijah sporočijo ustreznim osebam (zanesljivost);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13. zagotavljajo, da se shranjeni osebni podatki ne okvarijo zaradi napak v delovanju sistema (celovitost);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14. zagotavljajo, da so osebni podatki zaščiteni pred izgubo in uničenjem (razpoložljivost).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Funkcionarji, zaposleni in drugi posamezniki, ki opravljajo dela ali naloge pri nadzornem organu, pristojnih organih in obdelovalcih, so dolžni varovati tajnost osebnih podatkov, s katerimi se seznanijo pri opravljanju svojih funkcij, del ali nalog. Dolžnost varovanja tajnosti osebnih podatkov jih obvezuje tudi po prenehanju funkcije, zaposlitve, opravljanja del ali nalog ali opravljanja storitev obdelave.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49" w:name="_Ref40431228"/>
      <w:r w:rsidRPr="007C190F">
        <w:rPr>
          <w:rFonts w:eastAsia="Calibri"/>
          <w:b/>
          <w:szCs w:val="20"/>
        </w:rPr>
        <w:t>člen</w:t>
      </w:r>
      <w:r w:rsidRPr="007C190F">
        <w:rPr>
          <w:rFonts w:eastAsia="Calibri"/>
          <w:b/>
          <w:szCs w:val="20"/>
        </w:rPr>
        <w:br/>
        <w:t>(obvestilo nadzornemu organu o kršitvi varnosti osebnih podatkov)</w:t>
      </w:r>
      <w:bookmarkEnd w:id="49"/>
    </w:p>
    <w:p w:rsidR="00E302FA" w:rsidRPr="007C190F" w:rsidRDefault="00E302FA" w:rsidP="00E302FA">
      <w:pPr>
        <w:spacing w:after="160" w:line="259" w:lineRule="auto"/>
        <w:jc w:val="both"/>
        <w:rPr>
          <w:rFonts w:eastAsia="Calibri" w:cs="Arial"/>
          <w:szCs w:val="20"/>
        </w:rPr>
      </w:pPr>
      <w:r w:rsidRPr="007C190F">
        <w:rPr>
          <w:rFonts w:eastAsia="Calibri" w:cs="Arial"/>
          <w:szCs w:val="20"/>
        </w:rPr>
        <w:t>(1) V primeru kršitve varnosti osebnih podatkov, za katero je verjetno, da bi povzročila tveganje za človekove pravice in temeljne svoboščine posameznikov, pristojni organ brez nepotrebnega odlašanja, po možnosti pa najpozneje v 72 urah po seznanitvi s kršitvijo, o kršitvi uradno obvesti nadzorni organ. Kadar obvestilo ni podano v 72 urah, obvestilu priloži tudi razloge za zamudo.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Obdelovalec ob seznanitvi s kršitvijo varnosti osebnih podatkov o tem nemudoma obvesti pristojni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Obvestilo iz prvega odstavka tega člena vsebuje najmanj: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opis narave kršitve varnosti osebnih podatkov, po možnosti pa tudi kategorije in oceno števila zadevnih posameznikov, na katere se nanašajo osebni podatki, ter vrste in oceno števila zbirk osebnih podatkov, v zvezi s katerimi so se zgodile kršitve;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2. sporočilo o imenu in kontaktnih podatkih pooblaščene osebe za varstvo osebnih podatkov ali druge kontaktne točke, pri kateri je mogoče pridobiti več informacij;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opis verjetnih posledic kršitve varnosti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opis sprejetih ali predlaganih ukrepov za obravnavanje kršitve varnosti osebnih podatkov, če je to primerno, tudi z ukrepi za zmanjšanje morebitnih škodljivih učinkov kršitve.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Kadar informacij ni mogoče zagotoviti istočasno, se informacije lahko zagotovijo postopoma brez nepotrebnega dodatnega odlašanja.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Pristojni organ dokumentira vsako kršitev varnosti osebnih podatkov iz prvega odstavka tega člena, vključno z dejstvi v zvezi s kršitvijo varnosti osebnih podatkov, njenimi predvidenimi učinki in sprejetimi popravnimi ukrepi, ki jih je sprejel za odpravo kršitve. Dokumentacija je na razpolago nadzornemu organu, kadar preverja skladnost delovanja pristojnega organa z določbami tega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Kadar kršitev varnosti osebnih podatkov vključuje osebne podatke, ki jih je pristojni organ dobil od upravljavca iz druge države članice Evropske unije ali ki jih je poslal upravljavcu iz druge države članice Evropske unije, mora pristojni organ informacije iz tretjega odstavka tega člena brez nepotrebnega odlašanja sporočiti upravljavcu druge države članice Evropske unije.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0" w:name="_Ref45616417"/>
      <w:r w:rsidRPr="007C190F">
        <w:rPr>
          <w:rFonts w:eastAsia="Calibri"/>
          <w:b/>
          <w:szCs w:val="20"/>
        </w:rPr>
        <w:t>člen</w:t>
      </w:r>
      <w:r w:rsidRPr="007C190F">
        <w:rPr>
          <w:rFonts w:eastAsia="Calibri"/>
          <w:b/>
          <w:szCs w:val="20"/>
        </w:rPr>
        <w:br/>
        <w:t>(sporočilo posamezniku o kršitvi varnosti osebnih podatkov)</w:t>
      </w:r>
      <w:bookmarkEnd w:id="50"/>
    </w:p>
    <w:p w:rsidR="00E302FA" w:rsidRPr="007C190F" w:rsidRDefault="00E302FA" w:rsidP="00E302FA">
      <w:pPr>
        <w:spacing w:after="160" w:line="259" w:lineRule="auto"/>
        <w:jc w:val="both"/>
        <w:rPr>
          <w:rFonts w:eastAsia="Calibri" w:cs="Arial"/>
          <w:szCs w:val="20"/>
        </w:rPr>
      </w:pPr>
      <w:r w:rsidRPr="007C190F">
        <w:rPr>
          <w:rFonts w:eastAsia="Calibri" w:cs="Arial"/>
          <w:szCs w:val="20"/>
        </w:rPr>
        <w:t>(1) V primerih, ko je verjetno, da bi kršitev varnosti osebnih podatkov lahko povzročila veliko tveganje za človekove pravice in temeljne svoboščine posameznikov, pristojni organ brez nepotrebnega odlašanja sporoči posamezniku, na katerega se nanašajo osebni podatki, da je prišlo do kršitve varnosti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V sporočilu iz prejšnjega odstavka je treba v jasnem in preprostem jeziku opisati naravo kršitve varnosti osebnih podatkov ter navesti vsaj informacije in opis ukrepov iz 2., 3. in 4. točke tretjega odstavka prejšnjega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Sporočilo iz prvega odstavka tega člena ni potrebno, če je izpolnjen kateri izmed naslednjih pogojev: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je že pred kršitvijo izvajal ustrezne tehnološke in organizacijske zaščitne ukrepe in so bili ti ukrepi uporabljeni za osebne podatke, v zvezi s katerimi je prišlo do kršitve varnosti osebnih podatkov, zlasti ukrepe, na podlagi katerih so osebni podatki nerazumljivi vsem, ki niso pooblaščeni za dostop do njih, kot na primer šifriranje;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je po kršitvi sprejel ukrepe, zaradi katerih ni več verjetno, da bi se veliko tveganje za človekove pravice in temeljne svoboščine, nastalo zaradi kršitve varnosti osebnih podatkov, še lahko uresničilo;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obveščanje posameznikov bi zahtevalo nesorazmeren napor, zato se v takšnem primeru objavi javno sporočilo ali izvede podoben ukrep, s katerim so posamezniki, na katere se nanašajo osebni podatki, enako učinkovito obveščeni.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Če pristojni organ posameznika, na katerega se nanašajo osebni podatki, še ni obvestil o kršitvi varnosti osebnih podatkov, mu nadzorni organ to odredi, če oceni, da je verjetno, da bi kršitev lahko povzročila veliko tveganje za človekove pravice in temeljne svoboščine posameznika. Ne glede na določbo prejšnjega stavka nadzorni organ ne odredi obveščanja, če sporočilo ni potrebno v skladu s prejšnjim odstavkom.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Sporočilo posamezniku, na katerega se nanašajo osebni podatki iz prvega odstavka tega člena, se lahko pod pogoji in iz razlogov iz prvega odstavka </w:t>
      </w:r>
      <w:r w:rsidR="005041E7">
        <w:fldChar w:fldCharType="begin"/>
      </w:r>
      <w:r w:rsidR="005041E7">
        <w:instrText xml:space="preserve"> REF _Ref40177841 \n \h  \* MERGEFORMAT </w:instrText>
      </w:r>
      <w:r w:rsidR="005041E7">
        <w:fldChar w:fldCharType="separate"/>
      </w:r>
      <w:r w:rsidR="009C0CED" w:rsidRPr="007C190F">
        <w:rPr>
          <w:rFonts w:eastAsia="Calibri" w:cs="Arial"/>
          <w:szCs w:val="20"/>
        </w:rPr>
        <w:t>25</w:t>
      </w:r>
      <w:r w:rsidR="005041E7">
        <w:fldChar w:fldCharType="end"/>
      </w:r>
      <w:r w:rsidRPr="007C190F">
        <w:rPr>
          <w:rFonts w:eastAsia="Calibri" w:cs="Arial"/>
          <w:szCs w:val="20"/>
        </w:rPr>
        <w:t>. člena tega zakona zadrži, omeji ali opusti.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1" w:name="_Ref45616426"/>
      <w:r w:rsidRPr="007C190F">
        <w:rPr>
          <w:rFonts w:eastAsia="Calibri"/>
          <w:b/>
          <w:szCs w:val="20"/>
        </w:rPr>
        <w:lastRenderedPageBreak/>
        <w:t>člen</w:t>
      </w:r>
      <w:r w:rsidRPr="007C190F">
        <w:rPr>
          <w:rFonts w:eastAsia="Calibri"/>
          <w:b/>
          <w:szCs w:val="20"/>
        </w:rPr>
        <w:br/>
        <w:t>(zaupno obveščanje o kršitvah)</w:t>
      </w:r>
      <w:bookmarkEnd w:id="51"/>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vzpostavi notranje poti obveščanja, ki omogočajo zaupno in hitro seznanitev vodstva pristojnega organa in pooblaščene osebe za varstvo osebnih podatkov o kršitvah določb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Pristojni organ določi način ukrepanja glede utemeljenih prijav kršitev.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in pooblaščena oseba za varstvo osebnih podatkov varujeta tajnost vira prijave. Identiteto prijavitelja lahko razkrijeta le nadzornemu organu ali na podlagi odredbe sodišča.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2"/>
        <w:rPr>
          <w:rFonts w:ascii="Calibri Light" w:hAnsi="Calibri Light"/>
          <w:sz w:val="24"/>
        </w:rPr>
      </w:pPr>
      <w:bookmarkStart w:id="52" w:name="_Hlk2244062"/>
      <w:r w:rsidRPr="007C190F">
        <w:rPr>
          <w:rFonts w:ascii="Calibri Light" w:hAnsi="Calibri Light"/>
          <w:sz w:val="24"/>
        </w:rPr>
        <w:t>3. oddelek – pooblaščena oseba za varstvo osebnih podatkov</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3" w:name="_Ref40183206"/>
      <w:r w:rsidRPr="007C190F">
        <w:rPr>
          <w:rFonts w:eastAsia="Calibri"/>
          <w:b/>
          <w:szCs w:val="20"/>
        </w:rPr>
        <w:t>člen</w:t>
      </w:r>
      <w:r w:rsidRPr="007C190F">
        <w:rPr>
          <w:rFonts w:eastAsia="Calibri"/>
          <w:b/>
          <w:szCs w:val="20"/>
        </w:rPr>
        <w:br/>
        <w:t>(pooblaščena oseba za varstvo osebnih podatkov)</w:t>
      </w:r>
      <w:bookmarkEnd w:id="53"/>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izmed zaposlenih določi pooblaščeno osebo za varstvo osebnih podatkov, ki mu na neodvisen način svetuje in pomaga pri zagotovitvi skladnosti obdelav s tem zakonom in drugimi zakoni, ki urejajo obdelavo in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Obveznost iz prejšnjega odstavka ne velja za sodišča s splošno pristojnostjo v zvezi z obdelavami za namene iz prvega odstavka 1. člena tega zakona glede kazenskih zadev sodišča.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lahko izmed zaposlenih določi tudi namestnika pooblaščene osebe za varstvo osebnih podatkov. Pooblaščena oseba za varstvo osebnih podatkov njenega namestnika pooblasti, da opravlja s pooblastilom določene naloge pooblaščene osebe.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Pristojni organ sporoči ime ter službene kontaktne podatke pooblaščene osebe za varstvo osebnih podatkov in njenega morebitnega namestnika (naslov pristojnega organa, telefonska številka, naslov elektronske pošte) nadzornemu organu. Njune kontaktne podatke za namen vzpostavitve stika posameznika s pristojnim organom glede njegovih pravic po tem zakonu tudi javno objavi na svojih spletnih straneh.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Pristojni organ pooblaščeni osebi za varstvo osebnih podatkov in njenemu namestniku zagotovi ustrezna sredstva za nepristransko in učinkovito opravljanje nalog ter ustrezna usposabljanja za ohranjanje strokovnega znanja.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(6) Pristojni organ zagotovi, da sta pooblaščena oseba za varstvo osebnih podatkov in njen namestnik ustrezno in  pravočasno vključena v vse zadeve v zvezi z varstvom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Pristojni organ zagotovi, da pooblaščena oseba za varstvo osebnih podatkov in njen namestnik v zvezi s svojim delom ne prejemata nobenih navodil, da zaradi opravljanja svojih nalog nista razrešena ali kaznovana ter da neposredno poročata predstojniku pristojnega organa.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4" w:name="_Ref43643067"/>
      <w:r w:rsidRPr="007C190F">
        <w:rPr>
          <w:rFonts w:eastAsia="Calibri"/>
          <w:b/>
          <w:szCs w:val="20"/>
        </w:rPr>
        <w:t>člen</w:t>
      </w:r>
      <w:r w:rsidRPr="007C190F">
        <w:rPr>
          <w:rFonts w:eastAsia="Calibri"/>
          <w:b/>
          <w:szCs w:val="20"/>
        </w:rPr>
        <w:br/>
        <w:t>(pogoji za določitev pooblaščene osebe za varstvo osebnih podatkov)</w:t>
      </w:r>
      <w:bookmarkEnd w:id="54"/>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Pristojni organ lahko za pooblaščeno osebo za varstvo osebnih podatkov in njenega namestnika določi posameznika, ki izpolnjuje naslednje pogoje: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je državljan Republike Slovenije;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aktivno obvlada slovenski jezik;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je poslovno sposoben;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je zaposlen pri pristojnem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5. ima znanja oziroma praktične izkušnje s področja varstva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ni bil pravnomočno obsojen zaradi naklepnega kaznivega dejanja, ki se preganja po uradni dolžnosti, in ni bil obsojen na nepogojno kazen zapora v trajanju več kot šest mesecev;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zoper njega ni vložena pravnomočna obtožnica zaradi naklepnega kaznivega dejanja, ki se preganja po uradni dolžnosti.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Več pristojnih organov lahko ob upoštevanju svoje organizacijske strukture in velikosti določi skupno pooblaščeno osebo za varstvo osebnih podatkov in njenega namestnika.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lahko za pooblaščeno osebo za varstvo osebnih podatkov iz prvega odstavka tega člena določi osebo, ki je že imenovana za pooblaščeno osebo za varstvo osebnih podatkov na drugih pravnih podlagah.</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(naloge in upravičenja pooblaščene osebe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Pooblaščena oseba za varstvo osebnih podatkov opravlja naslednje naloge v zvezi z obdelavami osebnih podatkov, ki jih izvaja pristojni organ, pri katerem je določena: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obveščanje pristojnega organa in njegovih zaposlenih, ki izvajajo obdelavo, o njihovih obveznostih v skladu z zakonom in drugimi predpisi, ki urejajo varstvo osebnih podatkov, ter svetovanje o teh obveznostih;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spremljanje skladnosti obdelav z zakoni in politikami pristojnega organa, ki urejajo varstvo osebnih podatkov, vključno z dodeljevanjem nalog, ozaveščanjem in usposabljanjem osebja, vključenega v dejanja obdelave, ter izvajanjem ustreznih nadzorov;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svetovanje glede ocene učinka v zvezi z varstvom osebnih podatkov in spremljanje njenega izvajanja v skladu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sodelovanje z nadzornim organom glede vzpostavljanja tehničnih pogojev za izvedbo nadzorov in neposredno obveščanje vodstva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delovanje kot kontaktna točka za nadzorni organ pri vseh vprašanjih v zvezi z obdelavo osebnih podatkov pri pristojnem organu, pomoč pri izvajanju posvetovanj ali pridobivanju mnenj po določbah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posvetovanje o drugih vprašanjih, politikah ali obdelavah osebnih podatkov pri pristojnem organu ali glede sodelovanja z drugimi subjekti glede teh vprašanj.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Pooblaščena oseba za varstvo osebnih podatkov ima dostop do vsebine vseh osebnih podatkov, ki jih obdeluje pristojni organ, kadar izvršuje svoje naloge. </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(pooblaščena oseba za varstvo osebnih podatkov pri Nacionalni enoti za informacije o potnikih)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Pooblaščena oseba za varstvo osebnih podatkov po zakonu, ki ureja naloge in pooblastila policije, mora izpolnjevati pogoje iz prvega odstavka </w:t>
      </w:r>
      <w:r w:rsidR="005041E7">
        <w:fldChar w:fldCharType="begin"/>
      </w:r>
      <w:r w:rsidR="005041E7">
        <w:instrText xml:space="preserve"> REF _Ref43643067 \r \h  \* MERGEFORMAT </w:instrText>
      </w:r>
      <w:r w:rsidR="005041E7">
        <w:fldChar w:fldCharType="separate"/>
      </w:r>
      <w:r w:rsidR="009C0CED" w:rsidRPr="007C190F">
        <w:rPr>
          <w:rFonts w:eastAsia="Calibri" w:cs="Arial"/>
          <w:szCs w:val="20"/>
        </w:rPr>
        <w:t>56</w:t>
      </w:r>
      <w:r w:rsidR="005041E7">
        <w:fldChar w:fldCharType="end"/>
      </w:r>
      <w:r w:rsidRPr="007C190F">
        <w:rPr>
          <w:rFonts w:eastAsia="Calibri" w:cs="Arial"/>
          <w:szCs w:val="20"/>
        </w:rPr>
        <w:t xml:space="preserve">. člena tega zakona ter opravlja naloge, kot jih določata ta zakon in zakon, ki ureja naloge in pooblastila policije.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Generalni direktor policije za Nacionalno enoto za informacije o potnikih določi osebo, ki je že določena za opravljanje nalog pooblaščene osebe za varstvo osebnih podatkov pri policiji, ali drugo osebo izmed zaposlenih znotraj policije.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(3) Če pooblaščena oseba iz prvega odstavka tega člena meni, da obdelava podatkov iz pristojnosti Nacionalne enote za informacije o potnikih ni bila zakonita, lahko o tem obvesti nadzorni organ.</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(uporaba določb tega zakona v kazenskih zadevah sodišč)</w:t>
      </w:r>
    </w:p>
    <w:p w:rsidR="00E302FA" w:rsidRPr="007C190F" w:rsidRDefault="00E302FA" w:rsidP="00E302FA">
      <w:pPr>
        <w:spacing w:after="160" w:line="259" w:lineRule="auto"/>
        <w:jc w:val="both"/>
        <w:rPr>
          <w:rFonts w:eastAsia="Calibri" w:cs="Arial"/>
          <w:szCs w:val="20"/>
        </w:rPr>
      </w:pPr>
      <w:r w:rsidRPr="007C190F">
        <w:rPr>
          <w:rFonts w:eastAsia="Calibri" w:cs="Arial"/>
          <w:iCs/>
          <w:szCs w:val="20"/>
          <w:lang w:eastAsia="sl-SI"/>
        </w:rPr>
        <w:t xml:space="preserve">V kazenskih zadevah sodišč se uporabljajo določbe o obdelavah in omejitvah dostopov do osebnih podatkov iz </w:t>
      </w:r>
      <w:r w:rsidR="005041E7">
        <w:fldChar w:fldCharType="begin"/>
      </w:r>
      <w:r w:rsidR="005041E7">
        <w:instrText xml:space="preserve"> REF _Ref40430946 \r \h  \* MERGEFORMAT </w:instrText>
      </w:r>
      <w:r w:rsidR="005041E7">
        <w:fldChar w:fldCharType="separate"/>
      </w:r>
      <w:r w:rsidR="009C0CED" w:rsidRPr="007C190F">
        <w:rPr>
          <w:rFonts w:eastAsia="Calibri" w:cs="Arial"/>
          <w:szCs w:val="20"/>
        </w:rPr>
        <w:t>2</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_Ref44419809 \r \h  \* MERGEFORMAT </w:instrText>
      </w:r>
      <w:r w:rsidR="005041E7">
        <w:fldChar w:fldCharType="separate"/>
      </w:r>
      <w:r w:rsidR="009C0CED" w:rsidRPr="007C190F">
        <w:rPr>
          <w:rFonts w:eastAsia="Calibri" w:cs="Arial"/>
          <w:szCs w:val="20"/>
        </w:rPr>
        <w:t>5</w:t>
      </w:r>
      <w:r w:rsidR="005041E7">
        <w:fldChar w:fldCharType="end"/>
      </w:r>
      <w:r w:rsidRPr="007C190F">
        <w:rPr>
          <w:rFonts w:eastAsia="Calibri" w:cs="Arial"/>
          <w:iCs/>
          <w:szCs w:val="20"/>
          <w:lang w:eastAsia="sl-SI"/>
        </w:rPr>
        <w:t>., prvega</w:t>
      </w:r>
      <w:r w:rsidR="00E830D8" w:rsidRPr="007C190F">
        <w:rPr>
          <w:rFonts w:eastAsia="Calibri" w:cs="Arial"/>
          <w:iCs/>
          <w:szCs w:val="20"/>
          <w:lang w:eastAsia="sl-SI"/>
        </w:rPr>
        <w:t xml:space="preserve"> in </w:t>
      </w:r>
      <w:r w:rsidRPr="007C190F">
        <w:rPr>
          <w:rFonts w:eastAsia="Calibri" w:cs="Arial"/>
          <w:iCs/>
          <w:szCs w:val="20"/>
          <w:lang w:eastAsia="sl-SI"/>
        </w:rPr>
        <w:t xml:space="preserve">drugega odstavka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_Ref40183951 \r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_Ref40183958 \r \h  \* MERGEFORMAT </w:instrText>
      </w:r>
      <w:r w:rsidR="005041E7">
        <w:fldChar w:fldCharType="separate"/>
      </w:r>
      <w:r w:rsidR="009C0CED" w:rsidRPr="007C190F">
        <w:rPr>
          <w:rFonts w:eastAsia="Calibri" w:cs="Arial"/>
          <w:szCs w:val="20"/>
        </w:rPr>
        <w:t>8</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_Ref45616381 \r \h  \* MERGEFORMAT </w:instrText>
      </w:r>
      <w:r w:rsidR="005041E7">
        <w:fldChar w:fldCharType="separate"/>
      </w:r>
      <w:r w:rsidR="009C0CED" w:rsidRPr="007C190F">
        <w:rPr>
          <w:rFonts w:eastAsia="Calibri" w:cs="Arial"/>
          <w:szCs w:val="20"/>
        </w:rPr>
        <w:t>9</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_Ref49940018 \r \h  \* MERGEFORMAT </w:instrText>
      </w:r>
      <w:r w:rsidR="005041E7">
        <w:fldChar w:fldCharType="separate"/>
      </w:r>
      <w:r w:rsidR="009C0CED" w:rsidRPr="007C190F">
        <w:rPr>
          <w:rFonts w:eastAsia="Calibri" w:cs="Arial"/>
          <w:iCs/>
          <w:szCs w:val="20"/>
          <w:lang w:eastAsia="sl-SI"/>
        </w:rPr>
        <w:t>20</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_Ref40177833 \r \h  \* MERGEFORMAT </w:instrText>
      </w:r>
      <w:r w:rsidR="005041E7">
        <w:fldChar w:fldCharType="separate"/>
      </w:r>
      <w:r w:rsidR="009C0CED" w:rsidRPr="007C190F">
        <w:rPr>
          <w:rFonts w:eastAsia="Calibri" w:cs="Arial"/>
          <w:iCs/>
          <w:szCs w:val="20"/>
          <w:lang w:eastAsia="sl-SI"/>
        </w:rPr>
        <w:t>23</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_Ref40182487 \r \h  \* MERGEFORMAT </w:instrText>
      </w:r>
      <w:r w:rsidR="005041E7">
        <w:fldChar w:fldCharType="separate"/>
      </w:r>
      <w:r w:rsidR="009C0CED" w:rsidRPr="007C190F">
        <w:rPr>
          <w:rFonts w:eastAsia="Calibri" w:cs="Arial"/>
          <w:iCs/>
          <w:szCs w:val="20"/>
          <w:lang w:eastAsia="sl-SI"/>
        </w:rPr>
        <w:t>24</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_Ref40177841 \r \h  \* MERGEFORMAT </w:instrText>
      </w:r>
      <w:r w:rsidR="005041E7">
        <w:fldChar w:fldCharType="separate"/>
      </w:r>
      <w:r w:rsidR="009C0CED" w:rsidRPr="007C190F">
        <w:rPr>
          <w:rFonts w:eastAsia="Calibri" w:cs="Arial"/>
          <w:iCs/>
          <w:szCs w:val="20"/>
          <w:lang w:eastAsia="sl-SI"/>
        </w:rPr>
        <w:t>25</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_Ref40098112 \r \h  \* MERGEFORMAT </w:instrText>
      </w:r>
      <w:r w:rsidR="005041E7">
        <w:fldChar w:fldCharType="separate"/>
      </w:r>
      <w:r w:rsidR="009C0CED" w:rsidRPr="007C190F">
        <w:rPr>
          <w:rFonts w:eastAsia="Calibri" w:cs="Arial"/>
          <w:iCs/>
          <w:szCs w:val="20"/>
          <w:lang w:eastAsia="sl-SI"/>
        </w:rPr>
        <w:t>44</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_Ref45616327 \r \h  \* MERGEFORMAT </w:instrText>
      </w:r>
      <w:r w:rsidR="005041E7">
        <w:fldChar w:fldCharType="separate"/>
      </w:r>
      <w:r w:rsidR="009C0CED" w:rsidRPr="007C190F">
        <w:rPr>
          <w:rFonts w:eastAsia="Calibri" w:cs="Arial"/>
          <w:iCs/>
          <w:szCs w:val="20"/>
          <w:lang w:eastAsia="sl-SI"/>
        </w:rPr>
        <w:t>45</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_Ref40430102 \r \h  \* MERGEFORMAT </w:instrText>
      </w:r>
      <w:r w:rsidR="005041E7">
        <w:fldChar w:fldCharType="separate"/>
      </w:r>
      <w:r w:rsidR="009C0CED" w:rsidRPr="007C190F">
        <w:rPr>
          <w:rFonts w:eastAsia="Calibri" w:cs="Arial"/>
          <w:iCs/>
          <w:szCs w:val="20"/>
          <w:lang w:eastAsia="sl-SI"/>
        </w:rPr>
        <w:t>47</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_Ref40431222 \r \h  \* MERGEFORMAT </w:instrText>
      </w:r>
      <w:r w:rsidR="005041E7">
        <w:fldChar w:fldCharType="separate"/>
      </w:r>
      <w:r w:rsidR="009C0CED" w:rsidRPr="007C190F">
        <w:rPr>
          <w:rFonts w:eastAsia="Calibri" w:cs="Arial"/>
          <w:iCs/>
          <w:szCs w:val="20"/>
          <w:lang w:eastAsia="sl-SI"/>
        </w:rPr>
        <w:t>51</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_Ref45616417 \r \h  \* MERGEFORMAT </w:instrText>
      </w:r>
      <w:r w:rsidR="005041E7">
        <w:fldChar w:fldCharType="separate"/>
      </w:r>
      <w:r w:rsidR="009C0CED" w:rsidRPr="007C190F">
        <w:rPr>
          <w:rFonts w:eastAsia="Calibri" w:cs="Arial"/>
          <w:iCs/>
          <w:szCs w:val="20"/>
          <w:lang w:eastAsia="sl-SI"/>
        </w:rPr>
        <w:t>53</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_Ref45616426 \r \h  \* MERGEFORMAT </w:instrText>
      </w:r>
      <w:r w:rsidR="005041E7">
        <w:fldChar w:fldCharType="separate"/>
      </w:r>
      <w:r w:rsidR="009C0CED" w:rsidRPr="007C190F">
        <w:rPr>
          <w:rFonts w:eastAsia="Calibri" w:cs="Arial"/>
          <w:iCs/>
          <w:szCs w:val="20"/>
          <w:lang w:eastAsia="sl-SI"/>
        </w:rPr>
        <w:t>54</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_Ref43651605 \r \h  \* MERGEFORMAT </w:instrText>
      </w:r>
      <w:r w:rsidR="005041E7">
        <w:fldChar w:fldCharType="separate"/>
      </w:r>
      <w:r w:rsidR="009C0CED" w:rsidRPr="007C190F">
        <w:rPr>
          <w:rFonts w:eastAsia="Calibri" w:cs="Arial"/>
          <w:iCs/>
          <w:szCs w:val="20"/>
          <w:lang w:eastAsia="sl-SI"/>
        </w:rPr>
        <w:t>62</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_Ref45616454 \r \h  \* MERGEFORMAT </w:instrText>
      </w:r>
      <w:r w:rsidR="005041E7">
        <w:fldChar w:fldCharType="separate"/>
      </w:r>
      <w:r w:rsidR="009C0CED" w:rsidRPr="007C190F">
        <w:rPr>
          <w:rFonts w:eastAsia="Calibri" w:cs="Arial"/>
          <w:iCs/>
          <w:szCs w:val="20"/>
          <w:lang w:eastAsia="sl-SI"/>
        </w:rPr>
        <w:t>63</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_Ref40275081 \r \h  \* MERGEFORMAT </w:instrText>
      </w:r>
      <w:r w:rsidR="005041E7">
        <w:fldChar w:fldCharType="separate"/>
      </w:r>
      <w:r w:rsidR="009C0CED" w:rsidRPr="007C190F">
        <w:rPr>
          <w:rFonts w:eastAsia="Calibri" w:cs="Arial"/>
          <w:iCs/>
          <w:szCs w:val="20"/>
          <w:lang w:eastAsia="sl-SI"/>
        </w:rPr>
        <w:t>67</w:t>
      </w:r>
      <w:r w:rsidR="005041E7">
        <w:fldChar w:fldCharType="end"/>
      </w:r>
      <w:r w:rsidRPr="007C190F">
        <w:rPr>
          <w:rFonts w:eastAsia="Calibri" w:cs="Arial"/>
          <w:iCs/>
          <w:szCs w:val="20"/>
          <w:lang w:eastAsia="sl-SI"/>
        </w:rPr>
        <w:t xml:space="preserve">., </w:t>
      </w:r>
      <w:r w:rsidR="005041E7">
        <w:fldChar w:fldCharType="begin"/>
      </w:r>
      <w:r w:rsidR="005041E7">
        <w:instrText xml:space="preserve"> REF _Ref45616469 \r \h  \* MERGEFORMAT </w:instrText>
      </w:r>
      <w:r w:rsidR="005041E7">
        <w:fldChar w:fldCharType="separate"/>
      </w:r>
      <w:r w:rsidR="009C0CED" w:rsidRPr="007C190F">
        <w:rPr>
          <w:rFonts w:eastAsia="Calibri" w:cs="Arial"/>
          <w:iCs/>
          <w:szCs w:val="20"/>
          <w:lang w:eastAsia="sl-SI"/>
        </w:rPr>
        <w:t>68</w:t>
      </w:r>
      <w:r w:rsidR="005041E7">
        <w:fldChar w:fldCharType="end"/>
      </w:r>
      <w:r w:rsidRPr="007C190F">
        <w:rPr>
          <w:rFonts w:eastAsia="Calibri" w:cs="Arial"/>
          <w:iCs/>
          <w:szCs w:val="20"/>
          <w:lang w:eastAsia="sl-SI"/>
        </w:rPr>
        <w:t xml:space="preserve">. in </w:t>
      </w:r>
      <w:r w:rsidR="005041E7">
        <w:fldChar w:fldCharType="begin"/>
      </w:r>
      <w:r w:rsidR="005041E7">
        <w:instrText xml:space="preserve"> REF _Ref40275328 \r \h  \* MERGEFORMAT </w:instrText>
      </w:r>
      <w:r w:rsidR="005041E7">
        <w:fldChar w:fldCharType="separate"/>
      </w:r>
      <w:r w:rsidR="009C0CED" w:rsidRPr="007C190F">
        <w:rPr>
          <w:rFonts w:eastAsia="Calibri" w:cs="Arial"/>
          <w:iCs/>
          <w:szCs w:val="20"/>
          <w:lang w:eastAsia="sl-SI"/>
        </w:rPr>
        <w:t>69</w:t>
      </w:r>
      <w:r w:rsidR="005041E7">
        <w:fldChar w:fldCharType="end"/>
      </w:r>
      <w:r w:rsidRPr="007C190F">
        <w:rPr>
          <w:rFonts w:eastAsia="Calibri" w:cs="Arial"/>
          <w:iCs/>
          <w:szCs w:val="20"/>
          <w:lang w:eastAsia="sl-SI"/>
        </w:rPr>
        <w:t>. člena tega zakona.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VI. POGLAVJE</w:t>
      </w:r>
      <w:r w:rsidRPr="007C190F">
        <w:rPr>
          <w:rFonts w:ascii="Calibri Light" w:hAnsi="Calibri Light"/>
          <w:sz w:val="26"/>
          <w:szCs w:val="26"/>
        </w:rPr>
        <w:br/>
        <w:t>POSEBNE DOLOČBE</w:t>
      </w:r>
    </w:p>
    <w:p w:rsidR="00E302FA" w:rsidRPr="007C190F" w:rsidRDefault="00E302FA" w:rsidP="00E302FA">
      <w:pPr>
        <w:spacing w:after="160" w:line="259" w:lineRule="auto"/>
        <w:jc w:val="center"/>
        <w:rPr>
          <w:rFonts w:eastAsia="Calibri" w:cs="Arial"/>
          <w:szCs w:val="20"/>
        </w:rPr>
      </w:pP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1. oddelek – preverjanje identitete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5" w:name="_Ref40098225"/>
      <w:r w:rsidRPr="007C190F">
        <w:rPr>
          <w:rFonts w:eastAsia="Calibri"/>
          <w:b/>
          <w:szCs w:val="20"/>
        </w:rPr>
        <w:t>člen</w:t>
      </w:r>
      <w:r w:rsidRPr="007C190F">
        <w:rPr>
          <w:rFonts w:eastAsia="Calibri"/>
          <w:b/>
          <w:szCs w:val="20"/>
        </w:rPr>
        <w:br/>
        <w:t>(preverjanje identitete posameznika)</w:t>
      </w:r>
      <w:bookmarkEnd w:id="55"/>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Če pristojni organ opravičeno dvomi o identiteti posameznika, lahko ob obravnavi njegove zahteve ne glede na določbe drugih zakonov, ki urejajo pravico do vpogleda v posamezne osebne dokumente ali njihove kopije, preveri točnost osebnih podatkov posameznika z vpogledom v njegov uradni identifikacijski dokument, z uporabo sredstev elektronske identifikacije ali z uporabo drugih sredstev informacijske tehnologije. Če tako določa drug zakon, se lahko preverjanje točnosti izvede tudi ob zajemu posameznikovih osebnih podatkov, njihovi spremembi ali dopolnitvi.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Za potrebe izvajanja določb tega zakona velja za uradni identifikacijski dokument vsak uradno izdani dokument, ki vsebuje fotografijo imetnika in ga je izdal državni organ, kar so osebna izkaznica, potni list, obmejna prepustnica, vozniško dovoljenje, orožni list in uradni identifikacijski dokumenti drugih držav ali mednarodnih organizacij.</w:t>
      </w: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2. oddelek – povezovanje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6" w:name="_Ref40431234"/>
      <w:r w:rsidRPr="007C190F">
        <w:rPr>
          <w:rFonts w:eastAsia="Calibri"/>
          <w:b/>
          <w:szCs w:val="20"/>
        </w:rPr>
        <w:t>člen</w:t>
      </w:r>
      <w:r w:rsidRPr="007C190F">
        <w:rPr>
          <w:rFonts w:eastAsia="Calibri"/>
          <w:b/>
          <w:szCs w:val="20"/>
        </w:rPr>
        <w:br/>
        <w:t>(uporaba povezovalnih znakov)</w:t>
      </w:r>
      <w:bookmarkEnd w:id="56"/>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t>(1) Pri pridobivanju osebnih podatkov iz zbirk osebnih podatkov s področja zdravstva, policije, obveščevalno-varnostne dejavnosti države, obrambe države, sodstva in državnega tožilstva, probacije ter iz kazenske evidence in prekrškovnih evidenc pristojni organ ali obdelovalec ne sme uporabljati povezovalnega znaka tako, da bi se za pridobitev osebnega podatka uporabil izključno ta znak.</w:t>
      </w:r>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t>(2) Ne glede na prejšnji odstavek se lahko izjemoma uporabi en povezovalni znak za pridobivanje osebnih podatkov, če je to podatek v konkretni zadevi, ki lahko omogoči, da se prepreči, odkrije, preišče ali preganja kaznivo dejanje, ki se preganja po uradni dolžnosti. O tem se brez odlašanja napravi uradni zaznamek ali drug zapis.</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7" w:name="_Ref43651605"/>
      <w:r w:rsidRPr="007C190F">
        <w:rPr>
          <w:rFonts w:eastAsia="Calibri"/>
          <w:b/>
          <w:szCs w:val="20"/>
        </w:rPr>
        <w:t>člen</w:t>
      </w:r>
      <w:r w:rsidRPr="007C190F">
        <w:rPr>
          <w:rFonts w:eastAsia="Calibri"/>
          <w:b/>
          <w:szCs w:val="20"/>
        </w:rPr>
        <w:br/>
        <w:t>(povezovanje uradnih evidenc in javnih knjig)</w:t>
      </w:r>
      <w:bookmarkEnd w:id="57"/>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Zbirke pristojnih organov se lahko povezujejo med seboj ali z drugimi uradnimi evidencami, javnimi knjigami ali drugimi zbirkami, v katerih se obdelujejo posebne vrste osebnih podatkov, </w:t>
      </w:r>
      <w:r w:rsidRPr="007C190F">
        <w:rPr>
          <w:rFonts w:eastAsia="Calibri" w:cs="Arial"/>
          <w:szCs w:val="20"/>
        </w:rPr>
        <w:lastRenderedPageBreak/>
        <w:t>osebni podatki v zvezi s kazenskimi obsodbami in prekrški,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ter zakonom, ki ureja preprečevanje pranja denarja in financiranja terorizma, samo če takšno povezovanje izrecno določa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Povezovanje zbirk v skladu s prejšnjim odstavkom pomeni elektronsko povezovanje dveh ali več uradnih evidenc, javnih knjig ali drugih zbirk, ki se upravljajo pri različnih upravljavcih ali pri istem upravljavcu na podlagi različnih pravnih podlag, in ki se neodvisno od tehnične izvedbe izvaja v obsegu oziroma na način, ki predstavljata ali bi lahko predstavljala bistveno večje tveganje za človekove pravice ali temeljne svoboščine posameznikov kot obdelava osebnih podatkov le v okviru ene same uradne evidence, javne knjige ali zbirke. Povezovanje zbirk pomeni tudi obdelavo dveh ali več zbirk istega ali različnih upravljavcev pri istem obdelovalcu, če ni z organizacijskimi in tehničnimi ukrepi in postopki zagotovljena popolna ločenost obdelav osebnih podatkov iz teh zbirk.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Najpozneje 30 dni pred začetkom povezovanja zbirk iz prvega odstavka tega člena mora pristojni organ oziroma obdelovalec poslati obvestilo nadzornemu organu, v katerem navede, da namerava izvesti povezovanje v skladu s tem členom, ga podrobno opisati zlasti z navedbo pravnih podlag, tehničnih rešitev in zaščitnih ukrepov ter priložiti oceno učinka, razen če ocene učinka v skladu z določbo tretjega odstavka </w:t>
      </w:r>
      <w:r w:rsidR="005041E7">
        <w:fldChar w:fldCharType="begin"/>
      </w:r>
      <w:r w:rsidR="005041E7">
        <w:instrText xml:space="preserve"> REF _Ref40098002 \r \h  \* MERGEFORMAT </w:instrText>
      </w:r>
      <w:r w:rsidR="005041E7">
        <w:fldChar w:fldCharType="separate"/>
      </w:r>
      <w:r w:rsidR="009C0CED" w:rsidRPr="007C190F">
        <w:rPr>
          <w:rFonts w:eastAsia="Calibri" w:cs="Arial"/>
          <w:szCs w:val="20"/>
        </w:rPr>
        <w:t>49</w:t>
      </w:r>
      <w:r w:rsidR="005041E7">
        <w:fldChar w:fldCharType="end"/>
      </w:r>
      <w:r w:rsidRPr="007C190F">
        <w:rPr>
          <w:rFonts w:eastAsia="Calibri" w:cs="Arial"/>
          <w:szCs w:val="20"/>
        </w:rPr>
        <w:t>. člena tega zakona ni treba izdelati.</w:t>
      </w: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3. oddelek – strokovni nadzor</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8" w:name="_Ref45616454"/>
      <w:r w:rsidRPr="007C190F">
        <w:rPr>
          <w:rFonts w:eastAsia="Calibri"/>
          <w:b/>
          <w:szCs w:val="20"/>
        </w:rPr>
        <w:t>člen</w:t>
      </w:r>
      <w:r w:rsidRPr="007C190F">
        <w:rPr>
          <w:rFonts w:eastAsia="Calibri"/>
          <w:b/>
          <w:szCs w:val="20"/>
        </w:rPr>
        <w:br/>
        <w:t>(strokovni nadzor)</w:t>
      </w:r>
      <w:bookmarkEnd w:id="58"/>
    </w:p>
    <w:p w:rsidR="00E302FA" w:rsidRPr="007C190F" w:rsidRDefault="00E302FA" w:rsidP="00E302FA">
      <w:pPr>
        <w:spacing w:after="160" w:line="259" w:lineRule="auto"/>
        <w:jc w:val="both"/>
        <w:rPr>
          <w:rFonts w:eastAsia="Calibri" w:cs="Arial"/>
          <w:szCs w:val="20"/>
        </w:rPr>
      </w:pPr>
      <w:r w:rsidRPr="007C190F">
        <w:rPr>
          <w:rFonts w:eastAsia="Calibri" w:cs="Arial"/>
          <w:szCs w:val="20"/>
        </w:rPr>
        <w:t>Če drug zakon ne določa drugače, se določbe tega oddelka uporabljajo za obdelavo osebnih podatkov pri notranjem strokovnem nadzoru.</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59" w:name="_Ref43645060"/>
      <w:r w:rsidRPr="007C190F">
        <w:rPr>
          <w:rFonts w:eastAsia="Calibri"/>
          <w:b/>
          <w:szCs w:val="20"/>
        </w:rPr>
        <w:t>člen</w:t>
      </w:r>
      <w:r w:rsidRPr="007C190F">
        <w:rPr>
          <w:rFonts w:eastAsia="Calibri"/>
          <w:b/>
          <w:szCs w:val="20"/>
        </w:rPr>
        <w:br/>
        <w:t>(splošne določbe)</w:t>
      </w:r>
      <w:bookmarkEnd w:id="59"/>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Organ, ki izvaja strokovni nadzor znotraj pristojnega organa (v nadaljnjem besedilu: izvajalec strokovnega nadzora), za namen izvedbe strokovnega nadzora obdeluje vse osebne podatke, ki jih obdeluje pristojni organ in ki so potrebni za izvedbo posameznega strokovnega nadzora.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Izvajalec strokovnega nadzora mora pri izvajanju strokovnega nadzora in izdelavi poročila ali ocene ob zaključku strokovnega nadzora varovati tajnost osebnih podatkov, s katerimi se seznani v okviru strokovnega nadzora. V poročilu ali oceni ob zaključku strokovnega nadzora lahko izvajalec strokovnega nadzora zapiše le tiste osebne podatke, ki so nujni za dosego namena strokovnega nadzora.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(obveščanje posameznika in pridobivanje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Izvajalec strokovnega nadzora lahko pri opravljanju strokovnega nadzora, pri katerem v skladu s prvim odstavkom prejšnjega člena obdeluje osebne podatke, če je to potrebno za uspešen nadzor in tega z drugimi ukrepi ni mogoče doseči, pisno obvesti posameznika, na katerega se nanašajo osebni podatki, da izvaja strokovni nadzor, in ga obvesti, da lahko pisno ali ustno poda svoja stališča in dodatne informacije, pomembne za nadzor, s katerimi razpolaga. Izvajalec nadzora lahko s posameznikom, na katerega se nanašajo osebni podatki, opravi razgovor.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Posameznik iz prejšnjega odstavka lahko izvajalcu strokovnega nadzora za namene izvajanja strokovnega nadzora posreduje kontaktne osebne podatke drugega posameznika (osebno ime, zaposlitev, številke ali naslove službenih komunikacijskih sredstev in navedbo povezave z zadevo </w:t>
      </w:r>
      <w:r w:rsidRPr="007C190F">
        <w:rPr>
          <w:rFonts w:eastAsia="Calibri" w:cs="Arial"/>
          <w:szCs w:val="20"/>
        </w:rPr>
        <w:lastRenderedPageBreak/>
        <w:t>nadzora), ki bi lahko o zadevi, v kateri se izvaja strokovni nadzor, podal pomembne informacije, s katerimi razpolaga. Če izvajalec strokovnega nadzora ugotovi, da je to potrebno, opravi razgovor tudi z drugim posameznikom.</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(posebne vrste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Če se pri izvajanju strokovnega nadzora obdelujejo posebne vrste osebnih podatkov ali podatki iz kazenskih evidenc ali prekrškovnih evidenc, izvajalec strokovnega nadzora o tem naredi uradni zaznamek ali drug zapis, ki ga lahko vključi tudi v poročilo iz drugega odstavka </w:t>
      </w:r>
      <w:r w:rsidR="005041E7">
        <w:fldChar w:fldCharType="begin"/>
      </w:r>
      <w:r w:rsidR="005041E7">
        <w:instrText xml:space="preserve"> REF _Ref43645060 \r \h  \* MERGEFORMAT </w:instrText>
      </w:r>
      <w:r w:rsidR="005041E7">
        <w:fldChar w:fldCharType="separate"/>
      </w:r>
      <w:r w:rsidR="009C0CED" w:rsidRPr="007C190F">
        <w:rPr>
          <w:rFonts w:eastAsia="Calibri" w:cs="Arial"/>
          <w:szCs w:val="20"/>
        </w:rPr>
        <w:t>64</w:t>
      </w:r>
      <w:r w:rsidR="005041E7">
        <w:fldChar w:fldCharType="end"/>
      </w:r>
      <w:r w:rsidRPr="007C190F">
        <w:rPr>
          <w:rFonts w:eastAsia="Calibri" w:cs="Arial"/>
          <w:szCs w:val="20"/>
        </w:rPr>
        <w:t>. člena tega zakona.</w:t>
      </w:r>
    </w:p>
    <w:p w:rsidR="00E302FA" w:rsidRPr="007C190F" w:rsidRDefault="00E302FA" w:rsidP="00E302FA">
      <w:pPr>
        <w:keepNext/>
        <w:keepLines/>
        <w:spacing w:before="40" w:line="259" w:lineRule="auto"/>
        <w:jc w:val="center"/>
        <w:outlineLvl w:val="2"/>
        <w:rPr>
          <w:rFonts w:ascii="Calibri Light" w:hAnsi="Calibri Light"/>
          <w:sz w:val="24"/>
        </w:rPr>
      </w:pPr>
      <w:r w:rsidRPr="007C190F">
        <w:rPr>
          <w:rFonts w:ascii="Calibri Light" w:hAnsi="Calibri Light"/>
          <w:sz w:val="24"/>
        </w:rPr>
        <w:t>4. oddelek – posredovanje osebnih podatkov</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0" w:name="_Ref40275081"/>
      <w:r w:rsidRPr="007C190F">
        <w:rPr>
          <w:rFonts w:eastAsia="Calibri"/>
          <w:b/>
          <w:szCs w:val="20"/>
        </w:rPr>
        <w:t>člen</w:t>
      </w:r>
      <w:r w:rsidRPr="007C190F">
        <w:rPr>
          <w:rFonts w:eastAsia="Calibri"/>
          <w:b/>
          <w:szCs w:val="20"/>
        </w:rPr>
        <w:br/>
        <w:t>(posredovanje osebnih podatkov, ki ga izvedejo osebe javnega sektorja)</w:t>
      </w:r>
      <w:bookmarkEnd w:id="60"/>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Posredovanje osebnih podatkov s strani pristojnega organa drugi osebi javnega sektorja ali s strani druge osebe javnega sektorja pristojnemu organu je dovoljeno, če je za posredovanje podana pravna podlaga v skladu s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xml:space="preserve">., </w:t>
      </w:r>
      <w:r w:rsidR="005041E7">
        <w:fldChar w:fldCharType="begin"/>
      </w:r>
      <w:r w:rsidR="005041E7">
        <w:instrText xml:space="preserve"> REF _Ref40183951 \r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szCs w:val="20"/>
        </w:rPr>
        <w:t xml:space="preserve">. ali </w:t>
      </w:r>
      <w:r w:rsidR="005041E7">
        <w:fldChar w:fldCharType="begin"/>
      </w:r>
      <w:r w:rsidR="005041E7">
        <w:instrText xml:space="preserve"> REF _Ref40183958 \r \h  \* MERGEFORMAT </w:instrText>
      </w:r>
      <w:r w:rsidR="005041E7">
        <w:fldChar w:fldCharType="separate"/>
      </w:r>
      <w:r w:rsidR="009C0CED" w:rsidRPr="007C190F">
        <w:rPr>
          <w:rFonts w:eastAsia="Calibri" w:cs="Arial"/>
          <w:szCs w:val="20"/>
        </w:rPr>
        <w:t>8</w:t>
      </w:r>
      <w:r w:rsidR="005041E7">
        <w:fldChar w:fldCharType="end"/>
      </w:r>
      <w:r w:rsidRPr="007C190F">
        <w:rPr>
          <w:rFonts w:eastAsia="Calibri" w:cs="Arial"/>
          <w:szCs w:val="20"/>
        </w:rPr>
        <w:t>. členom tega zakona. Pristojni organ oziroma druga oseba javnega sektorja, ki se ji osebni podatki posredujejo, osebne podatke obdeluje samo za namen, za katerega so ji bili posredovani.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Posredovanje osebnih podatkov od pristojnega organa k pravnim ali fizičnim osebam zasebnega sektorja je dovoljeno, če je to potrebno za uveljavljanje, izvajanje ali obrambo pravnih zahtevkov ali če obstaja druga pravna podlaga za pridobitev zahtevanih osebnih podatkov. Pravna ali fizična oseba zasebnega prava, ki se ji osebni podatki posredujejo, osebne podatke obdeluje samo za namen, za katerega so ji bili posredovani.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Posredovanje iz prvega odstavka tega člena je brezplačno.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Upravljavci ali obdelovalci, ki na podlagi zakona za izvajanje svojih pristojnosti ali nalog pridobivajo osebne podatke iz registrov ali evidenc s področja upravnih notranjih zadev, ki so v upravljanju ministrstva, pristojnega za notranje zadeve, na lastne stroške vzpostavijo primerljive varnostne mehanizme, ki jih kot ukrepe in postopke za izvajanje varnosti osebnih podatkov izvaja ministrstvo, pristojno za notranje zadeve.</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1" w:name="_Ref45616469"/>
      <w:r w:rsidRPr="007C190F">
        <w:rPr>
          <w:rFonts w:eastAsia="Calibri"/>
          <w:b/>
          <w:szCs w:val="20"/>
        </w:rPr>
        <w:t>člen</w:t>
      </w:r>
      <w:r w:rsidRPr="007C190F">
        <w:rPr>
          <w:rFonts w:eastAsia="Calibri"/>
          <w:b/>
          <w:szCs w:val="20"/>
        </w:rPr>
        <w:br/>
        <w:t>(posredovanje osebnih podatkov, ki ga izvedejo osebe zasebnega sektorja)</w:t>
      </w:r>
      <w:bookmarkEnd w:id="61"/>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Posredovanje osebnih podatkov s strani osebe zasebnega sektorja pristojnemu organu je dovoljeno, če je za posredovanje podana pravna podlaga v skladu s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xml:space="preserve">., </w:t>
      </w:r>
      <w:r w:rsidR="005041E7">
        <w:fldChar w:fldCharType="begin"/>
      </w:r>
      <w:r w:rsidR="005041E7">
        <w:instrText xml:space="preserve"> REF _Ref40183951 \r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szCs w:val="20"/>
        </w:rPr>
        <w:t xml:space="preserve">. ali </w:t>
      </w:r>
      <w:r w:rsidR="005041E7">
        <w:fldChar w:fldCharType="begin"/>
      </w:r>
      <w:r w:rsidR="005041E7">
        <w:instrText xml:space="preserve"> REF _Ref40183958 \r \h  \* MERGEFORMAT </w:instrText>
      </w:r>
      <w:r w:rsidR="005041E7">
        <w:fldChar w:fldCharType="separate"/>
      </w:r>
      <w:r w:rsidR="009C0CED" w:rsidRPr="007C190F">
        <w:rPr>
          <w:rFonts w:eastAsia="Calibri" w:cs="Arial"/>
          <w:szCs w:val="20"/>
        </w:rPr>
        <w:t>8</w:t>
      </w:r>
      <w:r w:rsidR="005041E7">
        <w:fldChar w:fldCharType="end"/>
      </w:r>
      <w:r w:rsidRPr="007C190F">
        <w:rPr>
          <w:rFonts w:eastAsia="Calibri" w:cs="Arial"/>
          <w:szCs w:val="20"/>
        </w:rPr>
        <w:t>. členom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Pristojni organ osebne podatke pridobi z zahtevo iz prvega odstavka </w:t>
      </w:r>
      <w:r w:rsidR="005041E7">
        <w:fldChar w:fldCharType="begin"/>
      </w:r>
      <w:r w:rsidR="005041E7">
        <w:instrText xml:space="preserve"> REF _Ref40275328 \r \h  \* MERGEFORMAT </w:instrText>
      </w:r>
      <w:r w:rsidR="005041E7">
        <w:fldChar w:fldCharType="separate"/>
      </w:r>
      <w:r w:rsidR="009C0CED" w:rsidRPr="007C190F">
        <w:rPr>
          <w:rFonts w:eastAsia="Calibri" w:cs="Arial"/>
          <w:szCs w:val="20"/>
        </w:rPr>
        <w:t>69</w:t>
      </w:r>
      <w:r w:rsidR="005041E7">
        <w:fldChar w:fldCharType="end"/>
      </w:r>
      <w:r w:rsidRPr="007C190F">
        <w:rPr>
          <w:rFonts w:eastAsia="Calibri" w:cs="Arial"/>
          <w:szCs w:val="20"/>
        </w:rPr>
        <w:t>. člena tega zakona, razen če drug zakon določa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Posredovanje podatkov iz prvega odstavka tega člena je brezplačno.</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2" w:name="_Ref40275328"/>
      <w:r w:rsidRPr="007C190F">
        <w:rPr>
          <w:rFonts w:eastAsia="Calibri"/>
          <w:b/>
          <w:szCs w:val="20"/>
        </w:rPr>
        <w:t>člen</w:t>
      </w:r>
      <w:r w:rsidRPr="007C190F">
        <w:rPr>
          <w:rFonts w:eastAsia="Calibri"/>
          <w:b/>
          <w:szCs w:val="20"/>
        </w:rPr>
        <w:br/>
        <w:t>(postopek posredovanja osebnih podatkov)</w:t>
      </w:r>
      <w:bookmarkEnd w:id="62"/>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Posredovanje osebnih podatkov po tem oddelku se izvede na podlagi zahteve, ki vsebuje: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podatke o vlagatelju zahteve (ime, naslov opravljanja dejavnosti ali naslov stalnega ali začasnega prebivališča za fizično osebo ter naziv oziroma firmo in naslov oziroma sedež in matično številko za samostojnega podjetnika posameznika, posameznika, ki samostojno opravlja </w:t>
      </w:r>
      <w:r w:rsidRPr="007C190F">
        <w:rPr>
          <w:rFonts w:eastAsia="Calibri" w:cs="Arial"/>
          <w:szCs w:val="20"/>
        </w:rPr>
        <w:lastRenderedPageBreak/>
        <w:t>dejavnost, ter za pravno osebo oziroma pristojni organ) in podpis vlagatelja oziroma pooblaščene osebe;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pravno podlago za pridobitev zahtevanih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namen obdelave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predmet in številko ali drugo identifikacijo zadeve, v zvezi s katero so osebni podatki potrebni;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vrste osebnih podatkov, ki naj se mu posredujejo;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obliko in način pridobitve zahtevanih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Upravljavec vlagatelju zahteve, če zakon ne določa drugačnega roka, zahtevane osebne podatke posreduje najpozneje v 15 dneh od prejema popolne zahteve ali pa ga v tem roku pisno obvesti o razlogih, zaradi katerih mu zahtevanih osebnih podatkov ne bo posredoval.</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Če upravljavec ne ravna v skladu s prejšnjim odstavkom, se šteje, da je zahteva zavrnjena.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Če je zahteva za posredovanje osebnih podatkov delno ali v celoti zavrnjena, lahko vlagatelj v primeru, ko se zahteva nanaša na posredovanje osebnih podatkov iz uradnih evidenc ali javnih knjig, zahteva, da o njegovi vlogi najprej odloči organ druge stopnje, če tega ni ali če tudi organ druge stopnje zavrne njegovo zahtevo, lahko zahteva sodno varstvo, o katerem odloča pristojno sodišče v skladu z zakonom, ki ureja upravni spor. V primeru zavrnitve zahteve za posredovanje osebnih podatkov iz zbirk, ki niso uradne evidence ali javne knjige, lahko vlagatelj zahteva sodno varstvo, o katerem odloča sodišče s splošno pristojnostjo v skladu z zakonom, ki ureja nepravdni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Ta člen se ne uporablja, če fizična ali pravna oseba ali pristojni organ uveljavlja pravico do pregledovanja </w:t>
      </w:r>
      <w:r w:rsidR="00123F4F" w:rsidRPr="007C190F">
        <w:rPr>
          <w:rFonts w:eastAsia="Calibri" w:cs="Arial"/>
          <w:szCs w:val="20"/>
        </w:rPr>
        <w:t xml:space="preserve">ali </w:t>
      </w:r>
      <w:r w:rsidRPr="007C190F">
        <w:rPr>
          <w:rFonts w:eastAsia="Calibri" w:cs="Arial"/>
          <w:szCs w:val="20"/>
        </w:rPr>
        <w:t>pridobivanja podatkov iz kazenskih zadev sodišč, upravnih ali drugih zadev</w:t>
      </w:r>
      <w:r w:rsidR="00123F4F" w:rsidRPr="007C190F">
        <w:rPr>
          <w:rFonts w:eastAsia="Calibri" w:cs="Arial"/>
          <w:szCs w:val="20"/>
        </w:rPr>
        <w:t>, spisov, evidenc ali drugih zbirk</w:t>
      </w:r>
      <w:r w:rsidRPr="007C190F">
        <w:rPr>
          <w:rFonts w:eastAsia="Calibri" w:cs="Arial"/>
          <w:szCs w:val="20"/>
        </w:rPr>
        <w:t xml:space="preserve"> v skladu z drugim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Upravljavec za vsako posredovanje osebnih podatkov zagotovi možnost poznejše ugotovitve, kateri osebni podatki so bili posredovani, komu, kdaj in po kateri pravni podlagi, za kateri namen oziroma iz katerih razlogov oziroma za potrebe katerega postopka, razen če zakon za posredovanje posameznih vrst podatkov določa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Informacije iz prejšnjega odstavka upravljavec hrani pet let, razen če zakon za posredovanje posameznih vrst podatkov določa drugačen rok.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Šesti in sedmi odstavek tega člena veljata tudi za obdelovalce, če so z zakonom ali pogodbo ali drugim dogovorom zavezani posredovati določene osebne podatke.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Pristojni organ, drug upravljavec ali obdelovalec posamezniku, na katerega se nanašajo osebni podatki, do vložitve obtožnega akta, vendar največ 36 mesecev, ne razkrije, da je ali da bo posredoval določene osebne podatke drugemu pristojnemu organu. Za državna tožilstva in kazenske zadeve sodišč veljajo določbe zakonov, ki urejajo postopke v teh zadevah.</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center"/>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VII. POGLAVJE</w:t>
      </w:r>
      <w:r w:rsidRPr="007C190F">
        <w:rPr>
          <w:rFonts w:ascii="Calibri Light" w:hAnsi="Calibri Light"/>
          <w:sz w:val="26"/>
          <w:szCs w:val="26"/>
        </w:rPr>
        <w:br/>
        <w:t>PRENOS OSEBNIH PODATKOV TRETJIM DRŽAVAM ALI MEDNARODNIM ORGANIZACIJAM</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(splošna pravila za prenos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(1) Pristojni organ izvede vsak prenos osebnih podatkov, ki se obdelujejo ali so namenjeni obdelavi po prenosu v tretjo državo ali mednarodno organizacijo, vključno z nadaljnjimi prenosi v drugo tretjo državo ali mednarodno organizacijo, le, če so upoštevane določbe tega zakona in: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je prenos potreben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se osebni podatki posredujejo upravljavcu v tretji državi ali mednarodni organizaciji, ki je pristojen za izpolnitev enega od namenov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v primeru, ko se prenašajo ali dajejo na razpolago osebni podatki iz druge države članice Evropske unije in je ta država članica v skladu s svojim nacionalnim pravom dala predhodno soglasje za prenos;</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je Evropska komisija sprejela sklep o ustreznosti ravni varstva osebnih podatkov v tretji državi ali mednarodni organizaciji iz tretjega odstavka 36. člena Direktive 2016/680/EU ali, če tak sklep ne obstaja, v tretji državi ali mednarodni organizaciji obstajajo ustrezni zaščitni ukrepi v skladu z </w:t>
      </w:r>
      <w:r w:rsidR="005041E7">
        <w:fldChar w:fldCharType="begin"/>
      </w:r>
      <w:r w:rsidR="005041E7">
        <w:instrText xml:space="preserve"> REF _Ref40275486 \r \h  \* MERGEFORMAT </w:instrText>
      </w:r>
      <w:r w:rsidR="005041E7">
        <w:fldChar w:fldCharType="separate"/>
      </w:r>
      <w:r w:rsidR="009C0CED" w:rsidRPr="007C190F">
        <w:rPr>
          <w:rFonts w:eastAsia="Calibri" w:cs="Arial"/>
          <w:szCs w:val="20"/>
        </w:rPr>
        <w:t>72</w:t>
      </w:r>
      <w:r w:rsidR="005041E7">
        <w:fldChar w:fldCharType="end"/>
      </w:r>
      <w:r w:rsidRPr="007C190F">
        <w:rPr>
          <w:rFonts w:eastAsia="Calibri" w:cs="Arial"/>
          <w:szCs w:val="20"/>
        </w:rPr>
        <w:t xml:space="preserve">. členom tega zakona, ali je, če ne obstaja sklep o ustreznosti in ne obstajajo ustrezni ukrepi in niso predložena ustrezna zagotovila, mogoče v skladu s </w:t>
      </w:r>
      <w:r w:rsidR="005041E7">
        <w:fldChar w:fldCharType="begin"/>
      </w:r>
      <w:r w:rsidR="005041E7">
        <w:instrText xml:space="preserve"> REF _Ref40430791 \r \h  \* MERGEFORMAT </w:instrText>
      </w:r>
      <w:r w:rsidR="005041E7">
        <w:fldChar w:fldCharType="separate"/>
      </w:r>
      <w:r w:rsidR="009C0CED" w:rsidRPr="007C190F">
        <w:rPr>
          <w:rFonts w:eastAsia="Calibri" w:cs="Arial"/>
          <w:szCs w:val="20"/>
        </w:rPr>
        <w:t>73</w:t>
      </w:r>
      <w:r w:rsidR="005041E7">
        <w:fldChar w:fldCharType="end"/>
      </w:r>
      <w:r w:rsidRPr="007C190F">
        <w:rPr>
          <w:rFonts w:eastAsia="Calibri" w:cs="Arial"/>
          <w:szCs w:val="20"/>
        </w:rPr>
        <w:t xml:space="preserve">. členom tega zakona uporabiti izjeme za posamezne primere;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tretja država ali mednarodna organizacija soglaša, da bo osebne podatke naprej prenesla drugi tretji državi ali drugi mednarodni organizaciji le na podlagi predhodnega dovoljenja pristojnega organa Republike Slovenije, ki je izvedel prvotni prenos, in ob upoštevanju vseh tehtnih meril, vključno z resnostjo kaznivega dejanja, namenom prvotnega prenosa osebnih podatkov in stopnjo varstva osebnih podatkov v tretji državi ali mednarodni organizaciji, ki se ji posredujejo osebni podatki oziroma jih namerava prenesti drugi tretji državi ali drugi mednarodni organizaciji.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Prenos se v primerih iz 3. točke prejšnjega odstavka lahko izvede tudi brez podaje predhodnega soglasja druge države članice Evropske unije, če je prenos nujno potreben za preprečitev neposredne in resne grožnje javni varnosti Republike Slovenije ali tretje države ali za varstvo ustavne ureditve, bistvenih varnostnih, političnih in gospodarskih interesov Republike Slovenije, predhodnega soglasja pa ni bilo mogoče pravočasno pridobiti. O tem se brez nepotrebnega odlašanja obvesti organ druge države članice Evropske unije, pristojen za dajanje predhodnega soglasja.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(prenos osebnih podatkov na podlagi sklepa o ustreznosti varstva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Prenos osebnih podatkov v tretjo državo ali mednarodno organizacijo je dovoljen, če je Evropska komisija s sklepom iz tretjega odstavka 36. člena Direktive  2016/680/EU odločila, da ta tretja država oziroma eden ali več specifičnih sektorjev v tej tretji državi ali zadevna mednarodna organizacija zagotavlja ustrezno stopnjo varstva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Če je sklep iz tretjega odstavka 36. člena Direktive 2016/680/EU razveljavljen, spremenjen ali začasno odložen, se lahko prenosi nadaljujejo, če je za to podana katera od drugih pravnih podlag iz tega poglavja.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3" w:name="_Ref40275486"/>
      <w:r w:rsidRPr="007C190F">
        <w:rPr>
          <w:rFonts w:eastAsia="Calibri"/>
          <w:b/>
          <w:szCs w:val="20"/>
        </w:rPr>
        <w:t>člen</w:t>
      </w:r>
      <w:r w:rsidRPr="007C190F">
        <w:rPr>
          <w:rFonts w:eastAsia="Calibri"/>
          <w:b/>
          <w:szCs w:val="20"/>
        </w:rPr>
        <w:br/>
        <w:t>(prenos osebnih podatkov z uporabo ustreznih zaščitnih ukrepov)</w:t>
      </w:r>
      <w:bookmarkEnd w:id="63"/>
    </w:p>
    <w:p w:rsidR="00E302FA" w:rsidRPr="007C190F" w:rsidRDefault="00E302FA" w:rsidP="00E302FA">
      <w:pPr>
        <w:spacing w:after="160" w:line="259" w:lineRule="auto"/>
        <w:jc w:val="both"/>
        <w:rPr>
          <w:rFonts w:eastAsia="Calibri" w:cs="Arial"/>
          <w:szCs w:val="20"/>
        </w:rPr>
      </w:pPr>
      <w:r w:rsidRPr="007C190F">
        <w:rPr>
          <w:rFonts w:eastAsia="Calibri" w:cs="Arial"/>
          <w:szCs w:val="20"/>
        </w:rPr>
        <w:t>(1) Če ne obstaja sklep Evropske komisije iz tretjega odstavka 36. člena Direktive 2016/680/EU, je prenos osebnih podatkov v tretjo državo ali mednarodno organizacijo dopusten,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so v pravnem aktu, ki obvezuje tretjo državo ali mednarodno organizacijo, določeni ustrezni zaščitni ukrepi za varstvo osebnih podatkov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2. je pristojni organ po oceni vseh okoliščin, ki so pri prenosu pomembne, ugotovil, da v tretji državi ali mednarodni organizaciji dejansko obstajajo ustrezni ukrepi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Pristojni organ obvesti nadzorni organ o kategorijah prenosov, ki jih izvaja na podlagi prejšnjega odstavka.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Pristojni organ mora izpolnjevanje pogojev iz prvega odstavka tega člena dokumentirati, kar vključuje datum in uro prenosa, podatke o prejemniku oziroma uporabniku, utemeljitev prenosa in prenesene osebne podatke. Dokumentacijo hrani pet let od zaključka koledarskega leta, v katerem je bil izveden prenos. Dokumentacijo mora na podlagi zahteve dati na razpolago nadzornemu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Če nadzorni organ ugotovi neskladnost ukrepov za varstvo osebnih podatkov v zadevni tretji državi ali mednarodni organizaciji s tem zakonom, lahko z odločbo odredi ustavitev oziroma prepoved prenosa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Zoper odločbo iz prejšnjega odstavka ni dovoljena pritožba, dopusten pa je upravni spor.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Nadzorni organ o odločbi obvesti Evropsko komisijo in jo objavi na svoji spletni strani.</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4" w:name="_Ref40430791"/>
      <w:r w:rsidRPr="007C190F">
        <w:rPr>
          <w:rFonts w:eastAsia="Calibri"/>
          <w:b/>
          <w:szCs w:val="20"/>
        </w:rPr>
        <w:t>člen</w:t>
      </w:r>
      <w:r w:rsidRPr="007C190F">
        <w:rPr>
          <w:rFonts w:eastAsia="Calibri"/>
          <w:b/>
          <w:szCs w:val="20"/>
        </w:rPr>
        <w:br/>
        <w:t>(izjeme za posamezne primere)</w:t>
      </w:r>
      <w:bookmarkEnd w:id="64"/>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V primerih, ko ne obstajajo sklep o ustreznosti iz tretjega odstavka 36. člena Direktive 2016/680/EU, niti ustrezni zaščitni ukrepi v skladu s prejšnjim členom, je prenos osebnih podatkov tretji državi ali mednarodni organizaciji dopusten, kadar je prenos potreben: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za varovanje življenjskih interesov posameznika, zlasti življenja ali telesa ali zdravja posameznika, na katerega se osebni podatki nanašajo, ali druge osebe,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za varovanje zakonitih interesov posameznikov, na katere se nanašajo osebni podatki, in je to določeno v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za preprečitev neposredne in resne nevarnosti za javno varnost države članice Evropske unije ali tretje države ali za varstvo ustavne ureditve, bistvenih varnostnih, političnih in gospodarskih interesov Republike Slovenije,</w:t>
      </w:r>
    </w:p>
    <w:p w:rsidR="00E302FA" w:rsidRPr="007C190F" w:rsidRDefault="00E302FA" w:rsidP="00E302FA">
      <w:pPr>
        <w:spacing w:after="160" w:line="259" w:lineRule="auto"/>
        <w:jc w:val="both"/>
        <w:rPr>
          <w:rFonts w:eastAsia="Calibri" w:cs="Arial"/>
          <w:szCs w:val="20"/>
          <w:lang w:val="it-IT"/>
        </w:rPr>
      </w:pPr>
      <w:r w:rsidRPr="007C190F">
        <w:rPr>
          <w:rFonts w:eastAsia="Calibri" w:cs="Arial"/>
          <w:szCs w:val="20"/>
        </w:rPr>
        <w:t xml:space="preserve">4. v posameznem primeru za namene iz </w:t>
      </w:r>
      <w:bookmarkStart w:id="65" w:name="_Hlk40881259"/>
      <w:r w:rsidRPr="007C190F">
        <w:rPr>
          <w:rFonts w:eastAsia="Calibri" w:cs="Arial"/>
          <w:szCs w:val="20"/>
        </w:rPr>
        <w:t xml:space="preserve">prvega odstavka </w:t>
      </w:r>
      <w:bookmarkEnd w:id="65"/>
      <w:r w:rsidR="005041E7" w:rsidRPr="007C190F">
        <w:rPr>
          <w:rFonts w:eastAsia="Calibri" w:cs="Arial"/>
          <w:szCs w:val="20"/>
        </w:rPr>
        <w:fldChar w:fldCharType="begin"/>
      </w:r>
      <w:r w:rsidRPr="007C190F">
        <w:rPr>
          <w:rFonts w:eastAsia="Calibri" w:cs="Arial"/>
          <w:szCs w:val="20"/>
        </w:rPr>
        <w:instrText xml:space="preserve"> REF _Ref40430122 \r \h  \* MERGEFORMAT </w:instrText>
      </w:r>
      <w:r w:rsidR="005041E7" w:rsidRPr="007C190F">
        <w:rPr>
          <w:rFonts w:eastAsia="Calibri" w:cs="Arial"/>
          <w:szCs w:val="20"/>
        </w:rPr>
      </w:r>
      <w:r w:rsidR="005041E7" w:rsidRPr="007C190F">
        <w:rPr>
          <w:rFonts w:eastAsia="Calibri" w:cs="Arial"/>
          <w:szCs w:val="20"/>
        </w:rPr>
        <w:fldChar w:fldCharType="separate"/>
      </w:r>
      <w:r w:rsidR="009C0CED" w:rsidRPr="007C190F">
        <w:rPr>
          <w:rFonts w:eastAsia="Calibri" w:cs="Arial"/>
          <w:szCs w:val="20"/>
        </w:rPr>
        <w:t>1</w:t>
      </w:r>
      <w:r w:rsidR="005041E7" w:rsidRPr="007C190F">
        <w:rPr>
          <w:rFonts w:eastAsia="Calibri" w:cs="Arial"/>
          <w:szCs w:val="20"/>
        </w:rPr>
        <w:fldChar w:fldCharType="end"/>
      </w:r>
      <w:r w:rsidRPr="007C190F">
        <w:rPr>
          <w:rFonts w:eastAsia="Calibri" w:cs="Arial"/>
          <w:szCs w:val="20"/>
        </w:rPr>
        <w:t>. člena tega zakona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v posameznem primeru za uveljavljanje, izvajanje ali obrambo pravnih zahtevkov v povezavi z nameni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V primerih iz 4. in 5. točke prejšnjega odstavka prenos ni dovoljen, če človekove pravice in temeljne svoboščine posameznika, na katerega se nanašajo osebni podatki, prevladajo nad javnim interesom za prenos.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Za prenose v skladu s prvim odstavkom tega člena se uporablja tretji odstavek prejšnjega člena.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(posebni prenosi določenim uporabnikom v tretjih državah)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Pristojni organi lahko izvedejo v posameznih posebej utemeljenih primerih posebni prenos osebnih podatkov v tretjo državo tudi tako, da jih neposredno prenesejo uporabniku, ustanovljenemu v tretji državi, ne glede na to, ali je ta uporabnik v skladu s pravom tretje države pristojen za obdelavo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ter ne glede na določbe mednarodnih pogodb s področja pravosodnega sodelovanja v kazenskih zadevah in policijskega sodelovanja s tretjo državo, če</w:t>
      </w:r>
      <w:r w:rsidR="00B95A00" w:rsidRPr="007C190F">
        <w:rPr>
          <w:rFonts w:eastAsia="Calibri" w:cs="Arial"/>
          <w:szCs w:val="20"/>
        </w:rPr>
        <w:t xml:space="preserve"> so izpolnjeni vsi naslednji pogoji</w:t>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upoštevane </w:t>
      </w:r>
      <w:r w:rsidR="00B95A00" w:rsidRPr="007C190F">
        <w:rPr>
          <w:rFonts w:eastAsia="Calibri" w:cs="Arial"/>
          <w:szCs w:val="20"/>
        </w:rPr>
        <w:t xml:space="preserve">so </w:t>
      </w:r>
      <w:r w:rsidRPr="007C190F">
        <w:rPr>
          <w:rFonts w:eastAsia="Calibri" w:cs="Arial"/>
          <w:szCs w:val="20"/>
        </w:rPr>
        <w:t>druge zahteve tega zakona o prenosih osebnih podatkov;</w:t>
      </w:r>
    </w:p>
    <w:p w:rsidR="00E302FA" w:rsidRPr="007C190F" w:rsidRDefault="00E302FA" w:rsidP="00E302FA">
      <w:pPr>
        <w:spacing w:before="120" w:line="240" w:lineRule="auto"/>
        <w:jc w:val="both"/>
        <w:rPr>
          <w:rFonts w:ascii="Times New Roman" w:hAnsi="Times New Roman"/>
          <w:sz w:val="24"/>
          <w:lang w:eastAsia="sl-SI"/>
        </w:rPr>
      </w:pPr>
      <w:r w:rsidRPr="007C190F">
        <w:rPr>
          <w:rFonts w:cs="Arial"/>
          <w:szCs w:val="20"/>
          <w:lang w:eastAsia="sl-SI"/>
        </w:rPr>
        <w:lastRenderedPageBreak/>
        <w:t xml:space="preserve">2. prenos </w:t>
      </w:r>
      <w:r w:rsidR="00B95A00" w:rsidRPr="007C190F">
        <w:rPr>
          <w:rFonts w:cs="Arial"/>
          <w:szCs w:val="20"/>
          <w:lang w:eastAsia="sl-SI"/>
        </w:rPr>
        <w:t xml:space="preserve">je </w:t>
      </w:r>
      <w:r w:rsidRPr="007C190F">
        <w:rPr>
          <w:rFonts w:cs="Arial"/>
          <w:szCs w:val="20"/>
          <w:lang w:eastAsia="sl-SI"/>
        </w:rPr>
        <w:t xml:space="preserve">nujno potreben za izvajanje nalog pristojnega organa, ki podatke prenese za namene iz prvega odstavka </w:t>
      </w:r>
      <w:r w:rsidR="005041E7">
        <w:fldChar w:fldCharType="begin"/>
      </w:r>
      <w:r w:rsidR="005041E7">
        <w:instrText xml:space="preserve"> REF _Ref40430122 \r \h  \* MERGEFORMAT </w:instrText>
      </w:r>
      <w:r w:rsidR="005041E7">
        <w:fldChar w:fldCharType="separate"/>
      </w:r>
      <w:r w:rsidR="009C0CED" w:rsidRPr="007C190F">
        <w:rPr>
          <w:rFonts w:cs="Arial"/>
          <w:szCs w:val="20"/>
          <w:lang w:eastAsia="sl-SI"/>
        </w:rPr>
        <w:t>1</w:t>
      </w:r>
      <w:r w:rsidR="005041E7">
        <w:fldChar w:fldCharType="end"/>
      </w:r>
      <w:r w:rsidRPr="007C190F">
        <w:rPr>
          <w:rFonts w:cs="Arial"/>
          <w:szCs w:val="20"/>
          <w:lang w:eastAsia="sl-SI"/>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br/>
        <w:t>3. v tem posameznem primeru pristojni organ ugotovi, da človekove pravice in temeljne svoboščine posameznika, na katerega se nanašajo osebni podatki, ne prevladajo nad javnim interesom za prenos;</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prenos </w:t>
      </w:r>
      <w:r w:rsidR="00B95A00" w:rsidRPr="007C190F">
        <w:rPr>
          <w:rFonts w:eastAsia="Calibri" w:cs="Arial"/>
          <w:szCs w:val="20"/>
        </w:rPr>
        <w:t xml:space="preserve">bi bil </w:t>
      </w:r>
      <w:r w:rsidRPr="007C190F">
        <w:rPr>
          <w:rFonts w:eastAsia="Calibri" w:cs="Arial"/>
          <w:szCs w:val="20"/>
        </w:rPr>
        <w:t>v skladu z drugimi določbami tega poglavja zakona neučinkovit ali neprimeren, zlasti ker ga ne bi bilo mogoče izvesti pravočasno;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5. pristojni organ tretje države </w:t>
      </w:r>
      <w:r w:rsidR="00B95A00" w:rsidRPr="007C190F">
        <w:rPr>
          <w:rFonts w:eastAsia="Calibri" w:cs="Arial"/>
          <w:szCs w:val="20"/>
        </w:rPr>
        <w:t xml:space="preserve">je </w:t>
      </w:r>
      <w:r w:rsidRPr="007C190F">
        <w:rPr>
          <w:rFonts w:eastAsia="Calibri" w:cs="Arial"/>
          <w:szCs w:val="20"/>
        </w:rPr>
        <w:t>o tem brez nepotrebnega odlašanja obveščen, razen če to ne bi bilo učinkovito ali primerno;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pristojni organ obvesti uporabnika iz tretje države o določenem namenu ali namenih, izključno za katere lahko obdela osebne podatke, če je takšna obdelava potrebna.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Pristojni organ obvesti nadzorni organ o prenosih, ki jih izvede na podlagi prejšnjega odstavka.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Za prenose v skladu s prvim odstavkom tega člena se uporablja tretji odstavek </w:t>
      </w:r>
      <w:r w:rsidR="005041E7">
        <w:fldChar w:fldCharType="begin"/>
      </w:r>
      <w:r w:rsidR="005041E7">
        <w:instrText xml:space="preserve"> REF _Ref40275486 \r \h  \* MERGEFORMAT </w:instrText>
      </w:r>
      <w:r w:rsidR="005041E7">
        <w:fldChar w:fldCharType="separate"/>
      </w:r>
      <w:r w:rsidR="009C0CED" w:rsidRPr="007C190F">
        <w:rPr>
          <w:rFonts w:eastAsia="Calibri" w:cs="Arial"/>
          <w:szCs w:val="20"/>
        </w:rPr>
        <w:t>72</w:t>
      </w:r>
      <w:r w:rsidR="005041E7">
        <w:fldChar w:fldCharType="end"/>
      </w:r>
      <w:r w:rsidRPr="007C190F">
        <w:rPr>
          <w:rFonts w:eastAsia="Calibri" w:cs="Arial"/>
          <w:szCs w:val="20"/>
        </w:rPr>
        <w:t xml:space="preserve">. člena tega zakona. </w:t>
      </w:r>
    </w:p>
    <w:p w:rsidR="00E302FA" w:rsidRPr="007C190F" w:rsidRDefault="00E302FA" w:rsidP="00E302FA">
      <w:pPr>
        <w:spacing w:after="160" w:line="259" w:lineRule="auto"/>
        <w:jc w:val="both"/>
        <w:rPr>
          <w:rFonts w:eastAsia="Calibri" w:cs="Arial"/>
          <w:szCs w:val="20"/>
        </w:rPr>
      </w:pPr>
    </w:p>
    <w:bookmarkEnd w:id="52"/>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VIII. POGLAVJE</w:t>
      </w:r>
      <w:r w:rsidRPr="007C190F">
        <w:rPr>
          <w:rFonts w:ascii="Calibri Light" w:hAnsi="Calibri Light"/>
          <w:sz w:val="26"/>
          <w:szCs w:val="26"/>
        </w:rPr>
        <w:br/>
        <w:t>NADZORNI ORGAN</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6" w:name="_Hlk14958561"/>
      <w:bookmarkStart w:id="67" w:name="_Hlk14873830"/>
      <w:r w:rsidRPr="007C190F">
        <w:rPr>
          <w:rFonts w:eastAsia="Calibri"/>
          <w:b/>
          <w:szCs w:val="20"/>
        </w:rPr>
        <w:t>člen</w:t>
      </w:r>
      <w:r w:rsidRPr="007C190F">
        <w:rPr>
          <w:rFonts w:eastAsia="Calibri"/>
          <w:b/>
          <w:szCs w:val="20"/>
        </w:rPr>
        <w:br/>
        <w:t>(določitev nadzornega organa)</w:t>
      </w:r>
    </w:p>
    <w:p w:rsidR="00E302FA" w:rsidRPr="007C190F" w:rsidRDefault="00E302FA" w:rsidP="00E302FA">
      <w:pPr>
        <w:spacing w:after="160" w:line="259" w:lineRule="auto"/>
        <w:jc w:val="both"/>
        <w:rPr>
          <w:rFonts w:eastAsia="Calibri" w:cs="Arial"/>
          <w:szCs w:val="20"/>
        </w:rPr>
      </w:pPr>
      <w:bookmarkStart w:id="68" w:name="_Hlk14959050"/>
      <w:r w:rsidRPr="007C190F">
        <w:rPr>
          <w:rFonts w:eastAsia="Calibri" w:cs="Arial"/>
          <w:szCs w:val="20"/>
        </w:rPr>
        <w:t xml:space="preserve">(1) Nadzorni organ po tem zakonu je Informacijski pooblaščenec, ki je neodvisni in samostojni nadzorni organ. Nadzorni organ izvaja nadzor nad izvajanjem določb tega zakona in glede obdelav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Nadzorni organ skrbi za enotno uresničevanje ukrepov na področju varstva osebnih podatkov po določbah tega zakona, tako da se zaščitijo človekove pravice in temeljne svoboščine posameznikov v zvezi z obdelavo osebnih podatkov ter omogoči prost pretok osebnih podatkov med državami članicami Evropske unije v skladu z določbami tega zakona.</w:t>
      </w:r>
    </w:p>
    <w:bookmarkEnd w:id="66"/>
    <w:bookmarkEnd w:id="67"/>
    <w:bookmarkEnd w:id="68"/>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(pristojnosti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Nadzorni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izvaja nadzore nad izvajanjem določb tega zakona in drugih zakonov, podzakonskih predpisov ali drugih splošnih aktov </w:t>
      </w:r>
      <w:r w:rsidR="00B95A00" w:rsidRPr="007C190F">
        <w:rPr>
          <w:rFonts w:eastAsia="Calibri" w:cs="Arial"/>
          <w:szCs w:val="20"/>
        </w:rPr>
        <w:t xml:space="preserve">za izvrševanje javnih pooblastil </w:t>
      </w:r>
      <w:r w:rsidRPr="007C190F">
        <w:rPr>
          <w:rFonts w:eastAsia="Calibri" w:cs="Arial"/>
          <w:szCs w:val="20"/>
        </w:rPr>
        <w:t xml:space="preserve">glede obdelav osebnih podatkov s področij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odloča v pritožbenem postopku, odloča v postopkih prijav prijaviteljev s posebnim položajem  in izvaja  inšpekcijski nadzor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daje predhodna mnenja ministrstvom, državnemu zboru, organom samoupravnih lokalnih skupnosti, drugim državnim organom in nosilcem javnih pooblastil o usklajenosti določb predlogov zakonov ter ostalih predpisov z zakoni in drugimi predpisi, ki urejajo osebne podatke iz področij iz prvega odstavka 1. člena tega zakona; ministrstva in drugi organi posredujejo predloge zakonov in drugih predpisov pravočasno v mnenje nadzornemu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izvaja predhodno posvetovanje v skladu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5. daje pristojnim organom in posameznikom neobvezna mnenja, pojasnila in stališča o vprašanjih glede varstva osebnih podatkov v zvezi zakoni in povezanimi predpisi na področjih obravnavanja kaznivih dejanj, določenih v prvem odstavku 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spodbuja ozaveščenost in razumevanje javnosti o tveganjih, pravilih, zaščitnih ukrepih in pravicah v zvezi z obdelavo;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spodbuja ozaveščenost pristojnih organov, drugih upravljavcev in obdelovalcev o njihovih obveznostih na podlagi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sodeluje z nadzornimi organi drugih držav ali mednarodnih organizacij;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sodeluje pri delovanju Evropskega odbora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pripravi letno poročilo o izvajanju tega zakona v skladu z določbami zakonov, ki urejata informacijskega pooblaščenca in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11. obvesti pristojno sodišče o kršitvah zakona, lahko pa sodišču v sodnem postopku tudi posreduje mnenje o ugotovljenih kršitvah;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12. sodeluje s pristojnimi organi, drugimi upravljavci in obdelovalci pri izvajanju nadzorov v skladu z določbami tega zakona;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13. olajša postopek vložitve pritožb iz </w:t>
      </w:r>
      <w:r w:rsidR="005041E7">
        <w:fldChar w:fldCharType="begin"/>
      </w:r>
      <w:r w:rsidR="005041E7">
        <w:instrText xml:space="preserve"> REF _Ref45614400 \r \h  \* MERGEFORMAT </w:instrText>
      </w:r>
      <w:r w:rsidR="005041E7">
        <w:fldChar w:fldCharType="separate"/>
      </w:r>
      <w:r w:rsidR="009C0CED" w:rsidRPr="007C190F">
        <w:rPr>
          <w:rFonts w:eastAsia="Calibri" w:cs="Arial"/>
          <w:szCs w:val="20"/>
        </w:rPr>
        <w:t>27</w:t>
      </w:r>
      <w:r w:rsidR="005041E7">
        <w:fldChar w:fldCharType="end"/>
      </w:r>
      <w:r w:rsidRPr="007C190F">
        <w:rPr>
          <w:rFonts w:eastAsia="Calibri" w:cs="Arial"/>
          <w:szCs w:val="20"/>
        </w:rPr>
        <w:t xml:space="preserve">. člena tega zakona, zahtev iz </w:t>
      </w:r>
      <w:r w:rsidR="005041E7">
        <w:fldChar w:fldCharType="begin"/>
      </w:r>
      <w:r w:rsidR="005041E7">
        <w:instrText xml:space="preserve"> REF _Ref44325519 \r \h  \* MERGEFORMAT </w:instrText>
      </w:r>
      <w:r w:rsidR="005041E7">
        <w:fldChar w:fldCharType="separate"/>
      </w:r>
      <w:r w:rsidR="009C0CED" w:rsidRPr="007C190F">
        <w:rPr>
          <w:rFonts w:eastAsia="Calibri" w:cs="Arial"/>
          <w:szCs w:val="20"/>
        </w:rPr>
        <w:t>33</w:t>
      </w:r>
      <w:r w:rsidR="005041E7">
        <w:fldChar w:fldCharType="end"/>
      </w:r>
      <w:r w:rsidRPr="007C190F">
        <w:rPr>
          <w:rFonts w:eastAsia="Calibri" w:cs="Arial"/>
          <w:szCs w:val="20"/>
        </w:rPr>
        <w:t>. člena tega zakona in prijav iz 40.  člena tega zakona, in sicer tako, da pripravi obrazce, ki se lahko vložijo tudi v elektronski obliki;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14. izvaja druge naloge, določene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Nadzorni organ izvaja pristojnosti iz prejšnjega odstavka brezplačno.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Nadzore po tem zakonu izvajajo nadzorne osebe, pri nadzoru pa lahko sodeluje strokovno osebje nadzornega organa s področja informacijskih in komunikacijskih tehnologij ter namestniki informacijskega pooblaščenca.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bookmarkStart w:id="69" w:name="_Hlk20745211"/>
      <w:r w:rsidRPr="007C190F">
        <w:rPr>
          <w:rFonts w:eastAsia="Calibri"/>
          <w:b/>
          <w:szCs w:val="20"/>
        </w:rPr>
        <w:t>člen</w:t>
      </w:r>
      <w:r w:rsidRPr="007C190F">
        <w:rPr>
          <w:rFonts w:eastAsia="Calibri"/>
          <w:b/>
          <w:szCs w:val="20"/>
        </w:rPr>
        <w:br/>
        <w:t>(omejitve pri izvajanju nadzorov)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Ne glede na določbe prejšnjega člena nadzorni organ ni pristojen za izvajanje nadzorov po tem zakonu in za prekrškovni nadzor glede: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obdelav osebnih podatkov, ki se obdelujejo v kazenski zadevi sodišča, izvedenih v okviru neodvisnega sodniškega odločanja ali odločanja strokovnih sodelavcev ali sodniških pomočnikov po odredbi sodnika, kot to opredeljuje zakon, ki ureja sodišča, ali po določbah drugih zakonov, ki določajo njihovo samostojno delovanje;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obdelav osebnih podatkov, izvedenih v okviru neodvisnega sodniškega odločanja Ustavnega sodišča Republike Slovenije v zadevah iz prejšnje točke.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Pri nadzoru obdelav osebnih podatkov in zbirk podatkov, ki se nanašajo na tajne delavce po zakon</w:t>
      </w:r>
      <w:r w:rsidR="00B95A00" w:rsidRPr="007C190F">
        <w:rPr>
          <w:rFonts w:eastAsia="Calibri" w:cs="Arial"/>
          <w:szCs w:val="20"/>
        </w:rPr>
        <w:t>ih</w:t>
      </w:r>
      <w:r w:rsidRPr="007C190F">
        <w:rPr>
          <w:rFonts w:eastAsia="Calibri" w:cs="Arial"/>
          <w:szCs w:val="20"/>
        </w:rPr>
        <w:t>, ki ureja</w:t>
      </w:r>
      <w:r w:rsidR="00B95A00" w:rsidRPr="007C190F">
        <w:rPr>
          <w:rFonts w:eastAsia="Calibri" w:cs="Arial"/>
          <w:szCs w:val="20"/>
        </w:rPr>
        <w:t>ta</w:t>
      </w:r>
      <w:r w:rsidRPr="007C190F">
        <w:rPr>
          <w:rFonts w:eastAsia="Calibri" w:cs="Arial"/>
          <w:szCs w:val="20"/>
        </w:rPr>
        <w:t xml:space="preserve"> naloge in pooblastila policije in kazenski postopek, policiste, ki jim je dodeljena prirejena identiteta, ter policijske delavce tuje države s statusom tajnega delavca po zakonu, ki ureja naloge in pooblastila policije, zaščitene priče po zakonu, ki ureja zaščito prič, in osebe, ki dajejo podatke policiji po zakonu, ki ureja naloge in pooblastila policije (v nadaljnjem besedilu: zaščitene osebe), nadzorna oseba ne sme vpogledati v del dokumenta ali zbirke, ki vključuje osebne podatke o identiteti teh oseb in druge podatke, na podlagi katerih bi bilo mogoče identificirati te osebe, razen če je prijavo glede svojih osebnih podatkov podala zaščitena oseba kot prijavitelj s posebnim položajem. Nadzorni organ izvaja nadzor iz prejšnjega stavka tako, da opravi nadzor samo glede osebnih podatkov zaščitene osebe, ki je podala prijavo, pri opravljanju nadzora pa ni dopustno razkriti podatkov o delovanju pristojnega organa v konkretni zadevi.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(3) V odločitvah in dokumentaciji nadzornega organa po tem zakonu se ne navajajo konkretni podatki o lokaciji prostorov in tehnične značilnosti opreme pristojnih organov, ki niso dostopni javnosti.</w:t>
      </w:r>
    </w:p>
    <w:p w:rsidR="00E302FA" w:rsidRPr="007C190F" w:rsidRDefault="00E302FA" w:rsidP="00E302FA">
      <w:pPr>
        <w:spacing w:after="160" w:line="259" w:lineRule="auto"/>
        <w:jc w:val="both"/>
        <w:rPr>
          <w:rFonts w:eastAsia="Calibri" w:cs="Arial"/>
          <w:szCs w:val="20"/>
        </w:rPr>
      </w:pPr>
    </w:p>
    <w:bookmarkEnd w:id="69"/>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(medsebojna pomoč)</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Nadzorni organ pristojnim nadzornim organom drugih držav članic Evropske unije na njihovo zahtevo zagotovi ustrezne informacije in medsebojno pomoč glede konkretne zadeve, ki jo potrebujejo za dosledno izvajanje in uporabo njihove zakonodaje, s katero v svoj pravni red prenašajo Direktivo 2016/680/EU.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Informacije in medsebojna pomoč iz prejšnjega odstavka obsega zlasti zahteve za informacije in nadzorne ukrepe, kot so zahteve za posvetovanja, preglede in preiskave.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Zahteva za pomoč mora vsebovati vse potrebne informacije, vključno z namenom in obrazložitvijo zahteve. Izmenjane informacije se uporabljajo samo za namen, za katerega so bile zahtevane.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Nadzorni organ obvesti nadzorni organ, ki je zahtevo poslal, o rezultatih oziroma po potrebi o stanju zadeve ali ukrepih, sprejetih v odziv na zahtevo.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Zahteva se ne zavrne, razen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nadzorni organ ni pristojen za vsebino zahteve ali za izvršitev zahtevanih ukrepov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bi izpolnitev zahteve kršila zakon.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Nadzorni organ zavrnitev zahteve obrazloži.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Nadzorni organ zahtevane informacije praviloma posreduje z elektronskimi sredstvi v standardizirani obliki.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(8) Nadzorni organ medsebojno pomoč zagotovi brez nepotrebnega odlašanja, najpozneje pa en mesec po prejemu zahteve.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Ne glede na prejšnji odstavek se nadzorni organi lahko dogovorijo o pravilih o vzajemnih nadomestilih za posebne izdatke, nastale zaradi zagotavljanja medsebojne pomoči v izjemnih okoliščinah.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Nadzorni organ lahko zahteva pomoč nadzornih organov drugih držav članic Evropske unije. Zahteva za pomoč mora vsebovati vse potrebne informacije glede konkretne zadeve, vključno z namenom in obrazložitvijo zahteve, ki jo potrebuje za dosledno izvajanje in uporabo zakonov za namen iz prvega odstavka 1. člena tega zakona. Pridobljene informacije se uporabljajo samo za namen, za katerega so bile zahtevane.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t>IX. POGLAVJE</w:t>
      </w:r>
      <w:r w:rsidRPr="007C190F">
        <w:rPr>
          <w:rFonts w:ascii="Calibri Light" w:hAnsi="Calibri Light"/>
          <w:sz w:val="26"/>
          <w:szCs w:val="26"/>
        </w:rPr>
        <w:br/>
        <w:t>KAZENSKE DOLOČBE</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(splošne kršitve s strani pristojnega organa in drugih upravljavcev)</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(1) Z globo od 100 do 5.000 eurov se kaznuje za prekršek odgovorna oseba pristojnega organa ali drugega upravljavca,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1. obdeluje osebne podatke brez podlage v zakonu ali brez privolitve posameznika, na katerega se nanašajo osebni podatki (prvi in drugi odstavek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xml:space="preserve">. člena);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 po izvedeni obdelavi ne sestavi ali ne posreduje poročila z navedbo razlogov za obdelavo in obsegom obdelanih osebnih podatkov posamezniku, na katerega se nanašajo osebni podatki (četrti odstavek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obdeluje posebne vrste osebnih podatkov brez podlage v zakonu, pa to ni nujno potrebno za opravljanje nalog pristojnih organov, določenih z zakonom (1. točka drugega odstavka </w:t>
      </w:r>
      <w:r w:rsidR="005041E7">
        <w:fldChar w:fldCharType="begin"/>
      </w:r>
      <w:r w:rsidR="005041E7">
        <w:instrText xml:space="preserve"> REF _Ref40183951 \r \h  \* MERGEFORMAT </w:instrText>
      </w:r>
      <w:r w:rsidR="005041E7">
        <w:fldChar w:fldCharType="separate"/>
      </w:r>
      <w:r w:rsidR="009C0CED" w:rsidRPr="007C190F">
        <w:rPr>
          <w:rFonts w:eastAsia="Calibri" w:cs="Arial"/>
          <w:szCs w:val="20"/>
        </w:rPr>
        <w:t>7</w:t>
      </w:r>
      <w:r w:rsidR="005041E7">
        <w:fldChar w:fldCharType="end"/>
      </w:r>
      <w:r w:rsidRPr="007C190F">
        <w:rPr>
          <w:rFonts w:eastAsia="Calibri" w:cs="Arial"/>
          <w:szCs w:val="20"/>
        </w:rPr>
        <w:t xml:space="preserve">. člena);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na zahtevo posameznika ne opravi vsaj ponovnega in ročnega pregleda odločitve, ki temelji izključno na avtomatizirani obdelavi osebnih podatkov in ki ima lahko negativne posledice za pravni položaj in pravice posameznika, na katerega se nanašajo osebni podatki, ali ga lahko bistveno prizadene (prvi odstavek </w:t>
      </w:r>
      <w:r w:rsidR="005041E7">
        <w:fldChar w:fldCharType="begin"/>
      </w:r>
      <w:r w:rsidR="005041E7">
        <w:instrText xml:space="preserve"> REF _Ref40430975 \r \h  \* MERGEFORMAT </w:instrText>
      </w:r>
      <w:r w:rsidR="005041E7">
        <w:fldChar w:fldCharType="separate"/>
      </w:r>
      <w:r w:rsidR="009C0CED" w:rsidRPr="007C190F">
        <w:rPr>
          <w:rFonts w:eastAsia="Calibri" w:cs="Arial"/>
          <w:szCs w:val="20"/>
        </w:rPr>
        <w:t>11</w:t>
      </w:r>
      <w:r w:rsidR="005041E7">
        <w:fldChar w:fldCharType="end"/>
      </w:r>
      <w:r w:rsidRPr="007C190F">
        <w:rPr>
          <w:rFonts w:eastAsia="Calibri" w:cs="Arial"/>
          <w:szCs w:val="20"/>
        </w:rPr>
        <w:t>. člena);</w:t>
      </w:r>
    </w:p>
    <w:p w:rsidR="00E302FA" w:rsidRPr="007C190F" w:rsidDel="00AB0049" w:rsidRDefault="00E302FA" w:rsidP="00E302FA">
      <w:pPr>
        <w:spacing w:after="160" w:line="259" w:lineRule="auto"/>
        <w:jc w:val="both"/>
        <w:rPr>
          <w:rFonts w:eastAsia="Calibri" w:cs="Arial"/>
          <w:szCs w:val="20"/>
        </w:rPr>
      </w:pPr>
      <w:r w:rsidRPr="007C190F" w:rsidDel="00AB0049">
        <w:rPr>
          <w:rFonts w:eastAsia="Calibri" w:cs="Arial"/>
          <w:szCs w:val="20"/>
        </w:rPr>
        <w:t>5. po seznanitvi z uvedbo postopka izbriše</w:t>
      </w:r>
      <w:r w:rsidRPr="007C190F">
        <w:rPr>
          <w:rFonts w:eastAsia="Calibri" w:cs="Arial"/>
          <w:szCs w:val="20"/>
        </w:rPr>
        <w:t xml:space="preserve"> ali</w:t>
      </w:r>
      <w:r w:rsidRPr="007C190F" w:rsidDel="00AB0049">
        <w:rPr>
          <w:rFonts w:eastAsia="Calibri" w:cs="Arial"/>
          <w:szCs w:val="20"/>
        </w:rPr>
        <w:t xml:space="preserve"> spremeni zahtevane osebne podatke, ki so predmet postopka, dokler o zadevi ni pravnomočno odločeno (prvi odstavek </w:t>
      </w:r>
      <w:r w:rsidR="005041E7">
        <w:fldChar w:fldCharType="begin"/>
      </w:r>
      <w:r w:rsidR="005041E7">
        <w:instrText xml:space="preserve"> REF _Ref40430984 \r \h  \* MERGEFORMAT </w:instrText>
      </w:r>
      <w:r w:rsidR="005041E7">
        <w:fldChar w:fldCharType="separate"/>
      </w:r>
      <w:r w:rsidR="009C0CED" w:rsidRPr="007C190F">
        <w:rPr>
          <w:rFonts w:eastAsia="Calibri" w:cs="Arial"/>
          <w:szCs w:val="20"/>
        </w:rPr>
        <w:t>16</w:t>
      </w:r>
      <w:r w:rsidR="005041E7">
        <w:fldChar w:fldCharType="end"/>
      </w:r>
      <w:r w:rsidRPr="007C190F" w:rsidDel="00AB0049">
        <w:rPr>
          <w:rFonts w:eastAsia="Calibri" w:cs="Arial"/>
          <w:szCs w:val="20"/>
        </w:rPr>
        <w:t>. člena)</w:t>
      </w:r>
      <w:r w:rsidRPr="007C190F">
        <w:rPr>
          <w:rFonts w:eastAsia="Calibri" w:cs="Arial"/>
          <w:szCs w:val="20"/>
        </w:rPr>
        <w:t>;</w:t>
      </w:r>
      <w:r w:rsidRPr="007C190F" w:rsidDel="00AB0049">
        <w:rPr>
          <w:rFonts w:eastAsia="Calibri" w:cs="Arial"/>
          <w:szCs w:val="20"/>
        </w:rPr>
        <w:t xml:space="preserve"> </w:t>
      </w:r>
    </w:p>
    <w:p w:rsidR="00E302FA" w:rsidRPr="007C190F" w:rsidRDefault="00E302FA" w:rsidP="00E302FA">
      <w:pPr>
        <w:spacing w:after="160" w:line="259" w:lineRule="auto"/>
        <w:jc w:val="both"/>
        <w:rPr>
          <w:rFonts w:cs="Arial"/>
          <w:szCs w:val="20"/>
          <w:lang w:eastAsia="sl-SI"/>
        </w:rPr>
      </w:pPr>
      <w:r w:rsidRPr="007C190F">
        <w:rPr>
          <w:rFonts w:eastAsia="Calibri" w:cs="Arial"/>
          <w:szCs w:val="20"/>
        </w:rPr>
        <w:t>6</w:t>
      </w:r>
      <w:r w:rsidRPr="007C190F">
        <w:rPr>
          <w:rFonts w:cs="Arial"/>
          <w:szCs w:val="20"/>
          <w:lang w:eastAsia="sl-SI"/>
        </w:rPr>
        <w:t xml:space="preserve">. javno ne objavi informacij iz 1. do 6. točke prvega odstavka </w:t>
      </w:r>
      <w:r w:rsidR="005041E7">
        <w:fldChar w:fldCharType="begin"/>
      </w:r>
      <w:r w:rsidR="005041E7">
        <w:instrText xml:space="preserve"> REF _Ref40177833 \r \h  \* MERGEFORMAT </w:instrText>
      </w:r>
      <w:r w:rsidR="005041E7">
        <w:fldChar w:fldCharType="separate"/>
      </w:r>
      <w:r w:rsidR="009C0CED" w:rsidRPr="007C190F">
        <w:rPr>
          <w:rFonts w:cs="Arial"/>
          <w:szCs w:val="20"/>
          <w:lang w:eastAsia="sl-SI"/>
        </w:rPr>
        <w:t>23</w:t>
      </w:r>
      <w:r w:rsidR="005041E7">
        <w:fldChar w:fldCharType="end"/>
      </w:r>
      <w:r w:rsidRPr="007C190F">
        <w:rPr>
          <w:rFonts w:cs="Arial"/>
          <w:szCs w:val="20"/>
          <w:lang w:eastAsia="sl-SI"/>
        </w:rPr>
        <w:t xml:space="preserve">. člena (tretji odstavek </w:t>
      </w:r>
      <w:r w:rsidR="005041E7">
        <w:fldChar w:fldCharType="begin"/>
      </w:r>
      <w:r w:rsidR="005041E7">
        <w:instrText xml:space="preserve"> REF _Ref40177833 \r \h  \* MERGEFORMAT </w:instrText>
      </w:r>
      <w:r w:rsidR="005041E7">
        <w:fldChar w:fldCharType="separate"/>
      </w:r>
      <w:r w:rsidR="009C0CED" w:rsidRPr="007C190F">
        <w:rPr>
          <w:rFonts w:cs="Arial"/>
          <w:szCs w:val="20"/>
          <w:lang w:eastAsia="sl-SI"/>
        </w:rPr>
        <w:t>23</w:t>
      </w:r>
      <w:r w:rsidR="005041E7">
        <w:fldChar w:fldCharType="end"/>
      </w:r>
      <w:r w:rsidRPr="007C190F">
        <w:rPr>
          <w:rFonts w:cs="Arial"/>
          <w:szCs w:val="20"/>
          <w:lang w:eastAsia="sl-SI"/>
        </w:rPr>
        <w:t xml:space="preserve">. člena); </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 xml:space="preserve">7. </w:t>
      </w:r>
      <w:r w:rsidRPr="007C190F">
        <w:rPr>
          <w:rFonts w:eastAsia="Calibri" w:cs="Arial"/>
          <w:szCs w:val="20"/>
        </w:rPr>
        <w:t xml:space="preserve">ne vodi dokumentacije, iz katere izhaja, da je zagotovljena skladnost obdelav z zakonom (prvi odstavek </w:t>
      </w:r>
      <w:r w:rsidR="005041E7">
        <w:fldChar w:fldCharType="begin"/>
      </w:r>
      <w:r w:rsidR="005041E7">
        <w:instrText xml:space="preserve"> REF _Ref40185553 \r \h  \* MERGEFORMAT </w:instrText>
      </w:r>
      <w:r w:rsidR="005041E7">
        <w:fldChar w:fldCharType="separate"/>
      </w:r>
      <w:r w:rsidR="009C0CED" w:rsidRPr="007C190F">
        <w:rPr>
          <w:rFonts w:eastAsia="Calibri" w:cs="Arial"/>
          <w:szCs w:val="20"/>
        </w:rPr>
        <w:t>41</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ne upravlja evidence vseh kategorij dejavnosti obdelav</w:t>
      </w:r>
      <w:r w:rsidR="00B95A00" w:rsidRPr="007C190F">
        <w:rPr>
          <w:rFonts w:eastAsia="Calibri" w:cs="Arial"/>
          <w:szCs w:val="20"/>
        </w:rPr>
        <w:t>e</w:t>
      </w:r>
      <w:r w:rsidRPr="007C190F">
        <w:rPr>
          <w:rFonts w:eastAsia="Calibri" w:cs="Arial"/>
          <w:szCs w:val="20"/>
        </w:rPr>
        <w:t xml:space="preserve"> osebnih podatkov (prvi odstavek </w:t>
      </w:r>
      <w:r w:rsidR="005041E7">
        <w:fldChar w:fldCharType="begin"/>
      </w:r>
      <w:r w:rsidR="005041E7">
        <w:instrText xml:space="preserve"> REF _Ref40431019 \r \h  \* MERGEFORMAT </w:instrText>
      </w:r>
      <w:r w:rsidR="005041E7">
        <w:fldChar w:fldCharType="separate"/>
      </w:r>
      <w:r w:rsidR="009C0CED" w:rsidRPr="007C190F">
        <w:rPr>
          <w:rFonts w:eastAsia="Calibri" w:cs="Arial"/>
          <w:szCs w:val="20"/>
        </w:rPr>
        <w:t>46</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9. dnevnik obdelave uporabi za druge namene od tistih, določenih v tretjem odstavku </w:t>
      </w:r>
      <w:r w:rsidR="005041E7">
        <w:fldChar w:fldCharType="begin"/>
      </w:r>
      <w:r w:rsidR="005041E7">
        <w:instrText xml:space="preserve"> REF _Ref40430102 \r \h  \* MERGEFORMAT </w:instrText>
      </w:r>
      <w:r w:rsidR="005041E7">
        <w:fldChar w:fldCharType="separate"/>
      </w:r>
      <w:r w:rsidR="009C0CED" w:rsidRPr="007C190F">
        <w:rPr>
          <w:rFonts w:eastAsia="Calibri" w:cs="Arial"/>
          <w:szCs w:val="20"/>
        </w:rPr>
        <w:t>47</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10. ne sporoči nemudoma vsem uporabnikom, da so jim bili posredovani ali dani na razpolago osebni podatki, ki ne ustrezajo zahtevam iz prvega odstavka </w:t>
      </w:r>
      <w:r w:rsidR="005041E7">
        <w:fldChar w:fldCharType="begin"/>
      </w:r>
      <w:r w:rsidR="005041E7">
        <w:instrText xml:space="preserve"> REF _Ref40431038 \r \h  \* MERGEFORMAT </w:instrText>
      </w:r>
      <w:r w:rsidR="005041E7">
        <w:fldChar w:fldCharType="separate"/>
      </w:r>
      <w:r w:rsidR="009C0CED" w:rsidRPr="007C190F">
        <w:rPr>
          <w:rFonts w:eastAsia="Calibri" w:cs="Arial"/>
          <w:szCs w:val="20"/>
        </w:rPr>
        <w:t>48</w:t>
      </w:r>
      <w:r w:rsidR="005041E7">
        <w:fldChar w:fldCharType="end"/>
      </w:r>
      <w:r w:rsidRPr="007C190F">
        <w:rPr>
          <w:rFonts w:eastAsia="Calibri" w:cs="Arial"/>
          <w:szCs w:val="20"/>
        </w:rPr>
        <w:t xml:space="preserve">. člena tega zakona, ali jim ne sporoči, da so bili posredovani nezakonito (tretji odstavek </w:t>
      </w:r>
      <w:r w:rsidR="005041E7">
        <w:fldChar w:fldCharType="begin"/>
      </w:r>
      <w:r w:rsidR="005041E7">
        <w:instrText xml:space="preserve"> REF _Ref40431038 \r \h  \* MERGEFORMAT </w:instrText>
      </w:r>
      <w:r w:rsidR="005041E7">
        <w:fldChar w:fldCharType="separate"/>
      </w:r>
      <w:r w:rsidR="009C0CED" w:rsidRPr="007C190F">
        <w:rPr>
          <w:rFonts w:eastAsia="Calibri" w:cs="Arial"/>
          <w:szCs w:val="20"/>
        </w:rPr>
        <w:t>48</w:t>
      </w:r>
      <w:r w:rsidR="005041E7">
        <w:fldChar w:fldCharType="end"/>
      </w:r>
      <w:r w:rsidRPr="007C190F">
        <w:rPr>
          <w:rFonts w:eastAsia="Calibri" w:cs="Arial"/>
          <w:szCs w:val="20"/>
        </w:rPr>
        <w:t xml:space="preserve">. člena), oziroma takšnih podatkov nemudoma ne popravi, jih izbriše ali omeji njihovo obdelavo (četrti odstavek </w:t>
      </w:r>
      <w:r w:rsidR="005041E7">
        <w:fldChar w:fldCharType="begin"/>
      </w:r>
      <w:r w:rsidR="005041E7">
        <w:instrText xml:space="preserve"> REF _Ref40431038 \r \h  \* MERGEFORMAT </w:instrText>
      </w:r>
      <w:r w:rsidR="005041E7">
        <w:fldChar w:fldCharType="separate"/>
      </w:r>
      <w:r w:rsidR="009C0CED" w:rsidRPr="007C190F">
        <w:rPr>
          <w:rFonts w:eastAsia="Calibri" w:cs="Arial"/>
          <w:szCs w:val="20"/>
        </w:rPr>
        <w:t>48</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11. ne izvaja predpisanih ukrepov varnosti obdelave iz 1. do 10. točke drugega odstavka </w:t>
      </w:r>
      <w:r w:rsidR="005041E7">
        <w:fldChar w:fldCharType="begin"/>
      </w:r>
      <w:r w:rsidR="005041E7">
        <w:instrText xml:space="preserve"> REF _Ref40431222 \r \h  \* MERGEFORMAT </w:instrText>
      </w:r>
      <w:r w:rsidR="005041E7">
        <w:fldChar w:fldCharType="separate"/>
      </w:r>
      <w:r w:rsidR="009C0CED" w:rsidRPr="007C190F">
        <w:rPr>
          <w:rFonts w:eastAsia="Calibri" w:cs="Arial"/>
          <w:szCs w:val="20"/>
        </w:rPr>
        <w:t>51</w:t>
      </w:r>
      <w:r w:rsidR="005041E7">
        <w:fldChar w:fldCharType="end"/>
      </w:r>
      <w:r w:rsidRPr="007C190F">
        <w:rPr>
          <w:rFonts w:eastAsia="Calibri" w:cs="Arial"/>
          <w:szCs w:val="20"/>
        </w:rPr>
        <w:t xml:space="preserve">. člena tega zakona;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12. ne dokumentira vseh kršitev varnosti osebnih podatkov (peti odstavek </w:t>
      </w:r>
      <w:r w:rsidR="005041E7">
        <w:fldChar w:fldCharType="begin"/>
      </w:r>
      <w:r w:rsidR="005041E7">
        <w:instrText xml:space="preserve"> REF _Ref40431228 \r \h  \* MERGEFORMAT </w:instrText>
      </w:r>
      <w:r w:rsidR="005041E7">
        <w:fldChar w:fldCharType="separate"/>
      </w:r>
      <w:r w:rsidR="009C0CED" w:rsidRPr="007C190F">
        <w:rPr>
          <w:rFonts w:eastAsia="Calibri" w:cs="Arial"/>
          <w:szCs w:val="20"/>
        </w:rPr>
        <w:t>52</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13. uporablja povezovalni znak v nasprotju z </w:t>
      </w:r>
      <w:r w:rsidR="005041E7">
        <w:fldChar w:fldCharType="begin"/>
      </w:r>
      <w:r w:rsidR="005041E7">
        <w:instrText xml:space="preserve"> REF _Ref40431234 \r \h  \* MERGEFORMAT </w:instrText>
      </w:r>
      <w:r w:rsidR="005041E7">
        <w:fldChar w:fldCharType="separate"/>
      </w:r>
      <w:r w:rsidR="009C0CED" w:rsidRPr="007C190F">
        <w:rPr>
          <w:rFonts w:eastAsia="Calibri" w:cs="Arial"/>
          <w:szCs w:val="20"/>
        </w:rPr>
        <w:t>61</w:t>
      </w:r>
      <w:r w:rsidR="005041E7">
        <w:fldChar w:fldCharType="end"/>
      </w:r>
      <w:r w:rsidRPr="007C190F">
        <w:rPr>
          <w:rFonts w:eastAsia="Calibri" w:cs="Arial"/>
          <w:szCs w:val="20"/>
        </w:rPr>
        <w:t>. členom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 globo od 100 do 1.000 eurov se kaznuje za prekršek odgovorna oseba pristojnega organa</w:t>
      </w:r>
      <w:r w:rsidRPr="007C190F">
        <w:rPr>
          <w:rFonts w:cs="Arial"/>
          <w:szCs w:val="20"/>
          <w:lang w:eastAsia="sl-SI"/>
        </w:rPr>
        <w:t xml:space="preserve"> ali drugega upravljavca, ki </w:t>
      </w:r>
      <w:r w:rsidRPr="007C190F">
        <w:rPr>
          <w:rFonts w:eastAsia="Calibri" w:cs="Arial"/>
          <w:szCs w:val="20"/>
        </w:rPr>
        <w:t xml:space="preserve">brez podlage v zakonu ali brez privolitve posameznika, na katerega se nanašajo osebni podatki, obdeluje osebne podatke samo z vpogledom v posameznikove osebne podatke (prvi in drugi odstavek </w:t>
      </w:r>
      <w:r w:rsidR="005041E7">
        <w:fldChar w:fldCharType="begin"/>
      </w:r>
      <w:r w:rsidR="005041E7">
        <w:instrText xml:space="preserve"> REF _Ref40183940 \r \h  \* MERGEFORMAT </w:instrText>
      </w:r>
      <w:r w:rsidR="005041E7">
        <w:fldChar w:fldCharType="separate"/>
      </w:r>
      <w:r w:rsidR="009C0CED" w:rsidRPr="007C190F">
        <w:rPr>
          <w:rFonts w:eastAsia="Calibri" w:cs="Arial"/>
          <w:szCs w:val="20"/>
        </w:rPr>
        <w:t>6</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(kršitve s področja pogodbene obdelave)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cs="Arial"/>
          <w:szCs w:val="20"/>
          <w:lang w:eastAsia="sl-SI"/>
        </w:rPr>
      </w:pPr>
      <w:r w:rsidRPr="007C190F">
        <w:rPr>
          <w:rFonts w:eastAsia="Calibri" w:cs="Arial"/>
          <w:szCs w:val="20"/>
        </w:rPr>
        <w:t>(1) Z globo od 400 do 20.000 eurov se za prekršek kaznuje pravna oseba, 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zaupa obdelavo drugemu obdelovalcu brez predhodnega posebnega pisnega dovoljenja pristojnega organa (drugi odstavek </w:t>
      </w:r>
      <w:r w:rsidR="005041E7">
        <w:fldChar w:fldCharType="begin"/>
      </w:r>
      <w:r w:rsidR="005041E7">
        <w:instrText xml:space="preserve"> REF _Ref40098112 \r \h  \* MERGEFORMAT </w:instrText>
      </w:r>
      <w:r w:rsidR="005041E7">
        <w:fldChar w:fldCharType="separate"/>
      </w:r>
      <w:r w:rsidR="009C0CED" w:rsidRPr="007C190F">
        <w:rPr>
          <w:rFonts w:eastAsia="Calibri" w:cs="Arial"/>
          <w:szCs w:val="20"/>
        </w:rPr>
        <w:t>44</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t xml:space="preserve">2. ne deluje samo po navodilih pristojnega organa kot upravljavca (1. točka tretjega odstavka </w:t>
      </w:r>
      <w:r w:rsidR="005041E7">
        <w:fldChar w:fldCharType="begin"/>
      </w:r>
      <w:r w:rsidR="005041E7">
        <w:instrText xml:space="preserve"> REF _Ref40098112 \r \h  \* MERGEFORMAT </w:instrText>
      </w:r>
      <w:r w:rsidR="005041E7">
        <w:fldChar w:fldCharType="separate"/>
      </w:r>
      <w:r w:rsidR="009C0CED" w:rsidRPr="007C190F">
        <w:rPr>
          <w:rFonts w:cs="Arial"/>
          <w:szCs w:val="20"/>
          <w:lang w:eastAsia="sl-SI"/>
        </w:rPr>
        <w:t>44</w:t>
      </w:r>
      <w:r w:rsidR="005041E7">
        <w:fldChar w:fldCharType="end"/>
      </w:r>
      <w:r w:rsidRPr="007C190F">
        <w:rPr>
          <w:rFonts w:cs="Arial"/>
          <w:szCs w:val="20"/>
          <w:lang w:eastAsia="sl-SI"/>
        </w:rPr>
        <w:t>. člena);</w:t>
      </w:r>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lastRenderedPageBreak/>
        <w:t xml:space="preserve">3. ne zagotovi, da so osebe pri obdelovalcu, ki so pooblaščene za obdelavo osebnih podatkov, zavezane k zaupnosti (2. točka tretjega odstavka </w:t>
      </w:r>
      <w:r w:rsidR="005041E7">
        <w:fldChar w:fldCharType="begin"/>
      </w:r>
      <w:r w:rsidR="005041E7">
        <w:instrText xml:space="preserve"> REF _Ref40098112 \r \h  \* MERGEFORMAT </w:instrText>
      </w:r>
      <w:r w:rsidR="005041E7">
        <w:fldChar w:fldCharType="separate"/>
      </w:r>
      <w:r w:rsidR="009C0CED" w:rsidRPr="007C190F">
        <w:rPr>
          <w:rFonts w:cs="Arial"/>
          <w:szCs w:val="20"/>
          <w:lang w:eastAsia="sl-SI"/>
        </w:rPr>
        <w:t>44</w:t>
      </w:r>
      <w:r w:rsidR="005041E7">
        <w:fldChar w:fldCharType="end"/>
      </w:r>
      <w:r w:rsidRPr="007C190F">
        <w:rPr>
          <w:rFonts w:cs="Arial"/>
          <w:szCs w:val="20"/>
          <w:lang w:eastAsia="sl-SI"/>
        </w:rPr>
        <w:t>. člena);</w:t>
      </w:r>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t>4. po zaključku iz</w:t>
      </w:r>
      <w:r w:rsidRPr="007C190F">
        <w:rPr>
          <w:rFonts w:eastAsia="Calibri" w:cs="Arial"/>
          <w:szCs w:val="20"/>
        </w:rPr>
        <w:t>vajanja obdelave ne izbriše ali vrne vseh osebnih podatkov pristojnemu organu</w:t>
      </w:r>
      <w:r w:rsidRPr="007C190F" w:rsidDel="003033B8">
        <w:rPr>
          <w:rFonts w:eastAsia="Calibri" w:cs="Arial"/>
          <w:szCs w:val="20"/>
        </w:rPr>
        <w:t xml:space="preserve"> </w:t>
      </w:r>
      <w:r w:rsidRPr="007C190F">
        <w:rPr>
          <w:rFonts w:eastAsia="Calibri" w:cs="Arial"/>
          <w:szCs w:val="20"/>
        </w:rPr>
        <w:t xml:space="preserve">ali ne  uniči obstoječih kopij teh osebnih podatkov </w:t>
      </w:r>
      <w:r w:rsidRPr="007C190F">
        <w:rPr>
          <w:rFonts w:cs="Arial"/>
          <w:szCs w:val="20"/>
          <w:lang w:eastAsia="sl-SI"/>
        </w:rPr>
        <w:t xml:space="preserve">(4. točka tretjega odstavka </w:t>
      </w:r>
      <w:r w:rsidR="005041E7">
        <w:fldChar w:fldCharType="begin"/>
      </w:r>
      <w:r w:rsidR="005041E7">
        <w:instrText xml:space="preserve"> REF _Ref40098112 \r \h  \* MERGEFORMAT </w:instrText>
      </w:r>
      <w:r w:rsidR="005041E7">
        <w:fldChar w:fldCharType="separate"/>
      </w:r>
      <w:r w:rsidR="009C0CED" w:rsidRPr="007C190F">
        <w:rPr>
          <w:rFonts w:cs="Arial"/>
          <w:szCs w:val="20"/>
          <w:lang w:eastAsia="sl-SI"/>
        </w:rPr>
        <w:t>44</w:t>
      </w:r>
      <w:r w:rsidR="005041E7">
        <w:fldChar w:fldCharType="end"/>
      </w:r>
      <w:r w:rsidRPr="007C190F">
        <w:rPr>
          <w:rFonts w:cs="Arial"/>
          <w:szCs w:val="20"/>
          <w:lang w:eastAsia="sl-SI"/>
        </w:rPr>
        <w:t>. člena);</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 xml:space="preserve">5. v nasprotju z določbami tega zakona samostojno določi druge namene oziroma sredstva obdelave (peti odstavek </w:t>
      </w:r>
      <w:r w:rsidR="005041E7">
        <w:fldChar w:fldCharType="begin"/>
      </w:r>
      <w:r w:rsidR="005041E7">
        <w:instrText xml:space="preserve"> REF _Ref40098112 \r \h  \* MERGEFORMAT </w:instrText>
      </w:r>
      <w:r w:rsidR="005041E7">
        <w:fldChar w:fldCharType="separate"/>
      </w:r>
      <w:r w:rsidR="009C0CED" w:rsidRPr="007C190F">
        <w:rPr>
          <w:rFonts w:cs="Arial"/>
          <w:szCs w:val="20"/>
          <w:lang w:eastAsia="sl-SI"/>
        </w:rPr>
        <w:t>44</w:t>
      </w:r>
      <w:r w:rsidR="005041E7">
        <w:fldChar w:fldCharType="end"/>
      </w:r>
      <w:r w:rsidRPr="007C190F">
        <w:rPr>
          <w:rFonts w:cs="Arial"/>
          <w:szCs w:val="20"/>
          <w:lang w:eastAsia="sl-SI"/>
        </w:rPr>
        <w:t>. člena)</w:t>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6. ne upravlja evidence vseh kategorij dejavnosti obdelave, ki jih izvaja v imenu pristojnega organa (tretji odstavek </w:t>
      </w:r>
      <w:r w:rsidR="005041E7">
        <w:fldChar w:fldCharType="begin"/>
      </w:r>
      <w:r w:rsidR="005041E7">
        <w:instrText xml:space="preserve"> REF _Ref40431019 \r \h  \* MERGEFORMAT </w:instrText>
      </w:r>
      <w:r w:rsidR="005041E7">
        <w:fldChar w:fldCharType="separate"/>
      </w:r>
      <w:r w:rsidR="009C0CED" w:rsidRPr="007C190F">
        <w:rPr>
          <w:rFonts w:eastAsia="Calibri" w:cs="Arial"/>
          <w:szCs w:val="20"/>
        </w:rPr>
        <w:t>46</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7. dnevnik obdelave uporabi za druge namene od tistih, določenih v tretjem odstavku </w:t>
      </w:r>
      <w:r w:rsidR="005041E7">
        <w:fldChar w:fldCharType="begin"/>
      </w:r>
      <w:r w:rsidR="005041E7">
        <w:instrText xml:space="preserve"> REF _Ref40430102 \r \h  \* MERGEFORMAT </w:instrText>
      </w:r>
      <w:r w:rsidR="005041E7">
        <w:fldChar w:fldCharType="separate"/>
      </w:r>
      <w:r w:rsidR="009C0CED" w:rsidRPr="007C190F">
        <w:rPr>
          <w:rFonts w:eastAsia="Calibri" w:cs="Arial"/>
          <w:szCs w:val="20"/>
        </w:rPr>
        <w:t>47</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8. povezuje zbirke podatkov brez pravne podlage v zakonu (prvi odstavek </w:t>
      </w:r>
      <w:r w:rsidR="005041E7">
        <w:fldChar w:fldCharType="begin"/>
      </w:r>
      <w:r w:rsidR="005041E7">
        <w:instrText xml:space="preserve"> REF _Ref43651605 \r \h  \* MERGEFORMAT </w:instrText>
      </w:r>
      <w:r w:rsidR="005041E7">
        <w:fldChar w:fldCharType="separate"/>
      </w:r>
      <w:r w:rsidR="009C0CED" w:rsidRPr="007C190F">
        <w:rPr>
          <w:rFonts w:eastAsia="Calibri" w:cs="Arial"/>
          <w:szCs w:val="20"/>
        </w:rPr>
        <w:t>62</w:t>
      </w:r>
      <w:r w:rsidR="005041E7">
        <w:fldChar w:fldCharType="end"/>
      </w:r>
      <w:r w:rsidRPr="007C190F">
        <w:rPr>
          <w:rFonts w:eastAsia="Calibri" w:cs="Arial"/>
          <w:szCs w:val="20"/>
        </w:rPr>
        <w:t>.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 globo od 200 do 10.000 eurov se za prekršek iz prejšnjega odstavka kaznuje samostojni podjetnik posameznik ali posameznik, ki samostojno opravlja dejavnost.</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 xml:space="preserve">(3) Z globo od 100 do 5.000 eurov se za prekršek iz prvega odstavka tega člena kaznuje odgovorna oseba pogodbenega obdelovalca, ki je </w:t>
      </w:r>
      <w:r w:rsidRPr="007C190F">
        <w:rPr>
          <w:rFonts w:eastAsia="Calibri" w:cs="Arial"/>
          <w:szCs w:val="20"/>
        </w:rPr>
        <w:t>pravna oseba, samostojni podjetnik posameznik ali posameznik, ki samostojno opravlja dejavnost.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(4) Z globo od 40 do 5.000 eurov se za prekršek iz prvega odstavka kaznuje posameznik.  </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(kršitve s področja prenosov osebnih podatkov tretjim državam ali mednarodnim organizacijam)</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Z globo od 100 do 5.000 eurov se kaznuje za prekršek odgovorna oseba pristojnega organa,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izvede prenos osebnih podatkov v tretjo državo ali mednarodno organizacijo v nasprotju z določbami prvega odstavka 71.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izvede prenos osebnih podatkov v tretjo državo ali mednarodno organizacijo v nasprotju z določbami prvega odstavka 72.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izvede posamezen prenos osebnih podatkov v tretjo državo, ki ni dopusten po 1. do 5. točki prvega odstavka 73.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izvede posebni prenos določenim uporabnikom v tretjih državah, ki ni dopusten po 1. do 6. točki prvega odstavka 74.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ne dokumentira izpolnjevanja pogojev iz prvega odstavka 72. člena, prvega odstavka 73. člena ali prvega odstavka 74. člena tega zakona (tretji odstavek 72. člena, tretji odstavek 73</w:t>
      </w:r>
      <w:r w:rsidR="004829A4">
        <w:rPr>
          <w:rFonts w:eastAsia="Calibri" w:cs="Arial"/>
          <w:szCs w:val="20"/>
        </w:rPr>
        <w:t>.</w:t>
      </w:r>
      <w:r w:rsidRPr="007C190F">
        <w:rPr>
          <w:rFonts w:eastAsia="Calibri" w:cs="Arial"/>
          <w:szCs w:val="20"/>
        </w:rPr>
        <w:t xml:space="preserve"> člena in tretji odstavek 74. člena).</w:t>
      </w:r>
    </w:p>
    <w:p w:rsidR="00E302FA" w:rsidRPr="007C190F" w:rsidRDefault="00E302FA" w:rsidP="00E302FA">
      <w:pPr>
        <w:spacing w:after="160" w:line="259" w:lineRule="auto"/>
        <w:jc w:val="both"/>
        <w:rPr>
          <w:rFonts w:eastAsia="Calibri" w:cs="Arial"/>
          <w:szCs w:val="20"/>
        </w:rPr>
      </w:pP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(izrek globe)</w:t>
      </w:r>
    </w:p>
    <w:p w:rsidR="00E302FA" w:rsidRPr="007C190F" w:rsidRDefault="00E302FA" w:rsidP="00E302FA">
      <w:pPr>
        <w:shd w:val="clear" w:color="auto" w:fill="FFFFFF"/>
        <w:spacing w:before="240" w:line="240" w:lineRule="auto"/>
        <w:jc w:val="both"/>
        <w:rPr>
          <w:rFonts w:cs="Arial"/>
          <w:szCs w:val="20"/>
          <w:lang w:eastAsia="sl-SI"/>
        </w:rPr>
      </w:pPr>
      <w:r w:rsidRPr="007C190F">
        <w:rPr>
          <w:rFonts w:cs="Arial"/>
          <w:szCs w:val="20"/>
          <w:lang w:eastAsia="sl-SI"/>
        </w:rPr>
        <w:t>Za prekrške iz tega zakona se sme v hitrem postopku izreči globa tudi v znesku, ki je višji od najnižje predpisane globe, določene s tem zakonom.</w:t>
      </w:r>
    </w:p>
    <w:p w:rsidR="00E302FA" w:rsidRPr="007C190F" w:rsidRDefault="00E302FA" w:rsidP="00E302FA">
      <w:pPr>
        <w:shd w:val="clear" w:color="auto" w:fill="FFFFFF"/>
        <w:spacing w:before="240" w:line="240" w:lineRule="auto"/>
        <w:jc w:val="both"/>
        <w:rPr>
          <w:rFonts w:cs="Arial"/>
          <w:szCs w:val="20"/>
          <w:lang w:eastAsia="sl-SI"/>
        </w:rPr>
      </w:pPr>
    </w:p>
    <w:p w:rsidR="00E302FA" w:rsidRPr="007C190F" w:rsidRDefault="00E302FA" w:rsidP="00E302FA">
      <w:pPr>
        <w:keepNext/>
        <w:keepLines/>
        <w:spacing w:before="40" w:line="259" w:lineRule="auto"/>
        <w:jc w:val="center"/>
        <w:outlineLvl w:val="1"/>
        <w:rPr>
          <w:rFonts w:ascii="Calibri Light" w:hAnsi="Calibri Light"/>
          <w:sz w:val="26"/>
          <w:szCs w:val="26"/>
        </w:rPr>
      </w:pPr>
      <w:r w:rsidRPr="007C190F">
        <w:rPr>
          <w:rFonts w:ascii="Calibri Light" w:hAnsi="Calibri Light"/>
          <w:sz w:val="26"/>
          <w:szCs w:val="26"/>
        </w:rPr>
        <w:lastRenderedPageBreak/>
        <w:t>X. POGLAVJE</w:t>
      </w:r>
      <w:r w:rsidRPr="007C190F">
        <w:rPr>
          <w:rFonts w:ascii="Calibri Light" w:hAnsi="Calibri Light"/>
          <w:sz w:val="26"/>
          <w:szCs w:val="26"/>
        </w:rPr>
        <w:br/>
        <w:t>PREHODNA IN KONČNA DOLOČBA</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(prehodna določba glede delovanja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Prekrškovni postopki v zvezi s področji iz prvega odstavka 1. člena tega zakona, ki so se začeli pri Informacijskem pooblaščencu ali na sodiščih pred uveljavitvijo tega zakona, se končajo v skladu z Zakonom o varstvu osebnih podatkov (Uradni list RS, št. 94/07 – uradno prečiščeno besedilo; v nadaljnjem besedilu: Zakon o varstvu osebnih podatkov), razen če je ta zakon za storilca milejši. Postopki inšpekcijskega nadzora v zvezi s področji iz prvega odstavka 1. člena tega zakona, začeti na podlagi Zakona o varstvu osebnih podatkov, se končajo po določbah Zakona o varstvu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 dnem uveljavitve tega zakona preneha delovati Register zbirk osebnih podatkov pri Informacijskem pooblaščencu, Informacijski pooblaščenec njegovo vsebino arhivira in preda v roku enega leta Arhivu Republike Slovenije, ki vsebino registra hrani kot trajno arhivsko gradivo.</w:t>
      </w:r>
    </w:p>
    <w:p w:rsidR="00E302FA" w:rsidRPr="007C190F" w:rsidRDefault="00E302FA" w:rsidP="00C53C0B">
      <w:pPr>
        <w:pStyle w:val="Odstavekseznama"/>
        <w:numPr>
          <w:ilvl w:val="0"/>
          <w:numId w:val="22"/>
        </w:numPr>
        <w:spacing w:before="360" w:after="160" w:line="259" w:lineRule="auto"/>
        <w:jc w:val="center"/>
        <w:outlineLvl w:val="4"/>
        <w:rPr>
          <w:rFonts w:eastAsia="Calibri"/>
          <w:b/>
          <w:szCs w:val="20"/>
        </w:rPr>
      </w:pPr>
      <w:r w:rsidRPr="007C190F">
        <w:rPr>
          <w:rFonts w:eastAsia="Calibri"/>
          <w:b/>
          <w:szCs w:val="20"/>
        </w:rPr>
        <w:t>člen</w:t>
      </w:r>
      <w:r w:rsidRPr="007C190F">
        <w:rPr>
          <w:rFonts w:eastAsia="Calibri"/>
          <w:b/>
          <w:szCs w:val="20"/>
        </w:rPr>
        <w:br/>
        <w:t>(začetek veljavnosti)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 zakon začne veljati trideseti dan po objavi v Uradnem listu Republike Slovenije.</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spacing w:after="160" w:line="259" w:lineRule="auto"/>
        <w:rPr>
          <w:rFonts w:eastAsia="Calibri" w:cs="Arial"/>
          <w:b/>
          <w:bCs/>
          <w:szCs w:val="20"/>
        </w:rPr>
      </w:pPr>
      <w:r w:rsidRPr="007C190F">
        <w:rPr>
          <w:rFonts w:eastAsia="Calibri" w:cs="Arial"/>
          <w:b/>
          <w:bCs/>
          <w:szCs w:val="20"/>
        </w:rPr>
        <w:br w:type="page"/>
      </w:r>
    </w:p>
    <w:p w:rsidR="00E302FA" w:rsidRPr="007C190F" w:rsidRDefault="00E302FA" w:rsidP="00E302FA">
      <w:pPr>
        <w:keepNext/>
        <w:keepLines/>
        <w:spacing w:before="240" w:line="259" w:lineRule="auto"/>
        <w:jc w:val="both"/>
        <w:outlineLvl w:val="0"/>
        <w:rPr>
          <w:rFonts w:ascii="Calibri Light" w:hAnsi="Calibri Light"/>
          <w:b/>
          <w:bCs/>
          <w:sz w:val="32"/>
          <w:szCs w:val="32"/>
        </w:rPr>
      </w:pPr>
      <w:r w:rsidRPr="007C190F">
        <w:rPr>
          <w:rFonts w:ascii="Calibri Light" w:hAnsi="Calibri Light"/>
          <w:b/>
          <w:bCs/>
          <w:sz w:val="32"/>
          <w:szCs w:val="32"/>
        </w:rPr>
        <w:lastRenderedPageBreak/>
        <w:t>III. OBRAZLOŽITVE ČLENOV</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I. poglavje – SPLOŠNE DOLOČBE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Prvo poglavje predloga zakona ureja splošne določbe predloga zakona zlasti za policijo, državna tožilstva, zavode za prestajanje kazni zapora, področje probacije in za morebitne druge državne organe, če primarno delujejo na področjih iz prvega odstavka 1. člena tega zakona (navedene vsebine). Vsebuje določbe, ki so sistemske narave, npr. glede nediskriminacije, sodnega varstva, obdelave posebnih vrst osebnih podatkov, definicij temeljnih izrazov. Navedene določbe bodo tudi v podobni ali isti vsebini del prihodnjega povezanega sistemskega zakona o varstvu osebnih podatkov (ZVOP-2).</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 člen (vsebina)</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szCs w:val="20"/>
        </w:rPr>
        <w:t xml:space="preserve">Predlagani 1. člen v prvem odstavku najprej vsebinsko določa domet (uporabo) zakona. Pri tem sledi 1. členu Direktive. Izhaja najprej iz formalnega koncepta, po katerem je za uporabo tega zakona bistveni kriterij kaznivo dejanje, nato pa je kriterij jurisdikcijske narave </w:t>
      </w:r>
      <w:r w:rsidRPr="007C190F">
        <w:rPr>
          <w:rFonts w:eastAsia="Calibri" w:cs="Arial"/>
          <w:sz w:val="18"/>
          <w:szCs w:val="18"/>
        </w:rPr>
        <w:t>–</w:t>
      </w:r>
      <w:r w:rsidRPr="007C190F">
        <w:rPr>
          <w:rFonts w:eastAsia="Calibri" w:cs="Arial"/>
          <w:szCs w:val="20"/>
        </w:rPr>
        <w:t xml:space="preserve"> državni organi Republike Slovenije, </w:t>
      </w:r>
      <w:r w:rsidRPr="007C190F">
        <w:rPr>
          <w:rFonts w:ascii="Arial,Italic" w:eastAsia="Calibri" w:hAnsi="Arial,Italic" w:cs="Arial,Italic"/>
          <w:iCs/>
          <w:szCs w:val="20"/>
          <w:lang w:eastAsia="sl-SI"/>
        </w:rPr>
        <w:t xml:space="preserve">ki </w:t>
      </w:r>
      <w:r w:rsidRPr="007C190F">
        <w:rPr>
          <w:rFonts w:eastAsia="Calibri" w:cs="Arial"/>
          <w:iCs/>
          <w:szCs w:val="20"/>
          <w:lang w:eastAsia="sl-SI"/>
        </w:rPr>
        <w:t>so zakonsko določeni kot pristojni za področja preprečevanja, preiskovanja, odkrivanja ali pregona kaznivih dejanj ali izvrševanja kazenskih sankcij.</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iCs/>
          <w:szCs w:val="20"/>
          <w:lang w:eastAsia="sl-SI"/>
        </w:rPr>
        <w:t xml:space="preserve">Kriterij kaznivega dejanja (koncept kaznivega dejanja po določbah Kazenskega zakonika – 16. člen ter nato določena konkretna kazniva dejanja od 100. člena dalje) pomeni, da se ta zakon ne uporablja za  prekrške (kot del širšega koncepta kaznivih ravnanj), ta formalni kriterij pomeni, da je pri vsaki obdelavi osebnih podatkov treba zagotoviti, da je jasno, da se izvaja glede konkretnega kaznivega dejanja ali kaznivih dejanj iz Kazenskega zakonika, ne pa zaradi kakšnega drugega namena (izjema je le v drugem odstavku 8. člena predloga zakona). Kriterij državnih organov, </w:t>
      </w:r>
      <w:r w:rsidRPr="007C190F">
        <w:rPr>
          <w:rFonts w:ascii="Arial,Italic" w:eastAsia="Calibri" w:hAnsi="Arial,Italic" w:cs="Arial,Italic"/>
          <w:iCs/>
          <w:szCs w:val="20"/>
          <w:lang w:eastAsia="sl-SI"/>
        </w:rPr>
        <w:t xml:space="preserve">ki </w:t>
      </w:r>
      <w:r w:rsidRPr="007C190F">
        <w:rPr>
          <w:rFonts w:eastAsia="Calibri" w:cs="Arial"/>
          <w:iCs/>
          <w:szCs w:val="20"/>
          <w:lang w:eastAsia="sl-SI"/>
        </w:rPr>
        <w:t>so zakonsko določeni kot pristojni za področja preprečevanja, preiskovanja, odkrivanja ali pregona kaznivih dejanj ali izvrševanja kazenskih sankcij, pa pomeni, da je vključeno delovanje policije, državnega tožilstva, izvrševanja kazenskih sankcij in probacije, vse z vidika delovanja glede kaznivih dejanj. Gre torej za zaključeni krog državnih organov (v povezavi s prej navedenim formalnim kriterijem). Področje preiskovalnega sodstva ter kazenskega sodstva pretežno ne spada v okvir tega zakona, saj se ne sme posegati v neodvisno odločanje sodstva (ni nadzora s strani nadzornega organa ali delnega nadzora pooblaščenih oseb, namesto tega se uporabljajo pravna sredstva po sodni postopkovni zakonodaji), so pa v 59. členu predloga zakona izrecno določeni primeri, ko se nekatere določbe zakona vseeno uporabljajo kot pravila tudi za sodstvo (npr. določbe 6. in 7. člena ipd.).</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iCs/>
          <w:szCs w:val="20"/>
          <w:lang w:eastAsia="sl-SI"/>
        </w:rPr>
        <w:t>Nameni iz prvega odstavka so bistveni za uporabo določb tega zakona, v veliko primerih je določeno sklicevanje na prvi odstavek 1. člena – tako da je jasen domet določb zakona in vpliv na uporabo tega zakona glede določb drugih zakonov.</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iCs/>
          <w:szCs w:val="20"/>
          <w:lang w:eastAsia="sl-SI"/>
        </w:rPr>
        <w:t xml:space="preserve">Predlagani drugi odstavek dejansko določa izjemo, da se namreč le nekatere določbe predloga zakona uporabljajo za obdelavo osebnih podatkov s strani sodišč, ki odločajo v kazenskih zadevah (definicija kazenskih zadev je vsebovana v 23. točki 4. člena), kar vključuje tudi področje dostopa do vsebine osebnih podatkov. V bistvu je podano posebno opozorilo na določbe področne zakonodaje s tega področja (zlasti Zakon o kazenskem postopku).  </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iCs/>
          <w:szCs w:val="20"/>
          <w:lang w:eastAsia="sl-SI"/>
        </w:rPr>
        <w:t xml:space="preserve">Predlagani tretji odstavek napoveduje urejanje posebej pomembnega področja, ki se nanaša na </w:t>
      </w:r>
      <w:r w:rsidRPr="007C190F">
        <w:rPr>
          <w:rFonts w:eastAsia="Calibri" w:cs="Arial"/>
          <w:szCs w:val="20"/>
        </w:rPr>
        <w:t xml:space="preserve">nadzorna pooblastila in nadzorne ukrepe Informacijskega pooblaščenca, ter tudi odgovornost za prekrške, vse z namenom, da se zagotavljata zakonita in poštena obdelava osebnih podatkov ter odkrivajo in preprečujejo nezakoniti posegi v pravice posameznikov, na katere se nanašajo osebni podatki. Določba torej navaja, da so zagotovljena nujno potrebna učinkovita preiskovalna in kaznovalna orodja za državni nadzorni organ, z namenom, da se zagotovi jamstvena funkcija glede varstva osebnih podatkov – jamstvo, da bodo človekove pravice posameznikov in posameznic, na katere se nanašajo osebni podatki, spoštovane, ko se bo v njih posegalo z obdelavo osebnih podatkov. Nadzorna pooblastila in nadzorni ukrepi po predlogu zakona morajo zato biti učinkoviti, </w:t>
      </w:r>
      <w:r w:rsidRPr="007C190F">
        <w:rPr>
          <w:rFonts w:eastAsia="Calibri" w:cs="Arial"/>
          <w:szCs w:val="20"/>
        </w:rPr>
        <w:lastRenderedPageBreak/>
        <w:t xml:space="preserve">da se zagotavlja poštena in zakonita obdelava osebnih podatkov. Predlagana norma z vidika varovanih vrednot opravičuje določitev preiskovalnih pooblastil (nadzorna pooblastila) v 31. členu predloga zakona.     </w:t>
      </w:r>
    </w:p>
    <w:p w:rsidR="00E302FA" w:rsidRPr="007C190F" w:rsidRDefault="00E302FA" w:rsidP="00E302FA">
      <w:pPr>
        <w:spacing w:after="160" w:line="259" w:lineRule="auto"/>
        <w:jc w:val="both"/>
        <w:rPr>
          <w:rFonts w:eastAsia="Calibri" w:cs="Arial"/>
          <w:iCs/>
          <w:szCs w:val="20"/>
          <w:lang w:eastAsia="sl-SI"/>
        </w:rPr>
      </w:pPr>
      <w:r w:rsidRPr="007C190F">
        <w:rPr>
          <w:rFonts w:eastAsia="Calibri" w:cs="Arial"/>
          <w:iCs/>
          <w:szCs w:val="20"/>
          <w:lang w:eastAsia="sl-SI"/>
        </w:rPr>
        <w:t xml:space="preserve">Predlagani četrti odstavek navaja pravna akta Evropske unije, ki se prenašata z ZVOPPOKD, namreč Direktiva </w:t>
      </w:r>
      <w:r w:rsidRPr="007C190F">
        <w:rPr>
          <w:rFonts w:eastAsia="Calibri" w:cs="Arial"/>
          <w:szCs w:val="20"/>
        </w:rPr>
        <w:t xml:space="preserve">– </w:t>
      </w:r>
      <w:r w:rsidRPr="007C190F">
        <w:rPr>
          <w:rFonts w:eastAsia="Calibri" w:cs="Arial"/>
          <w:iCs/>
          <w:szCs w:val="20"/>
          <w:lang w:eastAsia="sl-SI"/>
        </w:rPr>
        <w:t xml:space="preserve">in </w:t>
      </w:r>
      <w:r w:rsidRPr="007C190F">
        <w:rPr>
          <w:rFonts w:eastAsia="Calibri" w:cs="Arial"/>
          <w:szCs w:val="20"/>
        </w:rPr>
        <w:t>Direktiva (EU) 2016/681 Evropskega parlamenta in Sveta z dne 27. aprila 2016 o uporabi podatkov iz evidence podatkov o potnikih (PNR) za preprečevanje, odkrivanje, preiskovanje in pregon terorističnih in hudih kaznivih dejanj</w:t>
      </w:r>
      <w:r w:rsidRPr="007C190F">
        <w:rPr>
          <w:rFonts w:eastAsia="Calibri" w:cs="Arial"/>
          <w:sz w:val="18"/>
          <w:szCs w:val="18"/>
          <w:vertAlign w:val="superscript"/>
        </w:rPr>
        <w:t xml:space="preserve"> </w:t>
      </w:r>
      <w:r w:rsidRPr="007C190F">
        <w:rPr>
          <w:rFonts w:eastAsia="Calibri" w:cs="Arial"/>
          <w:sz w:val="18"/>
          <w:szCs w:val="18"/>
          <w:vertAlign w:val="superscript"/>
        </w:rPr>
        <w:footnoteReference w:id="26"/>
      </w:r>
      <w:r w:rsidRPr="007C190F">
        <w:rPr>
          <w:rFonts w:eastAsia="Calibri" w:cs="Arial"/>
          <w:szCs w:val="20"/>
        </w:rPr>
        <w:t xml:space="preserve"> v delu, ki se nanaša na pooblaščeno osebo za varstvo osebnih podatkov glede Evidence podatkov o potnikih (PNR).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 člen (prepoved diskriminacije glede obdelave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2. člen določa prepoved nedopustne diskriminacije glede varstva osebnih podatkov – natančneje: prepoved nedopustne diskriminacije, kadar se izvaja obdelava osebnih podatkov na diskriminatoren način ali povzroča diskriminatorne posledice za posameznika. Pri tem je pomembno, da je osredotočeni naslovnik pravic posameznik, na katerega se nanašajo osebni podatki. V 2. členu so glede na 14. člen Ustave Republike Slovenije ter glede na druge ustaljene formulacije pravnega reda Republike Slovenije (npr. prvi odstavek 131. člena Kazenskega zakonika</w:t>
      </w:r>
      <w:r w:rsidRPr="007C190F">
        <w:rPr>
          <w:rFonts w:eastAsia="Calibri" w:cs="Arial"/>
          <w:sz w:val="18"/>
          <w:szCs w:val="18"/>
          <w:vertAlign w:val="superscript"/>
        </w:rPr>
        <w:footnoteReference w:id="27"/>
      </w:r>
      <w:r w:rsidRPr="007C190F">
        <w:rPr>
          <w:rFonts w:eastAsia="Calibri" w:cs="Arial"/>
          <w:szCs w:val="20"/>
        </w:rPr>
        <w:t xml:space="preserve"> ter prvi odstavek 1. člena Zakona o varstvu pred diskriminacijo</w:t>
      </w:r>
      <w:r w:rsidRPr="007C190F">
        <w:rPr>
          <w:rFonts w:eastAsia="Calibri" w:cs="Arial"/>
          <w:sz w:val="18"/>
          <w:szCs w:val="18"/>
          <w:vertAlign w:val="superscript"/>
        </w:rPr>
        <w:footnoteReference w:id="28"/>
      </w:r>
      <w:r w:rsidRPr="007C190F">
        <w:rPr>
          <w:rFonts w:eastAsia="Calibri" w:cs="Arial"/>
          <w:szCs w:val="20"/>
        </w:rPr>
        <w:t xml:space="preserve">) navedene prepovedane okoliščine diskriminacije. Določba je nekoliko posodobljena – dodana je spolna identiteta po prvem odstavku 1. člena Zakona o varstvu pred diskriminacijo, dodana je genska (ne genetska) predispozicija, beseda »barva« iz dosedanjega 4. člena ZVOP-1 je spremenjena v »barvo kože«, omenjeno je tudi zdravstveno stanje.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pomeni, da se nikogar ne sme nedopustno diskriminirati glede varstva osebnih podatkov, kar med drugim vključuje tudi prebivališče. Natančneje: med prepovedanimi kriteriji diskriminacije (razlikovanja) sta v praksi zlasti pomembna kriterija državljanstvo in prebivališče, tudi upoštevaje 1. člen Konvencije o varstvu posameznikov glede na avtomatsko obdelavo osebnih podatkov</w:t>
      </w:r>
      <w:r w:rsidRPr="007C190F">
        <w:rPr>
          <w:rFonts w:eastAsia="Calibri" w:cs="Arial"/>
          <w:sz w:val="18"/>
          <w:szCs w:val="18"/>
          <w:vertAlign w:val="superscript"/>
        </w:rPr>
        <w:footnoteReference w:id="29"/>
      </w:r>
      <w:r w:rsidRPr="007C190F">
        <w:rPr>
          <w:rFonts w:eastAsia="Calibri" w:cs="Arial"/>
          <w:szCs w:val="20"/>
        </w:rPr>
        <w:t xml:space="preserve"> (Sveta Evrope), ki se v tem delu v okviru reforme varstva osebnih podatkov v okviru Sveta Evrope ne spreminja.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člen  pa ne prepoveduje izvajanje profiliranja glede obdelave osebnih podatkov in avtomatiziranega odločanja, če zakon (ZVOPPOKD ali področni zakon) to dopušča in določa pogoje in jamstva za to (npr. uporabo pravice do ugovora). </w:t>
      </w:r>
    </w:p>
    <w:p w:rsidR="00E302FA" w:rsidRPr="007C190F" w:rsidRDefault="00E302FA" w:rsidP="00E302FA">
      <w:pPr>
        <w:spacing w:before="360" w:after="160" w:line="259" w:lineRule="auto"/>
        <w:ind w:left="357" w:hanging="357"/>
        <w:jc w:val="both"/>
        <w:outlineLvl w:val="4"/>
        <w:rPr>
          <w:rFonts w:eastAsia="Calibri"/>
          <w:b/>
          <w:szCs w:val="20"/>
        </w:rPr>
      </w:pPr>
      <w:r w:rsidRPr="007C190F">
        <w:rPr>
          <w:rFonts w:eastAsia="Calibri"/>
          <w:b/>
          <w:szCs w:val="20"/>
        </w:rPr>
        <w:t>3. člen (področje uporabe)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navedenem členu je določena materialna veljava tega zakona, tj. za katere obdelave velja.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Tako je določeno (glede na drugi odstavek 2. člena Direktive), da določbe ZVOPPOKD</w:t>
      </w:r>
      <w:r w:rsidRPr="007C190F" w:rsidDel="00340FD2">
        <w:rPr>
          <w:rFonts w:eastAsia="Calibri" w:cs="Arial"/>
          <w:szCs w:val="20"/>
        </w:rPr>
        <w:t xml:space="preserve"> </w:t>
      </w:r>
      <w:r w:rsidRPr="007C190F">
        <w:rPr>
          <w:rFonts w:eastAsia="Calibri" w:cs="Arial"/>
          <w:szCs w:val="20"/>
        </w:rPr>
        <w:t>veljajo za popolnoma ali delno avtomatizirano obdelavo osebnih podatkov ter za drugačne obdelave (ti. ročne oziroma papirnate obdelave) osebnih podatkov, ki so vključeni ali so namenjeni vključitvi v zbirko osebnih podatkov. Konkretno to pomeni, da lahko imamo osebne podatke, glede katerih se izvaja avtomatizirana obdelava, osebne podatke, glede katerih se izvaja ročna obdelava, osebne podatke, glede katerih se delno izvaja avtomatizirana, delno pa ročna obdelava, določeni podatki iz teh obdelav (zlasti ročnih) pa so namenjeni vključitvi v zbirko. Gre tudi za vzpostavitev ti. materialne jurisdikcije za delovanje nadzornega organa – osredotočenje na nadzorovanje glede obdelav osebnih podatkov, in ne neposredno na zbirke.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Zbirka podatkov je zbirka, ki je opredeljena v zakonu (običajna poimenovanja: zbirka osebnih podatkov, zbirka podatkov, evidenca, register, javna knjiga, spis …). Med zbirke podatkov po tem zakonu ne sodijo pripomočki, to so priročne manjše zbirke, ki si jih ustvarijo uslužbenci za to, da </w:t>
      </w:r>
      <w:r w:rsidRPr="007C190F">
        <w:rPr>
          <w:rFonts w:eastAsia="Calibri" w:cs="Arial"/>
          <w:szCs w:val="20"/>
        </w:rPr>
        <w:lastRenderedPageBreak/>
        <w:t>lažje opravijo svoje delo v okviru posamezne zadeve. Gre za zbirke, katerih namen obstoja in uporabe je podpora procesu notranjega odločanja/razmišljanja (ti. »</w:t>
      </w:r>
      <w:r w:rsidRPr="007C190F">
        <w:rPr>
          <w:rFonts w:eastAsia="Calibri" w:cs="Arial"/>
          <w:i/>
          <w:iCs/>
          <w:szCs w:val="20"/>
        </w:rPr>
        <w:t>deliberative process</w:t>
      </w:r>
      <w:r w:rsidRPr="007C190F">
        <w:rPr>
          <w:rFonts w:eastAsia="Calibri" w:cs="Arial"/>
          <w:szCs w:val="20"/>
        </w:rPr>
        <w:t>«). Če takšna zbirka ni začasna in preraste okvir posamezne zadeve, gre za zbirko podatkov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Avtomatizirana sredstva obdelave osebnih podatkov so vsa sredstva, ki omogočajo avtomatizacijo obdelave, to so strojna in programska oprema, ki se uporablja za obdelavo podatkov. Gre lahko za individualne programe, ki tečejo na delovnih postajah posameznih uporabnikov, ali za večje namenske aplikacije, ki tečejo na strežniku, do njih pa dostopajo uporabniki.</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4. člen (pomen izrazov)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4. člen opredeljuje bistvene izraze (poimenovani kot pojmi po 3. členu Direktive) za področje varstva osebnih podatkov, torej definicije osebnega podatka, obdelave osebnih podatkov, zbirke ipd.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Izrazi so zaradi lažje uporabe v okviru pravnega reda Republike Slovenije tudi delno popravljeni, tako je npr. definicija osebnega podatka podana v ednini, tudi definicija upravljavca je prilagojena pravnemu redu Republike Slovenije (upravljavci – državni organi za uradna delovanja ne smejo samostojno določati namenov obdelave, gl. tudi določbo prvega odstavka 6. člena). Je pa dopuščeno, da si pristojni organi (upravljavci so po ZVOPPOKD običajno pristojni državni organi, lahko pa z njimi sodelujejo pri obdelavah tudi drugi državni organi – institut skupnega upravljavca) sami določijo sredstva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Bistvena je definicija osebnega podatka, ki je vsevključujoča</w:t>
      </w:r>
      <w:r w:rsidRPr="007C190F">
        <w:rPr>
          <w:rFonts w:eastAsia="Calibri" w:cs="Arial"/>
          <w:sz w:val="18"/>
          <w:szCs w:val="18"/>
          <w:vertAlign w:val="superscript"/>
        </w:rPr>
        <w:footnoteReference w:id="30"/>
      </w:r>
      <w:r w:rsidRPr="007C190F">
        <w:rPr>
          <w:rFonts w:eastAsia="Calibri" w:cs="Arial"/>
          <w:szCs w:val="20"/>
        </w:rPr>
        <w:t xml:space="preserve"> in pomeni katerokoli informacijo v zvezi z določenim ali določljivim posameznikom, na katerega se nanašajo osebni podatki, določljiv posameznik pa je tisti, ki ga je mogoče neposredno ali posredno določiti, zlasti z navedbo identifikatorja, kot je ime, identifikacijska številka, podatki o lokaciji, spletni identifikator, ali z navedbo enega ali več dejavnikov, ki so značilni za fizično, fiziološko, gensko, duševno, gospodarsko, kulturno ali družbeno identiteto tega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4. členu predloga zakona so določeni tudi nekateri izrazi, ki so dodani zaradi potreb učinkovitega izvrševanja predloga zakona. Med najpomembnejšimi je 10. točka, namreč institut privolitve posameznika za obdelavo njegovih osebnih podatkov, ki pa ni določen v Direktivi (razen posredno omenjen v 37. točki uvodnih navedb). Institut privolitve se tako glasi: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»privolitev« posameznika, na katerega se nanašajo osebni podatki, pomeni vsako prostovoljno, konkretno, informirano in nedvoumno ravnanje v obliki izjave ali jasnega pritrdilnega dejanja, iz katerega je mogoče sklepati na želje posameznika, na katerega se nanašajo osebni podatki, s katerim izrazi strinjanje z obdelavo osebnih podatkov, ki se nanašajo nanj.«</w:t>
      </w:r>
      <w:r w:rsidRPr="007C190F">
        <w:rPr>
          <w:rFonts w:eastAsia="Calibri" w:cs="Arial"/>
          <w:sz w:val="18"/>
          <w:szCs w:val="18"/>
          <w:vertAlign w:val="superscript"/>
        </w:rPr>
        <w:footnoteReference w:id="31"/>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Določba o institutu privolitve je tudi povezana z drugim odstavkom 6. člena predloga zakona, po kateri pristojni organi lahko obdelujejo tudi osebne podatke posameznika, ki je podal privolitev za obdelavo svojih osebnih podatkov za enega ali več namenov iz prvega odstavka 1. člena tega zakona, vendar le, če takšno možnost določa zakon (glede na bistveni pomen urejanja obdelav osebnih podatkov v zakonih, upoštevaje drugi odstavek 38. člena Ustave Republike Slovenije, ter kot je tudi določeno v prvem odstavku 6. člena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Privolitev je z vidika kaznivih dejanj relevantna glede določenih delovanj po Zakonu o kazenskem postopku – drugi odstavek 219.a člena (preiskava elektronskih naprav), prvi odstavek 143.a člena (dajanje potrdil, da oseba ni v kazenskem postopku glede kaznivega dejanja), Zakonu o nalogah in pooblastilih policije – 48. člen (poligrafski postopek) ipd.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16. točki je nadalje opredeljeno, da nadzorni organ po predlogu zakona pomeni Informacijskega pooblaščenca, določenega z Zakonom o Informacijskem pooblaščencu</w:t>
      </w:r>
      <w:r w:rsidRPr="007C190F">
        <w:rPr>
          <w:rFonts w:eastAsia="Calibri" w:cs="Arial"/>
          <w:sz w:val="18"/>
          <w:szCs w:val="18"/>
          <w:vertAlign w:val="superscript"/>
        </w:rPr>
        <w:footnoteReference w:id="32"/>
      </w:r>
      <w:r w:rsidRPr="007C190F">
        <w:rPr>
          <w:rFonts w:eastAsia="Calibri" w:cs="Arial"/>
          <w:szCs w:val="20"/>
        </w:rPr>
        <w:t>, nadzorne osebe pa po 17. točki pomenijo informacijskega pooblaščenca in nadzornike, kadar izvajajo nadzor po določbah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19. točki je določen institut izbrisa, ki pomeni trajno odstranitev ali uničenje osebnega podatka, tako da ga ni več mogoče obnoviti (torej ni možno tega opraviti z blokiranjem, anonimizacijo, ločevanjem podatkov ipd.).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20. točki anonimiziranje pomeni takšno spremembo osebnih podatkov, da jih ni več mogoče povezati z določenim ali določljivim posameznikom ali je to mogoče le z nesorazmerno velikimi napori, stroški ali porabo časa; tako anonimizirani podatki pa ne veljajo za osebne podatke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21. točki blokiranje pomeni takšno označitev ali izločitev osebnih podatkov, da se omeji ali prepreči njihova nadaljnja obdelava, blokirani podatki pa veljajo za osebne podatke po predlogu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22. točki povezovalni znak pomeni osebno identifikacijsko številko in druge z zakonom opredeljene enolične identifikacijske številke posameznika, z uporabo katerih je mogoče zbrati oziroma priklicati osebne podatke iz zbirk osebnih podatkov, v katerih so enolične identifikacijske številke obdelovane, ter druge podobne znake v javnem sektorju, ki se redno ali sistematično uporabljajo za povezovanje zbirk med različnimi upravljavci ali dveh ali več zbirk, ki se upravljajo pri enem upravljavcu. Konkretno gre za enotno matično številko občana (EMŠO), davčno številko, ZZZS številko, ne pa npr. za številke upravne ali sodne zadeve.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23. točki je opredeljena kazenska zadeva sodišča, ki pomeni kazenske zadeve iz pristojnosti sodišča s splošno pristojnostjo, kot jih določata I. in I.a točka 101. člena Zakona o sodiščih</w:t>
      </w:r>
      <w:r w:rsidRPr="007C190F">
        <w:rPr>
          <w:rFonts w:eastAsia="Calibri" w:cs="Arial"/>
          <w:sz w:val="18"/>
          <w:szCs w:val="18"/>
          <w:vertAlign w:val="superscript"/>
        </w:rPr>
        <w:footnoteReference w:id="33"/>
      </w:r>
      <w:r w:rsidRPr="007C190F">
        <w:rPr>
          <w:rFonts w:eastAsia="Calibri" w:cs="Arial"/>
          <w:szCs w:val="20"/>
        </w:rPr>
        <w:t xml:space="preserve"> ter o njih odločajo kazenska sodišča v skladu z zakoni, ki urejajo sodne postopke, zlasti Zakon o kazenskem postopku. Po vsebini gre za zadeve sodne preiskave ter kazenskega sojenja (gl. uvodno navedbo št. 49 Direktive). Določba je pomembna, da se prepreči poseganje nadzornega organa preko nadzornih postopkov nadzora v materijo neodvisnega sodnega odločanja kazenskega sodstva (npr. izjeme v drugem odstavku 20. člena, drugem odstavku 32. člena, drugem odstavku 55. člena predloga zakona). Določba izhaja tudi iz spoštovanja temeljnega načela vsake pravne in demokratične države, namreč neodvisnosti sodstva.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24. točka zaradi pomena zakonitosti obdelave osebnih podatkov po drugem odstavku 38. člena Ustave Republike Slovenije (določanje obdelav in osebnih podatkov s področnimi zakoni) določa, da »zakon« pomeni ZVOPPOKD, druge zakone Republike Slovenije (npr. Zakon o kazenskem postopku, Zakon o nalogah in pooblastilih policije, Zakon o izvrševanju kazenskih sankcij …), obvezujoče mednarodne pogodbe, ki zavezujejo Republiko Slovenijo (torej mednarodne pogodbe, ratificirane z zakonom – ker vsebujejo originarne norme), ter pravne akte ali odločitve Evropske </w:t>
      </w:r>
      <w:r w:rsidRPr="007C190F">
        <w:rPr>
          <w:rFonts w:eastAsia="Calibri" w:cs="Arial"/>
          <w:szCs w:val="20"/>
        </w:rPr>
        <w:lastRenderedPageBreak/>
        <w:t>unije, katerih določbe so enakovredne zakonom in neposredno uporabljive ali neposredno učinkovite (npr. uredbe Evropske unije, lahko tudi določene določbe direktiv, ki se uporabljajo neposredno). Izraz zakon torej pomeni glede na 4. in 8. člen Direktive ter z vidika izvrševanja a) in b) točke 5. člena Konvencije o varstvu posameznikov glede na avtomatsko obdelavo osebnih podatkov (Sveta Evrope) ta zakon, druge zakone Republike Slovenije, obvezujoče (in torej ratificirane) mednarodne pogodbe, ki zavezujejo Republiko Slovenijo, ter pravne akte ali odločitve Evropske unije, katerih določbe so enakovredne zakonom in neposredno uporabljive ali neposredno učinkovite (glede na določbe tretjega odstavek 3.a člena Ustave Republike Slovenije), v to definicijo pa niso vključeni podzakonski predpisi (glede na drugi odstavek 38. člena Ustave Republike Slovenije in z njim povezano ustaljeno ustavnosodno presojo Ustavnega sodišča Republike Slovenije od leta 1992 dalje</w:t>
      </w:r>
      <w:r w:rsidRPr="007C190F">
        <w:rPr>
          <w:rFonts w:eastAsia="Calibri" w:cs="Arial"/>
          <w:sz w:val="18"/>
          <w:szCs w:val="18"/>
          <w:vertAlign w:val="superscript"/>
        </w:rPr>
        <w:footnoteReference w:id="34"/>
      </w:r>
      <w:r w:rsidRPr="007C190F">
        <w:rPr>
          <w:rFonts w:eastAsia="Calibri" w:cs="Arial"/>
          <w:szCs w:val="20"/>
        </w:rPr>
        <w:t xml:space="preserve"> ter glede na določbe 87. in 153. člena Ustave Republike Slovenije). Predlagana določba upošteva tudi najnovejšo precedenčno odločbo Ustavnega sodišča Republike Slovenije</w:t>
      </w:r>
      <w:r w:rsidRPr="007C190F">
        <w:rPr>
          <w:rFonts w:eastAsia="Calibri" w:cs="Arial"/>
          <w:sz w:val="18"/>
          <w:szCs w:val="18"/>
          <w:vertAlign w:val="superscript"/>
        </w:rPr>
        <w:footnoteReference w:id="35"/>
      </w:r>
      <w:r w:rsidRPr="007C190F">
        <w:rPr>
          <w:rFonts w:eastAsia="Calibri" w:cs="Arial"/>
          <w:szCs w:val="20"/>
        </w:rPr>
        <w:t>, ki je še okrepila pomen podrobne zakonske podlage za vse obdelave osebnih podatkov – v tem primeru glede množičnih (ne-ciljanih) obdelav osebnih podatkov posameznikov (kot je bila sicer razvijana že v ustavnosodni presoji Ustavnega sodišča Republike Slovenije od leta 1992 dalje).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5. člen (načela varstva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določa temeljna načela varstva osebnih podatkov, s čimer prenaša določbe prvega oziroma četrtega odstavka 4. člena Direktive. Najbolj bistvena so načela poštenosti in zakonitosti (1. točka), prav tako povezano načelo preglednosti (ki se nanaša zlasti na jasnost zakonskih določb), nato sorazmernosti</w:t>
      </w:r>
      <w:r w:rsidRPr="007C190F">
        <w:rPr>
          <w:rFonts w:eastAsia="Calibri" w:cs="Arial"/>
          <w:sz w:val="18"/>
          <w:szCs w:val="18"/>
          <w:vertAlign w:val="superscript"/>
        </w:rPr>
        <w:footnoteReference w:id="36"/>
      </w:r>
      <w:r w:rsidRPr="007C190F">
        <w:rPr>
          <w:rFonts w:eastAsia="Calibri" w:cs="Arial"/>
          <w:szCs w:val="20"/>
        </w:rPr>
        <w:t xml:space="preserve"> (3. točka), prav tako pa je pomembno načelo namensko omejene obdelave osebnih podatkov</w:t>
      </w:r>
      <w:r w:rsidRPr="007C190F">
        <w:rPr>
          <w:rFonts w:eastAsia="Calibri" w:cs="Arial"/>
          <w:sz w:val="18"/>
          <w:szCs w:val="18"/>
          <w:vertAlign w:val="superscript"/>
        </w:rPr>
        <w:footnoteReference w:id="37"/>
      </w:r>
      <w:r w:rsidRPr="007C190F">
        <w:rPr>
          <w:rFonts w:eastAsia="Calibri" w:cs="Arial"/>
          <w:szCs w:val="20"/>
        </w:rPr>
        <w:t xml:space="preserve"> (2. točka), ki je z vidika vsebine zakona povezano tudi z določanjem pravnih podlag za obdelavo osebnih podatkov v zakonih (zlasti prvi in drugi odstavek 6. člena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4. točki so določene obveznosti upravljavca, da mora zagotavljati točnost in posodobljenost osebnih podatkov, v 5. točki je določeno, da mora biti hramba osebnih podatkov časovno zamejena (povezava z določanjem rokov hrambe v zakonih po prvem odstavku 6. člena predloga zakona) ali pa se (podrejeno) v zakonu vsaj določi rok za preverjanje potrebnosti hrambe (prvi odstavek 6. člena predloga zakona). V zadnji, 6. točki, pa so postavljena splošna pravila glede varnosti osebnih podatkov, ki so nato konkretizirana v 51. členu (varnost obdelave).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6. člen (zakonitost obdelave)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predlaganem 6. členu so določene temeljne pravne podlage za zakonito obdelavo osebnih podatkov, ki izhajajo iz načela zakonitosti. Podobne določbe so vsebovane tudi v veljavnem 9. členu ZVOP-1.</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Določbe predlaganih štirih odstavkov 6. člena so posebej pomembne za dejansko učinkovanje ZVOPPOKD, in pomenijo zakonsko izvedbo ustavnih norm iz najprej 38. člena, nato pa tudi 87., drugega odstavka 120. in 153. člena Ustave Republike Slovenije.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Prvi odstavek 6. člena določa, da je obdelava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ZVOPPOKD zakonita le, če je potrebna in v obsegu, v katerem je potrebna za opravljanje nalog pristojnih organov, določenih z zakonom, in če vrste osebnih podatkov, kategorije posameznikov, na katere se ti osebni podatki nanašajo, namen obdelave ter rok hrambe ali rok za redni pregled potrebe po hrambi določa področni zakon. Predlagana formulacija izhaja iz strogega spoštovanja načela zakonitosti obdelave osebnih podatkov po drugem odstavku 38. člena Ustave </w:t>
      </w:r>
      <w:r w:rsidRPr="007C190F">
        <w:rPr>
          <w:rFonts w:eastAsia="Calibri" w:cs="Arial"/>
          <w:szCs w:val="20"/>
        </w:rPr>
        <w:lastRenderedPageBreak/>
        <w:t xml:space="preserve">Republike Slovenije, po katerem se sme obdelava konkretnih osebnih podatkov določati le z zakoni. </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rPr>
        <w:t>Načelo zakonitosti v predlogu zakona</w:t>
      </w:r>
      <w:r w:rsidRPr="007C190F" w:rsidDel="00DF5F60">
        <w:rPr>
          <w:rFonts w:eastAsia="Calibri" w:cs="Arial"/>
          <w:szCs w:val="20"/>
        </w:rPr>
        <w:t xml:space="preserve"> </w:t>
      </w:r>
      <w:r w:rsidRPr="007C190F">
        <w:rPr>
          <w:rFonts w:eastAsia="Calibri" w:cs="Arial"/>
          <w:szCs w:val="20"/>
        </w:rPr>
        <w:t xml:space="preserve">torej izhaja iz drugega odstavka 38. člena Ustave Republike Slovenije (»Zbiranje, obdelovanje, namen uporabe, nadzor, in varstvo tajnosti osebnih podatkov določa zakon.«) ter iz 87. člena Ustave Republike Slovenije, po katerem se pravice in obveznosti lahko urejajo le z zakonom. Navedeno načelo izhaja tudi iz (a) točke prvega odstavka 4. Direktive, 8. člena Direktive in a. točke 5. člena Konvencije št. 108. Glede na to da predlog zakona pomeni prenos Direktive, </w:t>
      </w:r>
      <w:r w:rsidRPr="007C190F">
        <w:rPr>
          <w:rFonts w:eastAsia="Calibri" w:cs="Arial"/>
          <w:szCs w:val="20"/>
          <w:shd w:val="clear" w:color="auto" w:fill="FFFFFF"/>
        </w:rPr>
        <w:t>države članice Evropske unije glede na svojo nacionalno (zlasti ustavno) ureditev določijo pravne podlage za konkretne vrste obdelav konkretnih osebnih podatkov v sistemskem ali v področnih zakonih.</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shd w:val="clear" w:color="auto" w:fill="FFFFFF"/>
        </w:rPr>
        <w:t>V Republiki Sloveniji je že od leta 1992</w:t>
      </w:r>
      <w:r w:rsidRPr="007C190F">
        <w:rPr>
          <w:rFonts w:eastAsia="Calibri" w:cs="Arial"/>
          <w:sz w:val="18"/>
          <w:szCs w:val="18"/>
          <w:shd w:val="clear" w:color="auto" w:fill="FFFFFF"/>
          <w:vertAlign w:val="superscript"/>
        </w:rPr>
        <w:footnoteReference w:id="38"/>
      </w:r>
      <w:r w:rsidRPr="007C190F">
        <w:rPr>
          <w:rFonts w:eastAsia="Calibri" w:cs="Arial"/>
          <w:szCs w:val="20"/>
          <w:shd w:val="clear" w:color="auto" w:fill="FFFFFF"/>
        </w:rPr>
        <w:t xml:space="preserve"> ustaljena oziroma zahtevana vsebina zakonov, ki urejajo obdelavo osebnih podatkov, opredeljena v naslednji ustavnopravni vsebini (po 38. členu Ustave Republiki Sloveniji), npr. razvidna iz odločbe Ustavnega sodišča Republike Slovenije iz leta 2019: </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shd w:val="clear" w:color="auto" w:fill="FFFFFF"/>
        </w:rPr>
        <w:t>»V zakonu mora biti določno opredeljeno, kateri podatki se smejo zbirati in obdelovati, za kakšen namen jih je dovoljeno uporabiti, predvidena morata biti nadzor nad zbiranjem, obdelovanjem in uporabo osebnih podatkov ter varstvo tajnosti zbranih osebnih podatkov. Namen zbiranja osebnih podatkov mora biti ustavno dopusten. Drugi odstavek 38. člena Ustave zahteva jasno, konkretno in določno opredelitev (ustavno dopustnega) namena obdelave osebnih podatkov. Zbirati se smejo le podatki, ki so primerni in nujno potrebni za uresničitev zakonsko opredeljenega namena. Ko gre za obdelavo osebnih podatkov za namene policijskega dela, mora zakonodajalec še posebej skrbno pretehtati težo ukrepa, s katerim brez privolitve posameznika posega v občutljivo območje njegove zasebnosti. To velja tudi za obdelavo osebnih podatkov v drugih državnih organih za potrebe obrambe države, nacionalne varnosti in ustavne ureditve.«</w:t>
      </w:r>
      <w:r w:rsidRPr="007C190F">
        <w:rPr>
          <w:rFonts w:eastAsia="Calibri" w:cs="Arial"/>
          <w:sz w:val="18"/>
          <w:szCs w:val="18"/>
          <w:shd w:val="clear" w:color="auto" w:fill="FFFFFF"/>
          <w:vertAlign w:val="superscript"/>
        </w:rPr>
        <w:footnoteReference w:id="39"/>
      </w:r>
    </w:p>
    <w:p w:rsidR="00E302FA" w:rsidRPr="007C190F" w:rsidRDefault="00E302FA" w:rsidP="00E302FA">
      <w:pPr>
        <w:spacing w:after="160" w:line="259" w:lineRule="auto"/>
        <w:jc w:val="both"/>
        <w:rPr>
          <w:rFonts w:eastAsia="Calibri" w:cs="Arial"/>
          <w:szCs w:val="20"/>
        </w:rPr>
      </w:pPr>
      <w:r w:rsidRPr="007C190F">
        <w:rPr>
          <w:rFonts w:eastAsia="Calibri" w:cs="Arial"/>
          <w:szCs w:val="20"/>
          <w:shd w:val="clear" w:color="auto" w:fill="FFFFFF"/>
        </w:rPr>
        <w:t xml:space="preserve">V Republiki Sloveniji to pomeni, tudi po predlaganem prvem odstavku 6. člena, da se lahko konkretne obdelave konkretnih osebnih podatkov določajo le v (področnih) zakonih (naloge pristojnih organov, </w:t>
      </w:r>
      <w:r w:rsidRPr="007C190F">
        <w:rPr>
          <w:rFonts w:eastAsia="Calibri" w:cs="Arial"/>
          <w:szCs w:val="20"/>
        </w:rPr>
        <w:t>vrste osebnih podatkov, kategorije posameznikov, na katere se ti osebni podatki nanašajo, namen obdelave ter rok hrambe ali rok za reden pregled potrebe po hrambi).</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shd w:val="clear" w:color="auto" w:fill="FFFFFF"/>
        </w:rPr>
        <w:t>Ni pa dopustno določati vrst osebnih podatkov, obdelave, namena obdelave, roka hrambe, kroga posameznikov, katerih osebni podatki se bodo obdelovali, ipd. v podzakonskih predpisih (to je razvidno tudi iz ustaljene ustavnosodne presoje Ustavnega sodišča Republike Slovenije od leta 1992 dalje</w:t>
      </w:r>
      <w:r w:rsidRPr="007C190F">
        <w:rPr>
          <w:rFonts w:eastAsia="Calibri" w:cs="Arial"/>
          <w:sz w:val="18"/>
          <w:szCs w:val="18"/>
          <w:shd w:val="clear" w:color="auto" w:fill="FFFFFF"/>
          <w:vertAlign w:val="superscript"/>
        </w:rPr>
        <w:footnoteReference w:id="40"/>
      </w:r>
      <w:r w:rsidRPr="007C190F">
        <w:rPr>
          <w:rFonts w:eastAsia="Calibri" w:cs="Arial"/>
          <w:szCs w:val="20"/>
          <w:shd w:val="clear" w:color="auto" w:fill="FFFFFF"/>
        </w:rPr>
        <w:t>).</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shd w:val="clear" w:color="auto" w:fill="FFFFFF"/>
        </w:rPr>
        <w:t>Ob tem je pomembno, da navedba splošne (okvirne) naloge pristojnega organa v področnem zakonu ne pomeni</w:t>
      </w:r>
      <w:r w:rsidRPr="007C190F">
        <w:rPr>
          <w:rFonts w:eastAsia="Calibri" w:cs="Arial"/>
          <w:sz w:val="18"/>
          <w:szCs w:val="18"/>
          <w:shd w:val="clear" w:color="auto" w:fill="FFFFFF"/>
          <w:vertAlign w:val="superscript"/>
        </w:rPr>
        <w:footnoteReference w:id="41"/>
      </w:r>
      <w:r w:rsidRPr="007C190F">
        <w:rPr>
          <w:rFonts w:eastAsia="Calibri" w:cs="Arial"/>
          <w:szCs w:val="20"/>
          <w:shd w:val="clear" w:color="auto" w:fill="FFFFFF"/>
        </w:rPr>
        <w:t xml:space="preserve"> določitve konkretne obdelave osebnih podatkov oziroma določitve osebnih </w:t>
      </w:r>
      <w:r w:rsidRPr="007C190F">
        <w:rPr>
          <w:rFonts w:eastAsia="Calibri" w:cs="Arial"/>
          <w:szCs w:val="20"/>
          <w:shd w:val="clear" w:color="auto" w:fill="FFFFFF"/>
        </w:rPr>
        <w:lastRenderedPageBreak/>
        <w:t xml:space="preserve">podatkov, ki naj bi se obdelovali, niti ne namena obdelave osebnih podatkov, potrebna je dodatna konkretizacija v zakonu, kot je navedeno v prejšnjih odstavkih obrazložitve prvega odstavka 6. člena predloga zakona.  </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shd w:val="clear" w:color="auto" w:fill="FFFFFF"/>
        </w:rPr>
        <w:t xml:space="preserve">Definicija pojma »zakon« pa je vsebovana v 24. točki 4. člena, podobno ureditev ima Republika Avstrija v drugem odstavku 1. in 38. členu Zveznega zakona, s katerim se spreminja Zakon o varstvu osebnih podatkov iz leta 2000 (Zakon o prilagoditvi varstva osebnih podatkov 2018).   </w:t>
      </w:r>
    </w:p>
    <w:p w:rsidR="00E302FA" w:rsidRPr="007C190F" w:rsidRDefault="00E302FA" w:rsidP="00E302FA">
      <w:pPr>
        <w:spacing w:after="160" w:line="259" w:lineRule="auto"/>
        <w:jc w:val="both"/>
        <w:rPr>
          <w:rFonts w:eastAsia="Calibri" w:cs="Arial"/>
          <w:szCs w:val="20"/>
        </w:rPr>
      </w:pPr>
      <w:r w:rsidRPr="007C190F">
        <w:rPr>
          <w:rFonts w:eastAsia="Calibri" w:cs="Arial"/>
          <w:szCs w:val="20"/>
          <w:shd w:val="clear" w:color="auto" w:fill="FFFFFF"/>
        </w:rPr>
        <w:t>Drugi odstavek ureja uporabo instituta privolitve, ki je izjema za področja iz prvega odstavka 1. člena tega predloga zakona, saj je praviloma obdelave osebnih podatkov kot obveznost določena z zakonom. P</w:t>
      </w:r>
      <w:r w:rsidRPr="007C190F">
        <w:rPr>
          <w:rFonts w:eastAsia="Calibri" w:cs="Arial"/>
          <w:szCs w:val="20"/>
        </w:rPr>
        <w:t xml:space="preserve">ristojni organi lahko obdelujejo tudi osebne podatke posameznika, ki je podal privolitev za obdelavo svojih osebnih podatkov za enega ali več namenov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predloga zakona, če takšno možnost in namen obdelave (ter ostale vsebine glede na prvi odstavek) določa področni zakon. Razlaga pomena in uporabnosti instituta privolitve je bila že podana v obrazložitvi 10. točke 4. člena. Privolitev je določena kot možnost, da se določeni posegi v osebne podatke lahko obdelujejo le na podlagi svobodne privolitve posameznika, na katerega se nanašajo, vendar mora biti to določeno z zakonom. Direktiva ne ureja neposredno obdelave osebnih podatkov na podlagi privolitve, jo pa omenja kot možnost v 35. uvodni navedbi Direktive, v zadnjem delu, ki pripoznava državam članicam Evropske unije, da lahko to vprašanje urejajo samostojno: </w:t>
      </w:r>
    </w:p>
    <w:p w:rsidR="00E302FA" w:rsidRPr="007C190F" w:rsidRDefault="00E302FA" w:rsidP="00E302FA">
      <w:pPr>
        <w:spacing w:after="160" w:line="259" w:lineRule="auto"/>
        <w:jc w:val="both"/>
        <w:rPr>
          <w:rFonts w:eastAsia="Calibri" w:cs="Arial"/>
          <w:szCs w:val="20"/>
          <w:shd w:val="clear" w:color="auto" w:fill="FFFFFF"/>
        </w:rPr>
      </w:pPr>
      <w:r w:rsidRPr="007C190F">
        <w:rPr>
          <w:rFonts w:eastAsia="Calibri" w:cs="Arial"/>
          <w:szCs w:val="20"/>
        </w:rPr>
        <w:t>»</w:t>
      </w:r>
      <w:r w:rsidRPr="007C190F">
        <w:rPr>
          <w:rFonts w:eastAsia="Calibri" w:cs="Arial"/>
          <w:szCs w:val="20"/>
          <w:shd w:val="clear" w:color="auto" w:fill="FFFFFF"/>
        </w:rPr>
        <w:t>To državam članicam ne bi smelo preprečevati, da z zakonom določijo, da lahko posameznik, na katerega se nanašajo osebni podatki, izrazi soglasje za obdelavo svojih osebnih podatkov za namene te direktive, kot je test DNK v kazenskih preiskavah ali spremljanje njegove lokacije z elektronskimi zapestnicami pri izvrševanju kazenskih sankcij.«</w:t>
      </w:r>
    </w:p>
    <w:p w:rsidR="00E302FA" w:rsidRPr="007C190F" w:rsidRDefault="00E302FA" w:rsidP="00E302FA">
      <w:pPr>
        <w:spacing w:after="160" w:line="259" w:lineRule="auto"/>
        <w:jc w:val="both"/>
        <w:rPr>
          <w:rFonts w:eastAsia="Calibri" w:cs="Arial"/>
          <w:szCs w:val="20"/>
        </w:rPr>
      </w:pPr>
      <w:r w:rsidRPr="007C190F">
        <w:rPr>
          <w:rFonts w:eastAsia="Calibri" w:cs="Arial"/>
          <w:szCs w:val="20"/>
          <w:shd w:val="clear" w:color="auto" w:fill="FFFFFF"/>
        </w:rPr>
        <w:t xml:space="preserve">Navedena določba je npr. povezana z določbo </w:t>
      </w:r>
      <w:r w:rsidRPr="007C190F">
        <w:rPr>
          <w:rFonts w:eastAsia="Calibri" w:cs="Arial"/>
          <w:szCs w:val="20"/>
        </w:rPr>
        <w:t xml:space="preserve"> o pisnem soglasju za izvedbo poligrafskega postopka v drugem odstavku 48. člena Zakona o nalogah in pooblastilih policije ter z odvzemom brisa ustne sluznice ob predhodnem soglasju po šestem odstavku 41. člena Zakona o nalogah in pooblastilih policije.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predlaganem </w:t>
      </w:r>
      <w:r w:rsidR="007F3A3C" w:rsidRPr="007C190F">
        <w:rPr>
          <w:rFonts w:eastAsia="Calibri" w:cs="Arial"/>
          <w:szCs w:val="20"/>
        </w:rPr>
        <w:t>tretjem</w:t>
      </w:r>
      <w:r w:rsidRPr="007C190F">
        <w:rPr>
          <w:rFonts w:eastAsia="Calibri" w:cs="Arial"/>
          <w:szCs w:val="20"/>
        </w:rPr>
        <w:t xml:space="preserve"> odstavku pristojni organi lahko ne glede na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tega zakona obdelujejo osebne podatke, ki so nujno potrebni (strogi test sorazmernosti) za varovanje življenja ali telesa ali zdravja posameznika, na katerega se osebni podatki nanašajo, ali druge osebe (torej za varovanje njenega življenja, telesa ali zdravja). Dodana je tudi varovalka, po kateri je pristojni organ po izvedeni obdelavi osebnih podatkov dolžan napisati poročilo z navedbo razlogov za obdelavo in obsegom obdelanih osebnih podatkov. Poročilo se pošlje vsem posameznikom, na katere se nanašajo osebni podatki, kar jim z vidika spoštovanja njihovih pravic omogoči, da uporabijo pravna sredstva ali da se seznanijo z obdelavo svojih osebnih podatkov. Z vidika učinkovitega nadzora uporabe izjeme iz tega odstavka pa je določeno tudi, da so poročila o uporabi na razpolago tudi nadzornemu organu.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Predlagana določba </w:t>
      </w:r>
      <w:r w:rsidR="00030F13" w:rsidRPr="007C190F">
        <w:rPr>
          <w:rFonts w:eastAsia="Calibri" w:cs="Arial"/>
          <w:szCs w:val="20"/>
        </w:rPr>
        <w:t xml:space="preserve">tretjega </w:t>
      </w:r>
      <w:r w:rsidRPr="007C190F">
        <w:rPr>
          <w:rFonts w:eastAsia="Calibri" w:cs="Arial"/>
          <w:szCs w:val="20"/>
        </w:rPr>
        <w:t>odstavka 6. člena izhaja iz (b) točke 10. člena Direktive, kjer je to določeno sicer le za posebne vrste osebnih podatkov, je pa glede na njeno besedilo jasno, da se tukaj lahko izjemoma izstopi iz namenov same Direktive (vezanost na koncept kaznivega dejanja)</w:t>
      </w:r>
      <w:r w:rsidRPr="007C190F">
        <w:rPr>
          <w:rFonts w:eastAsia="Calibri" w:cs="Arial"/>
          <w:sz w:val="18"/>
          <w:szCs w:val="18"/>
          <w:vertAlign w:val="superscript"/>
        </w:rPr>
        <w:footnoteReference w:id="42"/>
      </w:r>
      <w:r w:rsidRPr="007C190F">
        <w:rPr>
          <w:rFonts w:eastAsia="Calibri" w:cs="Arial"/>
          <w:szCs w:val="20"/>
        </w:rPr>
        <w:t xml:space="preserve">. V odstavku so v skladu z 10. členom Direktive in 7. členom predloga tega zakona zamejeni pogoji za uporabo ukrepa, in sicer merilo nujne potrebnosti ter ustrezna zaščita človekovih pravic (sestava poročila, obvezno obveščanje posameznikov). Način izdelave poročila ni </w:t>
      </w:r>
      <w:r w:rsidRPr="007C190F">
        <w:rPr>
          <w:rFonts w:eastAsia="Calibri" w:cs="Arial"/>
          <w:szCs w:val="20"/>
        </w:rPr>
        <w:lastRenderedPageBreak/>
        <w:t>predpisan, je lahko tudi del poročila o izvedeni policijski ali drugi nalogi, kot je zabeleženo v informacijskem sistemu Policije ali drugega pristojnega organa. Gre za neposredno uporabno določbo.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Predlagana določba tudi pomeni, da se ta obdelava izven namenov iz prvega odstavka 1. člena predloga zakona nadalje obravnava v skladu s pravili iz Splošne uredbe o varstvu podatkov (četrti odstavek 6. člena).</w:t>
      </w:r>
      <w:bookmarkStart w:id="70" w:name="_Hlk41559633"/>
    </w:p>
    <w:p w:rsidR="00E302FA" w:rsidRPr="007C190F" w:rsidRDefault="00E302FA" w:rsidP="00E302FA">
      <w:pPr>
        <w:spacing w:after="160" w:line="259" w:lineRule="auto"/>
        <w:jc w:val="both"/>
        <w:rPr>
          <w:rFonts w:eastAsia="Calibri" w:cs="Arial"/>
          <w:szCs w:val="20"/>
        </w:rPr>
      </w:pPr>
      <w:r w:rsidRPr="007C190F">
        <w:rPr>
          <w:rFonts w:eastAsia="Calibri" w:cs="Arial"/>
          <w:szCs w:val="20"/>
        </w:rPr>
        <w:t>Pomembno je tudi navesti, da kadar se oblikujejo manjše priročne zbirke, ki ne štejejo za zbirke podatkov po tem zakonu (3. člen), ne gre za obdelavo osebnih podatkov po tem zakonu.</w:t>
      </w:r>
      <w:bookmarkEnd w:id="70"/>
    </w:p>
    <w:p w:rsidR="00E302FA" w:rsidRPr="007C190F" w:rsidRDefault="00E302FA" w:rsidP="00E302FA">
      <w:pPr>
        <w:spacing w:after="160" w:line="259" w:lineRule="auto"/>
        <w:jc w:val="both"/>
        <w:rPr>
          <w:rFonts w:eastAsia="Calibri" w:cs="Arial"/>
          <w:szCs w:val="20"/>
        </w:rPr>
      </w:pPr>
      <w:r w:rsidRPr="007C190F">
        <w:rPr>
          <w:rFonts w:eastAsia="Calibri" w:cs="Arial"/>
          <w:szCs w:val="20"/>
        </w:rPr>
        <w:t>Kadar gre za obdelave, ki se izvajajo za namen dela na konkretni zadevi in so priročne in začasne narave, takšne obdelave ni treba in ni mogoče vnaprej predpisati v zakonu. Začetno poizvedovanje glede informacij v zvezi s storjenimi kaznivimi dejanji ali njihovimi storilci oziroma soudeleženci je del spoznavnega procesa – zato ni mogoče zajeti vseh življenjskih situacij, vseh vrst (osebnih) podatkov in vseh obdelav, ki so potrebne za poizvedovanje glede konkretnega kaznivega dejanja.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 člen (zakonitost obdelave posebnih vrst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7. člen v prvem odstavku določa, da je obdelava posebnih vrst osebnih podatkov (dosedanje poimenovanje občutljivi osebni podatki) prepovedana. Posebne vrste osebnih podatkov pa so opredeljene v 12. točki 4. člena predloga zakona.</w:t>
      </w:r>
    </w:p>
    <w:p w:rsidR="00E302FA" w:rsidRPr="007C190F" w:rsidRDefault="00E302FA" w:rsidP="00E302FA">
      <w:pPr>
        <w:spacing w:after="160" w:line="240" w:lineRule="auto"/>
        <w:jc w:val="both"/>
        <w:rPr>
          <w:rFonts w:eastAsia="Calibri"/>
          <w:szCs w:val="20"/>
        </w:rPr>
      </w:pPr>
      <w:r w:rsidRPr="007C190F">
        <w:rPr>
          <w:rFonts w:eastAsia="Calibri"/>
          <w:szCs w:val="20"/>
        </w:rPr>
        <w:t xml:space="preserve">V drugem odstavku pa so določene izjeme, namreč, da je obdelava posebnih vrst osebnih podatkov s strani pristojnih organov ne glede na določbo prejšnjega odstavka zakonita, če je skladna z določbami 6. člena in če je zagotovljeno ustrezno varstvo človekovih pravic ali temeljnih svoboščin posameznika, na katerega se nanašajo osebni podatki. </w:t>
      </w:r>
      <w:r w:rsidR="009C0CED" w:rsidRPr="007C190F">
        <w:rPr>
          <w:rFonts w:eastAsia="Calibri"/>
          <w:szCs w:val="20"/>
        </w:rPr>
        <w:t>Ti p</w:t>
      </w:r>
      <w:r w:rsidRPr="007C190F">
        <w:rPr>
          <w:rFonts w:eastAsia="Calibri"/>
          <w:szCs w:val="20"/>
        </w:rPr>
        <w:t>ogoji morajo biti izpolnjeni kumulativno</w:t>
      </w:r>
      <w:r w:rsidR="009C0CED" w:rsidRPr="007C190F">
        <w:rPr>
          <w:rFonts w:eastAsia="Calibri"/>
          <w:szCs w:val="20"/>
        </w:rPr>
        <w:t>, s tem da v</w:t>
      </w:r>
      <w:r w:rsidRPr="007C190F">
        <w:rPr>
          <w:rFonts w:eastAsia="Calibri"/>
          <w:szCs w:val="20"/>
        </w:rPr>
        <w:t>arstvo človekovih pravic in temeljnih svoboščin sicer vsebuje tudi že ta zakon, vsebujejo pa jih tudi področni zakoni, ki določajo pogoje za obdelavo posebnih vrst osebnih podatkov.</w:t>
      </w:r>
      <w:r w:rsidR="009C0CED" w:rsidRPr="007C190F">
        <w:rPr>
          <w:rFonts w:eastAsia="Calibri"/>
          <w:szCs w:val="20"/>
        </w:rPr>
        <w:t xml:space="preserve"> </w:t>
      </w:r>
      <w:r w:rsidR="00E95184" w:rsidRPr="007C190F">
        <w:rPr>
          <w:rFonts w:eastAsia="Calibri"/>
          <w:szCs w:val="20"/>
        </w:rPr>
        <w:t xml:space="preserve">Nato sta v drugem odstavku določeni dve situaciji, ko je dopustna obdelava posebnih vrst osebnih podatkov. </w:t>
      </w:r>
    </w:p>
    <w:p w:rsidR="00E95184" w:rsidRPr="007C190F" w:rsidRDefault="00E95184" w:rsidP="00E302FA">
      <w:pPr>
        <w:spacing w:after="160" w:line="240" w:lineRule="auto"/>
        <w:jc w:val="both"/>
        <w:rPr>
          <w:rFonts w:eastAsia="Calibri"/>
          <w:szCs w:val="20"/>
        </w:rPr>
      </w:pPr>
      <w:r w:rsidRPr="007C190F">
        <w:rPr>
          <w:rFonts w:eastAsia="Calibri"/>
          <w:szCs w:val="20"/>
        </w:rPr>
        <w:t xml:space="preserve">Prva situacija (1. točka drugega odstavka) je, če je obdelava nujno potrebna za opravljanje nalog pristojnih organov, določenih z zakonom (nameni iz prvega odstavka 1. člena predloga zakona). </w:t>
      </w:r>
    </w:p>
    <w:p w:rsidR="00E95184" w:rsidRPr="007C190F" w:rsidRDefault="00E95184" w:rsidP="00E95184">
      <w:pPr>
        <w:spacing w:after="160" w:line="240" w:lineRule="auto"/>
        <w:jc w:val="both"/>
        <w:rPr>
          <w:rFonts w:eastAsia="Calibri" w:cs="Arial"/>
          <w:szCs w:val="20"/>
        </w:rPr>
      </w:pPr>
      <w:r w:rsidRPr="007C190F">
        <w:rPr>
          <w:rFonts w:eastAsia="Calibri"/>
          <w:szCs w:val="20"/>
        </w:rPr>
        <w:t xml:space="preserve">Druga situacija (2. točka drugega odstavka) je, če posameznik očitno naredi osebne podatke javno dostopne ali jih objavi, razen če gre za komunikacijo znotraj dejansko ožjega kroga oseb. </w:t>
      </w:r>
      <w:r w:rsidR="007F3A3C" w:rsidRPr="007C190F">
        <w:rPr>
          <w:rFonts w:eastAsia="Calibri" w:cs="Arial"/>
          <w:szCs w:val="20"/>
        </w:rPr>
        <w:t xml:space="preserve">Predlagana določba 2. točke drugega odstavka sicer  izhaja iz (c) točke 10. člena Direktive, kjer je obdelava javno dostopnih osebnih podatkov določena le za posebne vrste osebnih podatkov. Konkretno to tudi pomeni, da na primer policija ne sme obdelovati podatkov, ki jih je posameznik objavil na družbenem omrežju in jih očitno delil le z dejansko zaprto skupino uporabnikov (na primer samo s svojimi prijatelji), lahko pa obdeluje podatke, ki jih je objavil tako, da so vidni vsem ali večjemu številu uporabnikom </w:t>
      </w:r>
      <w:r w:rsidR="004151A8" w:rsidRPr="007C190F">
        <w:rPr>
          <w:rFonts w:eastAsia="Calibri" w:cs="Arial"/>
          <w:szCs w:val="20"/>
        </w:rPr>
        <w:t>določene</w:t>
      </w:r>
      <w:r w:rsidR="007F3A3C" w:rsidRPr="007C190F">
        <w:rPr>
          <w:rFonts w:eastAsia="Calibri" w:cs="Arial"/>
          <w:szCs w:val="20"/>
        </w:rPr>
        <w:t>ga omrežja</w:t>
      </w:r>
      <w:r w:rsidR="004151A8" w:rsidRPr="007C190F">
        <w:rPr>
          <w:rFonts w:eastAsia="Calibri" w:cs="Arial"/>
          <w:szCs w:val="20"/>
        </w:rPr>
        <w:t xml:space="preserve"> ali elektronske storitve</w:t>
      </w:r>
      <w:r w:rsidR="007F3A3C" w:rsidRPr="007C190F">
        <w:rPr>
          <w:rFonts w:eastAsia="Calibri" w:cs="Arial"/>
          <w:szCs w:val="20"/>
        </w:rPr>
        <w:t xml:space="preserve">. </w:t>
      </w:r>
    </w:p>
    <w:p w:rsidR="007F3A3C" w:rsidRPr="007C190F" w:rsidRDefault="00E95184" w:rsidP="00CE68E4">
      <w:pPr>
        <w:spacing w:after="160" w:line="259" w:lineRule="auto"/>
        <w:jc w:val="both"/>
        <w:rPr>
          <w:rFonts w:eastAsia="Calibri" w:cs="Arial"/>
          <w:szCs w:val="20"/>
        </w:rPr>
      </w:pPr>
      <w:r w:rsidRPr="007C190F">
        <w:rPr>
          <w:rFonts w:eastAsia="Calibri" w:cs="Arial"/>
          <w:szCs w:val="20"/>
        </w:rPr>
        <w:t>Po eni strani je v navedeni 2. točki določeno, da so osebni podatki, ki so javno dostopni (narejeni za javno dostopne ali je omogočeno s strani posameznika, na katerega se nanašajo, da so javno dostopni ali pa jih ta posameznik objavi) uporabni za pristojne organe za namene iz prvega odstavka 1. člena predloga zakona, po drugi strani pa je zaradi tega, ker javnost osebnih podatkov ne sme pomeniti neomejene obdelave za katerekoli namene</w:t>
      </w:r>
      <w:r w:rsidRPr="007C190F">
        <w:rPr>
          <w:rFonts w:eastAsia="Calibri" w:cs="Arial"/>
          <w:sz w:val="18"/>
          <w:szCs w:val="18"/>
          <w:vertAlign w:val="superscript"/>
        </w:rPr>
        <w:footnoteReference w:id="43"/>
      </w:r>
      <w:r w:rsidRPr="007C190F">
        <w:rPr>
          <w:rFonts w:eastAsia="Calibri" w:cs="Arial"/>
          <w:szCs w:val="20"/>
        </w:rPr>
        <w:t xml:space="preserve">, predpisana dvojna zamejitev. Ta zamejitev določa, da se teh osebnih podatkov ne sme obdelovati, če posameznik uporabi možnost omejitve dostopa do vsebine osebnih podatkov na dejansko ožji krog oseb (1.), dokazni standard v povezavi s tem pa je, da jih je on očitno naredil za javne (2.). </w:t>
      </w:r>
      <w:r w:rsidR="007F3A3C" w:rsidRPr="007C190F">
        <w:rPr>
          <w:rFonts w:eastAsia="Calibri" w:cs="Arial"/>
          <w:szCs w:val="20"/>
        </w:rPr>
        <w:t>Gre za neposredno uporabno določbo.</w:t>
      </w:r>
    </w:p>
    <w:p w:rsidR="007F3A3C" w:rsidRPr="007C190F" w:rsidRDefault="007F3A3C" w:rsidP="007F3A3C">
      <w:pPr>
        <w:spacing w:after="160" w:line="240" w:lineRule="auto"/>
        <w:jc w:val="both"/>
        <w:rPr>
          <w:rFonts w:eastAsia="Calibri"/>
          <w:szCs w:val="20"/>
        </w:rPr>
      </w:pPr>
      <w:r w:rsidRPr="007C190F">
        <w:rPr>
          <w:rFonts w:eastAsia="Calibri" w:cs="Arial"/>
          <w:szCs w:val="20"/>
        </w:rPr>
        <w:t xml:space="preserve">Posameznik, na katerega se nanašajo osebni podatki, torej </w:t>
      </w:r>
      <w:r w:rsidR="00E95184" w:rsidRPr="007C190F">
        <w:rPr>
          <w:rFonts w:eastAsia="Calibri" w:cs="Arial"/>
          <w:szCs w:val="20"/>
        </w:rPr>
        <w:t>v tem primeru neovir</w:t>
      </w:r>
      <w:r w:rsidRPr="007C190F">
        <w:rPr>
          <w:rFonts w:eastAsia="Calibri" w:cs="Arial"/>
          <w:szCs w:val="20"/>
        </w:rPr>
        <w:t xml:space="preserve">ano izvršuje svobodo komuniciranja, če pa to ne izvršuje dejansko v ožjem krogu, in to komuniciranje vključuje </w:t>
      </w:r>
      <w:r w:rsidRPr="007C190F">
        <w:rPr>
          <w:rFonts w:eastAsia="Calibri" w:cs="Arial"/>
          <w:szCs w:val="20"/>
        </w:rPr>
        <w:lastRenderedPageBreak/>
        <w:t>omogočanje javne dostopnosti ali objavo, se s tem odpove pričakovani zasebnosti</w:t>
      </w:r>
      <w:r w:rsidRPr="007C190F">
        <w:rPr>
          <w:rFonts w:eastAsia="Calibri" w:cs="Arial"/>
          <w:sz w:val="18"/>
          <w:szCs w:val="18"/>
          <w:vertAlign w:val="superscript"/>
        </w:rPr>
        <w:footnoteReference w:id="44"/>
      </w:r>
      <w:r w:rsidRPr="007C190F">
        <w:rPr>
          <w:rFonts w:eastAsia="Calibri" w:cs="Arial"/>
          <w:szCs w:val="20"/>
        </w:rPr>
        <w:t xml:space="preserve"> in zato ne gre za poseg v komunikacijsko zasebnost v smislu 37. člena Ustave Republike Slovenije. V primeru izvajanja komunikacije na nejavni način z dejansko ožjim krogom (prijatelji ipd.) </w:t>
      </w:r>
      <w:r w:rsidR="00E95184" w:rsidRPr="007C190F">
        <w:rPr>
          <w:rFonts w:eastAsia="Calibri" w:cs="Arial"/>
          <w:szCs w:val="20"/>
        </w:rPr>
        <w:t xml:space="preserve">pa </w:t>
      </w:r>
      <w:r w:rsidRPr="007C190F">
        <w:rPr>
          <w:rFonts w:eastAsia="Calibri" w:cs="Arial"/>
          <w:szCs w:val="20"/>
        </w:rPr>
        <w:t>je še vedno potrebno pridobiti predhodno sodno odredbo za poseg za potrebe predkazenskega ali kazenskega postopka (v skladu s pogoji iz 37. člena Ustave Republike Slovenije in Zakona o kazenskem postopku).</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8. člen (obdelava osebnih podatkov za druge namene)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8. člen določa pogoje za obdelavo osebnih podatkov v druge namene, pri tem izhaja iz 9. člena Direktive. V prvem odstavku je določeno splošno pravilo, po katerem je obdelava osebnih podatkov s strani istega ali drugega pristojnega organa za druge namene obdelave od tistih, za katere so bili podatki pridobljeni, dovoljena le, če ti novi nameni obdelave spadajo med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predloga zakona in če tako določa področni zakon. V drugem odstavku pa je kot izjema določeno, da se osebni podatki, ki jih pristojni organi zbirajo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xml:space="preserve">. člena predloga zakona, ne obdelujejo za druge namene, kot so nameni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razen če to dovoljuje področni zakon (npr. zakoni s področja javne varnosti, vključno s prekrškovno zakonodajo). V tem primeru (če to dovoljuje zakon) pa za obdelavo veljajo pravila iz Splošne uredbe o varstvu podatkov oziroma zakona, ki ureja varstvo osebnih podatkov (trenutno ZVOP-1, v prihodnosti - ZVOP-2), oziroma drugih področnih zakonov (npr. Zakon o kazenskem postopku, Zakon o dostopu do informacij javnega značaja, Zakon o medijih, Zakon o državnem tožilstvu, Zakon o integriteti in preprečevanju korupcije…).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Določena izjema takšne vrste je že določena v predlogu zakona in se neposredno uporablja, namreč četrti odstavek 6. člena predloga zakona o varstvu življenjskih interesov.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9. člen (razlikovanje med različnimi kategorijami posameznikov)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9. člen izhaja iz posebne potrebe za zagotovitev točnosti osebnih podatkov v kontekstu prvega odstavka 1. člena Direktive ter prvega odstavka 1. člena ZVOPPOKD. Določeno je razlikovanje med različnimi kategorijami posameznikov, na katere se nanašajo osebni podatki, kot to zahteva 6. člen Direktive. Določena so pravila, po katerih pristojni organ pri obdelavi osebnih podatkov v največji možni meri in z uporabo razumnih ukrepov razlikuje med osebnimi podatki različnih kategorij posameznikov, na katere se nanašajo osebni podatki, kot so: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osumljenci;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obdolženci,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obtoženci,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obsojenci;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žrtve kaznivega dejanja ali osebe, pri katerih določena dejstva upravičujejo domnevo, da so ali bi lahko bile žrtve kaznivega dejanja;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6. druge osebe, povezane s kaznivim dejanjem, zlasti osebe, ki bi lahko nastopale kot priče, osebe, ki lahko podajo informacije o kaznivem dejanju, ali osebe, ki so ali so bile v stiku ali povezane z osebami iz prejšnjih točk (omrežja presumptivnih sodelavcev, operativne informacije).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Kategorije oseb od 1. do 6. točke so naštete primeroma, tako je npr. 4. točka odprta in se lahko naredi razlikovanje med obsojenci in pravnomočnimi obsojenci, posebej odprta pa je kategorija oseb v 6. točki (druge osebe). Določbe omogočajo, da jih pristojni organ v praksi glede na dejanske okoliščine razširi, torej določi dodatne kategorije posameznikov glede na njihov drugačen položaj.</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lastRenderedPageBreak/>
        <w:t>10. člen (razlikovanje med osebnimi podatki, ki temeljijo na dejstvih, in osebnimi podatki, ki temeljijo na osebnih ocenah)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10. člen določa, da pristojni organ pri obdelavi osebnih podatkov v največji možni meri razlikuje med osebnimi podatki, ki temeljijo na dejstvih, in osebnimi podatki, ki temeljijo na osebnih ocenah. Pri tem osebne podatke, ki temeljijo na osebnih ocenah, v največji možni meri ustrezno označi ter utemelji (npr. navede ali opiše stopnjo zanesljivosti ali verjetnosti) na način, ki omogoča naknadno preverjanje teh ocen. Predlagani člen predstavlja implementacijo 7. člena Direktive.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11. člen (avtomatizirano odločanje in oblikovanje profilov)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11. členu so določena pravila glede avtomatiziranega odločanja pri obdelavi osebnih podatkov, ki sledijo 11. členu Direktive. Po prvem odstavku je </w:t>
      </w:r>
      <w:r w:rsidRPr="007C190F">
        <w:rPr>
          <w:rFonts w:eastAsia="Calibri"/>
          <w:bCs/>
          <w:szCs w:val="20"/>
        </w:rPr>
        <w:t>o</w:t>
      </w:r>
      <w:r w:rsidRPr="007C190F">
        <w:rPr>
          <w:rFonts w:eastAsia="Calibri" w:cs="Arial"/>
          <w:szCs w:val="20"/>
        </w:rPr>
        <w:t>dločanje, ki temelji izključno na avtomatizirani obdelavi osebnih podatkov, vključno z oblikovanjem profilov, ki ima lahko negativne posledice za pravni položaj ali pravice posameznika, na katerega se nanašajo osebni podatki, ali ga lahko bistveno prizadene, prepovedano. Določena je izjema, da to lahko določa drug zakon, ki pa mora določiti zlasti pravico posameznika, da kot ustrezni ukrep za varovanje njegovih pravic zahteva ponovni in ročni pregled odločitve s strani fizične osebe (običajno uradne osebe) pri pristojnem organu ter da lahko posameznik, na katerega se nanašajo osebni podatki, do odločitve izrazi lastno stališče, oziroma zakon lahko tudi določa, da pristojni organ izvaja druge (nadomestne) ustrezne ukrepe za zagotavljanje ustreznega varstva človekovih pravic in temeljnih svoboščin (npr. obvezno preverjanje ali primerjava rezultatov odločanja s strani nadrejene uradne osebe, posebne enote …). Po drugem odstavku odločitve iz prvega odstavka ne smejo temeljiti na obdelavah posebnih vrst podatkov, razen če zakon določa (sistemske in podrobne) ustrezne ukrepe za varstvo človekovih pravic in temeljnih svoboščin ter zakonitih interesov posameznika, na katerega se nanašajo osebni podatki. Po tretjem odstavku mora pristojni organ kot pripravljavec področnega zakona (lahko tudi poslanec, če gre za poslanski zakon), ki bi vseboval avtomatizirano odločanje, izvesti oceno učinka iz 49. člena predloga zakona. V četrtem odstavku je določena še ena prepovedna norma, da je namreč oblikovanje profilov v okviru avtomatizirane ali drugačne (ročne) obdelave posebnih vrst osebnih podatkov, ki ima za posledico diskriminacijo posameznikov, na katere se nanašajo osebni podatki, prepovedano.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 avtomatiziranem odločanju glede obdelav osebnih podatkov torej predlog zakona izhaja iz sistema prepovedi, saj izhaja iz spoštovanja subjektivitete človeka (o človeku naj se ne odloča na avtomatizirani način), nato pa so določene izjeme, ki pa so pogojene z varovalnimi ukrepi (običajno bi bil ustrezni ukrep: predpisana in izvedena naknadna človeška intervencija).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Avtomatizirani sistem obdelave osebnih podatkov sicer pomeni informacijski oziroma računalniški sistem, sestavljen iz enega ali več med seboj povezanih računalnikov, na katerih teče posebna programska oprema. Avtomatizirani sistem obdelave je namenjen sistemski avtomatski obdelavi in hrambi večje količine podatkov (zbirke podatkov). Pri tem ne gre za posamezne manjše uporabniške programe, ki jih uporabljajo pri svojem delu policija (preiskovalci, forenziki, …), tožilci, preiskovalni sodniki (izvedenci …) ali ko ustvarjajo nove pripomočke (zbirke podatkov za enkratno uporabo ob delu na posamezni zadevi). Avtomatizirana obdelava je obdelava, pri kateri človeški posegi niso potrebni, razen v začetku (sproženje obdelave) in koncu (predčasna ustavitev obdelave) ter pri oceni rezultatov obdelave.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12. člen (sodno varstvo)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12. člen ureja sistem splošnega sodnega varstva pravic posameznikov, na katere se nanašajo osebni podatki, konkretneje določa posebno upravnosodno presojo kot samostojno pravno sredstvo. Predlagano sodno varstvo sledi dosedanji ureditvi iz 34. člena ZVOP-1 (tudi upravnosodna presoja), je pa vključeno v predlog zakona na podlagi 54. člena Direktive.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Sodno varstvo po 12. členu je samostojno pravno sredstvo (samostojno sodno varstvo) in ni pogojeno s predhodnim izčrpanjem kateregakoli drugega pravnega sredstva ali pravice po ZVOPPOKD.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predlaganem prvem odstavku </w:t>
      </w:r>
      <w:r w:rsidRPr="007C190F">
        <w:rPr>
          <w:rFonts w:eastAsia="Calibri"/>
          <w:bCs/>
          <w:szCs w:val="20"/>
        </w:rPr>
        <w:t>lahko vsak p</w:t>
      </w:r>
      <w:r w:rsidRPr="007C190F">
        <w:rPr>
          <w:rFonts w:eastAsia="Calibri" w:cs="Arial"/>
          <w:szCs w:val="20"/>
        </w:rPr>
        <w:t xml:space="preserve">osameznik, na katerega se nanašajo osebni podatki in ki meni, da določena obdelava njegovih osebnih podatkov s strani pristojnega organa ali obdelovalca krši določbe ZVOPPOKD ali drugih (področnih) zakonov, ki urejajo obdelavo ali varstvo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ZVOPPOKD, zahteva sodno varstvo svojih pravic ves čas, dokler kršitev traja (kriterij trajajoče kršitve).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dopolnilnem tretjem odstavku lahko posameznik v primeru, če je kršitev iz prvega odstavka prenehala in meni da je obstajala, s tožbo zahteva ugotovitev, da je kršitev obstajala (kriterij pretekle kršitve).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Drugi odstavek določa, da lahko posameznik s sodnim varstvom po določbah 12. člena zahteva prenehanje kršitve, vzpostavitev zakonitega stanja (npr. izbris, popravek) oziroma povračilo škode, določene so torej materialne podlage zahtevka.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četrtem odstavku so določene temeljne postopkovne določbe, tako da v postopku po prvem, drugem in tretjem odstavku 12. člena odloča Upravno sodišče Republike Slovenije z uporabo določb Zakona o upravnem sporu po postopku za tožbo zaradi kršitve človekovih pravic in temeljnih svoboščin, tožnik (posameznik, na katerega se nanašajo osebni podatki) pa lahko v tožbo vključi tudi odškodninski zahtevek.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petem odstavku je v postopku pred Upravnim sodiščem Republike Slovenije po tem členu javnost izključena, razen če sodišče na predlog posameznika, na katerega se nanašajo osebni podatki (tožnika), iz utemeljenih razlogov ne odloči drugače.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šestem odstavku sodišče v zadevah upravnih sporov po predlaganem členu odloči najpozneje v šestih mesecih.</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13. člen (zastopanje s strani nevladnih organizacij)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predlaganem 13. členu je določeno, kdo lahko poleg splošnih pravil o pooblaščanju (npr. odvetniki, drugi pooblaščenci) glede na zahteve iz 55. člena Direktive zastopa posameznike, na katere se nanašajo osebni podatki. Predlagano je, da lahko vsak posameznik, na katerega se nanašajo osebni podatki, pisno pooblasti nevladno organizacijo s področja varstva človekovih pravic in temeljnih svoboščin, ki ima status nevladne organizacije v javnem interesu</w:t>
      </w:r>
      <w:r w:rsidRPr="007C190F">
        <w:rPr>
          <w:rFonts w:eastAsia="Calibri" w:cs="Arial"/>
          <w:sz w:val="18"/>
          <w:szCs w:val="18"/>
          <w:vertAlign w:val="superscript"/>
        </w:rPr>
        <w:footnoteReference w:id="45"/>
      </w:r>
      <w:r w:rsidRPr="007C190F">
        <w:rPr>
          <w:rFonts w:eastAsia="Calibri" w:cs="Arial"/>
          <w:szCs w:val="20"/>
        </w:rPr>
        <w:t>, da v njegovem imenu glede obdelav njegovih osebnih podatkov uveljavlja sodno varstvo po 12. členu predloga zakona ali vloži pritožbo ali prijavo po določbah ZVOPPOKD. Določba glede kvalifikacij nevladne organizacije torej ne vključuje samo nevladnih organizacij za varstvo osebnih podatkov ali zasebnosti, ampak vse nevladne organizacije s področja varstva človekovih pravic in temeljnih svoboščin, ki imajo status nevladne organizacije v javnem interesu. Pri tem se upošteva, da ni primerno zahtevati, da bi bile nevladne organizacije specializirane samo ali pretežno za varstvo samo ene ali dveh človekovih pravic.</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14. člen (</w:t>
      </w:r>
      <w:r w:rsidR="00CE68E4" w:rsidRPr="007C190F">
        <w:rPr>
          <w:rFonts w:eastAsia="Calibri"/>
          <w:b/>
          <w:szCs w:val="20"/>
        </w:rPr>
        <w:t xml:space="preserve">omejitev </w:t>
      </w:r>
      <w:r w:rsidRPr="007C190F">
        <w:rPr>
          <w:rFonts w:eastAsia="Calibri"/>
          <w:b/>
          <w:szCs w:val="20"/>
        </w:rPr>
        <w:t>vpogled</w:t>
      </w:r>
      <w:r w:rsidR="00CE68E4" w:rsidRPr="007C190F">
        <w:rPr>
          <w:rFonts w:eastAsia="Calibri"/>
          <w:b/>
          <w:szCs w:val="20"/>
        </w:rPr>
        <w:t>a</w:t>
      </w:r>
      <w:r w:rsidRPr="007C190F">
        <w:rPr>
          <w:rFonts w:eastAsia="Calibri"/>
          <w:b/>
          <w:szCs w:val="20"/>
        </w:rPr>
        <w:t xml:space="preserve"> v </w:t>
      </w:r>
      <w:r w:rsidR="00CE68E4" w:rsidRPr="007C190F">
        <w:rPr>
          <w:rFonts w:eastAsia="Calibri"/>
          <w:b/>
          <w:szCs w:val="20"/>
        </w:rPr>
        <w:t xml:space="preserve">lastne </w:t>
      </w:r>
      <w:r w:rsidRPr="007C190F">
        <w:rPr>
          <w:rFonts w:eastAsia="Calibri"/>
          <w:b/>
          <w:szCs w:val="20"/>
        </w:rPr>
        <w:t>osebne podatke)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14. člen ureja izjemo od splošnih določb Zakona o splošnem upravnem postopku (v nadaljevanju: ZUP)</w:t>
      </w:r>
      <w:r w:rsidRPr="007C190F">
        <w:rPr>
          <w:rFonts w:eastAsia="Calibri" w:cs="Arial"/>
          <w:sz w:val="18"/>
          <w:szCs w:val="18"/>
          <w:vertAlign w:val="superscript"/>
        </w:rPr>
        <w:footnoteReference w:id="46"/>
      </w:r>
      <w:r w:rsidRPr="007C190F">
        <w:rPr>
          <w:rFonts w:eastAsia="Calibri" w:cs="Arial"/>
          <w:szCs w:val="20"/>
        </w:rPr>
        <w:t xml:space="preserve">, ki v 82. členu ureja pravico pregledovanja spisa, ko postopek še teče. To velja tudi za druge postopkovne zakone, ki omogočajo pregled oz. seznanitev z vsebino spisov in dokumentacije pristojnih organov. V 1. točki prvega odstavka 14. člena je tako navedeno, da pregledovanje osebnih podatkov ni mogoče, če bi to lahko glede na okoliščine konkretne zadeve </w:t>
      </w:r>
      <w:r w:rsidRPr="007C190F">
        <w:rPr>
          <w:rFonts w:eastAsia="Calibri" w:cs="Arial"/>
          <w:szCs w:val="20"/>
        </w:rPr>
        <w:lastRenderedPageBreak/>
        <w:t>škodovalo izvedbi uradnih postopkov (zlasti predkazenski ali kazenski postopek) ali varstvu ali uresničevanju človekovih pravic in temeljnih svoboščin tretjih oseb (npr. pravica do življenja ali osebne varnosti žrtev kaznivih dejanj, zaščitenih prič in oseb s prirejeno identiteto) ter je to nujno in sorazmerno.</w:t>
      </w:r>
    </w:p>
    <w:p w:rsidR="00CE68E4" w:rsidRPr="007C190F" w:rsidRDefault="00E302FA" w:rsidP="00E302FA">
      <w:pPr>
        <w:spacing w:after="160" w:line="259" w:lineRule="auto"/>
        <w:jc w:val="both"/>
        <w:rPr>
          <w:rFonts w:eastAsia="Calibri" w:cs="Arial"/>
          <w:szCs w:val="20"/>
        </w:rPr>
      </w:pPr>
      <w:r w:rsidRPr="007C190F">
        <w:rPr>
          <w:rFonts w:eastAsia="Calibri" w:cs="Arial"/>
          <w:szCs w:val="20"/>
        </w:rPr>
        <w:t xml:space="preserve">Ker gre pri delovnih področjih po ZVOPPOKD za specifično tematiko, lahko spis vsebuje podatke in dokumentacijo, ki je predmet občutljivega ali nezaključenega postopka, posamezniku vpogleda v spis ni mogoče dovoliti do dokončne odločitve, tudi v skladu z omejitvami iz področne zakonodaje (npr. prvi odstavek 25. člena predloga zakona) – 2. točka prvega odstavka 14. člena. </w:t>
      </w:r>
    </w:p>
    <w:p w:rsidR="00CE68E4" w:rsidRPr="007C190F" w:rsidRDefault="00CE68E4" w:rsidP="00E302FA">
      <w:pPr>
        <w:spacing w:after="160" w:line="259" w:lineRule="auto"/>
        <w:jc w:val="both"/>
        <w:rPr>
          <w:rFonts w:eastAsia="Calibri" w:cs="Arial"/>
          <w:szCs w:val="20"/>
        </w:rPr>
      </w:pPr>
      <w:r w:rsidRPr="007C190F">
        <w:rPr>
          <w:rFonts w:eastAsia="Calibri" w:cs="Arial"/>
          <w:szCs w:val="20"/>
        </w:rPr>
        <w:t xml:space="preserve">Drugi odstavek vsebuje dodatno konkretizacijo, po kateri </w:t>
      </w:r>
      <w:r w:rsidR="00AB6A57" w:rsidRPr="007C190F">
        <w:rPr>
          <w:rFonts w:eastAsia="Calibri" w:cs="Arial"/>
          <w:szCs w:val="20"/>
        </w:rPr>
        <w:t xml:space="preserve">v primeru, če področni zakon posamezniku iz tehtnih razlogov ne dovoljuje dostopa do osebnih podatkov, nima dostopa do njihove vsebine niti preko dokumentov zadeve oziroma spisa pristojnega organa ali nadzornega organa.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Iz teh razlogov </w:t>
      </w:r>
      <w:r w:rsidR="00AB6A57" w:rsidRPr="007C190F">
        <w:rPr>
          <w:rFonts w:eastAsia="Calibri" w:cs="Arial"/>
          <w:szCs w:val="20"/>
        </w:rPr>
        <w:t xml:space="preserve">pa </w:t>
      </w:r>
      <w:r w:rsidRPr="007C190F">
        <w:rPr>
          <w:rFonts w:eastAsia="Calibri" w:cs="Arial"/>
          <w:szCs w:val="20"/>
        </w:rPr>
        <w:t xml:space="preserve">mora odločitev </w:t>
      </w:r>
      <w:r w:rsidR="00AB6A57" w:rsidRPr="007C190F">
        <w:rPr>
          <w:rFonts w:eastAsia="Calibri" w:cs="Arial"/>
          <w:szCs w:val="20"/>
        </w:rPr>
        <w:t xml:space="preserve">pristojnega ali nadzornega organa </w:t>
      </w:r>
      <w:r w:rsidRPr="007C190F">
        <w:rPr>
          <w:rFonts w:eastAsia="Calibri" w:cs="Arial"/>
          <w:szCs w:val="20"/>
        </w:rPr>
        <w:t>vsebovati tudi odločitev o dovoljenem obsegu pregleda zadeve (tretji odstavek predlaganega člena).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15. člen (preverjanje identitete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15. člen ureja preverjanja identitete posameznika, na katerega se nanašajo osebni podatki, kadar pristojni organ oziroma nadzorni organ opravičeno dvomi o identiteti posameznika, ki je vložil zahtevo, pritožbo ali prijavo. Od posameznika se lahko zahtevajo dodatne informacije za potrditev njegove identitete, in če tudi dodatne informacije ne odpravijo dvoma, se lahko od posameznika zahteva vpogled v uradni identifikacijski dokument ali se identifikacija izvede s pomočjo sredstev elektronske identifikacije (60. člen predloga zakona). Tako pridobljene podatke pristojni organ hrani dve leti od zaključka obdelave za namen izkazovanja skladnosti obdelave (skladnosti v smislu zakonitosti obdelave osebnih podatkov po določbah tega in drugih – področnih – zakonov).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16. člen (zavarovanje osebnih podatkov, ki so predmet postopka)</w:t>
      </w:r>
    </w:p>
    <w:p w:rsidR="00E302FA" w:rsidRPr="007C190F" w:rsidRDefault="00E302FA" w:rsidP="00E302FA">
      <w:pPr>
        <w:spacing w:after="160" w:line="240" w:lineRule="auto"/>
        <w:jc w:val="both"/>
        <w:rPr>
          <w:rFonts w:eastAsia="Calibri"/>
          <w:szCs w:val="20"/>
        </w:rPr>
      </w:pPr>
      <w:r w:rsidRPr="007C190F">
        <w:rPr>
          <w:rFonts w:eastAsia="Calibri"/>
          <w:szCs w:val="20"/>
        </w:rPr>
        <w:t xml:space="preserve">Predlagani 16. člen ureja posebni upravni ukrep – obveznost pristojnih organov, da zavarujejo vsebino in obliko osebnih podatkov, ki so predmet zahteve. Podatki, ki so predmet zahteve, se ne smejo izbrisati ali spremeniti, dokler o zadevi ni pravnomočno odločeno, saj v nasprotnem primeru glede njih ne bi bilo mogoče ugotavljati zakonitosti obdelave. Nadzorna oseba (nadzornik ali informacijski pooblaščenec) lahko v posameznem postopku glede na okoliščine posameznega primera določi tudi drugi način zavarovanja osebnih podatkov, ki so predmet zahteve. Zavarovanje traja do dokončne in pravnomočne odločitve. Namen določbe drugega odstavka je predvsem preprečevanje potrebe po posegih v obstoječe aplikacije, v katerih se obdelujejo osebni podatki in ki ne omogočajo zavarovanja osebnih podatkov znotraj same aplikacije. Predlagana določba ne posega v nadaljnje opravljanje nalog pristojnega organa – npr. vlaganje kazenskih ovadb, zbiranje dodatnih podatkov…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17. člen (izvršba)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17. člen določa, da se izvršba izvaja po postopku upravne izvršbe s prisilitvijo, kot jo določa ZUP v 298. členu – z dodano posebno ureditvijo, ki je določena v tem predlogu zakona. Za izvedbo izvršbe je pristojen Informacijski pooblaščenec kot nadzorni organ (</w:t>
      </w:r>
      <w:r w:rsidRPr="007C190F">
        <w:rPr>
          <w:rFonts w:eastAsia="Calibri" w:cs="Arial"/>
          <w:i/>
          <w:iCs/>
          <w:szCs w:val="20"/>
        </w:rPr>
        <w:t>sui generis</w:t>
      </w:r>
      <w:r w:rsidRPr="007C190F">
        <w:rPr>
          <w:rFonts w:eastAsia="Calibri" w:cs="Arial"/>
          <w:szCs w:val="20"/>
        </w:rPr>
        <w:t xml:space="preserve"> določba). Denarna kazen bremeni odgovorno osebo pristojnega organa ali upravljavca, ki ni izvršila odločbe nadzornega organa.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lastRenderedPageBreak/>
        <w:t>II. poglavje – PRAVICE POSAMEZNIKA IN POSTOPEK PRED PRISTOJNIM ORGANOM</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18. člen (uveljavljanje pravic pred pristojnim organom ali obdelovalcem)</w:t>
      </w:r>
    </w:p>
    <w:p w:rsidR="00E302FA" w:rsidRPr="007C190F" w:rsidRDefault="00E302FA" w:rsidP="00E302FA">
      <w:pPr>
        <w:spacing w:after="160" w:line="259" w:lineRule="auto"/>
        <w:jc w:val="both"/>
        <w:rPr>
          <w:rFonts w:eastAsia="Calibri" w:cs="Arial"/>
          <w:b/>
          <w:szCs w:val="20"/>
        </w:rPr>
      </w:pPr>
      <w:r w:rsidRPr="007C190F">
        <w:rPr>
          <w:rFonts w:eastAsia="Calibri" w:cs="Arial"/>
          <w:szCs w:val="20"/>
        </w:rPr>
        <w:t xml:space="preserve">Pravice pred pristojnimi organi (organi, </w:t>
      </w:r>
      <w:r w:rsidRPr="007C190F">
        <w:rPr>
          <w:rFonts w:eastAsia="Calibri" w:cs="Arial"/>
          <w:iCs/>
          <w:szCs w:val="20"/>
          <w:lang w:eastAsia="sl-SI"/>
        </w:rPr>
        <w:t xml:space="preserve">pristojni za področja preprečevanja, preiskovanja, odkrivanja ali pregona kaznivih dejanj ali izvrševanja kazenskih sankcij, torej </w:t>
      </w:r>
      <w:r w:rsidRPr="007C190F">
        <w:rPr>
          <w:rFonts w:eastAsia="Calibri" w:cs="Arial"/>
          <w:szCs w:val="20"/>
        </w:rPr>
        <w:t>policija, državno tožilstvo, Uprava za izvrševanje kazenskih sankcij in Uprava za probacijo) se uveljavljajo na podlagi tega zakona. V postopku se uporablja ZUP, kolikor niso s tem zakonom posamezna vprašanja urejena drugače. Obdelovalec, ki je samostojno določil druge namene oziroma sredstva obdelave, postane upravljavec, s tem pa prevzame tudi obveznosti, ki gredo upravljavcem (peti odstavek 44. člena tega zakona). Posamezniki lahko v tem primeru svoje pravice uveljavljajo tudi pred obdelovalcem. Pritožbe, prijave oziroma pobude glede kršitev ali uresničevanja pravic obravnava nadzorni organ (to je Informacijski pooblaščenec).</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19. člen (uporaba določb zakona, ki ureja splošni upravni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Predlog zakona v 19. členu določa subsidiarno uporabo določb ZUP. Ta zakon v splošnih določbah ureja posamezne institute ali postopkovne določbe drugače kot ZUP. To so npr. omejitve vpogleda v spis, preverjanje identitete posameznika in zavarovanje osebnih podatkov, ki so predmet postopka, ter izvršbo.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tem poglavju se za uresničevanje pravic posameznika drugače ureja še komunikacija s posameznikom in ravnanje z očitno neutemeljeno ali pretirano zahtevo. </w:t>
      </w:r>
    </w:p>
    <w:p w:rsidR="00E302FA" w:rsidRPr="007C190F" w:rsidRDefault="00E302FA" w:rsidP="00E302FA">
      <w:pPr>
        <w:spacing w:before="360" w:after="160" w:line="259" w:lineRule="auto"/>
        <w:outlineLvl w:val="4"/>
        <w:rPr>
          <w:rFonts w:eastAsia="Calibri"/>
          <w:szCs w:val="20"/>
        </w:rPr>
      </w:pPr>
      <w:r w:rsidRPr="007C190F">
        <w:rPr>
          <w:rFonts w:eastAsia="Calibri"/>
          <w:b/>
          <w:szCs w:val="20"/>
        </w:rPr>
        <w:t xml:space="preserve">20. člen (omejitve in uresničevanje pravic na podlagi drugih zakonov)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prvi odstavek 20. člena napotuje na določbe področne zakonodaje (npr. policijske, državnotožilske), ki določajo drugačne načine ali omejevanje pravic glede varstva osebnih podatkov. Navedene omejitve zavezujejo tudi Informacijskega pooblaščenca, ko izvršuje nadzore po tem zakonu (glejte tudi drugi in tretji odstavek 14. člena ZVOPPOKD). Pri svojem delu mora skrbeti, da se podatki, ki se nahajajo v njegovem nadzornem spisu ne razkrijejo prijavitelju, pritožniku ali tretji osebi, če dostopa do teh podatkov ne omogoča področna zakonodaja. Tudi v odločbi nadzornega organa taki podatki ne smejo biti konkretno navedeni, spoštovane morajo biti omejitve iz tega in drugih zakonov (3. točka prvega odstavka 37. člena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Predlog 20. člena v drugem odstavku ureja uporabo zakona na področju kazenske zadeve sodišča za uresničevanje pravic v zvezi z dajanjem splošnih informacij, dostopa do osebnih podatkov ter pravice do popravka, izbrisa in do omejitve obdelave, v primeru, ko drugi, področni zakoni glede kazenskih zadev sodišč, navedene pravice urejajo drugače. Če pravice iz tega predloga zakona ureja drug zakon, jih posameznik uveljavlja po tem drugem zakonu (npr. Zakon o državnem tožilstvu), če pa drugi zakon tega ne ureja, pa lahko posameznik pravice uveljavlja po ZVOPPOKD.</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21. člen (komunikacija s posameznikom, na katerega se nanašajo osebni podatki)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predlaganem 21. členu je urejena pravica posameznika, da od pristojnih organov, ki obdelujejo njegove osebne podatke, pridobi splošne informacije ali odgovore glede dostopa do kopije osebnih podatkov, pravice do popravka, izbrisa ali omejitve teh pravic, in sicer v jasnem in preprostem  jeziku. Informacije se prilagodijo potrebam posameznikov, so enostavno dostopne, tudi preko spletnih strani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prvem odstavku je določen tudi način posredovanja informacij posamezniku, ki se posredujejo praviloma v obliki, v kateri je bila zahteva vložena, tudi elektronski obliki.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pristojne organe zavezuje, da uresničevanje pravic posameznika čim bolj olajšajo, tudi tako, da za zahtevo pripravijo obrazce.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Tretji odstavek nalaga pristojnim organom, da z namenom čim lažjega uresničevanja pravic posameznika, </w:t>
      </w:r>
      <w:r w:rsidR="00AB6A57" w:rsidRPr="007C190F">
        <w:rPr>
          <w:rFonts w:eastAsia="Calibri" w:cs="Arial"/>
          <w:szCs w:val="20"/>
        </w:rPr>
        <w:t>njihovo uresničevanje</w:t>
      </w:r>
      <w:r w:rsidRPr="007C190F">
        <w:rPr>
          <w:rFonts w:eastAsia="Calibri" w:cs="Arial"/>
          <w:szCs w:val="20"/>
        </w:rPr>
        <w:t xml:space="preserve"> posamezniku zagotovi brezplačno.</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22. člen (ravnanje z očitno neutemeljeno ali pretirano zahtevo)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22. člen ureja načine postopanja v primeru, ko so zahteve posameznikov pretirane, zlasti ker se ponavljajo, na primer, ko posameznik, na katerega se nanašajo osebni podatki, nerazumno in neprestano zahteva informacije ali zlorabi svojo pravico do informacij, na primer z navajanjem napačnih ali zavajajočih informacij pri oddaji zahteve.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ki določa ravnanje z očitno neutemeljenimi ali pretiranimi zahtevami in dokazno breme pristojnega organa v zvezi s tem, izhaja iz uvodne navedbe št. 40 Direktive, kjer je med drugim navedeno: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 Če so poleg tega zahteve očitno neutemeljene ali pretirane, kot v primeru, ko posameznik, na katerega se nanašajo osebni podatki, nerazumno in neprestano zahteva informacije ali zlorabi svojo pravico do informacij, na primer z navajanjem napačnih ali zavajajočih informacij pri oddaji zahteve, bi moral upravljavec imeti možnost zaračunati razumno pristojbino ali pa zavrniti ukrepanje v zvezi s to zahtevo.«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Ministrstvo za pravosodje meni, da odprta določba Direktive tudi omogoča, da ni treba nujno določiti sankcije zaračunavanja stroškov za očitno neutemeljene ali pretirane zahteve, zlasti ne zato, ker materialni stroški ne bodo nastali. Menimo, da predlagana določba prinaša več pravne varnosti posameznikom, na katere se nanašajo osebni podatki (lažje vlaganje zahtev), pristojni organ pa ima še vedno na razpolago postopkovno varovalko – saj lahko zavrne obravnavanje pretiranih ipd. zahtev.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23. člen (dajanje informacij)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23. člen določa, katere so tiste splošne informacije, ki jih pristojni organi tudi javno objavijo na svojih spletnih straneh (identiteta upravljavca, podatke pooblaščene osebe, namen obdelave, pravica do vložitve pritožbe in prijave pri nadzornem organu ter njegove kontaktne podatke, pravica do dostopa, popravka, izbrisa ali omejitve ter tudi pravne podlage za obdelavo osebnih podatkov</w:t>
      </w:r>
      <w:r w:rsidRPr="007C190F">
        <w:rPr>
          <w:rFonts w:eastAsia="Calibri" w:cs="Arial"/>
          <w:sz w:val="18"/>
          <w:szCs w:val="18"/>
          <w:vertAlign w:val="superscript"/>
        </w:rPr>
        <w:footnoteReference w:id="47"/>
      </w:r>
      <w:r w:rsidRPr="007C190F">
        <w:rPr>
          <w:rFonts w:eastAsia="Calibri" w:cs="Arial"/>
          <w:szCs w:val="20"/>
        </w:rPr>
        <w:t>). Posamezniku se dajejo na razpolago tudi podatki o roku hrambe ali roku za reden pregled potrebe po hrambi, kategorije uporabnikov osebnih podatkov vključno z uporabniki v tretjih državah ali mednarodnih organizacijah in če so osebni podatki bili pridobljeni brez vednosti posameznika, na katerega se nanašajo.</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24. člen (pravica do dostopa do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Prvi odstavek predlaganega 24. člena določa pravico posameznika, da od pristojnega organa prejme potrditev o tem, ali se v zvezi z njim obdelujejo osebni podatki, ter prejeti kopijo ali izpis teh osebnih podatkov, če se v zvezi njim dejansko obdelujejo osebni podatki.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Drugi odstavek določa pravico posameznika, da prejme konkretne informacije o tem, kateri osebni podatki se obdelujejo v zvezi z njim, in sicer: podatke o namenih in pravnih podlagah obdelave, vrstah osebnih podatkov, ki se obdelujejo, uporabnikih, zlasti tistih v tretjih državah ali mednarodnih organizacijah, razen če gre za omejitve iz prvega odstavka 25. člena tega zakona, vendar tudi v teh primerih vsaj okvirni opis uporabnikov, rokih hrambe ali roku za reden pregled potrebe po hrambi, pravici zahtevati popravek, izbris ali omejitev obdelave. S tem posameznik lahko preveri točnost in zakonitost obdelave, podatek pa prejme v obliki kopije osebnih podatkov. Prav tako se posameznika seznani s pravico do pritožbe ali prijave pri nadzornem organu ter njegovih kontaktnih </w:t>
      </w:r>
      <w:r w:rsidRPr="007C190F">
        <w:rPr>
          <w:rFonts w:eastAsia="Calibri" w:cs="Arial"/>
          <w:szCs w:val="20"/>
        </w:rPr>
        <w:lastRenderedPageBreak/>
        <w:t>podatkih in o vseh razpoložljivih informacijah o viru osebnih podatkov, kolikor identiteta vira ni varovana kot tajna ali zaupna.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določa, da v primerih, ko bi dostop do podatkov oviral ali vplival na uradne postopke, mu pristojni organ zaradi varovanja identitete oseb, zoper katere se izvajajo prikriti preiskovalni ukrepi po zakonu, ki ureja kazenski postopek, ali zoper katere so razpisani ukrepi prikritega evidentiranja in namenske kontrole po zakonu, ki ureja naloge in pooblastila policije, ta dostop omeji.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Četrti odstavek določa, da pristojni organ o zahtevi odloči brez nepotrebnega odlašanja, najpozneje pa v enem mesecu po prejemu zahteve. Prav tako je določeno, da odločba vsebuje tudi pravni pouk.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25. člen (omejitve pravice do dostopa do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Prvi odstavek določa, da je pravice posameznika do dostopa do osebnih podatkov mogoče popolnoma ali delno omejiti, kadar je to določeno z zakonom (ta pravila v tem primeru prevladajo: npr. Zakon o nalogah in pooblastilih policije, zakoni, ki urejajo sodne postopke, omejitev pa mora biti skladna tudi z Listino o temeljnih pravicah Evropske unije in Evropsko konvencijo o človekovih pravicah, kot ju razlaga sodna praksa Sodišča Evropske unije in Evropskega sodišča za človekove pravice, zlasti glede vsebine teh človekovih pravic in temeljnih svoboščin, predvsem 8. člena Evropske konvencije o človekovih pravicah) in ob upoštevanju načela sorazmernosti (2. člen v zvezi s tretjim odstavkom 15. člena Ustave Republike Slovenije) v vsakem konkretnem primeru posebej, in sicer: da se onemogoči oviranje ali vplivanje na postopke v zvezi z nalogami in nameni pristojnih organov iz tega zakona, vključno s pridobivanjem in prenosi osebnih podatkov, zaradi javne varnosti, varnosti ali obrambe države in zaradi varstva pravic in svoboščin tretjih oseb. Torej je treba v vsakem konkretnem primeru omejevanja pravic posebej preveriti, da je takšno omejevanje v tem primeru resnično nujno in obenem sorazmerno v razmerju do razloga za omejevanje. Ta določba pomeni prenos določb tretjega odstavka 13. člena Direktive.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roke za odločitev o zavrnitvi ali omejitvi dostopa in razlogih zanje. Pristojni organ mora odločiti o navedenem brez nepotrebnega odlašanja, najpozneje pa v petnajstih dneh, ta rok pa pristojni organ lahko zaradi zapletenosti in števila zadev s sklepom podaljša največ za petnajst dni. Skupni rok za določitev je tako lahko največ 30 dni. Pristojni organ posameznika seznani z možnostjo pritožbe pri Informacijskem pooblaščencu zoper zavrnitev ali omejitev dostopa do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Tretji odstavek določa, da pristojni organ v odločbi iz prejšnjega odstavka ne navede razlogov za zavrnitev ali omejitev dostopa, če bi to ogrozilo izvrševanje namena zavrnitve ali omejitve dostopa iz prvega odstavka tega člena. Odločba ne sme obsegati navedb, s katerimi se potrdi ali zanika obdelava osebnih podatkov ali morebitne omejitve dostopa do njihove vsebine. Na ta način se prepreči, da bi posredno prišlo do seznanitve glede obstoja konkretne obdelave ali da bi se z določeno mero gotovosti sklepalo na obstoj konkretnih osebnih podatkov. </w:t>
      </w:r>
    </w:p>
    <w:p w:rsidR="00AB6A57" w:rsidRPr="007C190F" w:rsidRDefault="00E302FA" w:rsidP="00E302FA">
      <w:pPr>
        <w:spacing w:after="160" w:line="259" w:lineRule="auto"/>
        <w:jc w:val="both"/>
        <w:rPr>
          <w:rFonts w:eastAsia="Calibri" w:cs="Arial"/>
          <w:szCs w:val="20"/>
        </w:rPr>
      </w:pPr>
      <w:r w:rsidRPr="007C190F">
        <w:rPr>
          <w:rFonts w:eastAsia="Calibri" w:cs="Arial"/>
          <w:szCs w:val="20"/>
        </w:rPr>
        <w:t xml:space="preserve">Četrti odstavek ureja podobna vprašanja glede vsebine odločbe kot tretji odstavek, s tem da gre za področje prikritih preiskovalnih ukrepov in podobnih ukrepov, določenih z zakonom.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Peti odstavek določa, da se konkretni razlogi zavrnitve ali omejitve dostopa do osebnih podatkov iz prvega stavka tretjega odstavka in prvega stavka četrtega odstavka tega člena, zapišejo v prilogi k odločbi</w:t>
      </w:r>
      <w:r w:rsidR="00AB6A57" w:rsidRPr="007C190F">
        <w:rPr>
          <w:rFonts w:eastAsia="Calibri" w:cs="Arial"/>
          <w:szCs w:val="20"/>
        </w:rPr>
        <w:t>, ki mora biti opremljena s številko zadeve, datumom in podpisom pristojne uradne osebe</w:t>
      </w:r>
      <w:r w:rsidRPr="007C190F">
        <w:rPr>
          <w:rFonts w:eastAsia="Calibri" w:cs="Arial"/>
          <w:szCs w:val="20"/>
        </w:rPr>
        <w:t>. Institut priloge k odločbi je že uveljavljen na primer v tretjem odstavku 214. člena ZUP. Predlagano je, da se priloge ne vroča posamezniku, na katerega se nanašajo osebni podatki, je pa v konkretni zadevi dostopna Informacijskemu pooblaščencu pri izvajanju pritožbenega ali drugega postopka ali pooblaščeni osebi za varstvo osebnih podatkov, v okviru uresničevanja sodnega varstva po določbah tega zakona pa tudi Upravnemu sodišču Republike Slovenije.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Predlagano je torej, da vsi posamezniki – ne glede na položaj (ali so nadzorovani preko ukrepov; ali so se v njih slučajno znašli; ali pa sploh niso nadzorovani</w:t>
      </w:r>
      <w:r w:rsidR="00596EB6" w:rsidRPr="007C190F">
        <w:rPr>
          <w:rFonts w:eastAsia="Calibri" w:cs="Arial"/>
          <w:szCs w:val="20"/>
        </w:rPr>
        <w:t xml:space="preserve"> – torej se sploh ne obdelujejo njihovi osebni podatki</w:t>
      </w:r>
      <w:r w:rsidRPr="007C190F">
        <w:rPr>
          <w:rFonts w:eastAsia="Calibri" w:cs="Arial"/>
          <w:szCs w:val="20"/>
        </w:rPr>
        <w:t>) – dobijo od pristojnega organa enak odgovor, iz katerega ni mogoče sklepati, ali se v zvezi z njimi osebni podatki obdelujejo ali ne. Namen določbe je zavarovati učinkovitost delovanja preiskovalnih ukrepov.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26. člen (pravica do popravka ali izbrisa osebnih podatkov in do omejitve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Prvi odstavek ureja pravico posameznika od pristojnega organa zahtevati popravek oziroma dopolnitev svojih netočnih oziroma nepopolnih podatkov. Odstavek določa tudi roke za popravek, in sicer: petnajst dni od prejema zahteve, ta rok pa pristojni organ lahko zaradi zapletenosti in števila zadev s sklepom podaljša za največ petnajst dni. Če nepopolnih osebnih podatkov ni možno ali dopustno dopolniti ali popraviti, jim lahko pristojni organ priloži dopolnilno izjavo posameznika, na katerega se nanašajo osebni podatki; takrat torej pristojni organ podatkov ne spremeni, ampak jim le priloži uradni zaznamek o izjavi. Predlog ureja tudi ravnanje pristojnega organa v primeru, ko so podatki v zbirkah ali evidencah organa točni in popolni.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ureja izbris podatkov, če obdelava krši določbe o zakonitosti obdelave osebnih podatkov ali posebnih vrst osebnih podatkov ali določbe o obdelavi podatkov za drug namen (5., 6. in 7. člen tega zakona) ali pa je treba osebne podatke izbrisati zaradi izpolnitve pravne obveznosti, ki velja za pristojni organ (na podlagi zakona ali po pravnomočni sodni odločbi, odločbi Ustavnega sodišča RS, mednarodno zavezujočih aktov, sporazumov …). Odstavek določa tudi roke za izbris, in sicer petnajst dni, ta rok pa pristojni organ lahko zaradi zapletenosti in števila zadev s sklepom podaljša največ za petnajst dni, določeno pa je tudi obveščanje posameznika v primeru izvedbe izbrisa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določa omejitev obdelave namesto izbrisa glede netočnih ali neposodobljenih podatkov, kadar te netočnosti ali neposodobljenosti ni mogoče preveriti (v tem primeru mora posameznika, na katerega se nanašajo osebni podatki, obvestiti ob preklicu omejitve), ali iz razloga, da je treba te osebne podatke še vedno hraniti za namen dokazovanja.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takšnem primeru bi bilo treba omejene podatke obdelovati le za namen, ki je preprečil njihov izbris. Metode za omejitev obdelave osebnih podatkov bi lahko med drugim zajemale prenos izbranih podatkov v drug sistem za obdelavo, na primer za namene arhiviranja, ali onemogočenje dostopnosti izbranih podatkov. Pri avtomatiziranih zbirkah bi bilo treba omejitev obdelave načeloma zagotoviti s tehničnimi sredstvi. V zbirki bi moralo biti jasno navedeno dejstvo, da je obdelava osebnih podatkov omejena.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Četrti odstavek določa, da če so podane okoliščine iz prvega, tretjega ali petega odstavka 25. člena, pristojni organ v odločbi ne navede razlogov za zavrnitev in ravna enako kot po predlaganem 25. členu (razloge navede v prilogi k odločbi, ki se ne vroča posamezniku, je pa na razpolago nadzornemu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petem odstavku mora pristojni organ sporočiti popravek netočnih ali dopolnitev nepopolnih osebnih podatkov drugemu upravljavcu, ki mu je poslal te osebne podatke.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šestem odstavku mora pristojni organ v primerih popravka, dopolnitve, izbrisa podatkov ali omejitve obdelave obvestiti vse uporabnike osebnih podatkov. Uporabniki so zavezani osebne podatke, ki so v njihovi pristojnosti, nemudoma popraviti, izbrisati, ustrezno označiti ali omejiti njihovo obdelavo in jih torej prenehati širiti.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sedmem odstavku mora pristojni organ posameznika, na katerega se nanašajo osebni podatki, z odločbo o zavrnitvi popravka, izbrisa osebnih podatkov ali o omejitvi obdelave obvestiti o možnosti vložitve pritožbe pri Informacijskem pooblaščencu.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27. člen (pravna sredstva)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Predlagani 27. člen določa pravna sredstva, ki so na razpolago posamezniku za uveljavljanje pravic zoper odločitve pristojnega organa. O pritožbi zoper odločitev pristojnega organa odloča Informacijski pooblaščenec kot organ druge stopnje. V odločitvi v postopku po pravnem sredstvu pa nadzorni organ upošteva tudi določbe tretjega odstavka 14. člena predloga zakona o dovoljenem pregledu spisa.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upravni spor kot pravno sredstvo zoper odločitve Informacijskega pooblaščenca.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določa aktivno legitimacijo za vložitev tožbe v upravnem sporu, ki jo priznava tako stranki v postopku kot tudi pristojnemu organu, drugemu upravljavcu in obdelovalcu.</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III. poglavje – PRAVICE POSAMEZNIKA IN POSTOPEK PRED NADZORNIM ORGANOM</w:t>
      </w: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1. oddelek – skupne določbe glede pravic posameznika in postopka pred nadzornim organom</w:t>
      </w:r>
      <w:r w:rsidRPr="007C190F" w:rsidDel="0053011C">
        <w:rPr>
          <w:rFonts w:ascii="Calibri Light" w:hAnsi="Calibri Light"/>
          <w:sz w:val="24"/>
        </w:rPr>
        <w:t xml:space="preserve">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28. člen (uporaba določb zakona, ki ureja splošni upravni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28. člen določa, da Informacijski pooblaščenec v postopkih uporablja ZUP. Navedeno velja tako za postopke odločanja o pritožbi zoper odločitev pristojnega organa (postopek na drugi stopnji), kot tudi za postopke odločanja o prijavi prijavitelja s posebnim položajem (2. oddelek).</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29. člen (izvajanje postopkovnih dejanj brez prisotnosti)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29. člen določa, da lahko v postopkih po tem poglavju Informacijski pooblaščenec opravlja razgovore z osebami pri pristojnem organu in pričami brez prisotnosti posameznika, na katerega se nanašajo osebni podatki, enako pa v pritožbenih postopkih, ko Informacijski pooblaščenec deluje kot organ druge stopnje. Posameznika je mogoče iz postopkov izključiti v celoti ali deloma, če </w:t>
      </w:r>
      <w:r w:rsidR="00063231" w:rsidRPr="007C190F">
        <w:rPr>
          <w:rFonts w:eastAsia="Calibri" w:cs="Arial"/>
          <w:szCs w:val="20"/>
        </w:rPr>
        <w:t xml:space="preserve">bi </w:t>
      </w:r>
      <w:r w:rsidRPr="007C190F">
        <w:rPr>
          <w:rFonts w:eastAsia="Calibri" w:cs="Arial"/>
          <w:szCs w:val="20"/>
        </w:rPr>
        <w:t xml:space="preserve">takšna prisotnost </w:t>
      </w:r>
      <w:r w:rsidR="00063231" w:rsidRPr="007C190F">
        <w:rPr>
          <w:rFonts w:eastAsia="Calibri" w:cs="Arial"/>
          <w:szCs w:val="20"/>
        </w:rPr>
        <w:t>škodovala izvedbi uradnih postopkov ali varstvu ali uresničevanju pravic tretjih oseb</w:t>
      </w:r>
      <w:r w:rsidRPr="007C190F">
        <w:rPr>
          <w:rFonts w:eastAsia="Calibri" w:cs="Arial"/>
          <w:szCs w:val="20"/>
        </w:rPr>
        <w:t>. V takem primeru se tudi ne dovoli prisotnosti pri drugih dejanjih v postopku, Informacijski pooblaščenec mu tudi ne vroča zapisnikov o teh dejanjih. Gre za odstop od načela kontradiktornosti postopka, ki pa je nujen za zagotavljanje integritete postopkov pristojnih organov, v zvezi s katerimi bi razkritje osebnih podatkov posamezniku postopke lahko oviralo ali celo onemogočilo. Informacijski pooblaščenec prijavitelja na njegovo zahtevo obvešča o izvajanju postopkovnih dejanj brez njegove prisotnosti (prvi odstavek 35.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obligatorno izključitev prisotnosti posameznika in vročanje pisanj, v primerih ko bi se s tem razkrila identiteta oseb, zoper katere se izvajajo prikriti preiskovalni ukrepi po Zakonu o kazenskem postopku ali prikrita in namenska kontrola iz Zakona o nalogah in pooblastilih policije.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30. člen (izključitev stranske udeležbe)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30. člen v postopkih pred Informacijskim pooblaščencem izključuje stransko udeležbo. Posameznik, na katerega se nanašajo osebni podatki, ima položaj stranke v postopku, s čimer so pravice posameznika ustrezno zaščitene tudi brez instituta stranske udeležbe. Razlog za izključitev stranske udeležbe morebitnih drugih oseb, ki bi se zaradi varstva svojih interesov in pravnih koristi želeli udeleževati postopka, je v varstvu učinkovitosti in integritete postopkov pristojnih organov. Te osebe lahko svoje interese in pravne koristi varujejo v samostojnih postopkih po tem zakonu, v katerih se rešujejo vprašanja njihovih osebnih podatkov. </w:t>
      </w:r>
    </w:p>
    <w:p w:rsidR="00E302FA" w:rsidRPr="007C190F" w:rsidRDefault="00E302FA" w:rsidP="00E302FA">
      <w:pPr>
        <w:spacing w:before="360" w:after="160" w:line="259" w:lineRule="auto"/>
        <w:outlineLvl w:val="4"/>
        <w:rPr>
          <w:rFonts w:eastAsia="Calibri"/>
          <w:b/>
          <w:szCs w:val="20"/>
        </w:rPr>
      </w:pPr>
      <w:bookmarkStart w:id="71" w:name="_Hlk50542143"/>
      <w:r w:rsidRPr="007C190F">
        <w:rPr>
          <w:rFonts w:eastAsia="Calibri"/>
          <w:b/>
          <w:szCs w:val="20"/>
        </w:rPr>
        <w:t>31. člen (nadzorna pooblastila)</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lastRenderedPageBreak/>
        <w:t>Predlagani 31. člen ureja nadzorna pooblastila nadzornikov v postopkih po tem poglavju. Na enem mestu so taksativno zajeta pooblastila, ki jih je do sedaj že določal ZVOP-1 in katerih zakonsko določitev zahteva Direktiva (47. člen).</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t>Prvi odstavek določa temeljna nadzorna (preiskovalna) pooblastila. V 1. točki je določen pregled dokumentacije, v 2. točki pregled poslovnih knjig ipd., v 3. točki vstopi in pregledi prostorov ipd., v 4. točki  zavarovanje in pregled elektronskih in z njimi povezanih naprav ter nosilcev elektronskih podatkov, v 5. točki odvzem ali pridobitev ustrezne kopije osebnih podatkov ali druge dokumentacije, v 6. točki je določen izjemni ukrep zapečatenja ustreznega dela prostorov in opreme ipd., v 7. točki pa zaseg predmetov ter poslovnih knjig ipd.</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t>Skrite prostore, skrite dele in skrite predele je v svoji odločbi omenilo tudi Ustavno sodišče RS iz leta 2013</w:t>
      </w:r>
      <w:r w:rsidRPr="007C190F">
        <w:rPr>
          <w:rFonts w:eastAsia="Calibri" w:cs="Arial"/>
          <w:sz w:val="18"/>
          <w:szCs w:val="18"/>
          <w:vertAlign w:val="superscript"/>
        </w:rPr>
        <w:footnoteReference w:id="48"/>
      </w:r>
      <w:r w:rsidRPr="007C190F">
        <w:rPr>
          <w:rFonts w:eastAsia="Calibri" w:cs="Arial"/>
          <w:szCs w:val="20"/>
        </w:rPr>
        <w:t>. Glede navedbe skritih prostorov in opreme v tretjem in četrtem odstavku 31. člena gre za upoštevanje dejstva, da so določene lokacije pristojnih organov lahko tajne oziroma javnosti nedostopne in neznane (npr. prostori za zaščito prič, prostori s posebno opremo ipd.).</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t xml:space="preserve">Poudariti je treba, da predlog zakona določa, da se tudi v nadzornih in inšpekcijskih postopkih do določenih vsebin osebnih podatkov (v poslovnih prostorih, elektronski dokumentaciji) lahko dostopa le na podlagi predhodne sodne odredbe, če ni podano predhodno soglasje pristojnega organa kot imetnika prostorov ali uporabnika opreme. Možnost oziroma potrebnost tovrstnih posegov ter njihovo občutljivost izkazuje določba tretjega odstavka 1. člena, ki kaže na pomembnost varovanja ustavne pravice do varstva osebnih podatkov (38. člen Ustave Republike Slovenije), kar torej opravičuje potrebo določitve posebnih sodnih jamstev (če ni podanega soglasja za pregled prostorov, dokumentacije ali naprav). </w:t>
      </w:r>
      <w:bookmarkStart w:id="72" w:name="_Hlk47444296"/>
      <w:r w:rsidRPr="007C190F">
        <w:rPr>
          <w:rFonts w:eastAsia="Calibri" w:cs="Arial"/>
          <w:szCs w:val="20"/>
        </w:rPr>
        <w:t xml:space="preserve">Pri predlagani ureditvi se delno izhaja tudi iz prej navedene odločbe Ustavnega sodišča Republike Slovenije iz leta 2013, ki skrite prostore razume kot prostore, ki so javnosti nedostopni (»skrite pred očmi javnosti«). </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t xml:space="preserve">Predlagani člen v določbah, ki se nanašajo na sodno odredbo, ne vsebuje tudi določbe o dveh </w:t>
      </w:r>
      <w:r w:rsidR="00A21365" w:rsidRPr="007C190F">
        <w:rPr>
          <w:rFonts w:eastAsia="Calibri" w:cs="Arial"/>
          <w:szCs w:val="20"/>
        </w:rPr>
        <w:t xml:space="preserve">polnoletnih </w:t>
      </w:r>
      <w:r w:rsidRPr="007C190F">
        <w:rPr>
          <w:rFonts w:eastAsia="Calibri" w:cs="Arial"/>
          <w:szCs w:val="20"/>
        </w:rPr>
        <w:t>pričah (za preiskavo prostorov), kot to zahteva 36. člen Ustave Republike Slovenije, ampak ob upoštevanju prej navedene odločbe Ustavnega sodišča določa namesto tega v petem odstavku 31. člena, da imata predstavnika pristojnega organa ali obdelovalca pravico biti navzoča pri zavarovanju in pregledu elektronske naprave ter pri pregledu prostora, zemljišča ali prevoznega sredstva. Le v primeru iz petega odstavka, ko obstaja možnost souporabe prostorov ali zemljišča s strani zasebnika, je določeno, da mora biti zagotovljena prisotnost dveh prič pri njihov</w:t>
      </w:r>
      <w:r w:rsidR="0099749F" w:rsidRPr="007C190F">
        <w:rPr>
          <w:rFonts w:eastAsia="Calibri" w:cs="Arial"/>
          <w:szCs w:val="20"/>
        </w:rPr>
        <w:t>em pregledu</w:t>
      </w:r>
      <w:r w:rsidRPr="007C190F">
        <w:rPr>
          <w:rFonts w:eastAsia="Calibri" w:cs="Arial"/>
          <w:szCs w:val="20"/>
        </w:rPr>
        <w:t>, če ta zasebnik upravičeno pričakuje zasebnost.</w:t>
      </w:r>
    </w:p>
    <w:p w:rsidR="00EC2A5F" w:rsidRPr="007C190F" w:rsidRDefault="00EC2A5F" w:rsidP="00EC2A5F">
      <w:pPr>
        <w:spacing w:after="160" w:line="259" w:lineRule="auto"/>
        <w:jc w:val="both"/>
        <w:rPr>
          <w:rFonts w:eastAsia="Calibri" w:cs="Arial"/>
          <w:szCs w:val="20"/>
        </w:rPr>
      </w:pPr>
      <w:r w:rsidRPr="007C190F">
        <w:rPr>
          <w:rFonts w:eastAsia="Calibri" w:cs="Arial"/>
          <w:szCs w:val="20"/>
        </w:rPr>
        <w:t>Predlagani člen je pripravljen po vzoru rešitev iz 28. in 29. člena Zakona o preprečevanju omejevanja konkurence in 429. člena Energetskega zakona.</w:t>
      </w:r>
    </w:p>
    <w:bookmarkEnd w:id="72"/>
    <w:p w:rsidR="00E302FA" w:rsidRPr="007C190F" w:rsidRDefault="00EC2A5F" w:rsidP="00EC2A5F">
      <w:pPr>
        <w:spacing w:after="160" w:line="259" w:lineRule="auto"/>
        <w:jc w:val="both"/>
        <w:rPr>
          <w:rFonts w:eastAsia="Calibri" w:cs="Arial"/>
          <w:szCs w:val="20"/>
        </w:rPr>
      </w:pPr>
      <w:r w:rsidRPr="007C190F">
        <w:rPr>
          <w:rFonts w:eastAsia="Calibri" w:cs="Arial"/>
          <w:szCs w:val="20"/>
        </w:rPr>
        <w:t>Člen torej določa varovalke pri uporabi nadzornih pooblastil, je pa za pričakovati, da bo sodna odredba uporabljena le v izjemnih primerih, ko bo obstajal pomemben načelni spor med nadzorovanim organom ter nadzornim organom glede razlage določenega zakona.</w:t>
      </w:r>
    </w:p>
    <w:bookmarkEnd w:id="71"/>
    <w:p w:rsidR="00E302FA" w:rsidRPr="007C190F" w:rsidRDefault="00E302FA" w:rsidP="00E302FA">
      <w:pPr>
        <w:spacing w:before="360" w:after="160" w:line="259" w:lineRule="auto"/>
        <w:outlineLvl w:val="4"/>
        <w:rPr>
          <w:rFonts w:eastAsia="Calibri"/>
          <w:b/>
          <w:szCs w:val="20"/>
        </w:rPr>
      </w:pPr>
      <w:r w:rsidRPr="007C190F">
        <w:rPr>
          <w:rFonts w:eastAsia="Calibri"/>
          <w:b/>
          <w:szCs w:val="20"/>
        </w:rPr>
        <w:t>32. člen (nadzorni ukrepi)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32. člen ureja nadzorne ukrepe Informacijskega pooblaščenca v primeru kršitve določb predpisov, ki urejajo varstvo osebnih podatkov na področju uporabe tega zakona. Poleg ukrepov, določenih v tem členu, kjer so najpomembnejši zlasti odredba o odpravi nepravilnosti, blokiranju in prepovedi prenosa, lahko Informacijski pooblaščenec odredi tudi druge preventivne ukrepe</w:t>
      </w:r>
      <w:r w:rsidR="004151A8" w:rsidRPr="007C190F">
        <w:rPr>
          <w:rFonts w:eastAsia="Calibri" w:cs="Arial"/>
          <w:szCs w:val="20"/>
        </w:rPr>
        <w:t xml:space="preserve"> in </w:t>
      </w:r>
      <w:r w:rsidRPr="007C190F">
        <w:rPr>
          <w:rFonts w:eastAsia="Calibri" w:cs="Arial"/>
          <w:szCs w:val="20"/>
        </w:rPr>
        <w:t>opozorila</w:t>
      </w:r>
      <w:r w:rsidR="00063231" w:rsidRPr="007C190F">
        <w:rPr>
          <w:rFonts w:eastAsia="Calibri" w:cs="Arial"/>
          <w:szCs w:val="20"/>
        </w:rPr>
        <w:t xml:space="preserve"> (</w:t>
      </w:r>
      <w:r w:rsidR="004151A8" w:rsidRPr="007C190F">
        <w:rPr>
          <w:rFonts w:eastAsia="Calibri" w:cs="Arial"/>
          <w:szCs w:val="20"/>
        </w:rPr>
        <w:t xml:space="preserve">kazni pa samo </w:t>
      </w:r>
      <w:r w:rsidR="00063231" w:rsidRPr="007C190F">
        <w:rPr>
          <w:rFonts w:eastAsia="Calibri" w:cs="Arial"/>
          <w:szCs w:val="20"/>
        </w:rPr>
        <w:t>v primeru inšpekcijskega nadzora po 39. in 40. členu)</w:t>
      </w:r>
      <w:r w:rsidRPr="007C190F">
        <w:rPr>
          <w:rFonts w:eastAsia="Calibri" w:cs="Arial"/>
          <w:szCs w:val="20"/>
        </w:rPr>
        <w:t xml:space="preserve">, ki jih določa Zakon o inšpekcijskem nadzoru.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drugi odstavek določa splošno prepoved, da bi nadzorni organ z nadzornimi ukrepi posegal v kazenske zadeve sodišča (definicija je v 23. točki 4. člena). Na ta način je varovana neodvisnost kazenskega sodstva ter tudi Ustavnega sodišča Republike Slovenije, kadar gre za </w:t>
      </w:r>
      <w:r w:rsidRPr="007C190F">
        <w:rPr>
          <w:rFonts w:eastAsia="Calibri" w:cs="Arial"/>
          <w:szCs w:val="20"/>
        </w:rPr>
        <w:lastRenderedPageBreak/>
        <w:t>odločanje glede kazenskih zadev (npr. presoja ustavnosti s področja dokaznega prava). Določba izhaja iz spoštovanja temeljnega načela vsake pravne in demokratične države, namreč neodvisnosti sodstva.</w:t>
      </w:r>
      <w:r w:rsidRPr="007C190F">
        <w:rPr>
          <w:rFonts w:eastAsia="Calibri" w:cs="Arial"/>
          <w:sz w:val="18"/>
          <w:szCs w:val="18"/>
          <w:vertAlign w:val="superscript"/>
        </w:rPr>
        <w:footnoteReference w:id="49"/>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2. oddelek – položaj prijavitelja s posebnim položajem in nadzorovanega organa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33. člen (prijava in prijavitelj s posebnim položajem)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predlaganem 33. členu sta definirana prijavitelj s posebnim položajem in nadzorovani organ. Prvi odstavek določa možnost prijavitelja, da v primeru, ko meni, da določena obdelava njegovih osebnih podatkov krši določbe tega zakona ali drugih zakonov, vloži zahtevo v skladu z Zakonom o splošnem upravnem postopku pri Informacijskem pooblaščencu, na podlagi katere lahko Informacijski pooblaščenec ukrepa glede obdelave njegovih osebnih podatkov, kadar odkrije kršitve</w:t>
      </w:r>
      <w:r w:rsidR="00063231" w:rsidRPr="007C190F">
        <w:rPr>
          <w:rFonts w:eastAsia="Calibri" w:cs="Arial"/>
          <w:szCs w:val="20"/>
        </w:rPr>
        <w:t>, posameznik pa lahko v zahtevi za primer odkritja kršitev predlaga tudi ustrezne ukrepe (npr. izbris, popravek)</w:t>
      </w:r>
      <w:r w:rsidRPr="007C190F">
        <w:rPr>
          <w:rFonts w:eastAsia="Calibri" w:cs="Arial"/>
          <w:szCs w:val="20"/>
        </w:rPr>
        <w:t>. V nadaljevanju je zahteva poimenovana kot »prijava«. Prijava in v nadaljevanju še poimenovanje »prijavitelj s posebnim položajem« kažeta na pomen tega novega postopka z vidika olajšanja razumevanja in boljšega uresničevanja ali varovanja pravic posameznika, in to ob upoštevanju, da je treba posamezniku zagotoviti osebno zadoščenje (ne samo ugotovitev kršitve, ampak tudi druga aktivna ukrepanja, kot so npr. popravek ali izbris osebnih podatkov) ter zato nadzornemu organu zagotoviti učinkovita preiskovalna sredstva (pooblastila in ukrepi iz 31. in 32. člena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Določba drugega odstavka o vodenju nadzornega postopka v interesu prijavitelja s posebnim položajem je posebnega interpretacijskega pomena in pomeni izpeljavo načela varstva pravic strank. Stranka (prijavitelj s posebnim položajem) je </w:t>
      </w:r>
      <w:r w:rsidRPr="007C190F">
        <w:rPr>
          <w:rFonts w:eastAsia="Calibri" w:cs="Arial"/>
          <w:i/>
          <w:iCs/>
          <w:szCs w:val="20"/>
        </w:rPr>
        <w:t>dominus litis</w:t>
      </w:r>
      <w:r w:rsidRPr="007C190F">
        <w:rPr>
          <w:rFonts w:eastAsia="Calibri" w:cs="Arial"/>
          <w:szCs w:val="20"/>
        </w:rPr>
        <w:t xml:space="preserve"> postopka, ki se lahko na njeno zahtevo tudi ustavi.</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34. člen (posebna pravila postopka)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34. člen določa, da je po tem zakonu uvedba postopka obligatorna. Prijava mora vsebovati vse sestavine, kot jih določa Zakon o splošnem upravnem postopku.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Zakon o splošnem upravnem postopku določa za izvedbo upravnega postopka rok enega meseca za enostavne oziroma rok dveh mesecev za zahtevnejše postopke. Ker bodo vsebine nadzorov po določbah ZVOPPOKD običajno zahtevne ali pa bo šlo tudi za čezmejne obdelave osebnih podatkov, predlog določa daljši rok (tri mesece) z možnostjo podaljšanja za dodaten mesec.</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35. člen (pravice prijavitelja s posebnim položajem)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35. člen </w:t>
      </w:r>
      <w:r w:rsidR="002C0294" w:rsidRPr="007C190F">
        <w:rPr>
          <w:rFonts w:eastAsia="Calibri" w:cs="Arial"/>
          <w:szCs w:val="20"/>
        </w:rPr>
        <w:t xml:space="preserve">v prvem odstavku </w:t>
      </w:r>
      <w:r w:rsidRPr="007C190F">
        <w:rPr>
          <w:rFonts w:eastAsia="Calibri" w:cs="Arial"/>
          <w:szCs w:val="20"/>
        </w:rPr>
        <w:t xml:space="preserve">določa, da nadzorni organ prijavitelja na njegovo zahtevo, izraženo v prijavi ali v naknadni komunikaciji, obvešča o svojih ukrepih. Kot izhaja iz skupnih določb, je kontradiktornost postopka omejena, prijavitelj je lahko izključen od sodelovanja v postopkovnih dejanjih in od vpogleda v spis. Obveščanje daje prijavitelju možnost, da se seznani s stanjem postopka. Predlagana določba je povezana tudi s prvim odstavkom 29. člena, ki določa možnost, da se prijavitelja obvesti, da se bodo določena dejanja opravila brez njegove prisotnosti.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Drugi odstavek določa, da se prijavitelj lahko vključi v postopek, ko </w:t>
      </w:r>
      <w:r w:rsidR="002C0294" w:rsidRPr="007C190F">
        <w:rPr>
          <w:rFonts w:eastAsia="Calibri" w:cs="Arial"/>
          <w:szCs w:val="20"/>
        </w:rPr>
        <w:t xml:space="preserve">so znane vse preliminarne ugotovitve, bistvene za odločbo. Takrat prijavitelj lahko poda pripombe ustno ali pisno v roku najmanj 48 ur, kot mu ga določi nadzorni organ. Nadzorni organ se po prejemu pripomb do njih </w:t>
      </w:r>
      <w:r w:rsidR="002C0294" w:rsidRPr="007C190F">
        <w:rPr>
          <w:rFonts w:eastAsia="Calibri" w:cs="Arial"/>
          <w:szCs w:val="20"/>
        </w:rPr>
        <w:lastRenderedPageBreak/>
        <w:t>opredeli v odločbi.</w:t>
      </w:r>
      <w:r w:rsidRPr="007C190F">
        <w:rPr>
          <w:rFonts w:eastAsia="Calibri" w:cs="Arial"/>
          <w:szCs w:val="20"/>
        </w:rPr>
        <w:t xml:space="preserve"> Na ta način se uravnoteži pravica do kontradiktornega postopka na eni strani in interes države po zagotavljanju integritete (predvsem policijskih in tožilskih) postopkov na drugi.</w:t>
      </w:r>
    </w:p>
    <w:p w:rsidR="00E302FA" w:rsidRPr="007C190F" w:rsidRDefault="00772F30" w:rsidP="00E302FA">
      <w:pPr>
        <w:spacing w:after="160" w:line="259" w:lineRule="auto"/>
        <w:jc w:val="both"/>
        <w:rPr>
          <w:rFonts w:eastAsia="Calibri" w:cs="Arial"/>
          <w:szCs w:val="20"/>
        </w:rPr>
      </w:pPr>
      <w:r w:rsidRPr="007C190F">
        <w:rPr>
          <w:rFonts w:eastAsia="Calibri" w:cs="Arial"/>
          <w:szCs w:val="20"/>
        </w:rPr>
        <w:t xml:space="preserve">Cilj predlagane ureditve </w:t>
      </w:r>
      <w:r w:rsidR="00E302FA" w:rsidRPr="007C190F">
        <w:rPr>
          <w:rFonts w:eastAsia="Calibri" w:cs="Arial"/>
          <w:szCs w:val="20"/>
        </w:rPr>
        <w:t>v pravnem redu Slovenije ni novota. Podobno ureditev vsebuje že sedmi odstavek 13. člena Zakona o integriteti in preprečevanju korupcije, o njej pa je odločalo tudi Vrhovno sodišče RS</w:t>
      </w:r>
      <w:r w:rsidR="00E302FA" w:rsidRPr="007C190F">
        <w:rPr>
          <w:rFonts w:eastAsia="Calibri" w:cs="Arial"/>
          <w:sz w:val="18"/>
          <w:szCs w:val="18"/>
          <w:vertAlign w:val="superscript"/>
        </w:rPr>
        <w:footnoteReference w:id="50"/>
      </w:r>
      <w:r w:rsidR="00E302FA" w:rsidRPr="007C190F">
        <w:rPr>
          <w:rFonts w:eastAsia="Calibri" w:cs="Arial"/>
          <w:szCs w:val="20"/>
        </w:rPr>
        <w:t>. Možnost, da se stranka v postopku izjasni glede osnutka odločbe, ki vsebuje vse za odločitev relevantne okoliščine, zagotavlja zadostno kontradiktornost postopka. Podoben institut Informacijski pooblaščenec uporablja v svoji nadzorni praksi (ti. »predodločba«).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36. člen (položaj nadzorovanega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w:t>
      </w:r>
      <w:r w:rsidR="00246DD8" w:rsidRPr="007C190F">
        <w:rPr>
          <w:rFonts w:eastAsia="Calibri" w:cs="Arial"/>
          <w:szCs w:val="20"/>
        </w:rPr>
        <w:t xml:space="preserve"> prvi odstavek</w:t>
      </w:r>
      <w:r w:rsidRPr="007C190F">
        <w:rPr>
          <w:rFonts w:eastAsia="Calibri" w:cs="Arial"/>
          <w:szCs w:val="20"/>
        </w:rPr>
        <w:t xml:space="preserve"> 36. člen</w:t>
      </w:r>
      <w:r w:rsidR="00246DD8" w:rsidRPr="007C190F">
        <w:rPr>
          <w:rFonts w:eastAsia="Calibri" w:cs="Arial"/>
          <w:szCs w:val="20"/>
        </w:rPr>
        <w:t>a</w:t>
      </w:r>
      <w:r w:rsidRPr="007C190F">
        <w:rPr>
          <w:rFonts w:eastAsia="Calibri" w:cs="Arial"/>
          <w:szCs w:val="20"/>
        </w:rPr>
        <w:t xml:space="preserve"> določa, da ima pristojni organ položaj stranke v postopku, saj lahko kot nosilec pravic in obveznosti za Republiko Slovenijo uveljavlja tudi določene ugovore, pravice ipd.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Drugi odstavek določa, da lahko pristojni organ na </w:t>
      </w:r>
      <w:r w:rsidR="00246DD8" w:rsidRPr="007C190F">
        <w:rPr>
          <w:rFonts w:eastAsia="Calibri" w:cs="Arial"/>
          <w:szCs w:val="20"/>
        </w:rPr>
        <w:t>ugotovitve, bistvene za odločbo</w:t>
      </w:r>
      <w:r w:rsidR="00BB6BCB" w:rsidRPr="007C190F">
        <w:rPr>
          <w:rFonts w:eastAsia="Calibri" w:cs="Arial"/>
          <w:szCs w:val="20"/>
        </w:rPr>
        <w:t xml:space="preserve"> </w:t>
      </w:r>
      <w:r w:rsidRPr="007C190F">
        <w:rPr>
          <w:rFonts w:eastAsia="Calibri" w:cs="Arial"/>
          <w:szCs w:val="20"/>
        </w:rPr>
        <w:t>(kot tudi prijavitelj) poda pripombe, do katerih se mora nadzorni organ opredeliti. S tem se zagotavlja kontradiktornost postopka v delu, ki se nanaša na odločbo in vse okoliščine, ki so pomembne za odločitev. Predlagana ureditev zagotavlja postopkovno enakost v razmerju do zakonsko določenih pravic prijavitelja s posebnim položajem in glede možnosti sodelovanja v postopku (drugi odstavek 35. člena predloga zakona).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37. člen (odločba)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37. člen določa vsebino odločbe izdane v nadzornem postopku po tem oddelku. Poleg sestavin po ZUP mora vsebovati še sestavine iz določb 37. člena. Posebno pozornost je treba nameniti dovoljenemu obsegu pregleda spisa (3. točka prvega odstavka 37. člena), pri čemer je Informacijski pooblaščenec vezan tudi na omejitve iz prvega odstavka 14. in prvega odstavka 20.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Obveznost obrazložitve odločbe od pravil ZUP odstopa (drugi odstavek) v primeru, ko bi navedba razlogov za zavrnitev ali omejitev dostopa ogrozila izvrševanje namena zavrnitve ali omejitve dostopa iz prvega odstavka 25. člena tega zakona. Prav tako odločba v skladu s četrtim odstavkom 25. člena tega zakona ne obsega navedb, s katerimi bi se potrdilo ali zanikalo izvajanje ali neizvajanje prikritih preiskovalnih ukrepov iz zakona, ki ureja kazenski postopek, ali prikritih in namenskih kontrol iz zakona, ki ureja naloge in pooblastila policije. Del obrazložitve, ki se nanaša na konkretne razloge, se enako kot v petem odstavku 25. člena zapiše v prilogo odločbe, ki se strankam ne vroča</w:t>
      </w:r>
      <w:r w:rsidR="00063231" w:rsidRPr="007C190F">
        <w:rPr>
          <w:rFonts w:eastAsia="Calibri" w:cs="Arial"/>
          <w:szCs w:val="20"/>
        </w:rPr>
        <w:t>, priloga pa mora biti opremljena s številko zadeve, datumom in podpisom pristojne uradne osebe</w:t>
      </w:r>
      <w:r w:rsidRPr="007C190F">
        <w:rPr>
          <w:rFonts w:eastAsia="Calibri" w:cs="Arial"/>
          <w:szCs w:val="20"/>
        </w:rPr>
        <w:t>. V primeru sodnega varstva je priloga na razpolago Upravnemu sodišču ali drugemu pristojnemu sodišču.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Ker v nadzorih, izvajanih s strani Informacijskega pooblaščenca,  ni drugostopenjskega upravnega organa, ki bi odločal o pritožbi, postane odločba izvršljiva z vročitvijo prijavitelju in zavezancu (običajno pristojni organ).</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38. člen (ukrepanje glede obdelav osebnih podatkov drugih posameznikov)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38. člen določa, da če nadzorni organi v postopku nadzora po tem oddelku zazna sum kršitve varstva pravic glede osebnih podatkov, ki bi lahko vplivale na druge posameznike, lahko poleg že tekočega postopka, iz katerega izvirajo začetne ugotovitve, uvede tudi inšpekcijski nadzor. Postopek po prijavi prijavitelja s posebnim položajem se torej nadaljuje v skladu s predhodnimi določbami tega zakona, nadzorni organ pa se lahko odloči, da uvede sočasni nadzor (predvidoma </w:t>
      </w:r>
      <w:r w:rsidRPr="007C190F">
        <w:rPr>
          <w:rFonts w:eastAsia="Calibri" w:cs="Arial"/>
          <w:szCs w:val="20"/>
        </w:rPr>
        <w:lastRenderedPageBreak/>
        <w:t>glede širšega kroga posameznikov) v javnem interesu, torej nadzor v povezavi z Zakonom o inšpekcijskem nadzoru.</w:t>
      </w:r>
    </w:p>
    <w:p w:rsidR="002C0294" w:rsidRPr="007C190F" w:rsidRDefault="002C0294"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IV. poglavje – inšpekcijski nadzor glede varstva osebnih podatkov</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39. člen (uporaba zakona, ki ureja inšpekcijski nadzor)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39. člen določa, da se v inšpekcijskem nadzoru po tem zakonu neposredno uporabljajo določbe 14. člena (vpogled v osebne podatke in v spis), 29-32. člena (skupne določbe – izvajanje postopkovnih dejanj brez prisotnosti, izključitev stranske udeležbe, nadzorna pooblastila in nadzorni ukrepi) ter drugega in tretjega odstavka 37. člena (odločba – glede vsebinskih razlogov za odločbo in priloge k odločbi). Za vsa ostala vprašanja se uporablja Zakon o inšpekcijskem nadzoru.</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40. člen (uvedba inšpekcijskega nadzora)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40. člen v prvem odstavku določa, da Informacijski pooblaščenec obvezno uvede postopek inšpekcijskega nadzora v javnem interesu (</w:t>
      </w:r>
      <w:r w:rsidRPr="007C190F">
        <w:rPr>
          <w:rFonts w:eastAsia="Calibri" w:cs="Arial"/>
          <w:i/>
          <w:iCs/>
          <w:szCs w:val="20"/>
        </w:rPr>
        <w:t>ex offo</w:t>
      </w:r>
      <w:r w:rsidRPr="007C190F">
        <w:rPr>
          <w:rFonts w:eastAsia="Calibri" w:cs="Arial"/>
          <w:szCs w:val="20"/>
        </w:rPr>
        <w:t>) skladno z Zakonom o inšpekcijskem nadzoru.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da Informacijski pooblaščenec postopek, razen po prijavi (ki je posebej urejena v 33. členu predloga zakona), uvede tudi na pobudo drugih organov (državni organi, nadzorne javne agencije Republike Slovenije) in na pobudo nadzornih organov za varstvo osebnih podatkov držav članic Evropske unije in Sveta Evrope.</w:t>
      </w:r>
    </w:p>
    <w:p w:rsidR="00E302FA" w:rsidRPr="007C190F" w:rsidRDefault="00E302FA" w:rsidP="00E302FA">
      <w:pPr>
        <w:keepNext/>
        <w:keepLines/>
        <w:spacing w:before="40" w:line="259" w:lineRule="auto"/>
        <w:jc w:val="both"/>
        <w:outlineLvl w:val="1"/>
        <w:rPr>
          <w:rFonts w:ascii="Calibri Light" w:hAnsi="Calibri Light"/>
          <w:b/>
          <w:bCs/>
          <w:sz w:val="26"/>
          <w:szCs w:val="26"/>
        </w:rPr>
      </w:pPr>
      <w:r w:rsidRPr="007C190F">
        <w:rPr>
          <w:rFonts w:ascii="Calibri Light" w:hAnsi="Calibri Light"/>
          <w:sz w:val="26"/>
          <w:szCs w:val="26"/>
        </w:rPr>
        <w:t>V. poglavje – OBVEZNOSTI PRISTOJNIH ORGANOV, OBDELOVALCEV IN SKUPNIH UPRAVLJAVCEV</w:t>
      </w: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1. oddelek – splošne obveznosti</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41. člen (odgovornost pristojnega organa za skladnost</w:t>
      </w:r>
      <w:r w:rsidR="00D850FC">
        <w:rPr>
          <w:rFonts w:eastAsia="Calibri"/>
          <w:b/>
          <w:szCs w:val="20"/>
        </w:rPr>
        <w:t xml:space="preserve"> obdelave</w:t>
      </w:r>
      <w:r w:rsidRPr="007C190F">
        <w:rPr>
          <w:rFonts w:eastAsia="Calibri"/>
          <w:b/>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41. člen določa posebno vrsto pristojnosti pristojnega organa za zagotavljanje skladnosti obdelave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prvem odstavku mora pristojni organ izvesti (dejanska izvedba) in dokumentirati (stalna razpoložljiva in posodabljana dokumentacija) ustrezne tehnične in organizacijske ukrepe, s katerimi zagotovi skladnost obdelave z zakonom (ne samo varnost osebnih podatkov, tudi sledljivost, dnevniki obdelave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drugem odstavku pristojni organ pri izbiri ukrepov iz prvega odstavka tega člena upošteva naravo, obseg, okoliščine in namene obdelave, pa tudi tveganja za človekove pravice in temeljne svoboščine, ki so povezana z obdelavo in se razlikujejo po verjetnosti in resnosti. Kadar je to sorazmerno glede na dejavnosti obdelave, ukrepi vključujejo tudi izvajanje ustreznih politik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tretjem odstavku pristojni organ ukrepe iz prvega odstavka tega člena redno (po potrebi) pregleda in dopolni, zlasti kadar se spremenijo okoliščine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četrtem odstavku mora pristojni organ po poteku roka hrambe, oziroma ob nastopu zakonskih pogojev, podatke izbrisati.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petem odstavku mora pristojni organ Informacijskemu pooblaščencu omogočiti opravljanje njegovih nalog (predvsem vseh oblik nadzora) in na zahtevo sodelovati pri izvajanju nalog (npr. s </w:t>
      </w:r>
      <w:r w:rsidRPr="007C190F">
        <w:rPr>
          <w:rFonts w:eastAsia="Calibri" w:cs="Arial"/>
          <w:szCs w:val="20"/>
        </w:rPr>
        <w:lastRenderedPageBreak/>
        <w:t>tem, da odgovorne osebe organa sodelujejo na razgovorih z nadzorniki, opravijo pregled vsebine zbirk, opravijo razgovore z uradnimi osebami, posredovati zahtevana pojasnila in odgovore na vprašanja in podobno).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Skladno s šestim odstavkom mora biti pristojni organ vedno zmožen izkazati skladnost obdelave z ZVOPPOKD. Običajno bo to izkazal na način, da se bodo vsa bistvena delovanja obdelave dokumentirala. V praksi pa to izkaže Informacijskemu pooblaščencu pri opravljanju nadzorov po tem zakonu, pooblaščeni osebi za varstvo osebnih podatkov, drugemu sistemu notranje kontrole, lahko pa tudi pred Upravnim sodiščem Republike Slovenije v konkretnem sodnem postopku. To pomeni, da mora zlasti v primeru nadzora Informacijskega pooblaščenca omogočiti pregled dokumentacije, vsebine zbirk, opraviti razgovore z uradnimi osebami, posredovati zahtevana pojasnila in odgovore na vprašanja in podobno.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tako ureja eno ključnih novosti Direktive v primerjavi s prejšnjih Okvirnim sklepom – po vzoru iz Splošne uredbe vsebuje novo obveznost upravljavca, da ves čas izvajanja obdelav skrbi za skladnost teh obdelav s pravili ZVOPPOKD oziroma področnih zakonov o varstvu osebnih podatkov ter da to izvajanje tudi ustrezno dokumentira.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Upravljavec mora v ta namen v svojih internih aktih določiti postopke in ukrepe za zagotovitev skladnosti (kar je do sedaj veljalo zgolj za ukrepe za zavarovanje osebnih podatkov oziroma za (pogodbeno) obdelavo – drugi odstavek 25. člena oziroma drugi odstavek 11. člena ZVOP-1). V primeru bolj tveganih obdelav mora določiti tudi splošno politiko varstva osebnih podatkov, ki naj vključuje ukrepe, kot so ozaveščanje in usposabljanje svojih zaposlenih, upravljanje njihovih pooblastil za dostop do oziroma za obdelavo podatkov, določitev odgovornih oseb za posamezne zbirke osebnih podatkov ter pravila za izvajanje revizij. Primerne postopke, ukrepe oziroma vsebino politike varstva osebnih podatkov določi na podlagi tveganosti posamezne obdelave. Pri najbolj tveganih ukrepih se priporoča uporaba katerega od veljavnih mednarodnih standardov na tem področju.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Upravljavec mora tako predpisane ukrepe tudi ves čas izvajati in o tem voditi vso potrebno dokumentacijo, s katero lahko skladnost dokazuje tudi za nazaj. Ta dokumentacija naj vsebuje zlasti evidenco obdelav pri upravljavcu, oceno učinkov teh obdelav za varstvo osebnih podatkov (izdelano po ustrezni metodologiji, upoštevaje tveganost obdelave), popis sredstev obdelave, popis dostopnih pravic zaposlenih, pogodbenih partnerjev in drugih uporabnikov ter rezultate rednih revizij skladnosti obdelave podatkov. Upravljavec lahko za pripravo in hrambo te dokumentacije pooblasti tudi pooblaščeno osebo za varstvo osebnih podatkov, najame zunanje strokovnjake ali pridobi ustrezno in za to namenjeno programsko opremo.</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42. člen (vgrajeno in privzeto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42. člen predstavlja implementacijo 20. člena Direktive. V prvem in drugem odstavku so določena pravila glede vgrajenega varstva osebnih podatkov. V tretjem odstavku pa so določena pravila glede privzetega varstva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prvem in drugem odstavku ima upravljavec obveznost, da že pri načrtovanju novih obdelav preveri, katere podatke dejansko potrebuje za učinkovito izvajanje posamezne obdelave, ter potem te obdelave zasnuje tako, da ne zahtevajo zbiranja dodatnih podatkov (vgrajeno varstvo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Obenem mora upravljavec po tretjem odstavku svoje obdelave v čim večji meri zasnovati tudi tako, da se v vsakem posamičnem primeru pridobijo in obdelajo samo tisti osebni podatki, ki so potrebni v tem primeru. To pri obdelavah, ki se izvajajo s sredstvi informacijske tehnologije, zlasti pomeni, da se pred začetkom vsake obdelave ne naložijo vsi podatki, ki bi bili potrebni za tipično obdelavo te vrste, ampak, kolikor je le mogoče, zgolj tisti podatki, ki jih potrebuje ta konkretna obdelava (privzeto varstvo osebnih podatkov).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43. člen (skupni upravljavci)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Predlagani 43. člen za primere, ko dva ali več pristojnih organov ali pristojnih organov in upravljavcev skupaj določijo sredstva obdelave, določa obveznost, da ti organi svoje medsebojne odnose glede sredstev obdelave uredijo s pisnim dogovorom. Ne morejo pa samostojno določati namenov obdelave, nameni so lahko določeni le z zakonom (prvi odstavek 6. člena predloga zakona). Prav tako ta člen določa, da se lahko posamezniki, katerih osebni podatki se pri tem obdelujejo, glede svojih pravic obrnejo na kateregakoli od teh skupnih upravljavcev.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44. člen (obdelovalec)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44. člen ureja možnost zaupanja izvedbe posameznih dejanj obdelave zunanjemu subjektu (obdelovalcu).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Tako kot že do sedaj lahko upravljavec posamezna opravila v zvezi z obdelavo osebnih podatkov pogodbeno preda (zaupa) obdelovalcu (dosedanjemu »pogodbenemu obdelovalcu«). Podobno kot po veljavni ureditvi mora njuna medsebojna razmerja urediti v pisni pogodbi, pri čemer pa mora ta pogodba zagotoviti izvajanje vseh obveznosti po tem zakonu, ne zgolj obveznosti varstva (zavarovanja) obdelave. Po novem namreč za obdelovalca veljajo enake obveznosti kot za upravljavca, razen tistih obveznosti, ki so posebej pridržane upravljavcu. Prav tako se lahko pogodbena obdelava določi na podlagi izrecnega zakonskega pooblastila, ki določi upravljavca in obdelovalca in vsaj okvirno opredeli naloge oziroma zamejitve nalog obdelovalca.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Upravljavec ne sme skleniti pogodbe z obdelovalcem, ki ni sposoben dati zagotovil, da bo lahko zagotovil spoštovanje teh obveznosti. Prav tako obdelovalec ne sme dalje prenesti posameznih opravil na druge obdelovalce, brez da bi mu upravljavec to izrecno dovolil s posebnim pisnim dovoljenjem, kar pomeni, da mu lahko prepreči izbiro podobdelovalca.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Določeno je tudi, da obdelovalec obvezno nudi pomoč upravljavcu glede zagotavljanja varnosti osebnih podatkov, sporočanja in urejanja problemov glede kršitve varnosti osebnih podatkov, pri izdelavi ocene učinka glede varstva osebnih podatkov ter posvetovanja z Informacijskim pooblaščencem glede ocene učinkov. Ostale obveznosti zagotavljanja skladnosti so na upravljavcu samem; če želi pomoč obdelovalca pri tem, se to seveda lahko dogovori v pogodbi, ne sme pa biti obdelovalec prisiljen, da skladnost varstva osebnih podatkov pretežno ali skoraj v celoti zagotavlja sam; v tem primeru dejansko postane upravljavec.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Vsebina pogodbe med upravljavcem in obdelovalcem ostaja okvirno podobna kot do sedaj, je pa podrobnejša (tretji odstavek). Sklenjena mora biti v pisni obliki (četrti odstavek).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petem odstavku, ki je z vidika dejanskega uresničevanja pravic posameznikov, na katere se nanašajo osebni podatki, en najpomembnejših členov predloga zakona, je določeno, da če obdelovalec v nasprotju z določbami ZVOPPOKD oziroma pisne pogodbe ali pisnega dogovora samostojno določi druge namene oziroma sredstva obdelave, se ta obdelovalec v zvezi s to obdelavo šteje za upravljavca. Ta določitev seveda ne pomeni, da obdelovalec ne velja za kršitelja določb ZVOPOKD.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praksi je treba v vsakem konkretnem primeru presoditi, ali gre pri pravnem poslu (tudi) za obdelavo osebnih podatkov. Na primer: ne gre za (pogodbeno) obdelavo, če določen subjekt javnega ali zasebnega sektorja izvaja samo hrambo strežniške infrastrukture (daje na razpolago prostore oziroma opremo) za drug subjekt (javnega ali zasebnega sektorja), če pri tem ne more vpogledati v osebne podatke, jih priklicati, spreminjati, izbrisati, arhivirati ter izvajati drugih dejanj obdelave osebnih podatkov. V tem primeru se torej ne izvaja (pogodbena) obdelava osebnih podatkov, subjekt ni obdelovalec (in ni niti upravljavec).</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Obdelovalec (vključno z obdelovalcem, ki po petem odstavku 44. člena predloga izjemoma velja  za upravljavca) mora Informacijskemu pooblaščencu omogočiti nemoteno opravljanje njegovih nalog. To pomeni, da mu mora zlasti omogočiti pregled dokumentacije, zbirk podatkov, opraviti razgovore z zaposlenimi, posredovati zahtevana pojasnila in odgovore na vprašanja in podobno.</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lastRenderedPageBreak/>
        <w:t>45. člen (dolžnost upoštevanja navodil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bCs/>
          <w:szCs w:val="20"/>
        </w:rPr>
        <w:t xml:space="preserve">Predlagani 45. člen na podlagi 23. člena Direktive določa, da nihče (vsak zaposleni, vsaka uradna oseba ali drugače pooblaščena oseba), ki </w:t>
      </w:r>
      <w:r w:rsidRPr="007C190F">
        <w:rPr>
          <w:rFonts w:eastAsia="Calibri" w:cs="Arial"/>
          <w:szCs w:val="20"/>
        </w:rPr>
        <w:t>dela za pristojni organ ali obdelovalca in ima dostop do osebnih podatkov, teh osebnih podatkov ne sme obdelovati brez navodila pristojnega organa, razen če to določa zakon (npr. delovanje na podlagi sodne odredbe – predložitev osebnih podatkov ali dokazov sodišču, delovanje na podlagi dostopa do informacij javnega značaja).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46. člen (evidenca dejavnosti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46. člen na podlagi 24. člena Direktive določa vsebino evidence dejavnosti obdelav.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Čeprav Direktiva po zgledu Splošne uredbe črta obveznost prijave zbirk osebnih podatkov Informacijskemu pooblaščencu, je to na področju policijskih obdelav omejeno in je zato evidenca obdelav podrobneje določena (ni pa javna), saj je zaradi represivne naloge policijskih in drugih kazenskopravnih pooblastil potreba po transparentnosti obdelav še toliko večja.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Člen tako določa obvezno vsebino evidenc dejavnosti obdelave tako za same organe (upravljavce) kot tudi njihove obdelovalce. Povzete so vsebine iz prvega odstavka 24. člena Direktive, glede informacije o oblikovanja profilov pa je določeno, da se vedno vključijo v evidenco dejavnosti obdelav, če zakon določa možnost oblikovanja profilov.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47. člen (vodenje dnevnikov)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47. člen določa obveznost vodenja dnevnikov obdelave na podlagi 25. člena Direktive. Obveznost je določena za pristojne organe, skupne upravljavce iz 43. člena ZVOPPOKD ter za obdelovalce iz 44. člena ZVOPPOKD.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prvem odstavku so določena tipična dejanja, ki se morajo zabeležiti (evidentirati) v dnevniku obdelave, dejanja so našteta primeroma in vključujejo: zbiranje, spreminjanje, vpogled, razkritje, vključno s prenosi, povezovanje, izbris.</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drugem odstavku je določena posebna sledljivost glede obdelav, v zvezi s spoštovanjem namenov iz prvega odstavka 1. člena ZVOPPOKD ter namenov iz področnih zakonov. Sledljivost se zagotavlja tako, da se v dnevniku navede identifikacija (npr. šifra) organa ali osebe, ki je izvedla dejanje obdelave, kar pomeni, da mora biti mogoče iz dnevnikov obdelave upravljavca in uporabnika ugotoviti identifikacijo te osebe. Pri navedbi uporabnika, ki je uporabil osebne podatke, se lahko tudi navede naziv organa ali šifro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Tretji odstavek določa, da se smejo podatki iz dnevnika obdelave uporabljati zgolj za preverjanje zakonitosti obdelave </w:t>
      </w:r>
      <w:bookmarkStart w:id="73" w:name="_Hlk47694163"/>
      <w:r w:rsidRPr="007C190F">
        <w:rPr>
          <w:rFonts w:eastAsia="Calibri" w:cs="Arial"/>
          <w:szCs w:val="20"/>
        </w:rPr>
        <w:t>s strani nadzornega organa ali drugih pristojnih organov</w:t>
      </w:r>
      <w:bookmarkEnd w:id="73"/>
      <w:r w:rsidRPr="007C190F">
        <w:rPr>
          <w:rFonts w:eastAsia="Calibri" w:cs="Arial"/>
          <w:szCs w:val="20"/>
        </w:rPr>
        <w:t>, notranji nadzor, zagotavljanje celovitosti in varnosti osebnih podatkov ter za potrebe predkazenskih in kazenskih postopkov. Notranji nadzor po tem odstavku pomeni zakonsko predpisane notranje strokovne ali upravne nadzore nad delom pristojnih organov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Četrti odstavek določa, da morajo pristojni organi, skupni upravljavci in obdelovalci nadzornemu organu na njegovo zahtevo</w:t>
      </w:r>
      <w:r w:rsidRPr="007C190F" w:rsidDel="003F7902">
        <w:rPr>
          <w:rFonts w:eastAsia="Calibri" w:cs="Arial"/>
          <w:szCs w:val="20"/>
        </w:rPr>
        <w:t xml:space="preserve"> </w:t>
      </w:r>
      <w:r w:rsidRPr="007C190F">
        <w:rPr>
          <w:rFonts w:eastAsia="Calibri" w:cs="Arial"/>
          <w:szCs w:val="20"/>
        </w:rPr>
        <w:t>omogočiti dostop do dnevnika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petem odstavku se vsebina dnevnika obdelave hrani dve leti od zaključka koledarskega leta, v katerem so bila v njih zabeležena dejanja obdelave, če drug zakon ne določa drugače (npr. šesti odstavek tega člena). Namen dvoletnega roka hrambe je zagotovitev sledljivosti po drugem odstavku.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šesti odstavek določa, da se vsebina dnevnika obdelave, ki ga upravlja Nacionalna enota za informacije o potnikih po Zakonu o nalogah in pooblastilih policije, hrani pet let od zaključka koledarskega leta, v katerem so bila v njih zabeležena dejanja obdelave. Tu gre za prenos šestega odstavka 13. člena Direktive (EU) 2016/681. Daljši rok hrambe vsebine dnevnika izhaja iz dejstva, da obstaja večje tveganje za človekove pravice in temeljne svoboščine </w:t>
      </w:r>
      <w:r w:rsidRPr="007C190F">
        <w:rPr>
          <w:rFonts w:eastAsia="Calibri" w:cs="Arial"/>
          <w:szCs w:val="20"/>
        </w:rPr>
        <w:lastRenderedPageBreak/>
        <w:t xml:space="preserve">posameznikov – osebni podatki posameznikov in posameznikov so množično zajeti, možno je vsaj delno delovanje na podlagi profiliranja ipd.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48. člen (preverjanje kakovosti osebnih podatkov)</w:t>
      </w:r>
    </w:p>
    <w:p w:rsidR="00E302FA" w:rsidRPr="007C190F" w:rsidRDefault="00E302FA" w:rsidP="00E302FA">
      <w:pPr>
        <w:spacing w:after="160" w:line="259" w:lineRule="auto"/>
        <w:jc w:val="both"/>
        <w:rPr>
          <w:rFonts w:eastAsia="Calibri" w:cs="Arial"/>
          <w:szCs w:val="20"/>
        </w:rPr>
      </w:pPr>
      <w:r w:rsidRPr="007C190F">
        <w:rPr>
          <w:rFonts w:eastAsia="Calibri"/>
          <w:bCs/>
          <w:szCs w:val="20"/>
        </w:rPr>
        <w:t>Predlagani 48. člen določa, da p</w:t>
      </w:r>
      <w:r w:rsidRPr="007C190F">
        <w:rPr>
          <w:rFonts w:eastAsia="Calibri" w:cs="Arial"/>
          <w:szCs w:val="20"/>
        </w:rPr>
        <w:t>ristojni organ sprejme vse razumne ukrepe, da se pred posredovanjem osebnih podatkov ali njihovim dajanjem na voljo preveri njihova točnost, popolnost, zanesljivost in posodobljenost. Na ta način se implementira 7. člen Direktive.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drugem odstavku pristojni organ osebnim podatkom, ki se posredujejo ali dajo na razpolago, priloži dodatne informacije, na podlagi katerih lahko uporabnik oceni njihovo točnost, popolnost, zanesljivost in posodobljenost, seveda le v primerih, ko je to mogoče.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tretjem odstavku se v situacijah, kadar je izkazano, da so bili posredovani ali dani na razpolago (npr. vpogled) osebni podatki, ki ne ustrezajo zahtevam iz prvega odstavka tega  člena, ali so bili posredovani nezakonito, pristojni organ to nemudoma sporoči vsem uporabnikom.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četrtem odstavku pristojni organ v situaciji iz tretjega odstavka nemudoma popravi osebne podatke oziroma jih izbriše ali omeji njihovo obdelavo.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petem odstavku je v primeru izbrisa osebnih podatkov zaradi zagotavljanja sledljivosti obdelave osebnih podatkov v skladu </w:t>
      </w:r>
      <w:r w:rsidRPr="007C190F">
        <w:rPr>
          <w:rFonts w:eastAsia="Calibri" w:cs="Arial"/>
          <w:iCs/>
          <w:szCs w:val="20"/>
        </w:rPr>
        <w:t xml:space="preserve">s 47. členom ZVOPPOKD </w:t>
      </w:r>
      <w:r w:rsidRPr="007C190F">
        <w:rPr>
          <w:rFonts w:eastAsia="Calibri" w:cs="Arial"/>
          <w:szCs w:val="20"/>
        </w:rPr>
        <w:t xml:space="preserve">dopustno tudi zabeležiti zaznamek, da je bil v zvezi z osebnimi podatki določenega posameznika izveden izbris, pri čemer pa zaznamek ne sme vsebovati podatkov, ki bi omogočali obnovo izbrisanega osebnega podatka. Pristojni organ kot upravljavec torej lahko izkoristi možnost (ne obveznost) zapisa dodatnega zaznamka, sam zaznamek pa ni zakonsko podrobneje določen in je lahko podan tudi v obliki opombe, opozorila, lahko pa tudi določenega daljšega pojasnilnega besedila. Predlagana določba je tudi povezana z 19. točko 4. člena ZVOPPOKD, ki določa institut izbrisa. </w:t>
      </w: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2. oddelek – ukrepi pred obdelavo in varnost osebnih podatkov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49. člen (ocena učinka)</w:t>
      </w:r>
    </w:p>
    <w:p w:rsidR="00E302FA" w:rsidRPr="007C190F" w:rsidRDefault="00E302FA" w:rsidP="00E302FA">
      <w:pPr>
        <w:spacing w:after="160" w:line="259" w:lineRule="auto"/>
        <w:jc w:val="both"/>
        <w:rPr>
          <w:rFonts w:eastAsia="Calibri" w:cs="Arial"/>
          <w:szCs w:val="20"/>
        </w:rPr>
      </w:pPr>
      <w:r w:rsidRPr="007C190F">
        <w:rPr>
          <w:rFonts w:eastAsia="Calibri" w:cs="Arial"/>
          <w:bCs/>
          <w:szCs w:val="20"/>
        </w:rPr>
        <w:t xml:space="preserve">Predlagani 49. člen določa obveznost izdelave ocene učinka v zvezi z načrtovano obdelavo osebnih podatkov, </w:t>
      </w:r>
      <w:r w:rsidRPr="007C190F">
        <w:rPr>
          <w:rFonts w:eastAsia="Calibri" w:cs="Arial"/>
          <w:szCs w:val="20"/>
        </w:rPr>
        <w:t>kadar bi lahko kategorija obdelave zlasti zaradi uporabe novih tehnologij in ob upoštevanju narave, obsega, okoliščin oziroma namena obdelave povzročila veliko tveganje za človekove pravice in temeljne svoboščine posameznikov. Ta člen primarno pomeni vodilo predlagateljem ali pripravljavcem zakonov (glejte tretji odstavek tega člena v kombinaciji s 3. in 6. členom tega zakona), seveda pa je tudi vir za odločanje zakonodajalca, ko obravnava določen predlog zakona. Izvede se ocena učinka vsakega novega sistemskega ukrepa obdelave osebnih podatkov, katerega uvedba se načrtuje, in ne ocena učinka za izvajanje v praksi  posamičnega ukrepa (npr. za izvajanje konkretnega prikritega preiskovalnega ukrepa v konkretni posamezni zadevi). Konkretneje: oceno učinka je treba opraviti vedno, ko se predpiše novo obdelavo osebnih podatkov, in vedno, ko se spremeni sistem obdelave podatkov ali pravne podlage, ki spreminjajo način (tehnologija) ali vsebino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okoliščine, ko je treba oceno učinka vedno opraviti (npr. trajajoči obsežni in sistematični nadzor javno dostopnega območja), tretji odstavek pa določa izjemo, ko ocene ni treba pripraviti – to je kadar je oceno učinka že izdelal predlagatelj zakona, ki je podlaga za obdelavo. Kljub izjemi je treba oceno učinka opraviti, če so se okoliščine (tehnološke, varnostne) po izdelavi ocene učinka v zakonodajnem postopku bistveno spremenile.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Četrti odstavek določa sestavine ocene učinka, med njimi tudi upoštevanje človekovih pravic in zakonitih interesov posameznikov, na katere se nanašajo osebni podatki, ter interese tretjih oseb (npr. položaj žrtev kaznivih dejanj oziroma oškodovancev, prič, ljudi, ki bi bili slučajno zajeti v kakšne ukrepe in podobno)</w:t>
      </w:r>
      <w:r w:rsidR="00063231" w:rsidRPr="007C190F">
        <w:rPr>
          <w:rFonts w:eastAsia="Calibri" w:cs="Arial"/>
          <w:szCs w:val="20"/>
        </w:rPr>
        <w:t>, med drugim posebej izpostavlja prepoved diskriminacije (opredeljena v 2. členu predloga zakona)</w:t>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Peti odstavek določa obveznost, da pristojni organ vedno, ne glede na izjemo v tretjem odstavku, pred uvedbo novega sistema za avtomatizirano obdelavo osebnih podatkov izdela oceno učinka glede ukrepov za zagotavljanje varnosti obdelave, ki obsega ukrepe za zagotavljanje varnosti obdelave in mehanizme za zagotavljanje varstva osebnih podatkov – torej, da načrtuje varnost sistema.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50. člen (predhodno posvetovanje z nadzornim organom)</w:t>
      </w:r>
    </w:p>
    <w:p w:rsidR="00E302FA" w:rsidRPr="007C190F" w:rsidRDefault="00E302FA" w:rsidP="00E302FA">
      <w:pPr>
        <w:spacing w:after="160" w:line="259" w:lineRule="auto"/>
        <w:jc w:val="both"/>
        <w:rPr>
          <w:rFonts w:eastAsia="Calibri" w:cs="Arial"/>
          <w:szCs w:val="20"/>
        </w:rPr>
      </w:pPr>
      <w:r w:rsidRPr="007C190F">
        <w:rPr>
          <w:rFonts w:eastAsia="Calibri" w:cs="Arial"/>
          <w:bCs/>
          <w:szCs w:val="20"/>
        </w:rPr>
        <w:t xml:space="preserve">Predlagani 50. člen določa obveznost, da se pristojni organ in obdelovalec pred začetkom obdelave, ki bo del nove zbirke, o tem predhodno posvetujeta z Informacijskim pooblaščencem. Takšno posvetovanje je treba vedno izvesti, ko iz ocene učinka izhaja, </w:t>
      </w:r>
      <w:r w:rsidRPr="007C190F">
        <w:rPr>
          <w:rFonts w:eastAsia="Calibri" w:cs="Arial"/>
          <w:szCs w:val="20"/>
        </w:rPr>
        <w:t>da bi obdelava povzročila veliko tveganje za človekove pravice ali temeljne svoboščine posameznikov, če pristojni organ ne bi sprejel ukrepov za zmanjšanje tega tveganja, ali kadar se bodo pri obdelavi uporabljale nove tehnologije, mehanizmi in postopki, kar bi lahko predstavljalo veliko tveganje za človekove pravice ali temeljne svoboščine posameznikov.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drugem odstavku Informacijski pooblaščenec na svojih spletnih straneh objavi seznam kategorij obdelave, za katere mora pristojni organ v skladu s prejšnjim odstavkom opraviti predhodno posvetovanje. Informacijski pooblaščenec skrbi, da je seznam vedno posodobljen in vsebuje kategorije obdelave, ki so po njegovi oceni takšne, da je v zvezi z njimi potrebno predhodno posvetovanje.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okviru predhodnega posvetovanja morata pristojni organ in obdelovalec informacijskemu pooblaščencu omogočiti vpogled v oceno učinka in druge informacije, ki jih ta rabi, da lahko ustrezno svetuje.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Informacijski pooblaščenec v šestih tednih izdela pisno mnenje, v katerega vključi nasvete pristojnemu organu in, kadar je to primerno, obdelovalcu, katere dodatne ukrepe v zvezi z načrtovano obdelavo je treba sprejeti. Rok za izdelavo mnenja se lahko podaljša za en mesec ob upoštevanju zapletenosti zadeve.</w:t>
      </w:r>
    </w:p>
    <w:p w:rsidR="00E302FA" w:rsidRPr="007C190F" w:rsidRDefault="00E302FA" w:rsidP="00E302FA">
      <w:pPr>
        <w:spacing w:after="160" w:line="259" w:lineRule="auto"/>
        <w:jc w:val="both"/>
        <w:rPr>
          <w:rFonts w:eastAsia="Calibri" w:cs="Arial"/>
          <w:bCs/>
          <w:szCs w:val="20"/>
        </w:rPr>
      </w:pPr>
      <w:r w:rsidRPr="007C190F">
        <w:rPr>
          <w:rFonts w:eastAsia="Calibri" w:cs="Arial"/>
          <w:szCs w:val="20"/>
        </w:rPr>
        <w:t xml:space="preserve">Kadar je potrebno, lahko Informacijski pooblaščenec med posvetovanjem uvede inšpekcijski nadzor po uradni dolžnosti, v okviru katerega lahko uporabi vsa nadzorna pooblastila in ukrepe iz 31. in 32. člena.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51. člen (varnost obdelave)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člen ureja ukrepe za zagotavljanje varnosti obdelav podatkov v informacijskih sistemih.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nadomešča dosedanji pojem oziroma institut "zavarovanje osebnih podatkov" (24. člen ZVOP-1) s pojmom "varnost obdelave osebnih podatkov". Sprememba seveda ni samo izrazoslovna, ampak je vezana zlasti na spremenjeno tehnološko realnost v času od uveljavitve ZVOP-1. Vsesplošna informatizacija postopkov in tehnološki razvoj obdelave osebnih podatkov je namreč poleg številnih prednosti prinesla tudi nekatera dodatna tveganja, zlasti glede zagotavljanja varnosti obdelav.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Namen določbe je zagotoviti, da so podatki obdelani na način, ki zagotavlja ustrezno raven varnosti in zaupnosti, vključno s preprečevanjem nedovoljenega dostopa do osebnih podatkov in opreme za obdelavo ali njihove uporabe, in ki upošteva razpoložljive tehnološke ravni in tehnologije, stroške izvajanja glede na tveganja in naravo osebnih podatkov, ki jih je treba varovati (uvodna navedba št.  28 Direktive). Med drugim je novost 10. točka v drugem odstavku, ki določa ločenost obdelave, saj gre lahko za obdelavo v različne namene pri istem upravljavcu.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Varnost obdelav osebnih podatkov je treba zagotavljati za podatke v mirovanju, podatke v prenosu in za podatke v uporabi. Varnost se zagotavlja z uporabo vseh ukrepov na področjih, ki so navedena v seznamu drugega odstavka. Konkretna izvedba teh ukrepov je odvisna od ocene tveganj (katero izvedbeno aplikacijo glede teh ukrepov se izbere). Ocena tveganj je lahko </w:t>
      </w:r>
      <w:r w:rsidRPr="007C190F">
        <w:rPr>
          <w:rFonts w:eastAsia="Calibri" w:cs="Arial"/>
          <w:szCs w:val="20"/>
        </w:rPr>
        <w:lastRenderedPageBreak/>
        <w:t>pripravljena že v okviru ocene učinkov, sicer pa je del načrtovanja ukrepov za zagotavljanje varnosti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tretjem odstavku je določeno, da so vsi zaposleni in funkcionarji pristojnega organa ali nadzornega organa, pri obdelovalcih ipd. dolžni varovati tajnost osebnih podatkov, s katerimi se seznanijo ob opravljanju nalog ali pooblastil. Ta obveznost velja tudi po prenehanju funkcije, zaposlitve ipd.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52. člen (obvestilo nadzornemu organu o kršitvi varnosti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ureja ti. »obvestilo o kršitvi« ("</w:t>
      </w:r>
      <w:r w:rsidRPr="007C190F">
        <w:rPr>
          <w:rFonts w:eastAsia="Calibri" w:cs="Arial"/>
          <w:i/>
          <w:szCs w:val="20"/>
        </w:rPr>
        <w:t>breach notification</w:t>
      </w:r>
      <w:r w:rsidRPr="007C190F">
        <w:rPr>
          <w:rFonts w:eastAsia="Calibri" w:cs="Arial"/>
          <w:szCs w:val="20"/>
        </w:rPr>
        <w:t>") po vzoru Zakona o elektronskih komunikacijah</w:t>
      </w:r>
      <w:r w:rsidRPr="007C190F">
        <w:rPr>
          <w:rFonts w:eastAsia="Calibri" w:cs="Arial"/>
          <w:sz w:val="18"/>
          <w:szCs w:val="18"/>
          <w:vertAlign w:val="superscript"/>
        </w:rPr>
        <w:footnoteReference w:id="51"/>
      </w:r>
      <w:r w:rsidRPr="007C190F">
        <w:rPr>
          <w:rFonts w:eastAsia="Calibri" w:cs="Arial"/>
          <w:szCs w:val="20"/>
        </w:rPr>
        <w:t xml:space="preserve"> (81. člen) ter tudi Zakona o informacijski varnosti</w:t>
      </w:r>
      <w:r w:rsidRPr="007C190F">
        <w:rPr>
          <w:rFonts w:eastAsia="Calibri" w:cs="Arial"/>
          <w:sz w:val="18"/>
          <w:szCs w:val="18"/>
          <w:vertAlign w:val="superscript"/>
        </w:rPr>
        <w:footnoteReference w:id="52"/>
      </w:r>
      <w:r w:rsidRPr="007C190F">
        <w:rPr>
          <w:rFonts w:eastAsia="Calibri" w:cs="Arial"/>
          <w:szCs w:val="20"/>
        </w:rPr>
        <w:t xml:space="preserve"> (npr. tretji odstavek 31. člena). Gre za pravilo, da morajo upravljavci v primeru odkritih varnostnih napadov oziroma drugih incidentov, ki kršijo varnost ali varstvo osebnih podatkov, le-te sporočiti Informacijskemu pooblaščencu, da ta lahko ukrepa in določi primerne ukrepe za ustavitev varnostnega incidenta.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 tem Informacijskega pooblaščenca ne bo potrebno obveščati o vsakem odkritem varnostnem incidentu (ali sumu na varnostni incident), ampak zgolj o tistih, za katere je verjetno, da so oziroma še bodo povzročili tveganje za posege v človekove pravice in temeljne svoboščine posameznikov. Ključno je predvsem, ali so napadalci lahko dostopali do podatkov. Konkreten primer takšne kršitve bi bila na primer izguba šifriranega nosilca podatkov (npr. USB-ključa). Ni verjetno, da bi v takšnem primeru nastala tveganja za človekove pravice, ker šifriranih podatkov brez gesla ni mogoče prebrati. V primerih napadov na dosegljivost informacijskega sistema (ti. »</w:t>
      </w:r>
      <w:r w:rsidRPr="007C190F">
        <w:rPr>
          <w:rFonts w:eastAsia="Calibri" w:cs="Arial"/>
          <w:i/>
          <w:szCs w:val="20"/>
        </w:rPr>
        <w:t>availability napadi</w:t>
      </w:r>
      <w:r w:rsidRPr="007C190F">
        <w:rPr>
          <w:rFonts w:eastAsia="Calibri" w:cs="Arial"/>
          <w:szCs w:val="20"/>
        </w:rPr>
        <w:t>«, med njimi zlasti napadov za onemogočanje dosegljivosti [»</w:t>
      </w:r>
      <w:r w:rsidRPr="007C190F">
        <w:rPr>
          <w:rFonts w:eastAsia="Calibri" w:cs="Arial"/>
          <w:i/>
          <w:iCs/>
          <w:szCs w:val="20"/>
        </w:rPr>
        <w:t>distributed denial of service attack</w:t>
      </w:r>
      <w:r w:rsidRPr="007C190F">
        <w:rPr>
          <w:rFonts w:eastAsia="Calibri" w:cs="Arial"/>
          <w:szCs w:val="20"/>
        </w:rPr>
        <w:t>« – DDOS]), kjer sicer gre za varnostni incident, ni pa nujno, da je prišlo tudi do kršitve varstva osebnih podatkov, Informacijskega pooblaščenca ni potrebno obveščati; v primeru napada z zlorabo ranljivosti  strežnika z vrivanjem SQL-stavkov (»</w:t>
      </w:r>
      <w:r w:rsidRPr="007C190F">
        <w:rPr>
          <w:rFonts w:eastAsia="Calibri" w:cs="Arial"/>
          <w:i/>
          <w:iCs/>
          <w:szCs w:val="20"/>
        </w:rPr>
        <w:t>SQL injection</w:t>
      </w:r>
      <w:r w:rsidRPr="007C190F">
        <w:rPr>
          <w:rFonts w:eastAsia="Calibri" w:cs="Arial"/>
          <w:szCs w:val="20"/>
        </w:rPr>
        <w:t>«), za katere je značilno, da napadalec pridobi dostop do podatkov na strežniku, pa je takšno obvestilo potrebno.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Rok za obveščanje je po prvem odstavku čim prej po odkritju incidenta ("brez nepotrebnega odlašanja") – realno najpozneje v 72 urah, po tem pa le, če za zamik obstajajo opravičljivi razlogi. Namen roka je dati Informacijskemu pooblaščencu možnost čim prej odrediti morebitne ukrepe za zagotovitev varnosti osebnih podatkov kot tudi, da v primeru najresnejših kršitev skupaj z upravljavcem oziroma obdelovalcem, pri katerem je prišlo do incidenta, premisli, ali je potrebno o njem obvestiti tudi končne uporabnike, da lahko ti izvedejo ustrezne ukrepe za zaščito njihovih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Obveščati je zatorej treba tudi v primerih, ko upravljavec incidenta še ni povsem raziskal in ko tudi morda še ne ve dokončno, ali sploh je, ter v kakšnem obsegu, prišlo do zlorabe (zlasti odtujitve) osebnih podatkov. Takšen pristop izvira iz izkušenj iz informacijsko-varnostne sfere, saj bi čakanje na dokončno raziskanost incidenta lahko povzročilo znatno dodatno škodo posameznikom zaradi zlorab njihovih podatkov v vmesnem času.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Posamezne vidike notifikacijske dolžnosti je že obravnavala Delovna skupina po členu 29 Direktive 95/46/ES, in o tem izdala ustrezne smernice</w:t>
      </w:r>
      <w:r w:rsidRPr="007C190F">
        <w:rPr>
          <w:rFonts w:eastAsia="Calibri" w:cs="Arial"/>
          <w:sz w:val="18"/>
          <w:szCs w:val="18"/>
          <w:vertAlign w:val="superscript"/>
        </w:rPr>
        <w:footnoteReference w:id="53"/>
      </w:r>
      <w:r w:rsidRPr="007C190F">
        <w:rPr>
          <w:rFonts w:eastAsia="Calibri" w:cs="Arial"/>
          <w:szCs w:val="20"/>
        </w:rPr>
        <w: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določa vsebino obvestila Informacijskemu pooblaščencu, pri tem pa ni treba že v začetku posredovati vseh informacij, če pristojni organ z njimi ne razpolaga – četrti odstavek določa možnost postopnega obveščanja.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Dodatna novost je še v tem, da mora upravljavec takoj po odkritju varnostne grožnje pristopiti k zavarovanju dokazov o dogodku, zato da bo kasneje možno ugotavljati okoliščine in dometa vdora.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Šesti odstavek ureja dokumentiranje kršitev in ukrepanje ob kršitvah, ki vplivajo na podatke, pridobljene od tujih upravljavcev.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53. člen (sporočilo posamezniku o kršitvi varnosti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53. člen v primerih suma hujših varnostnih incidentov glede kršitve varnosti osebnih podatkov upravljavca obvezuje, da o incidentu obvesti tudi posameznike, na katere se nanašajo osebni podatki, zato da lahko izvedejo ustrezne zaščitne ukrepe, še zlasti ukrepe za preprečitev kraje identitete.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Člen ureja vsebino sporočila posameznikom in pogoje, ko obveščanje posameznikov ni potrebno.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Prvi odstavek določa, da se posameznika, na katerega osebne podatke se nanaša varnostni incident, obvesti o tem dogodku brez nepotrebnega odlašanja. Po drugem odstavku je potrebno obvestilo posamezniku oblikovati v jasnem in preprostem jeziku, saj lahko le v tem primeru oceni, koliko narava kršitve vpliva na njegove pravice, osebna stanja ali pravno varnost.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Obveščanje posameznikov po tretjem odstavku ni potrebno, ko: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je pristojni organ v zvezi s podatki, v zvezi s katerimi je prišlo do kršitve, izvajal ustrezne ukrepe, na podlagi katerih so osebni podatki nerazumljivi vsem, ki niso pooblaščeni za dostop do njih. Konkreten primer takšnih ukrepov je šifriranje trdega diska, na katerem se nahajajo osebni podatki. V primeru izgube ali kraje takšnega diska, podatki niso razumljivi nikomur, ki ni pooblaščen za dostop (ima geslo za dešifriranje diska);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je pristojni organ po kršitvi sprejel ukrepe, zaradi katerih ni več verjetno, da bi se veliko tveganje  za človekove pravice ali temeljne svoboščine še lahko uresničilo. Konkreten primer takšnih ukrepov v primeru, ko nepooblaščena oseba dostopa do podatkov o uporabniških imenih in geslih, je zamenjava gesel in uvedba spremljanja in obveščanja posameznikov o prijavah v informacijski sistem, s čimer se možnost zlorabe gesel zmanjša;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bi obveščanje posameznikov zahtevalo nesorazmeren napor, ker je posameznikov, ki jih je prizadela kršitev preveč, ali pa ko ni jasno, kateri posamezniki so bili s kršitvijo prizadeti. V tem primeru se objavi javno sporočilo ali izvede podoben ukrep, s katerim so posamezniki, na katere se nanašajo osebni podatki, enako učinkovito obveščeni.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četrtem odstavku je določeno, da če se pristojni organ ne glede na določbe prejšnjih odstavkov ne odloči za objavo, mu jo lahko naloži tudi Informacijski pooblaščenec (posebni nadzorni ukrep), kadar oceni, da je verjetno, da bi kršitev lahko povzročila veliko tveganje za človekove pravice in temeljne svoboščine posameznika. Nadzorni organ ne odredi tega ukrepa, če sporočilo ni potrebno glede na določbo tretjega odstavka predlaganega člena.</w:t>
      </w:r>
    </w:p>
    <w:p w:rsidR="00E302FA" w:rsidRPr="007C190F" w:rsidRDefault="00E302FA" w:rsidP="00E302FA">
      <w:pPr>
        <w:spacing w:after="160" w:line="259" w:lineRule="auto"/>
        <w:jc w:val="both"/>
        <w:rPr>
          <w:rFonts w:eastAsia="Calibri" w:cs="Arial"/>
          <w:b/>
          <w:szCs w:val="20"/>
        </w:rPr>
      </w:pPr>
      <w:r w:rsidRPr="007C190F">
        <w:rPr>
          <w:rFonts w:eastAsia="Calibri" w:cs="Arial"/>
          <w:szCs w:val="20"/>
        </w:rPr>
        <w:t>Dolžnost objave pa se lahko po sistemski določbi petega odstavka zadrži, omeji ali opusti iz enakih razlogov, kot se lahko omeji dostop posameznikov do lastnih osebnih podatkov.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54. člen (zaupno obveščanje o kršitvah)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54. člen določa obveznost pristojnih organov, da vzpostavijo notranje poti za obveščanje o kršitvah določb tega zakona. S kršitvami morajo biti seznanjeni tako vodstvo organa kot tudi pooblaščena oseba za varstvo podatkov. Notranje poti za obveščanje morajo sprejemati tako prijave notranjih deležnikov kot tudi zunanjih. Prijave kršitev je treba obravnavati zaupno in hitro. Določeni so tudi ukrepi za zaščito prijavitelja (tretji odstavek). Gre za napotek pristojnim organom, da v ustreznih pravnih aktih uredijo način ukrepanja, ki je prilagojen notranjemu delovanju in organizaciji organov (npr. policija, zavodi za prestajanje kazni zapora …), ki obdelujejo različne osebne podatke na podlagi prvega odstavka 1. člena tega zakona.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lastRenderedPageBreak/>
        <w:t>3. oddelek – pooblaščena oseba za varstvo osebnih podatkov</w:t>
      </w:r>
    </w:p>
    <w:p w:rsidR="00E302FA" w:rsidRPr="007C190F" w:rsidRDefault="00E302FA" w:rsidP="00E302FA">
      <w:pPr>
        <w:spacing w:after="160" w:line="259" w:lineRule="auto"/>
        <w:jc w:val="both"/>
        <w:rPr>
          <w:rFonts w:eastAsia="Calibri" w:cs="Arial"/>
          <w:bCs/>
          <w:szCs w:val="20"/>
        </w:rPr>
      </w:pPr>
      <w:r w:rsidRPr="007C190F">
        <w:rPr>
          <w:rFonts w:eastAsia="Calibri" w:cs="Arial"/>
          <w:bCs/>
          <w:szCs w:val="20"/>
        </w:rPr>
        <w:t xml:space="preserve">Tretji oddelek poglavja o obveznostih pristojnih organov, obdelovalcev in skupnih upravljavcev ureja določitev pooblaščene osebe za varstvo osebnih podatkov s strani pristojnih organov, pogoje za njeno določitev, naloge, prav tako pa v povezavi z Zakonom o nalogah in pooblastilih policije določa tudi naloge in pogoje za določitev pooblaščene osebe za varstvo osebnih podatkov pri nacionalni enoti za informacije o potnikih.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55. člen (pooblaščena oseba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prvi odstavek 55. člena pristojnim organom nalaga dolžnost določitve pooblaščene osebe za varstvo osebnih podatkov izmed zaposlenih pri organu. To je oseba, ki naj pristojnemu organu na strokovno neodvisen način pomaga pri sistematičnem obvladovanju tveganj oziroma kršitev varstva osebnih podatkov. Z njenim imenovanjem pristojni organ izkaže, da se vprašanj varstva osebnih podatkov loteva sistematično in z ustreznimi kadrovskimi in finančnimi vložki.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da so sodišča izvzeta iz obveznosti imenovanja pooblaščene osebe po tem zakonu glede kazenskih zadev sodišča (določba ne vpliva na možno imenovanje take osebe po Splošni uredbi).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daje pristojnim organom možnost določitve namestnika pooblaščene osebe za čas njene odsotnosti ali zadržanosti, ki v tem primeru izvaja določene (lahko pa tudi vse) naloge v skladu s pooblastilom, ki mu ga je dala pooblaščena oseba.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Četrti odstavek določa, da je službene kontaktne podatke pooblaščene osebe in morebitnega namestnika treba sporočiti Informacijskemu pooblaščencu, ki vodi seznam kontaktnih oseb z namenom hitrejše komunikacije v primeru kršitev in izvajanja drugih nalog, kontaktni podatki pa se objavijo tudi na spletnih straneh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Peti odstavek določa, da mora pristojni organ pooblaščeni osebi za varstvo podatkov in njenemu namestniku zagotoviti ustrezna (tehnična oziroma lahko tudi kadrovska sredstva, odvisno od pomembnosti obdelovanih osebnih podatkov, njihove količine ali obsega raznolikih zakonskih nalog pristojnega organa) sredstva za strokovno neodvisno in učinkovito opravljanje nalog ter omogočiti ustrezno strokovno usposabljanje. S tem se dodatno zagotavlja njeno neodvisno in strokovno delo in onemogoča vpliv na morebitne ugotovitve glede skladnosti obdelav pri pristojnem organu.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Šesti odstavek določa, da mora pristojni organ zagotoviti, da sta pooblaščena oseba za varstvo osebnih podatkov in  njen namestnik ustrezno in pravočasno vključena v vse zadeve v zvezi z varstvom osebnih podatkov, ki se izvajajo v okviru dejavnosti pristojnega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Sedmi odstavek nadalje določa, da pooblaščena oseba in njen namestnik v zvezi z njunim delom ne prejemata nobenih navodil ter da zaradi opravljanja njunih nalog ne smeta biti razrešena ali kaznovana. Pooblaščena oseba in namestnik imata po istem odstavku določeno tudi možnost neposrednega poročanja predstojniku pristojnega organa, da se omogoči zlasti učinkovito ukrepanje v primeru kršitve varnosti ali drugih ugotovitev glede skladnosti obdelave.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Določene rešitve glede določitev ter pogojev za delo izhajajo iz podrobnejših določb Splošne uredbe oziroma bodo podobne določbe veljale tudi za pooblaščene osebe po novem ZVOP-2.</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56. člen (pogoji za določitev pooblaščene osebe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prvi odstavek 56. člena določa pogoje za določitev pooblaščene osebe za varstvo podatkov in njenega namestnika. Prvi odstavek taksativno našteva pogoje, ki so deloma povzeti iz 88. člena Zakona o javnih uslužbencih, ki določa pogoje za imenovanje v naziv. Poseben je le pogoj dodatnega znanja oziroma praktičnih izkušenj s področja varstva osebnih podatkov, glede na to, da gre za specifično področje, na katerem mora pooblaščena oseba opravljati delovne naloge.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Drugi odstavek določa možnost, da več pristojnih organov določi skupno pooblaščeno osebo, odvisno od organizacijske strukture in velikosti pristojnih organov. Skupaj lahko določijo tudi namestnika.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Tretji odstavek določa možnost, da pristojni organ določi za pooblaščeno osebo tisto, ki je pri pristojnem organu že imenovana za pooblaščeno osebo na drugi pravni podlagi (npr. na podlagi Splošne uredbe, Zakona o nalogah in pooblastilih policije).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57. člen (naloge in upravičenja pooblaščene osebe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57. člen določa naloge in upravičenja pooblaščene osebe za varstvo podatkov. Pri tem je posebej poudarjeno, da so naloge pooblaščene osebe omejene zgolj na obveščanje, svetovanje in pomoč pristojnemu organu glede njegovih obveznosti in da torej ne pomenijo prevzema odgovornosti za zagotavljanje skladnosti obdelav osebnih podatkov. Za zagotavljanje skladnosti obdelave osebnih podatkov z določbami Direktive in področnih zakonov se pristojni organi odgovornosti za kršitve skladnosti ne morejo rešiti s sklicevanjem na neustrezno delo pooblaščene osebe.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Med nalogami pooblaščene osebe je tudi sodelovanje z Informacijskim pooblaščencem in vzpostavljanje tehničnih pogojev za izvedbo nadzora, deluje kot kontaktna točka, to pomeni z ene točke pridobivanje informacij za morebitno izvedbo nadzora pri pristojnem organu, kar omogoča hitrejše in preglednejše pridobivanje informacij.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 učinkovito opravljanje nalog mora pooblaščena oseba za varstvo osebnih podatkov imeti dostop do vsebine osebnih podatkov, ki jih obdeluje pristojni organ (drugi odstavek 57.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Objavljeni kontaktni podatki pooblaščene osebe so namenjeni tudi vzpostavitvi stika posameznika s pristojnim organom glede njegovih pravic, kar je sicer določeno v četrtem odstavku 55. člena.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58. člen (pooblaščena oseba za varstvo osebnih podatkov pri Nacionalni enoti za informacije o potnikih)</w:t>
      </w:r>
    </w:p>
    <w:p w:rsidR="00E302FA" w:rsidRPr="007C190F" w:rsidRDefault="00E302FA" w:rsidP="00E302FA">
      <w:pPr>
        <w:spacing w:after="160" w:line="259" w:lineRule="auto"/>
        <w:jc w:val="both"/>
        <w:rPr>
          <w:rFonts w:eastAsia="Calibri" w:cs="Arial"/>
          <w:szCs w:val="20"/>
        </w:rPr>
      </w:pPr>
      <w:r w:rsidRPr="007C190F">
        <w:rPr>
          <w:rFonts w:eastAsia="Calibri" w:cs="Arial"/>
          <w:bCs/>
          <w:szCs w:val="20"/>
        </w:rPr>
        <w:t>Predlagani 58. člen določa, da mora pooblaščena oseba za varstvo podatkov pri Nacionalni enoti za informacije o potnikih, za imenovanje katere ima generalni direktor policije podlago v 112.d členu Zakona o nalogah in pooblastilih policije, izpolnjevati pogoje za določitev pooblaščene osebe, kot jih določata ta zakon in Zakon o nalogah in pooblastilih policije, ter opravlja naloge, kot jih določata ta zakona. Z Zakonom o nalogah in pooblastilih policije je bila v pravni</w:t>
      </w:r>
      <w:r w:rsidRPr="007C190F">
        <w:rPr>
          <w:rFonts w:eastAsia="Calibri" w:cs="Arial"/>
          <w:szCs w:val="20"/>
        </w:rPr>
        <w:t xml:space="preserve"> red Republike Slovenije v določenem delu prenesena Direktiva (EU) 2016/681 Evropskega parlamenta in Sveta z dne 27. aprila 2016 o uporabi podatkov iz evidence podatkov o potnikih (PNR) za preprečevanje, odkrivanje, preiskovanje in pregon terorističnih in hudih kaznivih dejanj (UL L št. 119 z dne 4. 5. 2016, str. 132), vendar ne v delu, ki ureja pogoje in naloge pooblaščene osebe za varstvo podatkov. S tem zakonom so pooblaščene osebe za varstvo osebnih podatkov za pristojne organe enotno urejene. Dodatna naloga pooblaščene osebe, ki izhaja iz omenjene direktive, je tudi možnost sporočanja sumov kršitev Informacijskemu pooblaščencu (člen 6, sedmi odstavek Direktive 2016/681).</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59. člen (uporaba določb tega zakona v kazenskih zadevah sodišč)</w:t>
      </w:r>
    </w:p>
    <w:p w:rsidR="00A410C7" w:rsidRPr="007C190F" w:rsidRDefault="00E302FA" w:rsidP="00E302FA">
      <w:pPr>
        <w:spacing w:after="160" w:line="259" w:lineRule="auto"/>
        <w:jc w:val="both"/>
        <w:rPr>
          <w:rFonts w:eastAsia="Calibri" w:cs="Arial"/>
          <w:szCs w:val="20"/>
        </w:rPr>
      </w:pPr>
      <w:r w:rsidRPr="007C190F">
        <w:rPr>
          <w:rFonts w:eastAsia="Calibri" w:cs="Arial"/>
          <w:szCs w:val="20"/>
        </w:rPr>
        <w:t>Predlagani 59. člen je predlagatelj zakona napisal glede na pripombe sodstva, da je ob upoštevanju določb Direktive, po katerih se ne sme posegati v neodvisno odločanje kazenskega sodstva, treba določiti (identificirati) tudi relevantne določbe predloga zakona, ki veljajo tudi za kazensko sodstvo. Glede na navedeno je v predlaganem členu določen izrecen (zaprti) seznam določb tega zakona, ki se uporabljajo v kazenskih zadevah sodišč, kar zagotavlja pravno varnost. Pri tem pa se upoštevajo omejitve ali možnosti, kot jih določa ta zakon ali drugi področni zakoni. Z vidika relevantnih določb za odločanje kazenskih sodišč so tako najprej uporabne (in zavezujoče) pravne podlage v prvem</w:t>
      </w:r>
      <w:r w:rsidR="00A410C7" w:rsidRPr="007C190F">
        <w:rPr>
          <w:rFonts w:eastAsia="Calibri" w:cs="Arial"/>
          <w:szCs w:val="20"/>
        </w:rPr>
        <w:t xml:space="preserve"> in </w:t>
      </w:r>
      <w:r w:rsidRPr="007C190F">
        <w:rPr>
          <w:rFonts w:eastAsia="Calibri" w:cs="Arial"/>
          <w:szCs w:val="20"/>
        </w:rPr>
        <w:t xml:space="preserve"> drugem odstavku 6. člena, v 7. členu ter v 8. členu predloga zakona.</w:t>
      </w:r>
      <w:r w:rsidR="00A410C7" w:rsidRPr="007C190F">
        <w:rPr>
          <w:rFonts w:eastAsia="Calibri" w:cs="Arial"/>
          <w:szCs w:val="20"/>
        </w:rPr>
        <w:t xml:space="preserve"> Izločena </w:t>
      </w:r>
      <w:r w:rsidR="00A410C7" w:rsidRPr="007C190F">
        <w:rPr>
          <w:rFonts w:eastAsia="Calibri" w:cs="Arial"/>
          <w:szCs w:val="20"/>
        </w:rPr>
        <w:lastRenderedPageBreak/>
        <w:t xml:space="preserve">pa je pravna podlaga iz četrtega odstavka 6. člena predloga zakona – življenjski interesi posameznika – saj gre v tem primeru dejansko za naloge policije. Prav tako so od najbolj pomembnih splošnih določb vključena prepoved diskriminacije iz 2. člena ter načela iz 5. člena (sorazmernost, poštenost).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Nato je določena tudi uporaba 9. člena, po kateri mora kazensko sodstvo razlikovati (in torej drugače obravnavati) različne kategorije oseb – npr. različno glede oseb, ki so samo osumljene storitve kaznivega dejanja napram osebam, ki so tega že obdolžene, kar je povezano tudi z uporabo presumpcije nedolžnosti iz 27. člena Ustave Republike Slovenije. Nadalje je določena uporaba 20. člena glede omejitev in uresničevanja pravic s področja varstva osebnih podatkov, kar je (lahko) določeno v področnih zakonih, zlasti v sodnih postopkovnih. Nato je določena uporaba splošnih določb 23., 24. in 25. člena predloga zakona, namreč glede dajanja informacij, podlag za omejitve ipd. Nato je določeno, da veljajo tudi pravila glede zaupanja obdelave obdelovalcu in spoštovanja navodil upravljavca (kazensko sodstvo) – 44. in 45. člen. Z varnostnega vidika je za informatizirane vpisnike kazenskega sodstva in druge informacijske sisteme določeno, da veljajo tudi določbe o dnevniku obdelave iz 47. člena predloga zakona. Z varnostnega vidika je tudi določeno, da veljajo določbe o varnosti obdelave iz 51. člena (vključno z notranjo sledljivostjo posredovanj iz 6. in 7. točke drugega odstavka), z vidika varovanja posameznika pa določbe 53. člena o sporočanju kršitev (tukaj pa je določena pristojnost nadzornega organa da odredi nadzorni ukrep). Kot zaključek ti. varnostnega dela je določeno, da mora tudi kazensko sodstvo imeti sistem zaupnega obveščanja o kršitvah varnosti osebnih podatkov (54. člen predloga zakona). Nadalje določeno, da veljajo določbe o povezovanju uradnih evidenc in javnih knjig tudi za kazensko sodstvo (62. člen predloga zakona) ter da veljajo tudi določbe 63. člena (in glede na njegovo določbo tudi določbe ostalih členov oddelka o strokovnem nadzoru) o strokovnem nadzoru tudi za kazensko sodstvo (bolj za uporabo v primeru možnih pravnih praznin). Zaključno je še določena uporaba oddelka o posredovanjih osebnih podatkov (67.-69. člen predloga zakona).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 xml:space="preserve">VI. poglavje – posebne določbe </w:t>
      </w:r>
    </w:p>
    <w:p w:rsidR="00E302FA" w:rsidRPr="007C190F" w:rsidRDefault="00E302FA" w:rsidP="00E302FA">
      <w:pPr>
        <w:spacing w:after="160" w:line="259" w:lineRule="auto"/>
        <w:jc w:val="both"/>
        <w:rPr>
          <w:rFonts w:eastAsia="Calibri" w:cs="Arial"/>
          <w:b/>
          <w:bCs/>
          <w:szCs w:val="20"/>
        </w:rPr>
      </w:pPr>
      <w:r w:rsidRPr="007C190F">
        <w:rPr>
          <w:rFonts w:eastAsia="Calibri" w:cs="Arial"/>
          <w:szCs w:val="20"/>
        </w:rPr>
        <w:t xml:space="preserve">To poglavje vsebuje področne ureditve, </w:t>
      </w:r>
      <w:r w:rsidR="00596EB6" w:rsidRPr="007C190F">
        <w:rPr>
          <w:rFonts w:eastAsia="Calibri" w:cs="Arial"/>
          <w:szCs w:val="20"/>
        </w:rPr>
        <w:t>podobno kot jih je urejal že dosedanji ZVOP-1.</w:t>
      </w:r>
      <w:r w:rsidR="00596EB6" w:rsidRPr="007C190F" w:rsidDel="00596EB6">
        <w:rPr>
          <w:rFonts w:eastAsia="Calibri" w:cs="Arial"/>
          <w:szCs w:val="20"/>
        </w:rPr>
        <w:t xml:space="preserve"> </w:t>
      </w: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1. oddelek – preverjanje identitete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oddelek VI. poglavja določa pravila za preverjanje identitete posameznika, na katerega se nanašajo osebni podatki.</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60. člen (preverjanje identitete posameznika)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60. člen ureja način preverjanja identitete posameznika, na katerega se nanašajo osebni podatki. Pri tem se upošteva, da bo v konkretnih postopkih treba identificirati tako državljane Republike Slovenije kot tudi tuje državljane, tiste, ki se nahajajo na ozemlju Republike Slovenije, in tiste, ki so v tujini. Predlagani člen omogoča različne načine identifikacije, tako z vpogledom v osebni dokument (seznam je določen v drugem odstavku), če je posameznik fizično prisoten ob izvajanju postopka, ali vpogled v kopijo dokumenta, ki ga posameznik pošlje po (elektronski) pošti, z uporabo elektronskega podpisa ali z uporabo drugih sredstev informacijske tehnologije (npr. z uporabo video klica). Predlagani člen je povezan tudi s 15. členom predloga zakona, predlagani 60. člen je načeloma podrobnejša izvedba 15. člena.</w:t>
      </w:r>
    </w:p>
    <w:p w:rsidR="00E302FA" w:rsidRPr="007C190F" w:rsidRDefault="00E302FA" w:rsidP="00E302FA">
      <w:pPr>
        <w:spacing w:after="160" w:line="259" w:lineRule="auto"/>
        <w:jc w:val="both"/>
        <w:rPr>
          <w:rFonts w:eastAsia="Calibri" w:cs="Arial"/>
          <w:b/>
          <w:bCs/>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2. oddelek – povezovanje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oddelek VI. poglavja določa pravila glede povezovanja.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lastRenderedPageBreak/>
        <w:t>61. člen (uporaba povezovalnih znakov)</w:t>
      </w:r>
    </w:p>
    <w:p w:rsidR="00E302FA" w:rsidRPr="007C190F" w:rsidRDefault="00E302FA" w:rsidP="00E302FA">
      <w:pPr>
        <w:spacing w:after="160" w:line="259" w:lineRule="auto"/>
        <w:jc w:val="both"/>
        <w:rPr>
          <w:rFonts w:cs="Arial"/>
          <w:szCs w:val="20"/>
          <w:lang w:eastAsia="sl-SI"/>
        </w:rPr>
      </w:pPr>
      <w:r w:rsidRPr="007C190F">
        <w:rPr>
          <w:rFonts w:eastAsia="Calibri" w:cs="Arial"/>
          <w:szCs w:val="20"/>
        </w:rPr>
        <w:t xml:space="preserve">V 61. členu je določena uporaba povezovalnih znakov (definicija povezovalnih znakov je v 22. točki 4. člena ZVOPPOKD). </w:t>
      </w:r>
      <w:r w:rsidRPr="007C190F">
        <w:rPr>
          <w:rFonts w:eastAsia="Calibri"/>
          <w:szCs w:val="20"/>
        </w:rPr>
        <w:t>V prvem odstavku je predlagano, da se p</w:t>
      </w:r>
      <w:r w:rsidRPr="007C190F">
        <w:rPr>
          <w:rFonts w:cs="Arial"/>
          <w:szCs w:val="20"/>
          <w:lang w:eastAsia="sl-SI"/>
        </w:rPr>
        <w:t xml:space="preserve">ri pridobivanju osebnih podatkov iz zbirk osebnih podatkov s področja zdravstva, policije, obveščevalno-varnostne dejavnosti države, obrambe države, sodstva in državnega tožilstva, probacije ter iz kazenske evidence in prekrškovnih evidenc ne sme uporabljati povezovalni znak, na način, da bi se za pridobitev osebnega podatka uporabil izključno ta znak. Prepovedna norma velja za pristojne organe, spoštovati pa jo morajo tudi obdelovalci. </w:t>
      </w:r>
    </w:p>
    <w:p w:rsidR="00E302FA" w:rsidRPr="007C190F" w:rsidRDefault="00E302FA" w:rsidP="00E302FA">
      <w:pPr>
        <w:spacing w:after="160" w:line="259" w:lineRule="auto"/>
        <w:jc w:val="both"/>
        <w:rPr>
          <w:rFonts w:cs="Arial"/>
          <w:szCs w:val="20"/>
          <w:lang w:eastAsia="sl-SI"/>
        </w:rPr>
      </w:pPr>
      <w:r w:rsidRPr="007C190F">
        <w:rPr>
          <w:rFonts w:cs="Arial"/>
          <w:szCs w:val="20"/>
          <w:lang w:eastAsia="sl-SI"/>
        </w:rPr>
        <w:t>Predlagani drugi odstavek je izjema od prvega odstavka in določa, da se lahko izjemoma uporabi en povezovalni znak (zlasti EMŠO) za pridobivanje osebnih podatkov, če je to podatek v konkretni zadevi, ki lahko omogoči, da se prepreči, odkrije, preišče ali preganja kaznivo dejanje, ki se  preganja po uradni dolžnosti. O tem se brez odlašanja napravi uradni zaznamek ali drug ustrezen zapis.</w:t>
      </w:r>
    </w:p>
    <w:p w:rsidR="00E302FA" w:rsidRPr="007C190F" w:rsidRDefault="00E302FA" w:rsidP="00E302FA">
      <w:pPr>
        <w:spacing w:after="160" w:line="259" w:lineRule="auto"/>
        <w:jc w:val="both"/>
        <w:rPr>
          <w:rFonts w:eastAsia="Calibri" w:cs="Arial"/>
          <w:szCs w:val="20"/>
        </w:rPr>
      </w:pPr>
      <w:r w:rsidRPr="007C190F">
        <w:rPr>
          <w:rFonts w:cs="Arial"/>
          <w:szCs w:val="20"/>
          <w:lang w:eastAsia="sl-SI"/>
        </w:rPr>
        <w:t>S tem členom</w:t>
      </w:r>
      <w:r w:rsidRPr="007C190F">
        <w:rPr>
          <w:rFonts w:eastAsia="Calibri" w:cs="Arial"/>
          <w:szCs w:val="20"/>
        </w:rPr>
        <w:t xml:space="preserve"> se glede povezovalnih znakov (EMŠO, davčna številka, ZZZS številka) ohranjajo obstoječe tradicionalne sistemske omejitve iz 20. člena ZVOP-1 pri povezovanju z nekaterimi zbirkami osebnih podatkov (evidence), in sicer tako, da je treba poleg EMŠO-a oziroma davčne številke kot vezni kriterij vnesti vsaj še en drug podatek (osebno ime, rojstni datum idr.). Navedeno služi kot varovalka pred prehitrim in napačnim pripisovanjem dejstev iz teh evidenc napačni osebi. Prepovedi iz prvega odstavka 61. člena so bile vsebovane že v četrtem odstavku 8. člena Zakona o varstvu osebnih podatkov iz leta 1999 ter so v veljavnem prvem odstavku 20. člena ZVOP-1, v navedena zakona pa so bile v povezavi s sprejemanjem Zakona o centralnem registru prebivalstva</w:t>
      </w:r>
      <w:r w:rsidRPr="007C190F">
        <w:rPr>
          <w:rFonts w:eastAsia="Calibri" w:cs="Arial"/>
          <w:sz w:val="18"/>
          <w:szCs w:val="18"/>
          <w:vertAlign w:val="superscript"/>
        </w:rPr>
        <w:footnoteReference w:id="54"/>
      </w:r>
      <w:r w:rsidRPr="007C190F">
        <w:rPr>
          <w:rFonts w:eastAsia="Calibri" w:cs="Arial"/>
          <w:szCs w:val="20"/>
        </w:rPr>
        <w:t xml:space="preserve"> leta 1998 vključene kot varovalka glede na takratne predloge, da bi bilo treba (v Zakonu o centralnem registru prebivalstva) ukiniti enotno matično številko občana, ker naj bi le-ta omogočala preveliko moč državi in preveč ogrožala zasebnost ljudi.</w:t>
      </w:r>
    </w:p>
    <w:p w:rsidR="00E302FA" w:rsidRPr="007C190F" w:rsidRDefault="00E302FA" w:rsidP="00E302FA">
      <w:pPr>
        <w:spacing w:before="360" w:after="160" w:line="259" w:lineRule="auto"/>
        <w:outlineLvl w:val="4"/>
        <w:rPr>
          <w:rFonts w:eastAsia="Calibri"/>
          <w:szCs w:val="20"/>
        </w:rPr>
      </w:pPr>
      <w:r w:rsidRPr="007C190F">
        <w:rPr>
          <w:rFonts w:eastAsia="Calibri"/>
          <w:b/>
          <w:szCs w:val="20"/>
        </w:rPr>
        <w:t>62. člen (povezovanje uradnih evidenc in javnih knjig)</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62. člen določa posebna pravila glede povezovanja uradnih evidenc in javnih knjig, določa torej eno od posebnih dejanj obdelave osebnih podatkov, predstavlja nadgradnjo obstoječe ureditve povezovanja zbirk osebnih podatkov iz 84. člena ZVOP-1. Glavna vsebina ureditve ostaja enaka kot do sedaj, in sicer da se omejuje vsako količinsko oziroma kakovostno znatnejše povezovanje uradnih evidenc med seboj ali z zunanjimi evidencami zgolj na tiste primere, ko sta to do sedaj posebej dovolila zakonodajalec oziroma v (najbolj tveganih) primerih tudi Informacijski pooblaščenec.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Pri tem se ureditev najbolj tveganih povezovanj ureja strožje (zakonodajalec mora izrecno določiti povezovanje kot način prenosa podatkov iz ene zbirke v drugo, zahteve po dovoljenju Informacijskega pooblaščena pa ni več), ureditev manj tveganih pa blažje (ni več potrebe po obveščanju ali pridobivanju dovoljenja Informacijskega pooblaščenca).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Razlog za tak sorazmerno restriktivni pristop je v dejstvu, da se v uradnih evidencah oziroma javnih knjigah hranijo uradni podatki o posamezniku, ki se zatorej tudi štejejo za resnične in torej predstavljajo neposredno podlago za odločanje o pravicah, obveznostih in pravnih koristih posameznika. Združevanje podatkov iz več takšnih zbirk ali omogočanje zunanjega dostopa do njih posledično bistveno povečuje tveganja za posege v pravice, obveznosti ali pravne koristi posameznika. Takšne tvegane situacije lahko nastanejo zlasti, ko so zbirke osebnih podatkov medsebojno tehnološko tako močno povezane, da lahko uporabnik ene od zbirk v svojem informacijskem okolju z enostavno poizvedbo (npr. z vnosom EMŠO-a) pridobi podrobne osebne podatke o tem posamezniku iz večjega števila medsebojno povezanih zbirk. Primer takšnega posebej obsežnega povezovanja je informacijski sistem eSociala, ki zaradi odločanja o pravicah iz javnih sredstev pridobiva in združuje podatke iz (v danem trenutku) vsaj 44 različnih uradnih evidenc in drugih zbirk osebnih podatkov. Enostavna dostopnost velikega obsega osebnih </w:t>
      </w:r>
      <w:r w:rsidRPr="007C190F">
        <w:rPr>
          <w:rFonts w:eastAsia="Calibri" w:cs="Arial"/>
          <w:szCs w:val="20"/>
        </w:rPr>
        <w:lastRenderedPageBreak/>
        <w:t>podatkov pomeni razgaljenost posameznika in s tem možnosti profiliranja njegovega vedenja ter zlorabe njegovih podatkov (povišana tveganja za notranjo in zunanjo nenamensko uporabo, okrepljeni motivi za hekerski ali državni vdor v informacijski sistem, tveganja za nepooblaščeno objavo podatkov idr.). Vse to očitno terja ustrezno stroge varovalke.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Ekstremni primer, ki ga ta ureditev preprečuje, je t.i. nastanek/omogočanje »totalne nadzorovalne družbe«. Preprečevalni pristop izhaja iz francoske »afere SAFARI« iz leta 1974</w:t>
      </w:r>
      <w:r w:rsidRPr="007C190F">
        <w:rPr>
          <w:rFonts w:eastAsia="Calibri" w:cs="Arial"/>
          <w:sz w:val="18"/>
          <w:szCs w:val="20"/>
          <w:vertAlign w:val="superscript"/>
        </w:rPr>
        <w:footnoteReference w:id="55"/>
      </w:r>
      <w:r w:rsidRPr="007C190F">
        <w:rPr>
          <w:rFonts w:eastAsia="Calibri" w:cs="Arial"/>
          <w:szCs w:val="20"/>
        </w:rPr>
        <w:t>, ko so se v Francoski republiki izvrševale zakonodajne priprave, da se preko povezovanj množice informatiziranih zbirk osebnih podatkov doseže nastanek ene (centralne; centralizirane) zbirke osebnih podatkov, za povezovanje pa bi se uporabila takratna francoska enotna matična številka občana (INSEE-koda). Projekt je bil na koncu preklican zaradi nasprotovanja javnosti oziroma razumevanja, da uvedba takšne totalne družbe nadzora nikakor ne more biti dopustna v razmerah, ki niso ne izredno niti vojno stanje, pa še takrat bi lahko tovrstna ureditev bila dopustna le začasno in v skladu z načelom sorazmernosti.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Posebna zakonska ureditev povezovanja osebnih podatkov je določena tudi v Zakonu št. 2472/1997 o varstvu osebnih podatkov Helenske republike. V f) točki 2. člena je določena definicija povezovanja, po kateri »povezovanje pomeni sredstvo za obdelavo, ki vključuje možnost uskladitve podatkov iz ene zbirke osebnih podatkov do osebnih podatkov iz druge zbirke osebnih podatkov ali zbirk osebnih podatkov, katere upravlja drug upravljavec ali upravljavci za drug namen.« 8. člen določa, da je v primerih, ko se povezujejo zbirke osebnih podatkov z občutljivimi osebnimi podatki ali se uporablja povezovalni znak, potrebna odločitev nadzornega organa za varstvo osebnih podatkov Helenske republike glede ustreznosti povezovanja.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Definicija povezovanja je zdaj urejena v samem členu (drugi odstavek), pri čemer je po novem določena tehnološko nevtralno oziroma bolj splošno, tako da lahko vključuje različne tehnične načine izvajanja povezovanja zbirk, ki so se pojavili v zadnjih desetih letih. Definicija se namesto na sam način povezovanja osredotoča zlasti na obseg in pogostost povezovanja ter tveganja, ki pri tem nastajajo. Bistveno vprašanje pri presoji, ali določeno dostopanje do uradne zbirke šteje za povezovanje, je, ali zaradi takšne povezave nastanejo znatno večja tveganja za pravice posameznika. Tako je vseeno, ali se povezovanje izvede samodejno oziroma brez zahteve uporabnika (npr. da informacijski sistemi medsebojno čez noč posodabljajo osebne podatke ob spremembah kot v primeru Centralnega registra prebivalstva) ali pa na zahtevo uporabnika (primer eSociala, kjer sistem na zahtevo uporabnika z uporabo različnih centralnih gradnikov pridobi osebne podatke posameznika iz 44 zbirk). Posledice pa so v praksi iste. Prav tako je vseeno, ali se prejeti podatki združijo šele pri uporabniku ali na kakšnem mestu pred njim (primer rešitve ti. »Pladenj«). Prav tako se kot povezovanje šteje tudi vodenje različnih zbirk pri istem upravljavcu ali obdelovalcu, razen če so organizacijsko in tehnično ustrezno ločene, saj bi sicer kršitev pravil varstva osebnih podatkov na eni od povezanih zbirk lahko imela posledice še za ostale povezane zbirke. Smiselno enako velja tudi v primeru, če isti pogodbeni obdelovalec vodi različne zbirke za različne upravljavce. Če te zbirke niso ustrezno ločene, je tudi treba govoriti o povezovanju.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Tako kot do sedaj pa se za povezovanje ne štejejo primeri, ko se pooblaščeni uporabnik v okviru upravnega ali drugega individualnega postopka prijavi v zbirko osebnih podatkov, iz katere je pooblaščen pridobiti osebne podatke posameznika (primeri aplikacij za posamične poizvedbe v centralnih registrih, kot je e-RISK v primeru Centralnega registra prebivalstva ali e-Poizvedbe na področju zdravstvenega zavarovanja). V takšnem primeru ni posebej povečanih tveganj za človekove pravice in temeljne svoboščine posameznika. Ključna razlika med povezovanjem zbirk osebnih podatkov in posameznim pridobivanjem osebnih podatkov je v tem, da se posamezniku v primeru povezanih zbirk podatkov pred vsako posamično poizvedbo v zbirko podatkov ni treba posebej prijavljati v vsako zbirko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Vse navedeno za pristojne organe kot upravljavce, ki bi želeli povezovati svoje zbirke z uradnimi evidencami ali javnimi knjigami (kar vključuje tako povezavo med samimi uradnimi evidencami, </w:t>
      </w:r>
      <w:r w:rsidRPr="007C190F">
        <w:rPr>
          <w:rFonts w:eastAsia="Calibri" w:cs="Arial"/>
          <w:szCs w:val="20"/>
        </w:rPr>
        <w:lastRenderedPageBreak/>
        <w:t xml:space="preserve">povezavo med javnimi knjigami, povezavo med evidencami in javnimi knjigami, povezavo uradnih evidenc z drugimi zbirkami, povezavo javnih knjig z drugimi zbirkami kot tudi povezavo uradnih evidenc in javnih knjig z drugimi zbirkami), </w:t>
      </w:r>
      <w:r w:rsidRPr="007C190F">
        <w:rPr>
          <w:rFonts w:eastAsia="Calibri" w:cs="Arial"/>
          <w:szCs w:val="20"/>
          <w:u w:val="single"/>
        </w:rPr>
        <w:t>nalaga določno sodelo</w:t>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Za povezovanje </w:t>
      </w:r>
      <w:r w:rsidRPr="007C190F">
        <w:rPr>
          <w:rFonts w:eastAsia="Calibri" w:cs="Arial"/>
          <w:szCs w:val="20"/>
          <w:u w:val="single"/>
        </w:rPr>
        <w:t>z vsebinsko najbolj tveganimi uradnimi evidencami</w:t>
      </w:r>
      <w:r w:rsidRPr="007C190F">
        <w:rPr>
          <w:rFonts w:eastAsia="Calibri" w:cs="Arial"/>
          <w:szCs w:val="20"/>
        </w:rPr>
        <w:t xml:space="preserve"> (zlasti: evidence posebnih vrst osebnih podatkov, evidence premoženjskih in dohodkovnih podatkov) bo moral pristojni organ (po prvem odstavku) od zakonodajalca v zakonu dobiti izrecno odobritev (določitev v zakonu)</w:t>
      </w:r>
      <w:r w:rsidRPr="007C190F">
        <w:rPr>
          <w:rFonts w:eastAsia="Calibri" w:cs="Arial"/>
          <w:sz w:val="18"/>
          <w:szCs w:val="18"/>
          <w:vertAlign w:val="superscript"/>
        </w:rPr>
        <w:footnoteReference w:id="56"/>
      </w:r>
      <w:r w:rsidRPr="007C190F">
        <w:rPr>
          <w:rFonts w:eastAsia="Calibri" w:cs="Arial"/>
          <w:szCs w:val="20"/>
        </w:rPr>
        <w:t xml:space="preserve">, da sme pridobivati podatke s pomočjo povezovanja (torej, ob premisleku tveganj, ki lahko nastopijo zaradi tega) preko sprejetja določb v področnem zakonu (npr. Zakon o sodnem registru).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tretjem odstavku pa ne bo več treba pridobiti dovoljenja Informacijskega pooblaščenca (upravna odločba), zadostovalo bo, da pristojni organ, ki bi izvedel povezovanje, o tem predhodno (rok 30 dni) obvesti Informacijskega pooblaščenca, ki pa lahko v tej predhodni fazi oceni, da je treba izvesti ti. »tematski« (svetovalni) nadzor.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Zaradi lažjega razumevanja nove ureditve podajamo nekaj širših primerov pridobivanja podatkov iz različnih uradnih zbirk, pri čemer komentiramo, ali gre za povezovanje ali ne ter po katerem režimu naj poteka.</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eSociala I/O modul in namenski spletni servisi – JE POVEZOVANJE;</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eSociala asinhroni modul (uporabnik na center za socialno delo (CSD) prek ISCSD2 sistema in Pladnja posreduje zahtevo bankam, banke gredo po zahtevek na pladenj, vsak zahtevek obdelajo ročno in poizvedbe ne spustijo v svoj sistem, pripravijo podatke in jih čez nekaj časa odložijo na Pladenj, kjer so na voljo uporabniku na CSD-ju) – JE POVEZOVANJE;</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 xml:space="preserve">pridobivanje podatkov zaradi odločanja o vlogah za dodelitev neprofitnih stanovanj po 11.a členu Stanovanjskega zakona – JE POVEZOVANJE; </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informacijski sistem TIRS, ki inšpektorju omogoča, da v tem sistemu brez posebne prijave v CRP za določeno osebo iz CRP pridobi njene podatke ali hkrati pridobi podatke za večje število oseb – JE POVEZOVANJE;</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aplikacije e-RISK, e-Poizvedbe, eMRVL-dostop do podatkov v registru MRVL – NI POVEZOVANJE, če pa se posamezne evidence povezujejo preko spletnih servisov, npr. prekrškovna evidenca redarskih služb, pa JE POVEZOVANJE;</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spletni servis, kjer se uporabnik na občini pred poizvedbo posebej avtenticira za dostop do zbirke osebnih podatkov in dobi podatke hkrati za več posameznikov – paketna poizvedba (npr. vsi, ki imajo 50 let) – JE  POVEZOVANJE;</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 xml:space="preserve">spletni servis, kjer se uporabnik na občini pred poizvedbo posebej avtenticira za dostop do zbirke osebnih podatkov in pridobi podatke za enega posameznika (posamična poizvedba) – NI  POVEZOVANJE; </w:t>
      </w:r>
    </w:p>
    <w:p w:rsidR="00E302FA" w:rsidRPr="007C190F" w:rsidRDefault="00E302FA" w:rsidP="00E302FA">
      <w:pPr>
        <w:numPr>
          <w:ilvl w:val="0"/>
          <w:numId w:val="17"/>
        </w:numPr>
        <w:spacing w:after="160" w:line="259" w:lineRule="auto"/>
        <w:contextualSpacing/>
        <w:jc w:val="both"/>
        <w:rPr>
          <w:rFonts w:eastAsia="Calibri" w:cs="Arial"/>
          <w:szCs w:val="20"/>
        </w:rPr>
      </w:pPr>
      <w:r w:rsidRPr="007C190F">
        <w:rPr>
          <w:rFonts w:eastAsia="Calibri" w:cs="Arial"/>
          <w:szCs w:val="20"/>
        </w:rPr>
        <w:t>spletni servis, kjer se uporabnik na občini pred poizvedbo posebej avtenticira za dostop do zbirke osebnih podatkov hkrati za več posameznikov (oseba na občini pripravi podatke, naredi izvoz, zapeče podatke na CD ali jih odloži na neko mesto za prevzem)  –  JE POVEZOVANJE.</w:t>
      </w:r>
    </w:p>
    <w:p w:rsidR="00E302FA" w:rsidRPr="007C190F" w:rsidRDefault="00E302FA" w:rsidP="00E302FA">
      <w:pPr>
        <w:spacing w:after="160" w:line="259" w:lineRule="auto"/>
        <w:contextualSpacing/>
        <w:jc w:val="both"/>
        <w:rPr>
          <w:rFonts w:eastAsia="Calibri" w:cs="Arial"/>
          <w:szCs w:val="20"/>
        </w:rPr>
      </w:pPr>
    </w:p>
    <w:p w:rsidR="00E302FA" w:rsidRPr="007C190F" w:rsidRDefault="00E302FA" w:rsidP="00E302FA">
      <w:pPr>
        <w:spacing w:after="160" w:line="259" w:lineRule="auto"/>
        <w:contextualSpacing/>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3. oddelek – strokovni nadzor</w:t>
      </w:r>
    </w:p>
    <w:p w:rsidR="00E302FA" w:rsidRPr="007C190F" w:rsidRDefault="00E302FA" w:rsidP="00E302FA">
      <w:pPr>
        <w:spacing w:after="160" w:line="259" w:lineRule="auto"/>
        <w:contextualSpacing/>
        <w:jc w:val="both"/>
        <w:rPr>
          <w:rFonts w:cs="Arial"/>
          <w:szCs w:val="20"/>
          <w:lang w:eastAsia="sl-SI"/>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3. oddelek VI. poglavja določa strokovni nadzor.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63. člen (strokovni nadzor)</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63. člen določa, da za pristojne organe glede strokovnega nadzora veljajo pravila iz tega oddelka, če drug zakon ne določa drugače. S predlaganim oddelkom se upošteva potreba zapolnitve pravne praznine na tem področju, kadar veljavni področni zakoni ne vsebujejo določb o obdelavi osebnih podatkov pri opravljanju strokovnega nadzora. Predlagano poglavje pride v poštev predvsem na področju policije in državnih tožilstev (5.–11. člen Zakona o organiziranosti in delu v policiji</w:t>
      </w:r>
      <w:r w:rsidRPr="007C190F">
        <w:rPr>
          <w:rFonts w:eastAsia="Calibri" w:cs="Arial"/>
          <w:sz w:val="18"/>
          <w:szCs w:val="18"/>
          <w:vertAlign w:val="superscript"/>
        </w:rPr>
        <w:footnoteReference w:id="57"/>
      </w:r>
      <w:r w:rsidRPr="007C190F">
        <w:rPr>
          <w:rFonts w:eastAsia="Calibri" w:cs="Arial"/>
          <w:szCs w:val="20"/>
        </w:rPr>
        <w:t xml:space="preserve"> in 173.–175. člen Zakona o državnem tožilstvu</w:t>
      </w:r>
      <w:r w:rsidRPr="007C190F">
        <w:rPr>
          <w:rFonts w:eastAsia="Calibri" w:cs="Arial"/>
          <w:sz w:val="18"/>
          <w:szCs w:val="18"/>
          <w:vertAlign w:val="superscript"/>
        </w:rPr>
        <w:footnoteReference w:id="58"/>
      </w:r>
      <w:r w:rsidRPr="007C190F">
        <w:rPr>
          <w:rFonts w:eastAsia="Calibri" w:cs="Arial"/>
          <w:szCs w:val="20"/>
        </w:rPr>
        <w:t>). Nekateri zakoni običajno določajo le pristojnost oziroma obveznost opravljanja strokovnega nadzora, ni pa tudi določeno vsebinsko (materialno), kaj konkretno lahko izvajalec strokovnega nadzora pri njegovem opravljanju opravi glede dostopa do vsebine osebnih podatkov, za kar pa je treba določiti ustrezno ureditev tudi v zvezi s prvim odstavkom 6. člena predloga zakona (sistemsko načelo zakonitosti glede obdelave osebnih podatkov).</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64. člen (splošne določbe)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64. členu so ponovljene dosedanje konkretne določbe o obdelavi osebnih podatkov v okviru strokovnega nadzora, kot je to določeno že v 88. členu ZVOP-1.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65. člen (obveščanje posameznika in pridobivanje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65. členu je določeno obveščanje posameznika (prvi odstavek) in dodatna obdelava osebnih podatkov v okviru strokovnega nadzora (drugi odstavek), kot je to določeno v dosedanjem 89. členu ZVOP-1.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66. člen (posebne vrste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66. členu so določeni strokovni nadzor in obdelava posebnih vrst osebnih podatkov, kot je to določeno v dosedanjem 90. členu ZVOP-1.</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2"/>
        <w:rPr>
          <w:rFonts w:ascii="Calibri Light" w:hAnsi="Calibri Light"/>
          <w:sz w:val="24"/>
        </w:rPr>
      </w:pPr>
      <w:r w:rsidRPr="007C190F">
        <w:rPr>
          <w:rFonts w:ascii="Calibri Light" w:hAnsi="Calibri Light"/>
          <w:sz w:val="24"/>
        </w:rPr>
        <w:t>4. oddelek – posredovanje osebnih podatkov</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oddelek VI. poglavja določa pravila glede posredovanja osebnih podatkov.</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67. člen (posredovanje osebnih podatkov, ki ga izvedejo osebe javnega sektorja)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67. člen ureja posredovanje osebnih podatkov s strani pristojnega organa drugemu subjektu javnega sektorja in obratno.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Izhodiščno pravilo 67. člena za posredovanje je, da mora iti zgolj za eno od oblik obdelave osebnih podatkov in da mora torej zanjo obstajati veljavna pravna podlaga, ki pristojni organ zavezuje ali mu vsaj dovoljuje posredovanje. Naloga, da določi to pravno podlago ter da njeno podanost ustrezno izkaže, je na prosilcu za dostop do osebnih podatkov. Ta mora imetniku (originatorju) osebnih podatkov poslati zahtevek, v katerem utemelji svojo pravno podlago. Šele na podlagi takšnega dopisa pa je potem mogoče pripraviti zaprošene podatke in jih tudi posredovati. Zgolj </w:t>
      </w:r>
      <w:r w:rsidRPr="007C190F">
        <w:rPr>
          <w:rFonts w:eastAsia="Calibri" w:cs="Arial"/>
          <w:szCs w:val="20"/>
        </w:rPr>
        <w:lastRenderedPageBreak/>
        <w:t>posredovanje podatkov med subjekti javnega sektorja je brezplačno po samem zakonu (interes uresničevanja načela pravne države iz 2. člena Ustave Republike Slovenije). Za zasebni sektor se lahko  določeni vidiki posredovanja osebnih podatkov s strani javnega sektorja določijo tudi v področni zakonodaji (npr. tretji odstavek 116. člena ZNPPol).</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četrtem odstavku je določena posebna ureditev za evidence oziroma zbirke Ministrstva za notranje zadeve, ki se vsakodnevno uporabljajo za urejanje osebnih stanj in istočasno za preverjanje identitete osebe, glede katerih se izvajajo postopki iz prvega odstavka 1. člena tega zakona.  Pristojni organi morajo zaradi pomembnosti vsebine teh evidenc ali zbirk, ki vsebujejo vse državljane ali prebivalce  Republike Slovenije, upoštevati tehnične standarde, ki jih za dostop do njihove vsebine uporablja Ministrstvo za notranje zadeve.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68. člen (posredovanje osebnih podatkov, ki ga izvedejo osebe zasebnega sektorja)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68. člen je neke vrste »zrcalna slika« 67. člena – zasebni sektor posreduje določene podatke uporabnikom iz javnega sektorja, če gre za nalogo javnega sektorja po prvem odstavku 67. člena. V tretjem odstavku je določen institut brezplačnosti posredovanja osebnih podatkov (bistveni interes pravne države iz 2. člena Ustave Republike Slovenije).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69. člen (postopek posredovanja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69. člen določa pravila glede postopka posredovanja osebnih podatkov. Pomembno je, da so v šestem odstavku tega člena določena pravila glede ti. »zunanje sledljivosti« obdelave osebnih podatkov, namreč glede posredovanj osebnih podatkov s strani upravljavcev (pristojnih organov) uporabnikom. Upravljavec mora za vsako posredovanje osebnih podatkov zagotoviti, da je mogoče pozneje ugotoviti, kateri osebni podatki so bili posredovani, komu, kdaj in po kateri pravni podlagi, za kateri namen oziroma iz katerih razlogov oziroma za potrebe katerega postopka, razen če drug zakon za posredovanje posameznih vrst podatkov ne določa drugače. Ureditev je podobna kot v dosedanjem tretjem odstavku 22. člena ZVOP-1. Predlagana določba je tako izvedba ukrepov varnosti obdelave, obveščanja o kršitvah varstva osebnih podatkov in olajšanje izvajanja vgrajenega in privzetega varstva osebnih podatkov. </w:t>
      </w:r>
    </w:p>
    <w:p w:rsidR="00063231" w:rsidRPr="007C190F" w:rsidRDefault="00063231" w:rsidP="00E302FA">
      <w:pPr>
        <w:spacing w:after="160" w:line="259" w:lineRule="auto"/>
        <w:jc w:val="both"/>
        <w:rPr>
          <w:rFonts w:eastAsia="Calibri" w:cs="Arial"/>
          <w:szCs w:val="20"/>
        </w:rPr>
      </w:pPr>
      <w:r w:rsidRPr="007C190F">
        <w:rPr>
          <w:rFonts w:eastAsia="Calibri" w:cs="Arial"/>
          <w:szCs w:val="20"/>
        </w:rPr>
        <w:t xml:space="preserve">Pomembno je tudi, da peti odstavek določa, da se ta člen ne uporablja, če se pravice uveljavljajo v skladu z drugim zakonom.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Osmi odstavek predlaganega člena tudi določa, da določbe o zunanji sledljivosti ter revizijski sledi veljajo tudi za obdelovalce, če so z zakonom ali pogodbo zavezani posredovati določene osebne podatke, kar pa vključuje tudi sodne odredbe ali inšpektorske ali druge nadzorne zavezujoče odredbe, odrejene ali izdane na podlagi in v mejah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devetem odstavku predlog določa, da pristojni organi drug upravljavec ali obdelovalec posamezniku, na katerega se nanašajo  osebni podatki, do vložitve obtožnega akta, vendar največ 36 mesecev, ne razkrije, da je ali da bo posredoval določene osebne podatke drugemu pristojnemu organu. Namen omejitve je v zagotavljanju integritete postopkov preiskave in pregona.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VII. poglavje – PRENOS OSEBNIH PODATKOV TRETJIM DRŽAVAM ALI MEDNARODNIM ORGANIZACIJAM</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after="160" w:line="259" w:lineRule="auto"/>
        <w:jc w:val="both"/>
        <w:rPr>
          <w:rFonts w:eastAsia="Calibri" w:cs="Arial"/>
          <w:szCs w:val="20"/>
        </w:rPr>
      </w:pPr>
      <w:r w:rsidRPr="007C190F">
        <w:rPr>
          <w:rFonts w:eastAsia="Calibri" w:cs="Arial"/>
          <w:szCs w:val="20"/>
        </w:rPr>
        <w:t>VII. poglavje ureja prenose osebnih podatkov v tretje države ali mednarodne organizacije in pri tem upošteva specifike področja Direktive, zlasti občasno potrebnost hitrega policijskega sodelovanja.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70. člen (splošna pravila za prenos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 xml:space="preserve">Predlagani člen ureja splošna pravila za prenos osebnih podatkov ter glede čezmejne obdelave (za posredovanja osebnih podatkov med državami članicami Evropske unije in mednarodnim organizacijam), vključno z nadaljnjimi prenosi iz teh držav ali mednarodnih organizacij v tretje države ali mednarodne organizacije.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Prenos je dopusten, če so upoštevane določbe tega dela zakona in: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je prenos potreben za namene iz prvega odstavka 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se osebni podatki posredujejo upravljavcu v tretji državi ali mednarodni organizaciji, ki je pristojen za izpolnitev enega od namenov iz prvega odstavka 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je pristojna država članica v primerih, ko se osebni podatki posredujejo iz druge države članice Evropske unije ali tej dajo na razpolago, dala predhodno soglasje za prenos;</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je Evropska komisija sprejela sklep o ustreznosti ali, če tak sklep ne obstaja, so bili predloženi oziroma obstajajo ustrezni ukrepi v smislu 72. člena tega zakona ali je, če ne obstaja sklep o ustreznosti, možno v skladu s 73. členom tega zakona uporabiti izjeme za določene primere in če je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zagotovljeno, da je nadaljnji prenos tretji državi ali drugi mednarodni organizaciji dovoljen le na podlagi predhodne odobritve pristojnega organa, ki je izvedel prvotni prenos podatkov, in ob primernem upoštevanju vseh tehtnih meril, vključno z naravo ali težo kaznivega dejanja ali prekrška, namenom prvotnega prenosa osebnih podatkov in stopnjo varstva osebnih podatkov v tretji državi ali mednarodni organizaciji, ki se ji posredujejo osebni podatki oziroma jih prenese naprej.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drugem odstavku je prenos brez prehodne odobritve v skladu s 3. točko prejšnjega odstavka dovoljen le, če je prenos nujno potreben za preprečitev neposredne in resne grožnje javni varnosti Republike Slovenije ali tretje države ali za varstvo ustavne ureditve, bistvenih varnostnih, političnih in gospodarskih interesov Republike Slovenije, predhodnega soglasja pa ni bilo mogoče pravočasno pridobiti. O tem je treba nemudoma obvestiti organ, pristojen za podelitev predhodnega soglasja.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 </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71. člen (prenos osebnih podatkov na podlagi sklepa o ustreznosti varstva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ureja sistem prenosa osebnih podatkov na podlagi sklepa o ustreznosti varstva osebnih podatkov, ki ga izda Evropska komisija na podlagi tretjega odstavka člena 36 Direktive (izvedbeni akt), če odloči, da zadevna tretja država, njena regija oziroma eden ali več specifičnih sektorjev (javni sektor, zasebni sektor, deli zasebnega sektorja, deli javnega sektorja) v tej tretji državi ali zadevna mednarodna organizacija nudi ustrezno stopnjo varstva osebnih podatkov. Za tak prenos podatkov ni potrebna posebna odobritev nobenega drugega organa (ni potrebna naknadna odobritev). Ta Sklep Evropske komisije, sprejet v skladu s petim odstavkom člena 36 Direktive, ki se nanaša na preklic, spremembo ali odložitev izvajanja že izdanega sklepa po tretjem odstavku člena 36 Direktive, ne vpliva na že izvedene prenose osebnih podatkov tretji državi, regiji oziroma enemu ali več specifičnim sektorjem v tretji državi oziroma mednarodni organizaciji v skladu z 71. ali 72. členom tega zakona niti ne vpliva na obveznosti iz področnih mednarodnih pogodb.</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 xml:space="preserve">72. člen (prenos osebnih podatkov z uporabo ustreznih zaščitnih ukrepov)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člen dopušča prenos osebnih podatkov z uveljavljanjem ustreznih ukrepov varstva osebnih podatkov, če ne obstaja Sklep Evropske komisije iz tretjega odstavka 36. člena Direktive, 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1. so v ustreznem pravnem aktu, ki je pravno obvezujoč (predpis z učinkom zakona), določeni ustrezni ukrepi za varstvo osebnih podatkov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je pristojni organ po oceni vseh okoliščin, ki so pri prenosu pomembne, ugotovil, da dejansko obstajajo ustrezni ukrepi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predlaganem drugem odstavku je določeno, da mora upravljavec o teh kategorijah prenosov obvestiti Informacijskega pooblaščenca, to obvestilo pa je lahko tudi indikacija, da lahko Informacijski pooblaščenec po opravljenem nadzoru (po uradni dolžnosti – inšpekcijski nadzor) odredi tudi prepoved prenosa osebnih podatkov.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tretjem odstavku je treba prenose v skladu s celotnim prvim odstavkom ustrezno dokumentirati, dokumentacijo, ki vključuje datum in uro prenosa, podatke o prejemniku ali uporabniku, utemeljitev prenosa in navedbo prenešenih osebnih podatkov, pa je treba na zahtevo dati na razpolago Informacijskemu pooblaščencu. Dokumentacija se zaradi razloga naknadne kontrole in zaradi preverjanja spoštovanja zakonitosti ter glede na to, da gre za posebno izjemo, hrani pet let.</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četrtem odstavku je določeno, da lahko Informacijski pooblaščenec, če ugotovi neskladnost ukrepov za varstvo osebnih podatkov v zadevni tretji državi ali mednarodni organizaciji s tem zakonom glede prenosov, z odločbo odredi ustavitev oziroma prepoved prenosa osebnih podatkov. To lahko naredi na podlagi obvestila Evropske komisije, drugega nadzornega organa, lastnega nadzornega postopka ali informacij posameznika, mora pa nato izvesti svoj lastni ugotovitveni postopek.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Peti odstavek odloča, da zoper odločbo nadzornega organa iz četrtega odstavka ni dovoljena pritožba, dopusten pa je upravni spor. Informacijski pooblaščenec po šestem odstavku pošlje svojo odločbo Evropski komisiji in jo objavi na svoji spletni strani.</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73. člen (izjeme za posamezne primere)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V predlaganem členu so določene izjeme (glede na člen 38 Direktive), ki urejajo dodatne možnosti prenosa osebnih podatkov, če ne obstajajo podlage po prejšnjih dveh členih predloga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prvem odstavku je prenos osebnih podatkov tretji državi ali mednarodni organizaciji dopusten le, če je prenos potreben: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 za zaščito življenjsko pomembnih interesov posameznika (življenje in telo);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za varovanje zakonitih interesov posameznikov, na katere se nanašajo osebni podatki (obramba pred tožbo);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za preprečitev neposredne in resne nevarnosti za javno varnost države članice Evropske unije ali tretje države (ne gre samo za varnost države);</w:t>
      </w:r>
    </w:p>
    <w:p w:rsidR="00E302FA" w:rsidRPr="007C190F" w:rsidRDefault="00E302FA" w:rsidP="00E302FA">
      <w:pPr>
        <w:spacing w:after="160" w:line="259" w:lineRule="auto"/>
        <w:jc w:val="both"/>
        <w:rPr>
          <w:rFonts w:eastAsia="Calibri" w:cs="Arial"/>
          <w:szCs w:val="20"/>
          <w:lang w:val="it-IT"/>
        </w:rPr>
      </w:pPr>
      <w:r w:rsidRPr="007C190F">
        <w:rPr>
          <w:rFonts w:eastAsia="Calibri" w:cs="Arial"/>
          <w:szCs w:val="20"/>
        </w:rPr>
        <w:t>4. v posameznem primeru za namene, navedene v prvem odstavku 1. člena ZVOPPOKD, ali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v posameznem primeru za uveljavljanje, izvajanje ali obrambo pravnih zahtevkov v povezavi z nameni, navedenimi v prvem odstavku 1. člena ZVOPPOKD (npr. odškodninska tožba).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Po drugem odstavku je v primerih iz 4. in 5. točke prvega odstavka prenos osebnih podatkov dovoljen le, če ni kršena nobena od nad javnim interesom prevladujočih človekovih pravic in temeljnih svoboščin posameznikov, na katere se osebni podatki nanašajo.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tretjem odstavku za prenose v skladu s prvim odstavkom veljajo določbe tretjega odstavka 72. člena ZVOPPOKD (obveznosti dokumentiranja ter preverjanja).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74. člen (posebni prenosi določenim uporabnikom v tretjih državah)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S predlaganim členom se prenaša 39. člen Direktive glede izjemnih prenosov osebnih podatkov določenim uporabnikom v tretjih državah – in to neposredno, mimo običajnega sodelovanja (posredništva) preko centralnega pristojnega organa tretje države (pot centralnega pristojnega organa) in mimo običajnih (v prejšnjih členih, v področnih zakonih, mednarodnih pogodbah določenih) pravnih poti, zgolj po tem členu, kjer gre v bistvu za ti. »tiktakajoča bomba« situacijo (ti. »</w:t>
      </w:r>
      <w:r w:rsidRPr="007C190F">
        <w:rPr>
          <w:rFonts w:eastAsia="Calibri" w:cs="Arial"/>
          <w:i/>
          <w:szCs w:val="20"/>
        </w:rPr>
        <w:t>ticking bomb situation</w:t>
      </w:r>
      <w:r w:rsidRPr="007C190F">
        <w:rPr>
          <w:rFonts w:eastAsia="Calibri" w:cs="Arial"/>
          <w:szCs w:val="20"/>
        </w:rPr>
        <w:t>«). Prvi odstavek v uvodnem besedilu definira prenosnike osebnih podatkov kot pristojne organe (ne morejo torej to biti obdelovalci). Ključni kriterij je, da mora biti prenos nujno potreben za opravljanje konkretnih nalog uporabnika v tretji državi (npr. nujni prenos policijske informacije za takojšnjo policijsko akcijo v tretji državi, akcija banke glede preprečevanja pranja denarja ipd.). V 1. do 6. točki so določeni kumulativni pogoji, ki omogočajo tovrsten izjemni prenos, s tem da 6. točka določa, da mora upravljavec (pristojni državni organ) iz Republike Slovenije določiti vezanost organa (uporabnika) iz tretje države, da bo osebne podatke uporabil le za določen namen in tudi sorazmerno v okviru tega namena</w:t>
      </w:r>
      <w:r w:rsidR="00063231" w:rsidRPr="007C190F">
        <w:rPr>
          <w:rFonts w:eastAsia="Calibri" w:cs="Arial"/>
          <w:szCs w:val="20"/>
        </w:rPr>
        <w:t xml:space="preserve"> (skladnega s prvim odstavkom 1. člena tega zakona)</w:t>
      </w:r>
      <w:r w:rsidRPr="007C190F">
        <w:rPr>
          <w:rFonts w:eastAsia="Calibri" w:cs="Arial"/>
          <w:szCs w:val="20"/>
        </w:rPr>
        <w:t xml:space="preserve">.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Drugi odstavek določa, da se o teh prenosih obvesti Informacijskega pooblaščenca. Tretji odstavek pa določa obveznost dokumentiranja prenosov. </w:t>
      </w:r>
    </w:p>
    <w:p w:rsidR="00E302FA" w:rsidRPr="007C190F" w:rsidRDefault="00E302FA" w:rsidP="00E302FA">
      <w:pPr>
        <w:spacing w:after="160" w:line="259" w:lineRule="auto"/>
        <w:jc w:val="both"/>
        <w:rPr>
          <w:rFonts w:eastAsia="Calibri" w:cs="Arial"/>
          <w:szCs w:val="20"/>
          <w:shd w:val="clear" w:color="auto" w:fill="FFFFFF"/>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VIII. poglavje – nadzorni organ</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To poglavje določa nadzorni organ Republike Slovenije (Informacijski pooblaščenec), njegove pristojnosti in naloge.</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75. člen (določitev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prvi odstavek določa, da je Informacijski pooblaščenec neodvisni in samostojni nadzorni organ, ki izvaja nadzor nad spoštovanjem določb tega zakona ter glede obdelav osebnih podatkov za namene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 Pri tem izhaja iz podobne sistemske formulacije, kot je v uvodnem besedilu prvega odstavka 2. člena Zakona o informacijskem pooblaščencu</w:t>
      </w:r>
      <w:r w:rsidRPr="007C190F">
        <w:rPr>
          <w:rFonts w:eastAsia="Calibri" w:cs="Arial"/>
          <w:sz w:val="18"/>
          <w:szCs w:val="18"/>
          <w:vertAlign w:val="superscript"/>
        </w:rPr>
        <w:footnoteReference w:id="59"/>
      </w:r>
      <w:r w:rsidRPr="007C190F">
        <w:rPr>
          <w:rFonts w:eastAsia="Calibri" w:cs="Arial"/>
          <w:szCs w:val="20"/>
        </w:rPr>
        <w:t>. Določba je sistemske narave, določa, da ima Republika Slovenija le en nadzorni organ za varstvo osebnih podatkov ter zagotavlja njegovo pravnoorganizacijsko samostojnost ter neodvisnost odločanja po ZVOPPOKD.</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drugem odstavku nadzorni organ skrbi za enotno uresničevanje ukrepov na področju varstva osebnih podatkov po določbah tega zakona, tako da se zaščitijo človekove pravice in temeljne svoboščine posameznikov v zvezi z obdelavo osebnih podatkov ter omogoči prosti pretok osebnih podatkov med državami članicami Evropske unije v skladu z določbami tega zakona.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76. člen (pristojnosti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Informacijski pooblaščenec kot nadzorni organ za varstvo osebnih podatkov ima po 76. členu predloga zakona naslednje pristojnosti: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 izvaja nadzore nad izvajanjem določb tega zakona in drugih zakonov, podzakonskih predpisov ali drugih splošnih aktov glede obdelav osebnih podatkov s področij iz prvega odstavka </w:t>
      </w:r>
      <w:r w:rsidR="005041E7">
        <w:fldChar w:fldCharType="begin"/>
      </w:r>
      <w:r w:rsidR="005041E7">
        <w:instrText xml:space="preserve"> REF _Ref40430122 \r \h  \* MERGEFORMAT </w:instrText>
      </w:r>
      <w:r w:rsidR="005041E7">
        <w:fldChar w:fldCharType="separate"/>
      </w:r>
      <w:r w:rsidR="009C0CED" w:rsidRPr="007C190F">
        <w:rPr>
          <w:rFonts w:eastAsia="Calibri" w:cs="Arial"/>
          <w:szCs w:val="20"/>
        </w:rPr>
        <w:t>1</w:t>
      </w:r>
      <w:r w:rsidR="005041E7">
        <w:fldChar w:fldCharType="end"/>
      </w:r>
      <w:r w:rsidRPr="007C190F">
        <w:rPr>
          <w:rFonts w:eastAsia="Calibri" w:cs="Arial"/>
          <w:szCs w:val="20"/>
        </w:rPr>
        <w:t>.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odloča v pritožbenem postopku, v nadzornih postopkih po prijavi in v postopkih inšpekcijskih nadzorov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3. daje predhodna mnenja ministrstvom, državnemu zboru, organom samoupravnih lokalnih skupnosti, drugim državnim organom in nosilcem javnih pooblastil o usklajenosti določb predlogov </w:t>
      </w:r>
      <w:r w:rsidRPr="007C190F">
        <w:rPr>
          <w:rFonts w:eastAsia="Calibri" w:cs="Arial"/>
          <w:szCs w:val="20"/>
        </w:rPr>
        <w:lastRenderedPageBreak/>
        <w:t xml:space="preserve">zakonov ter ostalih predpisov z zakoni in drugimi predpisi, ki urejajo osebne podatke – za področja iz prvega odstavka 1. člena tega zakona;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izvaja predhodno posvetovanje v skladu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daje pristojnim organom in posameznikom, neobvezna mnenja, pojasnila in stališča o vprašanjih glede varstva osebnih podatkov v zvezi zakoni in povezanimi predpisi na področju obravnavanja kaznivih dejanj, določenem s prvim odstavkom 1. člena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6. spodbuja ozaveščenost in razumevanje javnosti o tveganjih, pravilih, zaščitnih ukrepih in pravicah v zvezi z obdelavo;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 spodbuja ozaveščenost pristojnih organov in obdelovalcev o njihovih obveznostih na podlagi tega zakona;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sodeluje z nadzornimi organi drugih držav ali mednarodnih organizacij;</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sodeluje pri delovanju Evropskega odbora za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pripravi letno poročilo o izvajanju tega zakona, v skladu z določbami zakonov, ki urejata informacijskega pooblaščenca oziroma varstvo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11. obvesti pristojno sodišče o kršitvah zakona in na lastno pobudo sodišču v sodnem postopku posreduje mnenje o ugotovljenih kršitvah;</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12. sodeluje s pristojnimi or</w:t>
      </w:r>
      <w:r w:rsidR="00596EB6" w:rsidRPr="007C190F">
        <w:rPr>
          <w:rFonts w:eastAsia="Calibri" w:cs="Arial"/>
          <w:szCs w:val="20"/>
        </w:rPr>
        <w:t>g</w:t>
      </w:r>
      <w:r w:rsidRPr="007C190F">
        <w:rPr>
          <w:rFonts w:eastAsia="Calibri" w:cs="Arial"/>
          <w:szCs w:val="20"/>
        </w:rPr>
        <w:t>ani in drugimi upravljavci in obdelovalci pri izvajanju nadzorov po tem zakonu;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13. olajša postopek vložitve pritožb iz </w:t>
      </w:r>
      <w:r w:rsidR="005041E7">
        <w:fldChar w:fldCharType="begin"/>
      </w:r>
      <w:r w:rsidR="005041E7">
        <w:instrText xml:space="preserve"> REF _Ref45614400 \r \h  \* MERGEFORMAT </w:instrText>
      </w:r>
      <w:r w:rsidR="005041E7">
        <w:fldChar w:fldCharType="separate"/>
      </w:r>
      <w:r w:rsidR="009C0CED" w:rsidRPr="007C190F">
        <w:rPr>
          <w:rFonts w:eastAsia="Calibri" w:cs="Arial"/>
          <w:szCs w:val="20"/>
        </w:rPr>
        <w:t>27</w:t>
      </w:r>
      <w:r w:rsidR="005041E7">
        <w:fldChar w:fldCharType="end"/>
      </w:r>
      <w:r w:rsidRPr="007C190F">
        <w:rPr>
          <w:rFonts w:eastAsia="Calibri" w:cs="Arial"/>
          <w:szCs w:val="20"/>
        </w:rPr>
        <w:t xml:space="preserve">. člena, zahtev iz </w:t>
      </w:r>
      <w:r w:rsidR="005041E7">
        <w:fldChar w:fldCharType="begin"/>
      </w:r>
      <w:r w:rsidR="005041E7">
        <w:instrText xml:space="preserve"> REF _Ref44325519 \r \h  \* MERGEFORMAT </w:instrText>
      </w:r>
      <w:r w:rsidR="005041E7">
        <w:fldChar w:fldCharType="separate"/>
      </w:r>
      <w:r w:rsidR="009C0CED" w:rsidRPr="007C190F">
        <w:rPr>
          <w:rFonts w:eastAsia="Calibri" w:cs="Arial"/>
          <w:szCs w:val="20"/>
        </w:rPr>
        <w:t>33</w:t>
      </w:r>
      <w:r w:rsidR="005041E7">
        <w:fldChar w:fldCharType="end"/>
      </w:r>
      <w:r w:rsidRPr="007C190F">
        <w:rPr>
          <w:rFonts w:eastAsia="Calibri" w:cs="Arial"/>
          <w:szCs w:val="20"/>
        </w:rPr>
        <w:t>. člena in prijav iz 40. člena tega zakona, in sicer tako, da pripravi obrazce, ki se lahko vložijo tudi v elektronski obliki;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14. in izvaja druge naloge, določene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V drugem odstavku predlaganega člena je zaradi izvedbe tretjega odstavka 46. člena Direktive določeno, da nadzorni organ izvaja pristojnosti iz prvega odstavka brezplačno (ni torej zaračunavanja upravnih taks ali drugih pristojbin). Možnosti iz četrtega odstavka 46. člena Direktive za zaračunavanje stroškov ipd. v primeru neutemeljenih ali pretiranih zahtev (pritožb ali prijav) posameznika pred nadzornim organom ta predlog zakona ne ureja, za take primere zadoščajo pravila Zakona o splošnem upravnem postopku.   </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tretjem odstavku predlaganega člena inšpekcijski nadzor po tem zakonu izvajajo nadzorne osebe (le Informacijski pooblaščenec in državni nadzorniki), pri nadzoru pa lahko sodeluje strokovno osebje nadzornega organa s področja informacijskih in komunikacijskih tehnologij ter namestniki informacijskega pooblaščenca.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77. člen (omejitve pri izvajanju nadzorov)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77. člen v prvem odstavku določa omejitve glede izvajanja  inšpekcijskih in prekrškovnih nadzorov glede obdelav osebnih podatkov, ki se obdelujejo v kazenski zadevi sodišča, izvedenih v okviru neodvisnega sodniškega odločanja ali odločanja strokovnih sodelavcev ali sodniških pomočnikov po odredbi sodnika, kot to opredeljuje zakon, ki ureja sodišča, ali po določbah drugih zakonov, ki določajo njihovo samostojno delovanje, ter obdelav osebnih podatkov, izvedenih v okviru neodvisnega sodniškega odločanja Ustavnega sodišča Republike Slovenije v kazenskih zadevah (zlasti postopek ustavne pritožbe, lahko tudi spori o pristojnosti). Ustavno sodišče Republike Slovenije je posebej navedeno, ker ne gre za sodišče s splošno pristojnostjo, niti ni specializirano sodišče.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lastRenderedPageBreak/>
        <w:t>V drugem odstavku je predlagano, da se zavarujejo identitete ti. zaščitenih oseb, namreč tajnih delavcev, policistov, ki jim je dodeljena prirejena identiteta ter policijskim delavcem tuje države s statusom tajnega delavca, zaščitenih prič ter oseb, ki dajejo podatke policiji. S tem namenom se omejuje vpogled nadzornih oseb v dele dokumentov in zbirke, ki vključujejo osebne podatke navedenih oseb (nadzor se sme torej izvesti le glede osebnih podatkov prijaviteljev). Na koncu drugega odstavka in v tretjem odstavku so vsebovane določene vsebine, ki natančneje določajo, kaj se pri izvajanju nadzora ne sme razkriti v odločitvah nadzornega organa – namreč ne smejo se razkriti informacije o konkretni »akciji« pristojnega organa.</w:t>
      </w:r>
    </w:p>
    <w:p w:rsidR="00BF3165" w:rsidRPr="007C190F" w:rsidRDefault="00BF3165" w:rsidP="00BF3165">
      <w:pPr>
        <w:spacing w:after="160" w:line="259" w:lineRule="auto"/>
        <w:jc w:val="both"/>
        <w:rPr>
          <w:rFonts w:eastAsia="Calibri" w:cs="Arial"/>
          <w:szCs w:val="20"/>
        </w:rPr>
      </w:pPr>
      <w:r w:rsidRPr="007C190F">
        <w:rPr>
          <w:rFonts w:eastAsia="Calibri" w:cs="Arial"/>
          <w:szCs w:val="20"/>
        </w:rPr>
        <w:t>Primerljiva omejitev obstaja za nadzorni mehanizem zakonodajne oblasti – glede nadzora nad delovanjem obveščevalno-varnostnih služb v Republiki Sloveniji. Sledi se namreč ureditvi s področja parlamentarnega nadzora glede tajnih delavcev in tajnih sodelavcev s strani KNOVS Državnega zbora – katera je že od leta 2007 določena v drugem odstavku 25. člena Zakona o parlamentarnem nadzoru obveščevalnih in varnostnih služb</w:t>
      </w:r>
      <w:r w:rsidRPr="007C190F">
        <w:rPr>
          <w:rStyle w:val="Sprotnaopomba-sklic"/>
          <w:rFonts w:eastAsia="Calibri" w:cs="Arial"/>
          <w:szCs w:val="20"/>
        </w:rPr>
        <w:footnoteReference w:id="60"/>
      </w:r>
      <w:r w:rsidRPr="007C190F">
        <w:rPr>
          <w:rFonts w:eastAsia="Calibri" w:cs="Arial"/>
          <w:szCs w:val="20"/>
        </w:rPr>
        <w:t xml:space="preserve">, namreč: </w:t>
      </w:r>
    </w:p>
    <w:p w:rsidR="00BF3165" w:rsidRPr="007C190F" w:rsidRDefault="00BF3165" w:rsidP="00BF3165">
      <w:pPr>
        <w:spacing w:after="160" w:line="259" w:lineRule="auto"/>
        <w:jc w:val="both"/>
        <w:rPr>
          <w:rFonts w:eastAsia="Calibri" w:cs="Arial"/>
          <w:szCs w:val="20"/>
        </w:rPr>
      </w:pPr>
      <w:r w:rsidRPr="007C190F">
        <w:rPr>
          <w:rFonts w:eastAsia="Calibri" w:cs="Arial"/>
          <w:szCs w:val="20"/>
        </w:rPr>
        <w:t xml:space="preserve">»(2) Ne glede na določbe prejšnjega odstavka pooblaščena skupina </w:t>
      </w:r>
      <w:r w:rsidRPr="007C190F">
        <w:rPr>
          <w:rFonts w:eastAsia="Calibri" w:cs="Arial"/>
          <w:b/>
          <w:bCs/>
          <w:szCs w:val="20"/>
        </w:rPr>
        <w:t>ne sme vpogledati v tisti del dokumentacije nadzorovane službe, iz katerega bi bilo lahko razvidno</w:t>
      </w:r>
      <w:r w:rsidRPr="007C190F">
        <w:rPr>
          <w:rFonts w:eastAsia="Calibri" w:cs="Arial"/>
          <w:szCs w:val="20"/>
        </w:rPr>
        <w:t xml:space="preserve">, da v postopku delujejo ali sodelujejo tajni delavci oziroma sodelavci po določbah ZKP, ZObr in ZSOVA oziroma bi bila </w:t>
      </w:r>
      <w:r w:rsidRPr="007C190F">
        <w:rPr>
          <w:rFonts w:eastAsia="Calibri" w:cs="Arial"/>
          <w:b/>
          <w:bCs/>
          <w:szCs w:val="20"/>
        </w:rPr>
        <w:t>lahko razkrita identiteta</w:t>
      </w:r>
      <w:r w:rsidRPr="007C190F">
        <w:rPr>
          <w:rFonts w:eastAsia="Calibri" w:cs="Arial"/>
          <w:szCs w:val="20"/>
        </w:rPr>
        <w:t xml:space="preserve"> teh tajnih delavcev ali sodelavcev.</w:t>
      </w:r>
      <w:r w:rsidRPr="007C190F">
        <w:rPr>
          <w:rStyle w:val="Sprotnaopomba-sklic"/>
          <w:rFonts w:eastAsia="Calibri" w:cs="Arial"/>
          <w:szCs w:val="20"/>
        </w:rPr>
        <w:footnoteReference w:id="61"/>
      </w:r>
      <w:r w:rsidRPr="007C190F">
        <w:rPr>
          <w:rFonts w:eastAsia="Calibri" w:cs="Arial"/>
          <w:szCs w:val="20"/>
        </w:rPr>
        <w:t>«</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78. člen (medsebojna pomoč)</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78. člen določa, kako Informacijski pooblaščenec pristojnim nadzornim organom drugih držav članic Evropske unije na njihovo zahtevo zagotovi ustrezne informacije in medsebojno pomoč glede konkretne zadeve, ki jo potrebujejo za dosledno izvajanje in uporabo njihove zakonodaje, s katero v svoj pravni red prenašajo Direktivo, določa pa tudi omejitve (peti odstavek), če ni pristojen za vsebino zahteve ali za izvršitev zahtevanih ukrepov (lahko je pristojen kak drug nadzorni organ) ali pa bi izpolnitev zahteve kršila zakon (npr. poseg v kazenske zadeve).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Po desetem odstavku lahko Informacijski pooblaščenec zahteva pomoč nadzornih organov drugih držav članic Evropske unije, zahteva za upravno pomoč pa mora vsebovati vse potrebne informacije glede konkretne zadeve, vključno z namenom in obrazložitvijo zahteve. Pridobljene informacije se uporabljajo samo za namen, za katerega so bile zahtevane, na njih nadzorni organ ni vezan (odloča po ZVOPPOKD).</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IX. POGLAVJE – KAZENSKE DOLOČBE</w:t>
      </w:r>
    </w:p>
    <w:p w:rsidR="00E302FA" w:rsidRPr="007C190F" w:rsidRDefault="00E302FA" w:rsidP="00E302FA">
      <w:pPr>
        <w:spacing w:after="160" w:line="259" w:lineRule="auto"/>
        <w:jc w:val="both"/>
        <w:rPr>
          <w:rFonts w:eastAsia="Calibri" w:cs="Arial"/>
          <w:b/>
          <w:bCs/>
          <w:szCs w:val="20"/>
        </w:rPr>
      </w:pPr>
      <w:r w:rsidRPr="007C190F">
        <w:rPr>
          <w:rFonts w:eastAsia="Calibri" w:cs="Arial"/>
          <w:szCs w:val="20"/>
        </w:rPr>
        <w:t>Sistematika določanja prekrškov v tem zakonu sledi namenu zakona, to je zagotoviti zakonitost obdelav osebnih podatkov. V primeru kršitev se namen primarno doseže z (inšpekcijskim) nadzorom informacijskega pooblaščenca in uveljavljanjem nadzornih pooblastil in ukrepov. Kadar namena ne bi bilo mogoče doseči z nadzorom, ker ga pristojni organ ali pogodbeni obdelovalec aktivno onemogočata, je predvidena prekrškovna sankcija kot zadnja možnost, ki jo ima informacijski pooblaščenec (</w:t>
      </w:r>
      <w:r w:rsidRPr="007C190F">
        <w:rPr>
          <w:rFonts w:eastAsia="Calibri" w:cs="Arial"/>
          <w:i/>
          <w:iCs/>
          <w:szCs w:val="20"/>
        </w:rPr>
        <w:t>ultima ratio</w:t>
      </w:r>
      <w:r w:rsidRPr="007C190F">
        <w:rPr>
          <w:rFonts w:eastAsia="Calibri" w:cs="Arial"/>
          <w:szCs w:val="20"/>
        </w:rPr>
        <w:t>).</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79. člen (splošne kršitve s strani pristojnega organa in drugih upravljavcev)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79. člen v prvem odstavku določa kaznivost za prekrške in ustrezne kazni (globo) za kršitve določb ZVOPPOKD, ki jih stori odgovorna oseba pristojnega organa ali drugega upravljavca. Odgovorna oseba pristojnega organa (državni organ) je lahko v skladu s 13.a členom Zakona o prekrških (ZP-1) določena s področnim zakonom (ZVOPPOKD) kot kategorija storilca prekrška, saj sicer država kot pravna oseba javnega prava za prekršek ne odgovarja. Odgovorna oseba v državnem organu pa za prekršek odgovarja pod pogoji iz 15. in 15.a člena ZP-1, ki določata </w:t>
      </w:r>
      <w:r w:rsidRPr="007C190F">
        <w:rPr>
          <w:rFonts w:eastAsia="Calibri" w:cs="Arial"/>
          <w:szCs w:val="20"/>
        </w:rPr>
        <w:lastRenderedPageBreak/>
        <w:t>pojem odgovorne osebe in odgovornost odgovorne osebe. Odgovorna oseba v državnem organu je odvisno od konkretne zadeve in dodeljenih pooblastil lahko predstojnik državnega organa, organa v sestavi, skrbnik določene zbirke ali evidence, lahko pa tudi oseba, ki je pooblaščena za dejanja obdelave (neposredni storilec). Z globo se kaznuje odgovorna oseba pristojnega organa ali drugega upravljavca, če</w:t>
      </w:r>
    </w:p>
    <w:p w:rsidR="00E302FA" w:rsidRPr="007C190F" w:rsidRDefault="00E302FA" w:rsidP="00E302FA">
      <w:pPr>
        <w:spacing w:after="160" w:line="240" w:lineRule="auto"/>
        <w:jc w:val="both"/>
        <w:rPr>
          <w:rFonts w:eastAsia="Calibri"/>
          <w:szCs w:val="20"/>
        </w:rPr>
      </w:pPr>
      <w:r w:rsidRPr="007C190F">
        <w:rPr>
          <w:rFonts w:eastAsia="Calibri"/>
          <w:szCs w:val="20"/>
        </w:rPr>
        <w:t>1. obdeluje osebne podatke brez podlage v zakonu ali brez privolitve posameznika, na katerega se nanašajo osebni podatki. Pri tem je treba upoštevati tudi tretji in četrti odstavek 6. člena, ki določata neposredno pravno podlago za obdelavo v primeru, ko je posameznik, na katerega se nanašajo osebni podatki, sam objavil ali naredil za javne osebne podatke, ali pa je obdelava potrebna za varovanje življenja ali telesa. Gre lahko tudi za ti. kolektivni prekršek.</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2. po izvedeni obdelavi ne napiše poročila z navedbo razlogov za obdelavo in obsegom obdelanih osebnih podatkov ali ga ne pošlje posamezniku.</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3. obdeluje posebne vrste osebnih podatkov brez podlage v zakonu, pa to ni nujno potrebno za opravljanje nalog pristojnih organov, določenih z zakonom. Materialna določba ima tri pogoje, ki morajo biti določeni kumulativno (skladnost s 6. členom, nujno potrebno za opravljanje nalog in naloge so določene z zakonom). Prekršek je samo obdelava podatkov kljub temu, da niso nujno potrebni za opravljane nalog pristojnega organa. Gre za kolektivne prekrške.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4. če na zahtevo posameznika ne opravi ponovnega in ročnega pregleda odločitve, ki temelji izključno na avtomatizirani obdelavi osebnih podatkov in ki ima lahko negativen pravni učinek na posameznika, na katerega se nanašajo osebni podatki, ali ki tega posameznika lahko bistveno prizadene, pa je posameznik pregled zahteval. Navedeni pogoji morajo biti izpolnjeni kumulativno.</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5. če po seznanitvi z uvedbo postopka izbriše ali spremeni zahtevane osebne podatke, ki so predmet postopka, dokler o zadevi ni pravnomočno odločeno.</w:t>
      </w:r>
    </w:p>
    <w:p w:rsidR="00E302FA" w:rsidRPr="007C190F" w:rsidRDefault="00E302FA" w:rsidP="00E302FA">
      <w:pPr>
        <w:spacing w:after="160" w:line="259" w:lineRule="auto"/>
        <w:jc w:val="both"/>
        <w:rPr>
          <w:rFonts w:cs="Arial"/>
          <w:szCs w:val="20"/>
          <w:lang w:eastAsia="sl-SI"/>
        </w:rPr>
      </w:pPr>
      <w:r w:rsidRPr="007C190F">
        <w:rPr>
          <w:rFonts w:eastAsia="Calibri" w:cs="Arial"/>
          <w:szCs w:val="20"/>
        </w:rPr>
        <w:t xml:space="preserve">6. </w:t>
      </w:r>
      <w:r w:rsidRPr="007C190F">
        <w:rPr>
          <w:rFonts w:cs="Arial"/>
          <w:szCs w:val="20"/>
          <w:lang w:eastAsia="sl-SI"/>
        </w:rPr>
        <w:t xml:space="preserve">javno ne objavi informacij iz </w:t>
      </w:r>
      <w:r w:rsidR="00302F04" w:rsidRPr="007C190F">
        <w:rPr>
          <w:rFonts w:cs="Arial"/>
          <w:szCs w:val="20"/>
          <w:lang w:eastAsia="sl-SI"/>
        </w:rPr>
        <w:t xml:space="preserve">1. do 6. točke </w:t>
      </w:r>
      <w:r w:rsidRPr="007C190F">
        <w:rPr>
          <w:rFonts w:cs="Arial"/>
          <w:szCs w:val="20"/>
          <w:lang w:eastAsia="sl-SI"/>
        </w:rPr>
        <w:t>prvega odstavka 23. člena. Pri tem mora prekrškovni organ upoštevati, da je lahko objava omejena pod pogoji iz tretjega odstavka 23.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7. </w:t>
      </w:r>
      <w:r w:rsidRPr="007C190F">
        <w:rPr>
          <w:rFonts w:cs="Arial"/>
          <w:szCs w:val="20"/>
          <w:lang w:eastAsia="sl-SI"/>
        </w:rPr>
        <w:t xml:space="preserve">če </w:t>
      </w:r>
      <w:r w:rsidRPr="007C190F">
        <w:rPr>
          <w:rFonts w:eastAsia="Calibri" w:cs="Arial"/>
          <w:szCs w:val="20"/>
        </w:rPr>
        <w:t>ne vodi dokumentacije, iz katere izhaja, da je zagotovljena skladnost obdelav z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8. če ne upravlja evidence vseh kategorij dejavnosti obdelav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9. dnevnik obdelave uporabi za druge namene od tistih, določenih v tretjem odstavku 47. člena.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10. ne sporoči nemudoma vsem uporabnikom, da so jim bili posredovani ali dani na razpolago osebni podatki, ki ne ustrezajo zahtevam iz prvega odstavka 48. člena ali so bili posredovani nezakonito, oziroma takšnih podatkov nemudoma ne popravi, jih izbriše ali omeji.</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11. ne izvaja predpisanih ukrepov varnosti obdelave iz 1. do 10. točke drugega odstavka </w:t>
      </w:r>
      <w:r w:rsidR="005041E7">
        <w:fldChar w:fldCharType="begin"/>
      </w:r>
      <w:r w:rsidR="005041E7">
        <w:instrText xml:space="preserve"> REF _Ref40431222 \r \h  \* MERGEFORMAT </w:instrText>
      </w:r>
      <w:r w:rsidR="005041E7">
        <w:fldChar w:fldCharType="separate"/>
      </w:r>
      <w:r w:rsidR="009C0CED" w:rsidRPr="007C190F">
        <w:rPr>
          <w:rFonts w:eastAsia="Calibri" w:cs="Arial"/>
          <w:szCs w:val="20"/>
        </w:rPr>
        <w:t>51</w:t>
      </w:r>
      <w:r w:rsidR="005041E7">
        <w:fldChar w:fldCharType="end"/>
      </w:r>
      <w:r w:rsidRPr="007C190F">
        <w:rPr>
          <w:rFonts w:eastAsia="Calibri" w:cs="Arial"/>
          <w:szCs w:val="20"/>
        </w:rPr>
        <w:t>. člena tega zakona. Gre za kolektivne prekrške.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12. ne dokumentira vseh kršitev varnosti osebnih podatkov.</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13. uporablja povezovalni znak v nasprotju z 61. členom tega zakona.</w:t>
      </w:r>
    </w:p>
    <w:p w:rsidR="00E302FA" w:rsidRPr="007C190F" w:rsidRDefault="00E302FA" w:rsidP="00E302FA">
      <w:pPr>
        <w:spacing w:after="160" w:line="259" w:lineRule="auto"/>
        <w:jc w:val="both"/>
        <w:rPr>
          <w:rFonts w:eastAsia="Calibri" w:cs="Arial"/>
          <w:b/>
          <w:bCs/>
          <w:szCs w:val="20"/>
        </w:rPr>
      </w:pPr>
      <w:r w:rsidRPr="007C190F">
        <w:rPr>
          <w:rFonts w:eastAsia="Calibri" w:cs="Arial"/>
          <w:szCs w:val="20"/>
        </w:rPr>
        <w:t>V predlaganem drugem odstavku je določena milejša oblika prekrška iz 1. točke prvega odstavka 79. člena predloga zakona, namreč kršitev pravil varstva osebnih podatkov, ki se izvede le z vpogledom v osebne podatke v zbirki oziroma evidenci. Če so po vpogledu izvršena še dodatna dejanja obdelave, gre pa za prekršek po 1. točki prvega odstavka tega člena. Za prekršek se kaznuje oseba, ki je v podatke vpogledala (odgovorna oseba). Da gre po intenziteti za lažji prekršek, nakazuje tudi razpon globe, ki je nižji kot za kršitve v prvem odstavku 79. člena.</w:t>
      </w:r>
    </w:p>
    <w:p w:rsidR="00E302FA" w:rsidRPr="007C190F" w:rsidRDefault="00E302FA" w:rsidP="00E302FA">
      <w:pPr>
        <w:spacing w:before="360" w:after="160" w:line="259" w:lineRule="auto"/>
        <w:outlineLvl w:val="4"/>
        <w:rPr>
          <w:rFonts w:eastAsia="Calibri"/>
          <w:szCs w:val="20"/>
        </w:rPr>
      </w:pPr>
      <w:r w:rsidRPr="007C190F">
        <w:rPr>
          <w:rFonts w:eastAsia="Calibri"/>
          <w:b/>
          <w:szCs w:val="20"/>
        </w:rPr>
        <w:t>80. člen (kršitve s področja pogodbene obdelave)</w:t>
      </w:r>
    </w:p>
    <w:p w:rsidR="00E302FA" w:rsidRPr="007C190F" w:rsidRDefault="00E302FA" w:rsidP="00E302FA">
      <w:pPr>
        <w:spacing w:after="160" w:line="259" w:lineRule="auto"/>
        <w:jc w:val="both"/>
        <w:rPr>
          <w:rFonts w:eastAsia="Calibri" w:cs="Arial"/>
          <w:b/>
          <w:bCs/>
          <w:szCs w:val="20"/>
        </w:rPr>
      </w:pPr>
      <w:r w:rsidRPr="007C190F">
        <w:rPr>
          <w:rFonts w:eastAsia="Calibri" w:cs="Arial"/>
          <w:szCs w:val="20"/>
        </w:rPr>
        <w:t xml:space="preserve">Predlagani 80. člen določa globo za prekrške, ki jih stori pravna oseba, samostojni podjetnik posameznik ali posameznik, ki samostojno opravlja dejavnost, in posameznik. Oseba, ki stori </w:t>
      </w:r>
      <w:r w:rsidRPr="007C190F">
        <w:rPr>
          <w:rFonts w:eastAsia="Calibri" w:cs="Arial"/>
          <w:szCs w:val="20"/>
        </w:rPr>
        <w:lastRenderedPageBreak/>
        <w:t>prekršek, je zunanji, pogodbeni obdelovalec. Večina kršitev pogodbene obdelave je prepuščena ureditvi s pogodbo med pristojnim organom in pogodbenim obdelovalcem, ta člen pa ureja le tiste, za katere se šteje, da lahko negativno vplivajo na izvedbo nadzornih postopkov po tem zakonu (zlasti kršitve iz drugega in tretjega odstavka 44. člena, in tudi prvega odstavka 62. člena predloga zakona – v tem primeru za kršitev glede izvajanja povezovanja zbirk podatkov s strani obdelovalca, če za to ni izrecne zakonske določbe (dovoljenja). V tretjem odstavku je tudi določena kaznivost odgovornih oseb obdelovalca za tovrstne kršitve, v četrtem odstavku pa odgovornost posameznika.</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81. člen (kršitve s področja prenosov osebnih podatkov tretjim državam ali mednarodnim organizacijam)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81. člen določa globo za prekrške v zvezi s prenosi osebnih podatkov tretjim državam ali mednarodnim organizacijam.</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82. člen (izrek globe)</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 xml:space="preserve">Predlagani 82. člen določa, da se sme v hitrem prekrškovnem postopku po tem zakonu izreči globa, ki je višja od najnižje predpisane globe. Gre za izjemo od tretjega odstavka 52. člena Zakona o prekrških, ki določa, da se v hitrem postopku storilcu izreče globa v znesku, v katerem je predpisana, če je predpisana v razponu, pa se izreče najnižja predpisana mera globe. Navedeni člen določa možnost, da drug zakon določa drugače. </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keepNext/>
        <w:keepLines/>
        <w:spacing w:before="40" w:line="259" w:lineRule="auto"/>
        <w:jc w:val="both"/>
        <w:outlineLvl w:val="1"/>
        <w:rPr>
          <w:rFonts w:ascii="Calibri Light" w:hAnsi="Calibri Light"/>
          <w:sz w:val="26"/>
          <w:szCs w:val="26"/>
        </w:rPr>
      </w:pPr>
      <w:r w:rsidRPr="007C190F">
        <w:rPr>
          <w:rFonts w:ascii="Calibri Light" w:hAnsi="Calibri Light"/>
          <w:sz w:val="26"/>
          <w:szCs w:val="26"/>
        </w:rPr>
        <w:t>X. POGLAVJE - PREHODNA IN KONČNA DOLOČBA</w:t>
      </w:r>
    </w:p>
    <w:p w:rsidR="00E302FA" w:rsidRPr="007C190F" w:rsidRDefault="00E302FA" w:rsidP="00E302FA">
      <w:pPr>
        <w:spacing w:after="160" w:line="259" w:lineRule="auto"/>
        <w:jc w:val="both"/>
        <w:rPr>
          <w:rFonts w:eastAsia="Calibri" w:cs="Arial"/>
          <w:szCs w:val="20"/>
        </w:rPr>
      </w:pP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83. člen (prehodne določbe glede delovanja nadzornega organa)</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Predlagani 83. člen določa, da se prekrškovni postopki, ki so se v zvezi z zadevami iz prvega odstavka 1. člena tega zakona začeli pri Informacijskem pooblaščencu ali na sodiščih pred uveljavitvijo tega zakona, končajo v skladu z Zakonom o varstvu osebnih podatkov (Uradni list RS, št. 94/07 – uradno prečiščeno besedilo), razen če je ta zakon za storilca milejši. Postopki inšpekcijskega nadzora v zvezi s temi področji, začeti na podlagi Zakona o varstvu osebnih podatkov (Uradni list RS, št. 94/07 – uradno prečiščeno besedilo), se nadaljujejo v skladu s tem zakonom.</w:t>
      </w:r>
    </w:p>
    <w:p w:rsidR="00E302FA" w:rsidRPr="007C190F" w:rsidRDefault="00E302FA" w:rsidP="00E302FA">
      <w:pPr>
        <w:spacing w:after="160" w:line="259" w:lineRule="auto"/>
        <w:jc w:val="both"/>
        <w:rPr>
          <w:rFonts w:eastAsia="Calibri" w:cs="Arial"/>
          <w:szCs w:val="20"/>
        </w:rPr>
      </w:pPr>
      <w:r w:rsidRPr="007C190F">
        <w:rPr>
          <w:rFonts w:eastAsia="Calibri" w:cs="Arial"/>
          <w:szCs w:val="20"/>
        </w:rPr>
        <w:t>Drugi odstavek določa, da z uveljavitvijo zakona preneha delovati Register zbirk osebnih podatkov. Vsebino registra se preda Arhivu Republike Slovenije v roku enega leta. Vsebina Registra se hrani kot trajno arhivsko gradivo.</w:t>
      </w:r>
    </w:p>
    <w:p w:rsidR="00E302FA" w:rsidRPr="007C190F" w:rsidRDefault="00E302FA" w:rsidP="00E302FA">
      <w:pPr>
        <w:spacing w:before="360" w:after="160" w:line="259" w:lineRule="auto"/>
        <w:outlineLvl w:val="4"/>
        <w:rPr>
          <w:rFonts w:eastAsia="Calibri"/>
          <w:b/>
          <w:szCs w:val="20"/>
        </w:rPr>
      </w:pPr>
      <w:r w:rsidRPr="007C190F">
        <w:rPr>
          <w:rFonts w:eastAsia="Calibri"/>
          <w:b/>
          <w:szCs w:val="20"/>
        </w:rPr>
        <w:t>84. člen (začetek veljavnosti)</w:t>
      </w:r>
    </w:p>
    <w:p w:rsidR="00E302FA" w:rsidRPr="00654207" w:rsidRDefault="00E302FA" w:rsidP="00E302FA">
      <w:pPr>
        <w:spacing w:after="160" w:line="259" w:lineRule="auto"/>
        <w:jc w:val="both"/>
        <w:rPr>
          <w:rFonts w:eastAsia="Calibri" w:cs="Arial"/>
          <w:szCs w:val="20"/>
        </w:rPr>
      </w:pPr>
      <w:r w:rsidRPr="007C190F">
        <w:rPr>
          <w:rFonts w:eastAsia="Calibri" w:cs="Arial"/>
          <w:szCs w:val="20"/>
        </w:rPr>
        <w:t>Predlagani 84. člen določa, da zakon začne veljati trideseti dan po objavi v Uradnem listu Republike Slovenije.</w:t>
      </w:r>
    </w:p>
    <w:p w:rsidR="00E302FA" w:rsidRPr="00654207" w:rsidRDefault="00E302FA" w:rsidP="00E302FA">
      <w:pPr>
        <w:spacing w:after="160" w:line="259" w:lineRule="auto"/>
        <w:jc w:val="both"/>
        <w:rPr>
          <w:rFonts w:eastAsia="Calibri" w:cs="Arial"/>
          <w:szCs w:val="20"/>
        </w:rPr>
      </w:pPr>
    </w:p>
    <w:p w:rsidR="00E302FA" w:rsidRPr="00654207" w:rsidRDefault="00E302FA" w:rsidP="00E302FA">
      <w:pPr>
        <w:spacing w:after="160" w:line="259" w:lineRule="auto"/>
        <w:jc w:val="both"/>
        <w:rPr>
          <w:rFonts w:eastAsia="Calibri" w:cs="Arial"/>
          <w:szCs w:val="20"/>
        </w:rPr>
      </w:pPr>
    </w:p>
    <w:p w:rsidR="00CD73B7" w:rsidRPr="00654207" w:rsidRDefault="00CD73B7" w:rsidP="00B644CC">
      <w:pPr>
        <w:pStyle w:val="Naslovpredpisa"/>
        <w:spacing w:before="0" w:after="0" w:line="260" w:lineRule="exact"/>
        <w:jc w:val="right"/>
        <w:rPr>
          <w:szCs w:val="20"/>
        </w:rPr>
      </w:pPr>
    </w:p>
    <w:sectPr w:rsidR="00CD73B7" w:rsidRPr="00654207" w:rsidSect="00C756F2">
      <w:headerReference w:type="default" r:id="rId9"/>
      <w:footerReference w:type="default" r:id="rId10"/>
      <w:headerReference w:type="first" r:id="rId11"/>
      <w:pgSz w:w="11900" w:h="16840" w:code="9"/>
      <w:pgMar w:top="1418" w:right="1552" w:bottom="993"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0B32" w:rsidRDefault="00A50B32">
      <w:r>
        <w:separator/>
      </w:r>
    </w:p>
  </w:endnote>
  <w:endnote w:type="continuationSeparator" w:id="0">
    <w:p w:rsidR="00A50B32" w:rsidRDefault="00A50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Arial,Italic">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0FC" w:rsidRPr="00972570" w:rsidRDefault="005041E7">
    <w:pPr>
      <w:pStyle w:val="Noga"/>
      <w:jc w:val="right"/>
      <w:rPr>
        <w:sz w:val="16"/>
        <w:szCs w:val="16"/>
      </w:rPr>
    </w:pPr>
    <w:r w:rsidRPr="00972570">
      <w:rPr>
        <w:sz w:val="16"/>
        <w:szCs w:val="16"/>
      </w:rPr>
      <w:fldChar w:fldCharType="begin"/>
    </w:r>
    <w:r w:rsidR="00D850FC" w:rsidRPr="00972570">
      <w:rPr>
        <w:sz w:val="16"/>
        <w:szCs w:val="16"/>
      </w:rPr>
      <w:instrText xml:space="preserve"> PAGE   \* MERGEFORMAT </w:instrText>
    </w:r>
    <w:r w:rsidRPr="00972570">
      <w:rPr>
        <w:sz w:val="16"/>
        <w:szCs w:val="16"/>
      </w:rPr>
      <w:fldChar w:fldCharType="separate"/>
    </w:r>
    <w:r w:rsidR="009B1481">
      <w:rPr>
        <w:noProof/>
        <w:sz w:val="16"/>
        <w:szCs w:val="16"/>
      </w:rPr>
      <w:t>6</w:t>
    </w:r>
    <w:r w:rsidRPr="00972570">
      <w:rPr>
        <w:noProof/>
        <w:sz w:val="16"/>
        <w:szCs w:val="16"/>
      </w:rPr>
      <w:fldChar w:fldCharType="end"/>
    </w:r>
  </w:p>
  <w:p w:rsidR="00D850FC" w:rsidRDefault="00D850F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0B32" w:rsidRDefault="00A50B32">
      <w:r>
        <w:separator/>
      </w:r>
    </w:p>
  </w:footnote>
  <w:footnote w:type="continuationSeparator" w:id="0">
    <w:p w:rsidR="00A50B32" w:rsidRDefault="00A50B32">
      <w:r>
        <w:continuationSeparator/>
      </w:r>
    </w:p>
  </w:footnote>
  <w:footnote w:id="1">
    <w:p w:rsidR="00D850FC" w:rsidRPr="005E188D" w:rsidRDefault="00D850FC" w:rsidP="00E302FA">
      <w:pPr>
        <w:pStyle w:val="Sprotnaopomba-besedilo"/>
        <w:rPr>
          <w:sz w:val="18"/>
          <w:szCs w:val="18"/>
        </w:rPr>
      </w:pPr>
      <w:r w:rsidRPr="007F5717">
        <w:rPr>
          <w:rStyle w:val="Sprotnaopomba-sklic"/>
        </w:rPr>
        <w:footnoteRef/>
      </w:r>
      <w:r w:rsidRPr="005E188D">
        <w:rPr>
          <w:sz w:val="18"/>
          <w:szCs w:val="18"/>
        </w:rPr>
        <w:t xml:space="preserve"> </w:t>
      </w:r>
      <w:r w:rsidRPr="007F5717">
        <w:rPr>
          <w:sz w:val="18"/>
          <w:szCs w:val="18"/>
        </w:rPr>
        <w:t>Prvi Zakon o varstvu osebnih podatkov Republike Slovenije je bil sprejet dne 7. 3. 1990 (Uradni list RS, št. 8/90, 19/91 in 59/99 - ZVOP), drugi Zakon o varstvu osebnih podatkov je bil sprejet dne 8. 7. 1999 (Uradni list RS, št. 59/99, 57/01, 59/01 – popr., 73/04 – ZUP-C in 86/04 – ZVOP-1), tretji Zakon o varstvu osebnih podatkov pa dne 15. 7. 2004 (Uradni list RS, št. 86/04, 113/05 – ZInfP, 51/07 – ZUstS-A, 67/07 in 94/07 – uradno prečiščeno besedilo 1).</w:t>
      </w:r>
    </w:p>
  </w:footnote>
  <w:footnote w:id="2">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Št. 5853/12, 27.</w:t>
      </w:r>
      <w:r>
        <w:rPr>
          <w:sz w:val="18"/>
          <w:szCs w:val="18"/>
        </w:rPr>
        <w:t xml:space="preserve"> </w:t>
      </w:r>
      <w:r w:rsidRPr="00A36B3C">
        <w:rPr>
          <w:sz w:val="18"/>
          <w:szCs w:val="18"/>
        </w:rPr>
        <w:t>1.</w:t>
      </w:r>
      <w:r>
        <w:rPr>
          <w:sz w:val="18"/>
          <w:szCs w:val="18"/>
        </w:rPr>
        <w:t xml:space="preserve"> </w:t>
      </w:r>
      <w:r w:rsidRPr="00A36B3C">
        <w:rPr>
          <w:sz w:val="18"/>
          <w:szCs w:val="18"/>
        </w:rPr>
        <w:t>2012, Medinstitucionalna oznaka: 2012/0011(COD).</w:t>
      </w:r>
    </w:p>
  </w:footnote>
  <w:footnote w:id="3">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Št. 5833/12, 27.</w:t>
      </w:r>
      <w:r>
        <w:rPr>
          <w:sz w:val="18"/>
          <w:szCs w:val="18"/>
        </w:rPr>
        <w:t xml:space="preserve"> </w:t>
      </w:r>
      <w:r w:rsidRPr="00A36B3C">
        <w:rPr>
          <w:sz w:val="18"/>
          <w:szCs w:val="18"/>
        </w:rPr>
        <w:t>1.</w:t>
      </w:r>
      <w:r>
        <w:rPr>
          <w:sz w:val="18"/>
          <w:szCs w:val="18"/>
        </w:rPr>
        <w:t xml:space="preserve"> </w:t>
      </w:r>
      <w:r w:rsidRPr="00A36B3C">
        <w:rPr>
          <w:sz w:val="18"/>
          <w:szCs w:val="18"/>
        </w:rPr>
        <w:t>2012, Medinstitucionalna oznaka: 2012/0010(COD).</w:t>
      </w:r>
    </w:p>
  </w:footnote>
  <w:footnote w:id="4">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w:t>
      </w:r>
      <w:r>
        <w:rPr>
          <w:sz w:val="18"/>
          <w:szCs w:val="18"/>
        </w:rPr>
        <w:t xml:space="preserve">Takrat z vsebino, objavljeno v: </w:t>
      </w:r>
      <w:r w:rsidRPr="00A36B3C">
        <w:rPr>
          <w:sz w:val="18"/>
          <w:szCs w:val="18"/>
          <w:shd w:val="clear" w:color="auto" w:fill="FFFFFF"/>
        </w:rPr>
        <w:t>Uradni list RS, št. 33/91-I, 42/97, 66/00, 24/03, 69/04 in 68/06.</w:t>
      </w:r>
    </w:p>
  </w:footnote>
  <w:footnote w:id="5">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Direktiva Evropskega parlamenta in Sveta 95/46/ES z dne 24. oktobra 1995 o varstvu posameznikov pri obdelavi osebnih podatkov in o prostem pretoku takih podatkov, Uradni list EGS, L 281, 23. 11. 1995, str. 0031 – 0050 in Uradni list EU, L 284, 31. 10. 2003, str. 1–53</w:t>
      </w:r>
      <w:r>
        <w:rPr>
          <w:sz w:val="18"/>
          <w:szCs w:val="18"/>
        </w:rPr>
        <w:t xml:space="preserve"> </w:t>
      </w:r>
      <w:r w:rsidRPr="00A36B3C">
        <w:rPr>
          <w:sz w:val="18"/>
          <w:szCs w:val="18"/>
        </w:rPr>
        <w:t>– Uredba (</w:t>
      </w:r>
      <w:r w:rsidRPr="00A36B3C">
        <w:rPr>
          <w:color w:val="000000"/>
          <w:sz w:val="18"/>
          <w:szCs w:val="18"/>
        </w:rPr>
        <w:t>ES) št. 1882/2003</w:t>
      </w:r>
      <w:r w:rsidRPr="00A36B3C">
        <w:rPr>
          <w:sz w:val="18"/>
          <w:szCs w:val="18"/>
        </w:rPr>
        <w:t>.</w:t>
      </w:r>
    </w:p>
  </w:footnote>
  <w:footnote w:id="6">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Okvirni sklep Sveta 2008/977/PNZ z dne 27. novembra 2008 o varstvu osebnih podatkov, ki se obdelujejo v okviru policijskega in pravosodnega sodelovanja v kazenskih zadevah, Uradni list EU, L 350, 30. 12. 2008, str. 60–71.</w:t>
      </w:r>
    </w:p>
  </w:footnote>
  <w:footnote w:id="7">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Konvencija Sveta Evrope, h kateri lahko pristopijo tudi države izven Evrope. Oznaka Sveta Evrope za Konvencijo: ETS No. 108. Objava: Uradni list RS, št. 11/94 – Mednarodne pogodbe, št. 3/94 in 86/04 – ZVOP-1.</w:t>
      </w:r>
      <w:r>
        <w:rPr>
          <w:sz w:val="18"/>
          <w:szCs w:val="18"/>
        </w:rPr>
        <w:t xml:space="preserve"> </w:t>
      </w:r>
    </w:p>
  </w:footnote>
  <w:footnote w:id="8">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Stališči Državnega zbora Republike Slovenije z dne 23. 3. 2012, št. EPA 191-VI, EU U 393 in št. EPA 192-VI, EU U 394.</w:t>
      </w:r>
    </w:p>
  </w:footnote>
  <w:footnote w:id="9">
    <w:p w:rsidR="00D850FC" w:rsidRPr="00A36B3C" w:rsidRDefault="00D850FC" w:rsidP="00E302FA">
      <w:pPr>
        <w:pStyle w:val="Sprotnaopomba-besedilo"/>
        <w:shd w:val="clear" w:color="auto" w:fill="FFFFFF"/>
        <w:rPr>
          <w:sz w:val="18"/>
          <w:szCs w:val="18"/>
        </w:rPr>
      </w:pPr>
      <w:r w:rsidRPr="00A36B3C">
        <w:rPr>
          <w:rStyle w:val="Sprotnaopomba-sklic"/>
        </w:rPr>
        <w:footnoteRef/>
      </w:r>
      <w:r w:rsidRPr="00A36B3C">
        <w:rPr>
          <w:sz w:val="18"/>
          <w:szCs w:val="18"/>
        </w:rPr>
        <w:t xml:space="preserve"> </w:t>
      </w:r>
      <w:r>
        <w:rPr>
          <w:sz w:val="18"/>
          <w:szCs w:val="18"/>
        </w:rPr>
        <w:t xml:space="preserve">Masing, Johannes, Prof. dr., </w:t>
      </w:r>
      <w:r w:rsidRPr="00A36B3C">
        <w:rPr>
          <w:i/>
          <w:sz w:val="18"/>
          <w:szCs w:val="18"/>
        </w:rPr>
        <w:t xml:space="preserve">Ein Abschied von den Grundrechten : </w:t>
      </w:r>
      <w:r w:rsidRPr="00A36B3C">
        <w:rPr>
          <w:i/>
          <w:sz w:val="18"/>
          <w:szCs w:val="18"/>
          <w:shd w:val="clear" w:color="auto" w:fill="FFFFFF"/>
        </w:rPr>
        <w:t>Die Europäische Kommission plant per Verordnung eine ausnehmend problematische Neuordnung des Datenschutzes</w:t>
      </w:r>
      <w:r w:rsidRPr="00A36B3C">
        <w:rPr>
          <w:sz w:val="18"/>
          <w:szCs w:val="18"/>
        </w:rPr>
        <w:t>, Suddeutsche Allgemeine Zeitung, 9. 1. 2012.</w:t>
      </w:r>
      <w:r>
        <w:rPr>
          <w:sz w:val="18"/>
          <w:szCs w:val="18"/>
        </w:rPr>
        <w:t xml:space="preserve"> Še podrobnejša kritika in analiza vsebinskega pristopa glede takratnega Predloga Splošne uredbe, zlasti z vidikov ustavnosti, je podana v: Masing, Johannes, Prof. dr., </w:t>
      </w:r>
      <w:r w:rsidRPr="002A6D9B">
        <w:rPr>
          <w:i/>
          <w:sz w:val="18"/>
          <w:szCs w:val="18"/>
        </w:rPr>
        <w:t>Herausforderungen des Datenschutzes</w:t>
      </w:r>
      <w:r>
        <w:rPr>
          <w:sz w:val="18"/>
          <w:szCs w:val="18"/>
        </w:rPr>
        <w:t xml:space="preserve">, </w:t>
      </w:r>
      <w:r w:rsidRPr="002A6D9B">
        <w:rPr>
          <w:sz w:val="18"/>
          <w:szCs w:val="18"/>
        </w:rPr>
        <w:t>Neue Juristische Wochenschrift</w:t>
      </w:r>
      <w:r>
        <w:rPr>
          <w:sz w:val="18"/>
          <w:szCs w:val="18"/>
        </w:rPr>
        <w:t>, 201</w:t>
      </w:r>
      <w:r w:rsidRPr="00A23DCC">
        <w:rPr>
          <w:sz w:val="18"/>
          <w:szCs w:val="18"/>
        </w:rPr>
        <w:t>2,</w:t>
      </w:r>
      <w:r>
        <w:rPr>
          <w:sz w:val="18"/>
          <w:szCs w:val="18"/>
        </w:rPr>
        <w:t xml:space="preserve"> str.</w:t>
      </w:r>
      <w:r w:rsidRPr="00A23DCC">
        <w:rPr>
          <w:sz w:val="18"/>
          <w:szCs w:val="18"/>
        </w:rPr>
        <w:t xml:space="preserve"> 2305-2311</w:t>
      </w:r>
      <w:r>
        <w:rPr>
          <w:sz w:val="18"/>
          <w:szCs w:val="18"/>
        </w:rPr>
        <w:t>.</w:t>
      </w:r>
    </w:p>
  </w:footnote>
  <w:footnote w:id="10">
    <w:p w:rsidR="00D850FC" w:rsidRPr="00A36B3C" w:rsidRDefault="00D850FC" w:rsidP="00E302FA">
      <w:pPr>
        <w:pStyle w:val="Sprotnaopomba-besedilo"/>
        <w:rPr>
          <w:sz w:val="18"/>
          <w:szCs w:val="18"/>
        </w:rPr>
      </w:pPr>
      <w:r w:rsidRPr="000D2703">
        <w:rPr>
          <w:rStyle w:val="Sprotnaopomba-sklic"/>
        </w:rPr>
        <w:footnoteRef/>
      </w:r>
      <w:r w:rsidRPr="000D2703">
        <w:rPr>
          <w:sz w:val="18"/>
          <w:szCs w:val="18"/>
        </w:rPr>
        <w:t xml:space="preserve"> Uradni list EU, </w:t>
      </w:r>
      <w:r w:rsidRPr="000D2703">
        <w:rPr>
          <w:rFonts w:eastAsia="Times New Roman"/>
          <w:sz w:val="18"/>
          <w:szCs w:val="18"/>
          <w:lang w:eastAsia="sl-SI"/>
        </w:rPr>
        <w:t xml:space="preserve">L, št. 119/89 </w:t>
      </w:r>
      <w:r w:rsidRPr="000D2703">
        <w:rPr>
          <w:sz w:val="18"/>
          <w:szCs w:val="18"/>
        </w:rPr>
        <w:t xml:space="preserve">z dne 4. 5. 2016, str. 89–131; v nadaljnjem besedilu: </w:t>
      </w:r>
      <w:r w:rsidRPr="00382F59">
        <w:rPr>
          <w:sz w:val="18"/>
          <w:szCs w:val="18"/>
        </w:rPr>
        <w:t>Direktiva</w:t>
      </w:r>
      <w:r>
        <w:rPr>
          <w:sz w:val="18"/>
          <w:szCs w:val="18"/>
        </w:rPr>
        <w:t>.</w:t>
      </w:r>
    </w:p>
  </w:footnote>
  <w:footnote w:id="11">
    <w:p w:rsidR="00D850FC" w:rsidRPr="00382F59" w:rsidRDefault="00D850FC" w:rsidP="00E302FA">
      <w:pPr>
        <w:pStyle w:val="Sprotnaopomba-besedilo"/>
        <w:shd w:val="clear" w:color="auto" w:fill="FFFFFF"/>
        <w:rPr>
          <w:sz w:val="18"/>
          <w:szCs w:val="18"/>
        </w:rPr>
      </w:pPr>
      <w:r w:rsidRPr="00A36B3C">
        <w:rPr>
          <w:rStyle w:val="Sprotnaopomba-sklic"/>
        </w:rPr>
        <w:footnoteRef/>
      </w:r>
      <w:r w:rsidRPr="00A36B3C">
        <w:rPr>
          <w:sz w:val="18"/>
          <w:szCs w:val="18"/>
        </w:rPr>
        <w:t xml:space="preserve"> Uradni list EU, L, št. 119/1 z dne 4. 5. 2016, str. 1–88</w:t>
      </w:r>
      <w:r w:rsidRPr="000D2703">
        <w:rPr>
          <w:sz w:val="18"/>
          <w:szCs w:val="18"/>
        </w:rPr>
        <w:t xml:space="preserve">; </w:t>
      </w:r>
      <w:r w:rsidRPr="00382F59">
        <w:rPr>
          <w:sz w:val="18"/>
          <w:szCs w:val="18"/>
        </w:rPr>
        <w:t>v nadaljnjem besedilu: Splošna uredba</w:t>
      </w:r>
      <w:r w:rsidRPr="000D2703">
        <w:rPr>
          <w:sz w:val="18"/>
          <w:szCs w:val="18"/>
        </w:rPr>
        <w:t>.</w:t>
      </w:r>
    </w:p>
  </w:footnote>
  <w:footnote w:id="12">
    <w:p w:rsidR="00D850FC" w:rsidRPr="008C1210" w:rsidRDefault="00D850FC" w:rsidP="00E302FA">
      <w:pPr>
        <w:pStyle w:val="Sprotnaopomba-besedilo"/>
        <w:rPr>
          <w:sz w:val="18"/>
          <w:szCs w:val="18"/>
        </w:rPr>
      </w:pPr>
      <w:r w:rsidRPr="008C1210">
        <w:rPr>
          <w:rStyle w:val="Sprotnaopomba-sklic"/>
        </w:rPr>
        <w:footnoteRef/>
      </w:r>
      <w:r w:rsidRPr="008C1210">
        <w:rPr>
          <w:sz w:val="18"/>
          <w:szCs w:val="18"/>
        </w:rPr>
        <w:t xml:space="preserve"> Delno pa </w:t>
      </w:r>
      <w:r>
        <w:rPr>
          <w:sz w:val="18"/>
          <w:szCs w:val="18"/>
        </w:rPr>
        <w:t xml:space="preserve">predlog zakona </w:t>
      </w:r>
      <w:r w:rsidRPr="008C1210">
        <w:rPr>
          <w:sz w:val="18"/>
          <w:szCs w:val="18"/>
        </w:rPr>
        <w:t xml:space="preserve">vključuje tudi zakonske rešitve določenih pravnih praznin glede implementacije Direktive (EU) 2016/681 – Evidenca letalskih potnikov, ki je v pristojnosti Ministrstva za notranje zadeve, zlasti glede pooblaščenih oseb za varstvo osebnih podatkov pri Enoti za letalske potnike na Policiji, glede dnevnika obdelav za obdelane podatke ipd. </w:t>
      </w:r>
    </w:p>
  </w:footnote>
  <w:footnote w:id="13">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w:t>
      </w:r>
      <w:bookmarkStart w:id="1" w:name="_Hlk504726955"/>
      <w:r w:rsidRPr="00A36B3C">
        <w:rPr>
          <w:sz w:val="18"/>
          <w:szCs w:val="18"/>
        </w:rPr>
        <w:t>Uradni list RS, št. 33/91-I, 42/97, 66/00, 24/03, 69/04, 68/06, 47/13 in 75/16.</w:t>
      </w:r>
      <w:bookmarkEnd w:id="1"/>
    </w:p>
  </w:footnote>
  <w:footnote w:id="14">
    <w:p w:rsidR="00D850FC" w:rsidRPr="00DD730D" w:rsidRDefault="00D850FC" w:rsidP="00962590">
      <w:pPr>
        <w:pStyle w:val="Sprotnaopomba-besedilo"/>
        <w:jc w:val="both"/>
        <w:rPr>
          <w:sz w:val="18"/>
          <w:szCs w:val="18"/>
        </w:rPr>
      </w:pPr>
      <w:r w:rsidRPr="00A36B3C">
        <w:rPr>
          <w:rStyle w:val="Sprotnaopomba-sklic"/>
        </w:rPr>
        <w:footnoteRef/>
      </w:r>
      <w:r w:rsidRPr="00A36B3C">
        <w:rPr>
          <w:sz w:val="18"/>
          <w:szCs w:val="18"/>
        </w:rPr>
        <w:t xml:space="preserve"> Začetna </w:t>
      </w:r>
      <w:r>
        <w:rPr>
          <w:sz w:val="18"/>
          <w:szCs w:val="18"/>
        </w:rPr>
        <w:t>O</w:t>
      </w:r>
      <w:r w:rsidRPr="00A36B3C">
        <w:rPr>
          <w:sz w:val="18"/>
          <w:szCs w:val="18"/>
        </w:rPr>
        <w:t>dločba US, št. U-I-115/92, 24.</w:t>
      </w:r>
      <w:r>
        <w:rPr>
          <w:sz w:val="18"/>
          <w:szCs w:val="18"/>
        </w:rPr>
        <w:t xml:space="preserve"> </w:t>
      </w:r>
      <w:r w:rsidRPr="00A36B3C">
        <w:rPr>
          <w:sz w:val="18"/>
          <w:szCs w:val="18"/>
        </w:rPr>
        <w:t>12.</w:t>
      </w:r>
      <w:r>
        <w:rPr>
          <w:sz w:val="18"/>
          <w:szCs w:val="18"/>
        </w:rPr>
        <w:t xml:space="preserve"> </w:t>
      </w:r>
      <w:r w:rsidRPr="00A36B3C">
        <w:rPr>
          <w:sz w:val="18"/>
          <w:szCs w:val="18"/>
        </w:rPr>
        <w:t>1992; objava: OdlUS I, 105 in Uradni list RS, št. 3/93</w:t>
      </w:r>
      <w:r>
        <w:rPr>
          <w:sz w:val="18"/>
          <w:szCs w:val="18"/>
        </w:rPr>
        <w:t>. I</w:t>
      </w:r>
      <w:r w:rsidRPr="00A36B3C">
        <w:rPr>
          <w:sz w:val="18"/>
          <w:szCs w:val="18"/>
        </w:rPr>
        <w:t xml:space="preserve">z vmesnega obdobja sta morda vodilni odločbi: </w:t>
      </w:r>
      <w:r>
        <w:rPr>
          <w:sz w:val="18"/>
          <w:szCs w:val="18"/>
        </w:rPr>
        <w:t>O</w:t>
      </w:r>
      <w:r w:rsidRPr="00A36B3C">
        <w:rPr>
          <w:sz w:val="18"/>
          <w:szCs w:val="18"/>
        </w:rPr>
        <w:t xml:space="preserve">dločba US, št. U-I-252/00, 8. 10. 2003; objava: Uradni list RS, št. 105/03 in OdlUS XII, 80 ter </w:t>
      </w:r>
      <w:r>
        <w:rPr>
          <w:sz w:val="18"/>
          <w:szCs w:val="18"/>
        </w:rPr>
        <w:t>O</w:t>
      </w:r>
      <w:r w:rsidRPr="00A36B3C">
        <w:rPr>
          <w:sz w:val="18"/>
          <w:szCs w:val="18"/>
        </w:rPr>
        <w:t xml:space="preserve">dločba US, št. U-I-298/04, 27. 10. 2005; objava: Uradni list RS, št. 100/05 in OdlUS XIV, 77; iz obdobja po letu 2010 pa </w:t>
      </w:r>
      <w:r>
        <w:rPr>
          <w:sz w:val="18"/>
          <w:szCs w:val="18"/>
        </w:rPr>
        <w:t>so</w:t>
      </w:r>
      <w:r w:rsidRPr="00A36B3C">
        <w:rPr>
          <w:sz w:val="18"/>
          <w:szCs w:val="18"/>
        </w:rPr>
        <w:t xml:space="preserve"> npr. pomembn</w:t>
      </w:r>
      <w:r>
        <w:rPr>
          <w:sz w:val="18"/>
          <w:szCs w:val="18"/>
        </w:rPr>
        <w:t>e</w:t>
      </w:r>
      <w:r w:rsidRPr="00A36B3C">
        <w:rPr>
          <w:sz w:val="18"/>
          <w:szCs w:val="18"/>
        </w:rPr>
        <w:t>: Odločba US, št. U-I-98/11, 26. 9. 2012</w:t>
      </w:r>
      <w:r>
        <w:rPr>
          <w:sz w:val="18"/>
          <w:szCs w:val="18"/>
        </w:rPr>
        <w:t xml:space="preserve">, 17. točka in opomba št. 10; </w:t>
      </w:r>
      <w:r w:rsidRPr="00A36B3C">
        <w:rPr>
          <w:sz w:val="18"/>
          <w:szCs w:val="18"/>
        </w:rPr>
        <w:t>objava: Uradni list RS, št. 79/12</w:t>
      </w:r>
      <w:r>
        <w:rPr>
          <w:sz w:val="18"/>
          <w:szCs w:val="18"/>
        </w:rPr>
        <w:t xml:space="preserve">, </w:t>
      </w:r>
      <w:r w:rsidRPr="00A36B3C">
        <w:rPr>
          <w:sz w:val="18"/>
          <w:szCs w:val="18"/>
        </w:rPr>
        <w:t>Odločba US, št.</w:t>
      </w:r>
      <w:r>
        <w:rPr>
          <w:sz w:val="18"/>
          <w:szCs w:val="18"/>
        </w:rPr>
        <w:t xml:space="preserve"> </w:t>
      </w:r>
      <w:r w:rsidRPr="00A36B3C">
        <w:rPr>
          <w:sz w:val="18"/>
          <w:szCs w:val="18"/>
        </w:rPr>
        <w:t>U-I-70/12, 21. 3. 2014</w:t>
      </w:r>
      <w:r>
        <w:rPr>
          <w:sz w:val="18"/>
          <w:szCs w:val="18"/>
        </w:rPr>
        <w:t>, 18. in 19. točka</w:t>
      </w:r>
      <w:r w:rsidRPr="00A36B3C">
        <w:rPr>
          <w:sz w:val="18"/>
          <w:szCs w:val="18"/>
        </w:rPr>
        <w:t>; objava: Uradni list RS, št. 24/14 in OdlUS XX, 23</w:t>
      </w:r>
      <w:r>
        <w:rPr>
          <w:sz w:val="18"/>
          <w:szCs w:val="18"/>
        </w:rPr>
        <w:t>, O</w:t>
      </w:r>
      <w:r w:rsidRPr="00960DAA">
        <w:rPr>
          <w:sz w:val="18"/>
          <w:szCs w:val="18"/>
        </w:rPr>
        <w:t>dločba US, št. U-I-152/17,</w:t>
      </w:r>
      <w:r>
        <w:rPr>
          <w:sz w:val="18"/>
          <w:szCs w:val="18"/>
        </w:rPr>
        <w:t xml:space="preserve"> </w:t>
      </w:r>
      <w:r w:rsidRPr="00960DAA">
        <w:rPr>
          <w:sz w:val="18"/>
          <w:szCs w:val="18"/>
        </w:rPr>
        <w:t>4.</w:t>
      </w:r>
      <w:r>
        <w:rPr>
          <w:sz w:val="18"/>
          <w:szCs w:val="18"/>
        </w:rPr>
        <w:t xml:space="preserve"> </w:t>
      </w:r>
      <w:r w:rsidRPr="00960DAA">
        <w:rPr>
          <w:sz w:val="18"/>
          <w:szCs w:val="18"/>
        </w:rPr>
        <w:t>7.</w:t>
      </w:r>
      <w:r>
        <w:rPr>
          <w:sz w:val="18"/>
          <w:szCs w:val="18"/>
        </w:rPr>
        <w:t xml:space="preserve"> </w:t>
      </w:r>
      <w:r w:rsidRPr="00960DAA">
        <w:rPr>
          <w:sz w:val="18"/>
          <w:szCs w:val="18"/>
        </w:rPr>
        <w:t>2019</w:t>
      </w:r>
      <w:r w:rsidRPr="007204CE">
        <w:rPr>
          <w:sz w:val="18"/>
          <w:szCs w:val="18"/>
        </w:rPr>
        <w:t>,</w:t>
      </w:r>
      <w:r>
        <w:rPr>
          <w:sz w:val="18"/>
          <w:szCs w:val="18"/>
        </w:rPr>
        <w:t xml:space="preserve"> zlasti 32. točka; objava: </w:t>
      </w:r>
      <w:r w:rsidRPr="007204CE">
        <w:rPr>
          <w:sz w:val="18"/>
          <w:szCs w:val="18"/>
        </w:rPr>
        <w:t>U</w:t>
      </w:r>
      <w:r>
        <w:rPr>
          <w:sz w:val="18"/>
          <w:szCs w:val="18"/>
        </w:rPr>
        <w:t xml:space="preserve">radni list RS, št. </w:t>
      </w:r>
      <w:r w:rsidRPr="007204CE">
        <w:rPr>
          <w:sz w:val="18"/>
          <w:szCs w:val="18"/>
        </w:rPr>
        <w:t xml:space="preserve">46/19 </w:t>
      </w:r>
      <w:r>
        <w:rPr>
          <w:sz w:val="18"/>
          <w:szCs w:val="18"/>
        </w:rPr>
        <w:t>in OdlUS</w:t>
      </w:r>
      <w:r w:rsidRPr="007204CE">
        <w:rPr>
          <w:sz w:val="18"/>
          <w:szCs w:val="18"/>
        </w:rPr>
        <w:t xml:space="preserve"> XXIV</w:t>
      </w:r>
      <w:r>
        <w:rPr>
          <w:sz w:val="18"/>
          <w:szCs w:val="18"/>
        </w:rPr>
        <w:t xml:space="preserve"> ter Odločba US, št. </w:t>
      </w:r>
      <w:r w:rsidRPr="00BB427E">
        <w:rPr>
          <w:sz w:val="18"/>
          <w:szCs w:val="18"/>
        </w:rPr>
        <w:t>U-I-152/17</w:t>
      </w:r>
      <w:r>
        <w:rPr>
          <w:sz w:val="18"/>
          <w:szCs w:val="18"/>
        </w:rPr>
        <w:t xml:space="preserve">, 4. 7. 2019, zlasti 33. točka; objava: </w:t>
      </w:r>
      <w:r w:rsidRPr="007204CE">
        <w:rPr>
          <w:sz w:val="18"/>
          <w:szCs w:val="18"/>
        </w:rPr>
        <w:t>U</w:t>
      </w:r>
      <w:r>
        <w:rPr>
          <w:sz w:val="18"/>
          <w:szCs w:val="18"/>
        </w:rPr>
        <w:t xml:space="preserve">radni list RS, št. </w:t>
      </w:r>
      <w:r w:rsidRPr="007204CE">
        <w:rPr>
          <w:sz w:val="18"/>
          <w:szCs w:val="18"/>
        </w:rPr>
        <w:t xml:space="preserve">48/19 </w:t>
      </w:r>
      <w:r>
        <w:rPr>
          <w:sz w:val="18"/>
          <w:szCs w:val="18"/>
        </w:rPr>
        <w:t xml:space="preserve">in </w:t>
      </w:r>
      <w:r w:rsidRPr="007204CE">
        <w:rPr>
          <w:sz w:val="18"/>
          <w:szCs w:val="18"/>
        </w:rPr>
        <w:t>O</w:t>
      </w:r>
      <w:r>
        <w:rPr>
          <w:sz w:val="18"/>
          <w:szCs w:val="18"/>
        </w:rPr>
        <w:t>dlUS</w:t>
      </w:r>
      <w:r w:rsidRPr="007204CE">
        <w:rPr>
          <w:sz w:val="18"/>
          <w:szCs w:val="18"/>
        </w:rPr>
        <w:t xml:space="preserve"> XXIV</w:t>
      </w:r>
      <w:r>
        <w:rPr>
          <w:sz w:val="18"/>
          <w:szCs w:val="18"/>
        </w:rPr>
        <w:t>.</w:t>
      </w:r>
    </w:p>
  </w:footnote>
  <w:footnote w:id="15">
    <w:p w:rsidR="00D850FC" w:rsidRDefault="00D850FC" w:rsidP="00E302FA">
      <w:pPr>
        <w:pStyle w:val="Sprotnaopomba-besedilo"/>
        <w:rPr>
          <w:sz w:val="18"/>
          <w:szCs w:val="18"/>
        </w:rPr>
      </w:pPr>
      <w:r w:rsidRPr="00A36B3C">
        <w:rPr>
          <w:rStyle w:val="Sprotnaopomba-sklic"/>
        </w:rPr>
        <w:footnoteRef/>
      </w:r>
      <w:r w:rsidRPr="00A36B3C">
        <w:rPr>
          <w:sz w:val="18"/>
          <w:szCs w:val="18"/>
        </w:rPr>
        <w:t xml:space="preserve"> Odločba US, št. U-I-115/92, 24. 12. 1992; objava: Uradni list RS, št. 3/93 in OdlUS I, 105.</w:t>
      </w:r>
      <w:r>
        <w:rPr>
          <w:sz w:val="18"/>
          <w:szCs w:val="18"/>
        </w:rPr>
        <w:t xml:space="preserve"> Sedaj je relevantna tudi odločba Ustavnega sodišča RS iz leta 2019 o načelu upravne zakonitosti (drugi odstavek 120. člena Ustave Republike Slovenije: </w:t>
      </w:r>
    </w:p>
    <w:p w:rsidR="00D850FC" w:rsidRPr="001D7240" w:rsidRDefault="00D850FC" w:rsidP="00962590">
      <w:pPr>
        <w:pStyle w:val="Sprotnaopomba-besedilo"/>
        <w:jc w:val="both"/>
        <w:rPr>
          <w:sz w:val="18"/>
          <w:szCs w:val="18"/>
        </w:rPr>
      </w:pPr>
      <w:r>
        <w:rPr>
          <w:sz w:val="18"/>
          <w:szCs w:val="18"/>
        </w:rPr>
        <w:t>»</w:t>
      </w:r>
      <w:r w:rsidRPr="003044A0">
        <w:rPr>
          <w:sz w:val="18"/>
          <w:szCs w:val="18"/>
        </w:rPr>
        <w:t>Upravni organi opravljajo svoje delo samostojno v okviru in na podlagi ustave in zakonov.</w:t>
      </w:r>
      <w:r>
        <w:rPr>
          <w:sz w:val="18"/>
          <w:szCs w:val="18"/>
        </w:rPr>
        <w:t xml:space="preserve">«), št. </w:t>
      </w:r>
      <w:r w:rsidRPr="00E331ED">
        <w:rPr>
          <w:sz w:val="18"/>
          <w:szCs w:val="18"/>
        </w:rPr>
        <w:t>U-I-26/17, U-I-87/16, U-I-105/16</w:t>
      </w:r>
      <w:r>
        <w:rPr>
          <w:sz w:val="18"/>
          <w:szCs w:val="18"/>
        </w:rPr>
        <w:t>, 24. 10. 2019; objava: Uradni list RS, št. 67/19, kjer je navedeno: »</w:t>
      </w:r>
      <w:r w:rsidRPr="00E331ED">
        <w:rPr>
          <w:sz w:val="18"/>
          <w:szCs w:val="18"/>
        </w:rPr>
        <w:t>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r>
        <w:rPr>
          <w:sz w:val="18"/>
          <w:szCs w:val="18"/>
        </w:rPr>
        <w:t>«</w:t>
      </w:r>
    </w:p>
  </w:footnote>
  <w:footnote w:id="16">
    <w:p w:rsidR="00D850FC" w:rsidRPr="00DD730D" w:rsidRDefault="00D850FC" w:rsidP="00E302FA">
      <w:pPr>
        <w:pStyle w:val="Sprotnaopomba-besedilo"/>
        <w:rPr>
          <w:sz w:val="18"/>
          <w:szCs w:val="18"/>
        </w:rPr>
      </w:pPr>
      <w:r w:rsidRPr="00FC32F5">
        <w:rPr>
          <w:rStyle w:val="Sprotnaopomba-sklic"/>
        </w:rPr>
        <w:footnoteRef/>
      </w:r>
      <w:r w:rsidRPr="00DD730D">
        <w:rPr>
          <w:sz w:val="18"/>
          <w:szCs w:val="18"/>
        </w:rPr>
        <w:t xml:space="preserve"> </w:t>
      </w:r>
      <w:r>
        <w:rPr>
          <w:sz w:val="18"/>
          <w:szCs w:val="18"/>
        </w:rPr>
        <w:t>Predvsem</w:t>
      </w:r>
      <w:r w:rsidRPr="00DD730D">
        <w:rPr>
          <w:sz w:val="18"/>
          <w:szCs w:val="18"/>
        </w:rPr>
        <w:t xml:space="preserve"> odločba US, št. U-I-60/03, 4. 12. 2003, zlasti 30.</w:t>
      </w:r>
      <w:r w:rsidRPr="00A36B3C">
        <w:rPr>
          <w:sz w:val="18"/>
          <w:szCs w:val="18"/>
        </w:rPr>
        <w:t>–</w:t>
      </w:r>
      <w:r>
        <w:rPr>
          <w:sz w:val="18"/>
          <w:szCs w:val="18"/>
        </w:rPr>
        <w:t>32.</w:t>
      </w:r>
      <w:r w:rsidRPr="00DD730D">
        <w:rPr>
          <w:sz w:val="18"/>
          <w:szCs w:val="18"/>
        </w:rPr>
        <w:t xml:space="preserve"> točka v zvezi s 17. točko odločbe</w:t>
      </w:r>
      <w:r>
        <w:rPr>
          <w:sz w:val="18"/>
          <w:szCs w:val="18"/>
        </w:rPr>
        <w:t xml:space="preserve">; objava: </w:t>
      </w:r>
      <w:r w:rsidRPr="00FC5505">
        <w:rPr>
          <w:sz w:val="18"/>
          <w:szCs w:val="18"/>
        </w:rPr>
        <w:t>Uradni list RS, št. 131/03 in OdlUS XII, 93</w:t>
      </w:r>
      <w:r w:rsidRPr="00DD730D">
        <w:rPr>
          <w:sz w:val="18"/>
          <w:szCs w:val="18"/>
        </w:rPr>
        <w:t>.</w:t>
      </w:r>
    </w:p>
  </w:footnote>
  <w:footnote w:id="17">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Odločba US, št. U-I-25/95, 27. 11. 1997; objava: Uradni list RS, št. 5/98 in OdlUS VI, 158.</w:t>
      </w:r>
    </w:p>
  </w:footnote>
  <w:footnote w:id="18">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w:t>
      </w:r>
      <w:r>
        <w:rPr>
          <w:sz w:val="18"/>
          <w:szCs w:val="18"/>
        </w:rPr>
        <w:t>Gl.: Prof. d</w:t>
      </w:r>
      <w:r w:rsidRPr="00A36B3C">
        <w:rPr>
          <w:sz w:val="18"/>
          <w:szCs w:val="18"/>
        </w:rPr>
        <w:t xml:space="preserve">r. Lovro Šturm: </w:t>
      </w:r>
      <w:r w:rsidRPr="00A36B3C">
        <w:rPr>
          <w:i/>
          <w:sz w:val="18"/>
          <w:szCs w:val="18"/>
        </w:rPr>
        <w:t>Pravni vidiki zaščite podatkov v sodobnih informacijskih sistemih</w:t>
      </w:r>
      <w:r w:rsidRPr="00A36B3C">
        <w:rPr>
          <w:sz w:val="18"/>
          <w:szCs w:val="18"/>
        </w:rPr>
        <w:t>, Zbornik znanstvenih razprav XLIV, 1984, str. 117-131.</w:t>
      </w:r>
    </w:p>
  </w:footnote>
  <w:footnote w:id="19">
    <w:p w:rsidR="00D850FC" w:rsidRPr="00962590" w:rsidRDefault="00D850FC" w:rsidP="00E302FA">
      <w:pPr>
        <w:spacing w:line="240" w:lineRule="auto"/>
        <w:rPr>
          <w:rFonts w:ascii="Calibri" w:hAnsi="Calibri" w:cs="Calibri"/>
          <w:bCs/>
          <w:sz w:val="18"/>
          <w:szCs w:val="18"/>
        </w:rPr>
      </w:pPr>
      <w:r w:rsidRPr="00962590">
        <w:rPr>
          <w:rStyle w:val="Sprotnaopomba-sklic"/>
          <w:rFonts w:ascii="Calibri" w:hAnsi="Calibri" w:cs="Calibri"/>
        </w:rPr>
        <w:footnoteRef/>
      </w:r>
      <w:r w:rsidRPr="00962590">
        <w:rPr>
          <w:rFonts w:ascii="Calibri" w:hAnsi="Calibri" w:cs="Calibri"/>
          <w:sz w:val="18"/>
          <w:szCs w:val="18"/>
        </w:rPr>
        <w:t xml:space="preserve"> </w:t>
      </w:r>
      <w:r w:rsidRPr="00962590">
        <w:rPr>
          <w:rFonts w:ascii="Calibri" w:hAnsi="Calibri" w:cs="Calibri"/>
          <w:bCs/>
          <w:sz w:val="18"/>
          <w:szCs w:val="18"/>
        </w:rPr>
        <w:t>V letu 2018 so bile na naslednjih proračunskih postavkah zagotovljene dodatne pravice porabe, kot sledi:</w:t>
      </w:r>
    </w:p>
    <w:p w:rsidR="00D850FC" w:rsidRPr="00962590" w:rsidRDefault="00D850FC" w:rsidP="00E302FA">
      <w:pPr>
        <w:numPr>
          <w:ilvl w:val="0"/>
          <w:numId w:val="12"/>
        </w:numPr>
        <w:spacing w:line="240" w:lineRule="auto"/>
        <w:ind w:left="714" w:hanging="357"/>
        <w:jc w:val="both"/>
        <w:rPr>
          <w:rFonts w:ascii="Calibri" w:hAnsi="Calibri" w:cs="Calibri"/>
          <w:sz w:val="18"/>
          <w:szCs w:val="18"/>
        </w:rPr>
      </w:pPr>
      <w:r w:rsidRPr="00962590">
        <w:rPr>
          <w:rFonts w:ascii="Calibri" w:hAnsi="Calibri" w:cs="Calibri"/>
          <w:sz w:val="18"/>
          <w:szCs w:val="18"/>
        </w:rPr>
        <w:t>proračunska postavka 1267 plače; za 10 novih državnih nadzornikov za varstvo osebnih podatkov (41. plačni razred in 10 let delovnih izkušenj) - skupaj 342.000,00 EUR na letni ravni;</w:t>
      </w:r>
    </w:p>
    <w:p w:rsidR="00D850FC" w:rsidRPr="00962590" w:rsidRDefault="00D850FC" w:rsidP="00E302FA">
      <w:pPr>
        <w:numPr>
          <w:ilvl w:val="0"/>
          <w:numId w:val="12"/>
        </w:numPr>
        <w:spacing w:line="240" w:lineRule="auto"/>
        <w:ind w:left="714" w:hanging="357"/>
        <w:jc w:val="both"/>
        <w:rPr>
          <w:rFonts w:ascii="Calibri" w:hAnsi="Calibri" w:cs="Calibri"/>
          <w:sz w:val="18"/>
          <w:szCs w:val="18"/>
        </w:rPr>
      </w:pPr>
      <w:r w:rsidRPr="00962590">
        <w:rPr>
          <w:rFonts w:ascii="Calibri" w:hAnsi="Calibri" w:cs="Calibri"/>
          <w:sz w:val="18"/>
          <w:szCs w:val="18"/>
        </w:rPr>
        <w:t xml:space="preserve">proračunska postavka 1273 investicije; finančna sredstva za nakup osnovne opreme za 10 novo zaposlenih, skupaj 10.000,00 EUR; </w:t>
      </w:r>
    </w:p>
    <w:p w:rsidR="00D850FC" w:rsidRPr="00962590" w:rsidRDefault="00D850FC" w:rsidP="00E302FA">
      <w:pPr>
        <w:numPr>
          <w:ilvl w:val="0"/>
          <w:numId w:val="12"/>
        </w:numPr>
        <w:spacing w:line="240" w:lineRule="auto"/>
        <w:ind w:left="714" w:hanging="357"/>
        <w:jc w:val="both"/>
        <w:rPr>
          <w:rFonts w:ascii="Calibri" w:hAnsi="Calibri" w:cs="Calibri"/>
          <w:sz w:val="18"/>
          <w:szCs w:val="18"/>
        </w:rPr>
      </w:pPr>
      <w:r w:rsidRPr="00962590">
        <w:rPr>
          <w:rFonts w:ascii="Calibri" w:hAnsi="Calibri" w:cs="Calibri"/>
          <w:sz w:val="18"/>
          <w:szCs w:val="18"/>
        </w:rPr>
        <w:t>proračunska postavka 1271; finančna sredstva za materialne stroške, selitev, skupaj v znesku 20.000,00 EUR ter za najem poslovnih prostorov za obdobje 6 mesecev (15.300 EUR/mesec), skupaj 91.800,00 EUR.</w:t>
      </w:r>
    </w:p>
    <w:p w:rsidR="00D850FC" w:rsidRPr="00962590" w:rsidRDefault="00D850FC" w:rsidP="00E302FA">
      <w:pPr>
        <w:rPr>
          <w:rFonts w:ascii="Calibri" w:hAnsi="Calibri" w:cs="Calibri"/>
          <w:sz w:val="18"/>
          <w:szCs w:val="18"/>
        </w:rPr>
      </w:pPr>
      <w:r w:rsidRPr="00962590">
        <w:rPr>
          <w:rFonts w:ascii="Calibri" w:hAnsi="Calibri" w:cs="Calibri"/>
          <w:sz w:val="18"/>
          <w:szCs w:val="18"/>
        </w:rPr>
        <w:t>V letu 2018 so bila tako zagotovljena finančna sredstva skupaj v višini 463.800,00 EUR.</w:t>
      </w:r>
    </w:p>
    <w:p w:rsidR="00D850FC" w:rsidRPr="00962590" w:rsidRDefault="00D850FC" w:rsidP="00E302FA">
      <w:pPr>
        <w:pStyle w:val="Sprotnaopomba-besedilo"/>
        <w:rPr>
          <w:rFonts w:cs="Calibri"/>
          <w:sz w:val="18"/>
          <w:szCs w:val="18"/>
        </w:rPr>
      </w:pPr>
    </w:p>
  </w:footnote>
  <w:footnote w:id="20">
    <w:p w:rsidR="00D850FC" w:rsidRPr="00962590" w:rsidRDefault="00D850FC" w:rsidP="00E302FA">
      <w:pPr>
        <w:pStyle w:val="Sprotnaopomba-besedilo"/>
        <w:rPr>
          <w:rFonts w:cs="Calibri"/>
          <w:bCs/>
          <w:sz w:val="18"/>
          <w:szCs w:val="18"/>
        </w:rPr>
      </w:pPr>
      <w:r w:rsidRPr="00962590">
        <w:rPr>
          <w:rStyle w:val="Sprotnaopomba-sklic"/>
          <w:rFonts w:cs="Calibri"/>
        </w:rPr>
        <w:footnoteRef/>
      </w:r>
      <w:r w:rsidRPr="00962590">
        <w:rPr>
          <w:rFonts w:cs="Calibri"/>
          <w:sz w:val="18"/>
          <w:szCs w:val="18"/>
        </w:rPr>
        <w:t xml:space="preserve"> </w:t>
      </w:r>
      <w:r w:rsidRPr="00962590">
        <w:rPr>
          <w:rFonts w:cs="Calibri"/>
          <w:bCs/>
          <w:sz w:val="18"/>
          <w:szCs w:val="18"/>
        </w:rPr>
        <w:t>V letu 2019 so bile na naslednjih proračunskih postavkah zagotovljene dodatne pravice porabe, kot sledi:</w:t>
      </w:r>
    </w:p>
    <w:p w:rsidR="00D850FC" w:rsidRPr="00962590" w:rsidRDefault="00D850FC" w:rsidP="00E302FA">
      <w:pPr>
        <w:numPr>
          <w:ilvl w:val="0"/>
          <w:numId w:val="13"/>
        </w:numPr>
        <w:spacing w:line="240" w:lineRule="auto"/>
        <w:jc w:val="both"/>
        <w:rPr>
          <w:rFonts w:ascii="Calibri" w:hAnsi="Calibri" w:cs="Calibri"/>
          <w:sz w:val="18"/>
          <w:szCs w:val="18"/>
        </w:rPr>
      </w:pPr>
      <w:r w:rsidRPr="00962590">
        <w:rPr>
          <w:rFonts w:ascii="Calibri" w:hAnsi="Calibri" w:cs="Calibri"/>
          <w:sz w:val="18"/>
          <w:szCs w:val="18"/>
        </w:rPr>
        <w:t xml:space="preserve">proračunska postavka 1267 plače; za 5 novih državnih nadzornikov za varstvo osebnih podatkov (41. plačni razred in 10 let delovne dobe) - na letni ravni skupaj 171.000,00 EUR in </w:t>
      </w:r>
    </w:p>
    <w:p w:rsidR="00D850FC" w:rsidRPr="00962590" w:rsidRDefault="00D850FC" w:rsidP="00E302FA">
      <w:pPr>
        <w:numPr>
          <w:ilvl w:val="0"/>
          <w:numId w:val="13"/>
        </w:numPr>
        <w:spacing w:line="240" w:lineRule="auto"/>
        <w:jc w:val="both"/>
        <w:rPr>
          <w:rFonts w:ascii="Calibri" w:hAnsi="Calibri" w:cs="Calibri"/>
          <w:sz w:val="18"/>
          <w:szCs w:val="18"/>
        </w:rPr>
      </w:pPr>
      <w:r w:rsidRPr="00962590">
        <w:rPr>
          <w:rFonts w:ascii="Calibri" w:hAnsi="Calibri" w:cs="Calibri"/>
          <w:sz w:val="18"/>
          <w:szCs w:val="18"/>
        </w:rPr>
        <w:t>proračunska postavka 1273 investicije; finančna sredstva za nakup osnovne opreme za 5 novo zaposlenih, skupaj 5.000,00 EUR, najem poslovnih prostorov za 12 mesecev (15.300 EUR/mesec), skupaj 183.600,00 EUR.</w:t>
      </w:r>
    </w:p>
    <w:p w:rsidR="00D850FC" w:rsidRPr="00D03899" w:rsidRDefault="00D850FC" w:rsidP="00E302FA">
      <w:pPr>
        <w:pStyle w:val="Sprotnaopomba-besedilo"/>
      </w:pPr>
      <w:r w:rsidRPr="00962590">
        <w:rPr>
          <w:rFonts w:cs="Calibri"/>
          <w:sz w:val="18"/>
          <w:szCs w:val="18"/>
        </w:rPr>
        <w:t>V letu 2019 so bila tako zagotovljena finančna sredstva skupaj v višini 359.600,00 EUR.</w:t>
      </w:r>
    </w:p>
  </w:footnote>
  <w:footnote w:id="21">
    <w:p w:rsidR="00D850FC" w:rsidRPr="00382F59" w:rsidRDefault="00D850FC" w:rsidP="00E302FA">
      <w:pPr>
        <w:pStyle w:val="Sprotnaopomba-besedilo"/>
        <w:rPr>
          <w:sz w:val="18"/>
          <w:szCs w:val="18"/>
        </w:rPr>
      </w:pPr>
      <w:r w:rsidRPr="00D46271">
        <w:rPr>
          <w:rStyle w:val="Sprotnaopomba-sklic"/>
        </w:rPr>
        <w:footnoteRef/>
      </w:r>
      <w:r w:rsidRPr="00382F59">
        <w:rPr>
          <w:sz w:val="18"/>
          <w:szCs w:val="18"/>
        </w:rPr>
        <w:t xml:space="preserve"> </w:t>
      </w:r>
      <w:r w:rsidRPr="00382F59">
        <w:rPr>
          <w:rFonts w:eastAsia="Times New Roman"/>
          <w:sz w:val="18"/>
          <w:szCs w:val="18"/>
        </w:rPr>
        <w:t xml:space="preserve">Direktiva (EU) 2016/681 je drugače skoraj v celoti prenesena v Zakonu o nalogah in pooblastilih policije.  </w:t>
      </w:r>
    </w:p>
  </w:footnote>
  <w:footnote w:id="22">
    <w:p w:rsidR="00D850FC" w:rsidRPr="00010323" w:rsidRDefault="00D850FC" w:rsidP="00E302FA">
      <w:pPr>
        <w:pStyle w:val="Sprotnaopomba-besedilo"/>
        <w:rPr>
          <w:sz w:val="18"/>
          <w:szCs w:val="18"/>
        </w:rPr>
      </w:pPr>
      <w:r w:rsidRPr="00010323">
        <w:rPr>
          <w:rStyle w:val="Sprotnaopomba-sklic"/>
        </w:rPr>
        <w:footnoteRef/>
      </w:r>
      <w:r w:rsidRPr="00010323">
        <w:rPr>
          <w:sz w:val="18"/>
          <w:szCs w:val="18"/>
        </w:rPr>
        <w:t xml:space="preserve"> </w:t>
      </w:r>
      <w:r w:rsidRPr="00010323">
        <w:rPr>
          <w:rFonts w:cs="Arial"/>
          <w:sz w:val="18"/>
          <w:szCs w:val="18"/>
        </w:rPr>
        <w:t>Suomen säädöskokoelma (SK); Number: 1054/2018; objavljen dne 10.</w:t>
      </w:r>
      <w:r>
        <w:rPr>
          <w:rFonts w:cs="Arial"/>
          <w:sz w:val="18"/>
          <w:szCs w:val="18"/>
        </w:rPr>
        <w:t> </w:t>
      </w:r>
      <w:r w:rsidRPr="00010323">
        <w:rPr>
          <w:rFonts w:cs="Arial"/>
          <w:sz w:val="18"/>
          <w:szCs w:val="18"/>
        </w:rPr>
        <w:t>12.</w:t>
      </w:r>
      <w:r>
        <w:rPr>
          <w:rFonts w:cs="Arial"/>
          <w:sz w:val="18"/>
          <w:szCs w:val="18"/>
        </w:rPr>
        <w:t> </w:t>
      </w:r>
      <w:r w:rsidRPr="00010323">
        <w:rPr>
          <w:rFonts w:cs="Arial"/>
          <w:sz w:val="18"/>
          <w:szCs w:val="18"/>
        </w:rPr>
        <w:t>2018</w:t>
      </w:r>
    </w:p>
  </w:footnote>
  <w:footnote w:id="23">
    <w:p w:rsidR="00D850FC" w:rsidRPr="00A36B3C" w:rsidRDefault="00D850FC" w:rsidP="00E302FA">
      <w:pPr>
        <w:pStyle w:val="Sprotnaopomba-besedilo"/>
        <w:rPr>
          <w:sz w:val="18"/>
          <w:szCs w:val="18"/>
        </w:rPr>
      </w:pPr>
      <w:r w:rsidRPr="00010323">
        <w:rPr>
          <w:rStyle w:val="Sprotnaopomba-sklic"/>
        </w:rPr>
        <w:footnoteRef/>
      </w:r>
      <w:r w:rsidRPr="00010323">
        <w:rPr>
          <w:sz w:val="18"/>
          <w:szCs w:val="18"/>
        </w:rPr>
        <w:t xml:space="preserve"> Zakon z dne 30. junija 2017, Bundesgesetzblatt Teil I, 2097.</w:t>
      </w:r>
    </w:p>
  </w:footnote>
  <w:footnote w:id="24">
    <w:p w:rsidR="00D850FC" w:rsidRPr="00A36B3C" w:rsidRDefault="00D850FC" w:rsidP="00E302FA">
      <w:pPr>
        <w:pStyle w:val="Sprotnaopomba-besedilo"/>
        <w:rPr>
          <w:sz w:val="18"/>
          <w:szCs w:val="18"/>
        </w:rPr>
      </w:pPr>
      <w:r w:rsidRPr="00A36B3C">
        <w:rPr>
          <w:rStyle w:val="Sprotnaopomba-sklic"/>
        </w:rPr>
        <w:footnoteRef/>
      </w:r>
      <w:r w:rsidRPr="00A36B3C">
        <w:rPr>
          <w:sz w:val="18"/>
          <w:szCs w:val="18"/>
        </w:rPr>
        <w:t xml:space="preserve"> Zasebni s</w:t>
      </w:r>
      <w:r>
        <w:rPr>
          <w:sz w:val="18"/>
          <w:szCs w:val="18"/>
        </w:rPr>
        <w:t>e</w:t>
      </w:r>
      <w:r w:rsidRPr="00A36B3C">
        <w:rPr>
          <w:sz w:val="18"/>
          <w:szCs w:val="18"/>
        </w:rPr>
        <w:t xml:space="preserve">ktor npr. uporablja videonadzor in bi hotel vložiti kazensko ovadbo, saj je </w:t>
      </w:r>
      <w:r>
        <w:rPr>
          <w:sz w:val="18"/>
          <w:szCs w:val="18"/>
        </w:rPr>
        <w:t>oceni</w:t>
      </w:r>
      <w:r w:rsidRPr="00A36B3C">
        <w:rPr>
          <w:sz w:val="18"/>
          <w:szCs w:val="18"/>
        </w:rPr>
        <w:t>l, da obstaja sum</w:t>
      </w:r>
      <w:r>
        <w:rPr>
          <w:sz w:val="18"/>
          <w:szCs w:val="18"/>
        </w:rPr>
        <w:t xml:space="preserve"> storitve</w:t>
      </w:r>
      <w:r w:rsidRPr="00A36B3C">
        <w:rPr>
          <w:sz w:val="18"/>
          <w:szCs w:val="18"/>
        </w:rPr>
        <w:t xml:space="preserve"> kaznivega dejanja. </w:t>
      </w:r>
    </w:p>
  </w:footnote>
  <w:footnote w:id="25">
    <w:p w:rsidR="00D850FC" w:rsidRPr="00A36B3C" w:rsidRDefault="00D850FC" w:rsidP="00E302FA">
      <w:pPr>
        <w:rPr>
          <w:sz w:val="18"/>
          <w:szCs w:val="18"/>
        </w:rPr>
      </w:pPr>
      <w:r w:rsidRPr="00A36B3C">
        <w:rPr>
          <w:rStyle w:val="Sprotnaopomba-sklic"/>
        </w:rPr>
        <w:footnoteRef/>
      </w:r>
      <w:r w:rsidRPr="00A36B3C">
        <w:rPr>
          <w:sz w:val="18"/>
          <w:szCs w:val="18"/>
        </w:rPr>
        <w:t xml:space="preserve"> </w:t>
      </w:r>
      <w:r w:rsidRPr="00A36B3C">
        <w:rPr>
          <w:sz w:val="18"/>
          <w:szCs w:val="18"/>
          <w:shd w:val="clear" w:color="auto" w:fill="FFFFFF"/>
        </w:rPr>
        <w:t>Bundesgesetzblatt I Nr. 120/2017, Teil I.</w:t>
      </w:r>
    </w:p>
    <w:p w:rsidR="00D850FC" w:rsidRPr="00A36B3C" w:rsidRDefault="00D850FC" w:rsidP="00E302FA">
      <w:pPr>
        <w:pStyle w:val="Sprotnaopomba-besedilo"/>
        <w:rPr>
          <w:sz w:val="18"/>
          <w:szCs w:val="18"/>
        </w:rPr>
      </w:pPr>
    </w:p>
  </w:footnote>
  <w:footnote w:id="26">
    <w:p w:rsidR="00D850FC" w:rsidRPr="00937FD7" w:rsidRDefault="00D850FC" w:rsidP="00E302FA">
      <w:pPr>
        <w:pStyle w:val="Sprotnaopomba-besedilo"/>
        <w:rPr>
          <w:sz w:val="18"/>
          <w:szCs w:val="18"/>
        </w:rPr>
      </w:pPr>
      <w:r w:rsidRPr="00937FD7">
        <w:rPr>
          <w:rStyle w:val="Sprotnaopomba-sklic"/>
        </w:rPr>
        <w:footnoteRef/>
      </w:r>
      <w:r w:rsidRPr="00937FD7">
        <w:rPr>
          <w:sz w:val="18"/>
          <w:szCs w:val="18"/>
        </w:rPr>
        <w:t xml:space="preserve"> Uradni list EU, L 119, 4. 5. 2016, str. 132–149.</w:t>
      </w:r>
    </w:p>
  </w:footnote>
  <w:footnote w:id="27">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Uradni list RS, št. 50/12 – uradno prečiščeno besedilo, 6/16 – popr., 54/15, 38/16 in 27/17.</w:t>
      </w:r>
    </w:p>
  </w:footnote>
  <w:footnote w:id="28">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w:t>
      </w:r>
      <w:r w:rsidRPr="00B92327">
        <w:rPr>
          <w:bCs/>
          <w:sz w:val="18"/>
          <w:szCs w:val="18"/>
          <w:shd w:val="clear" w:color="auto" w:fill="FFFFFF"/>
        </w:rPr>
        <w:t>Uradni list RS, št. 33/16.</w:t>
      </w:r>
    </w:p>
  </w:footnote>
  <w:footnote w:id="29">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Uradni list RS, št. 11/94 – Mednarodne pogodbe, št. 3/94 in 86/04 – ZVOP-1.</w:t>
      </w:r>
    </w:p>
  </w:footnote>
  <w:footnote w:id="30">
    <w:p w:rsidR="00D850FC" w:rsidRPr="00A87294" w:rsidRDefault="00D850FC" w:rsidP="00E302FA">
      <w:pPr>
        <w:pStyle w:val="Sprotnaopomba-besedilo"/>
      </w:pPr>
      <w:r>
        <w:rPr>
          <w:rStyle w:val="Sprotnaopomba-sklic"/>
        </w:rPr>
        <w:footnoteRef/>
      </w:r>
      <w:r>
        <w:t xml:space="preserve"> </w:t>
      </w:r>
      <w:r w:rsidRPr="00960DAA">
        <w:rPr>
          <w:sz w:val="18"/>
          <w:szCs w:val="18"/>
        </w:rPr>
        <w:t>Gl</w:t>
      </w:r>
      <w:r>
        <w:rPr>
          <w:sz w:val="18"/>
          <w:szCs w:val="18"/>
        </w:rPr>
        <w:t>.</w:t>
      </w:r>
      <w:r w:rsidRPr="00960DAA">
        <w:rPr>
          <w:sz w:val="18"/>
          <w:szCs w:val="18"/>
        </w:rPr>
        <w:t>: odločba US, št. U-I-152/17,</w:t>
      </w:r>
      <w:r>
        <w:rPr>
          <w:sz w:val="18"/>
          <w:szCs w:val="18"/>
        </w:rPr>
        <w:t xml:space="preserve"> </w:t>
      </w:r>
      <w:r w:rsidRPr="00960DAA">
        <w:rPr>
          <w:sz w:val="18"/>
          <w:szCs w:val="18"/>
        </w:rPr>
        <w:t>4.</w:t>
      </w:r>
      <w:r>
        <w:rPr>
          <w:sz w:val="18"/>
          <w:szCs w:val="18"/>
        </w:rPr>
        <w:t xml:space="preserve"> </w:t>
      </w:r>
      <w:r w:rsidRPr="00960DAA">
        <w:rPr>
          <w:sz w:val="18"/>
          <w:szCs w:val="18"/>
        </w:rPr>
        <w:t>7.</w:t>
      </w:r>
      <w:r>
        <w:rPr>
          <w:sz w:val="18"/>
          <w:szCs w:val="18"/>
        </w:rPr>
        <w:t xml:space="preserve"> </w:t>
      </w:r>
      <w:r w:rsidRPr="00960DAA">
        <w:rPr>
          <w:sz w:val="18"/>
          <w:szCs w:val="18"/>
        </w:rPr>
        <w:t>2019</w:t>
      </w:r>
      <w:r>
        <w:rPr>
          <w:sz w:val="18"/>
          <w:szCs w:val="18"/>
        </w:rPr>
        <w:t xml:space="preserve">; objava: </w:t>
      </w:r>
      <w:r w:rsidRPr="007204CE">
        <w:rPr>
          <w:sz w:val="18"/>
          <w:szCs w:val="18"/>
        </w:rPr>
        <w:t>U</w:t>
      </w:r>
      <w:r>
        <w:rPr>
          <w:sz w:val="18"/>
          <w:szCs w:val="18"/>
        </w:rPr>
        <w:t xml:space="preserve">radni list RS, št. </w:t>
      </w:r>
      <w:r w:rsidRPr="007204CE">
        <w:rPr>
          <w:sz w:val="18"/>
          <w:szCs w:val="18"/>
        </w:rPr>
        <w:t xml:space="preserve">46/19 </w:t>
      </w:r>
      <w:r>
        <w:rPr>
          <w:sz w:val="18"/>
          <w:szCs w:val="18"/>
        </w:rPr>
        <w:t>in OdlUS</w:t>
      </w:r>
      <w:r w:rsidRPr="007204CE">
        <w:rPr>
          <w:sz w:val="18"/>
          <w:szCs w:val="18"/>
        </w:rPr>
        <w:t xml:space="preserve"> XXIV,</w:t>
      </w:r>
      <w:r>
        <w:rPr>
          <w:sz w:val="18"/>
          <w:szCs w:val="18"/>
        </w:rPr>
        <w:t xml:space="preserve"> </w:t>
      </w:r>
      <w:r w:rsidRPr="007204CE">
        <w:rPr>
          <w:sz w:val="18"/>
          <w:szCs w:val="18"/>
        </w:rPr>
        <w:t>4.</w:t>
      </w:r>
      <w:r>
        <w:rPr>
          <w:sz w:val="18"/>
          <w:szCs w:val="18"/>
        </w:rPr>
        <w:t xml:space="preserve"> </w:t>
      </w:r>
      <w:r w:rsidRPr="007204CE">
        <w:rPr>
          <w:sz w:val="18"/>
          <w:szCs w:val="18"/>
        </w:rPr>
        <w:t>7.</w:t>
      </w:r>
      <w:r>
        <w:rPr>
          <w:sz w:val="18"/>
          <w:szCs w:val="18"/>
        </w:rPr>
        <w:t xml:space="preserve"> </w:t>
      </w:r>
      <w:r w:rsidRPr="007204CE">
        <w:rPr>
          <w:sz w:val="18"/>
          <w:szCs w:val="18"/>
        </w:rPr>
        <w:t>2019</w:t>
      </w:r>
      <w:r>
        <w:rPr>
          <w:sz w:val="18"/>
          <w:szCs w:val="18"/>
        </w:rPr>
        <w:t xml:space="preserve">: </w:t>
      </w:r>
      <w:r w:rsidRPr="00960DAA">
        <w:rPr>
          <w:sz w:val="18"/>
          <w:szCs w:val="18"/>
        </w:rPr>
        <w:t>»25. Iz MKVP [Konvencija o varstvu posameznikov glede na avtomatsko obdelavo osebnih podatkov], Direktive 2016/680 in Zakona o varstvu osebnih podatkov (Uradni list RS, št. 94/07 – uradno prečiščeno besedilo – v nadaljevanju ZVOP-1), ki so sprejeli široko, vsevključujočo opredelitev, izhaja, da je osebni podatek katerakoli informacija v zvezi z določenim ali določljivim posameznikom; določljiv posameznik pa je tisti, ki ga je mogoče neposredno ali posredno določiti. (op. št. 20 odločbe US: Prim. z a) točko prvega odstavka 2. člena MKVP, 1. točko 3. člena Direktive 2016/680 in s 1. točko 6. člena ZVOP-1. Gl</w:t>
      </w:r>
      <w:r>
        <w:rPr>
          <w:sz w:val="18"/>
          <w:szCs w:val="18"/>
        </w:rPr>
        <w:t>.</w:t>
      </w:r>
      <w:r w:rsidRPr="00960DAA">
        <w:rPr>
          <w:sz w:val="18"/>
          <w:szCs w:val="18"/>
        </w:rPr>
        <w:t xml:space="preserve"> tudi mnenje št. 4/2007 Delovne skupine 29 o opredelitvi pojma osebnega podatka.)«</w:t>
      </w:r>
    </w:p>
  </w:footnote>
  <w:footnote w:id="31">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Definicija privolitve je </w:t>
      </w:r>
      <w:r>
        <w:rPr>
          <w:sz w:val="18"/>
          <w:szCs w:val="18"/>
        </w:rPr>
        <w:t xml:space="preserve">sicer </w:t>
      </w:r>
      <w:r w:rsidRPr="00B92327">
        <w:rPr>
          <w:sz w:val="18"/>
          <w:szCs w:val="18"/>
        </w:rPr>
        <w:t>povzeta iz 11. točke 4. člena Splošne uredbe o varstvu podatkov, pri čemer je upoštevan Popravek Splošne uredbe o varstvu podatkov (UL L št. 127 z dne 23. 5. 2018, str. 2).</w:t>
      </w:r>
      <w:r>
        <w:rPr>
          <w:sz w:val="18"/>
          <w:szCs w:val="18"/>
        </w:rPr>
        <w:t xml:space="preserve"> V povezavi s Splošno uredbo o varstvu podatkov in njenim delnim oziroma posrednim vplivom na področje notranjih zadev je z</w:t>
      </w:r>
      <w:r w:rsidRPr="00EA6DB4">
        <w:rPr>
          <w:sz w:val="18"/>
          <w:szCs w:val="18"/>
        </w:rPr>
        <w:t xml:space="preserve"> vidika, da je možno privolitev za obdelavo osebnih podatkov po določbi tretjega odstavka člena 7 Splošne uredbe</w:t>
      </w:r>
      <w:r>
        <w:rPr>
          <w:sz w:val="18"/>
          <w:szCs w:val="18"/>
        </w:rPr>
        <w:t xml:space="preserve"> o varstvu podatkov</w:t>
      </w:r>
      <w:r w:rsidRPr="00EA6DB4">
        <w:rPr>
          <w:sz w:val="18"/>
          <w:szCs w:val="18"/>
        </w:rPr>
        <w:t xml:space="preserve"> kadarkoli umakniti, Zvezno ministrstvo za notranje zadeve Zvezne republike Nemčije v smernicah za izvajanje novega </w:t>
      </w:r>
      <w:r>
        <w:rPr>
          <w:sz w:val="18"/>
          <w:szCs w:val="18"/>
        </w:rPr>
        <w:t xml:space="preserve">nemškega </w:t>
      </w:r>
      <w:r w:rsidRPr="00EA6DB4">
        <w:rPr>
          <w:sz w:val="18"/>
          <w:szCs w:val="18"/>
        </w:rPr>
        <w:t>zakona (opr. št. V II 4 - 20108/24#27, 31. 8. 2017) opoz</w:t>
      </w:r>
      <w:r>
        <w:rPr>
          <w:sz w:val="18"/>
          <w:szCs w:val="18"/>
        </w:rPr>
        <w:t>orilo</w:t>
      </w:r>
      <w:r w:rsidRPr="00EA6DB4">
        <w:rPr>
          <w:sz w:val="18"/>
          <w:szCs w:val="18"/>
        </w:rPr>
        <w:t>: »Prav tako se je treba izogibati pravilom o privolitvi, zlasti v zvezi z javnimi organi, saj se privolitev lahko kadar koli umakne (člen 7 (3) Splošne uredbe) in ker Splošna uredba izrecno navaja, da privolitev ne more biti pravna podlaga, kadar ni bila svobodno podana, kadar je upravljavec [tak] organ (uvodna navedba 43 Splošne uredbe).«</w:t>
      </w:r>
    </w:p>
  </w:footnote>
  <w:footnote w:id="32">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Uradni list RS, št. 113/05 in 51/07 – ZUstS-A.</w:t>
      </w:r>
    </w:p>
  </w:footnote>
  <w:footnote w:id="33">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Uradni list RS, št. 94/07 – uradno prečiščeno besedilo, 45/08, 96/09, 86/10 – ZJNepS, 33/11, 75/12 – ZSPDSLS-A, 63/13, 17/15, 23/17 – ZSSve, 22/18 – ZSICT in 16/19 – ZNP-1.</w:t>
      </w:r>
    </w:p>
  </w:footnote>
  <w:footnote w:id="34">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Odločba US, št. U-I-115/92, 24. 12. 1992; objava: OdlUS I, 105 in Uradni list RS, št. 3/93.</w:t>
      </w:r>
    </w:p>
  </w:footnote>
  <w:footnote w:id="35">
    <w:p w:rsidR="00D850FC" w:rsidRPr="00B92327" w:rsidRDefault="00D850FC" w:rsidP="00E302FA">
      <w:pPr>
        <w:pStyle w:val="Sprotnaopomba-besedilo"/>
        <w:rPr>
          <w:sz w:val="18"/>
          <w:szCs w:val="18"/>
        </w:rPr>
      </w:pPr>
      <w:r w:rsidRPr="00B92327">
        <w:rPr>
          <w:rStyle w:val="Sprotnaopomba-sklic"/>
        </w:rPr>
        <w:footnoteRef/>
      </w:r>
      <w:r w:rsidRPr="00B92327">
        <w:rPr>
          <w:sz w:val="18"/>
          <w:szCs w:val="18"/>
        </w:rPr>
        <w:t xml:space="preserve"> Odločba US, št. U-I-152/17, 4. 7. 2019, zlasti 32. točka; objava: Uradni list RS, št. 46/19.</w:t>
      </w:r>
    </w:p>
  </w:footnote>
  <w:footnote w:id="36">
    <w:p w:rsidR="00D850FC" w:rsidRPr="00C43C22" w:rsidRDefault="00D850FC" w:rsidP="00E302FA">
      <w:pPr>
        <w:pStyle w:val="Sprotnaopomba-besedilo"/>
        <w:rPr>
          <w:sz w:val="18"/>
          <w:szCs w:val="18"/>
        </w:rPr>
      </w:pPr>
      <w:r w:rsidRPr="00C43C22">
        <w:rPr>
          <w:rStyle w:val="Sprotnaopomba-sklic"/>
        </w:rPr>
        <w:footnoteRef/>
      </w:r>
      <w:r w:rsidRPr="00C43C22">
        <w:rPr>
          <w:sz w:val="18"/>
          <w:szCs w:val="18"/>
        </w:rPr>
        <w:t xml:space="preserve"> Načelo sor</w:t>
      </w:r>
      <w:r>
        <w:rPr>
          <w:sz w:val="18"/>
          <w:szCs w:val="18"/>
        </w:rPr>
        <w:t>a</w:t>
      </w:r>
      <w:r w:rsidRPr="00C43C22">
        <w:rPr>
          <w:sz w:val="18"/>
          <w:szCs w:val="18"/>
        </w:rPr>
        <w:t>zmernosti po ustaljeni ustavnosodni presoji Ustavnega sodišča Republike Slovenije izhaja iz 2. člena v zvezi s tretjim odstavkom 15. člena Ustave Republike Slovenije.</w:t>
      </w:r>
    </w:p>
  </w:footnote>
  <w:footnote w:id="37">
    <w:p w:rsidR="00D850FC" w:rsidRPr="00C43C22" w:rsidRDefault="00D850FC" w:rsidP="00E302FA">
      <w:pPr>
        <w:pStyle w:val="Sprotnaopomba-besedilo"/>
        <w:rPr>
          <w:sz w:val="18"/>
          <w:szCs w:val="18"/>
        </w:rPr>
      </w:pPr>
      <w:r w:rsidRPr="00C43C22">
        <w:rPr>
          <w:rStyle w:val="Sprotnaopomba-sklic"/>
        </w:rPr>
        <w:footnoteRef/>
      </w:r>
      <w:r w:rsidRPr="00C43C22">
        <w:rPr>
          <w:sz w:val="18"/>
          <w:szCs w:val="18"/>
        </w:rPr>
        <w:t xml:space="preserve"> Gl</w:t>
      </w:r>
      <w:r>
        <w:rPr>
          <w:sz w:val="18"/>
          <w:szCs w:val="18"/>
        </w:rPr>
        <w:t>.</w:t>
      </w:r>
      <w:r w:rsidRPr="00C43C22">
        <w:rPr>
          <w:sz w:val="18"/>
          <w:szCs w:val="18"/>
        </w:rPr>
        <w:t xml:space="preserve"> tudi drugi odstavek 38. člena Ustave Republike Slovenije.</w:t>
      </w:r>
    </w:p>
  </w:footnote>
  <w:footnote w:id="38">
    <w:p w:rsidR="00D850FC" w:rsidRPr="006C2EE3" w:rsidRDefault="00D850FC" w:rsidP="00E302FA">
      <w:pPr>
        <w:pStyle w:val="Sprotnaopomba-besedilo"/>
      </w:pPr>
      <w:r>
        <w:rPr>
          <w:rStyle w:val="Sprotnaopomba-sklic"/>
        </w:rPr>
        <w:footnoteRef/>
      </w:r>
      <w:r>
        <w:t xml:space="preserve"> </w:t>
      </w:r>
      <w:r w:rsidRPr="00B92327">
        <w:rPr>
          <w:sz w:val="18"/>
          <w:szCs w:val="18"/>
        </w:rPr>
        <w:t>Odločba US, št. U-I-115/92, 24. 12. 1992; objava: Uradni list RS, št. 3/93 in OdlUS I, 105.</w:t>
      </w:r>
      <w:r>
        <w:rPr>
          <w:sz w:val="18"/>
          <w:szCs w:val="18"/>
        </w:rPr>
        <w:t xml:space="preserve"> Eden prvih področnih zakonov neodvisne Republike Slovenije, v katerem so bile pretežno upoštevane prej navedene zahteve iz 38. člena Ustave Republike Slovenije glede področnega urejanja osebnih podatkov v zakonih, je bil s področja notranjih zadev – Z</w:t>
      </w:r>
      <w:r w:rsidRPr="006C2EE3">
        <w:rPr>
          <w:sz w:val="18"/>
          <w:szCs w:val="18"/>
        </w:rPr>
        <w:t xml:space="preserve">akon o evidencah </w:t>
      </w:r>
      <w:r>
        <w:rPr>
          <w:sz w:val="18"/>
          <w:szCs w:val="18"/>
        </w:rPr>
        <w:t xml:space="preserve">s področja </w:t>
      </w:r>
      <w:r w:rsidRPr="006C2EE3">
        <w:rPr>
          <w:sz w:val="18"/>
          <w:szCs w:val="18"/>
        </w:rPr>
        <w:t>javne varnosti (Uradni list RS, št. 8/93).</w:t>
      </w:r>
      <w:r>
        <w:rPr>
          <w:sz w:val="18"/>
          <w:szCs w:val="18"/>
        </w:rPr>
        <w:t xml:space="preserve">  </w:t>
      </w:r>
    </w:p>
  </w:footnote>
  <w:footnote w:id="39">
    <w:p w:rsidR="00D850FC" w:rsidRPr="00937FD7" w:rsidRDefault="00D850FC" w:rsidP="00E302FA">
      <w:pPr>
        <w:pStyle w:val="Sprotnaopomba-besedilo"/>
        <w:rPr>
          <w:sz w:val="18"/>
          <w:szCs w:val="18"/>
        </w:rPr>
      </w:pPr>
      <w:r w:rsidRPr="00937FD7">
        <w:rPr>
          <w:rStyle w:val="Sprotnaopomba-sklic"/>
        </w:rPr>
        <w:footnoteRef/>
      </w:r>
      <w:r w:rsidRPr="00937FD7">
        <w:rPr>
          <w:sz w:val="18"/>
          <w:szCs w:val="18"/>
        </w:rPr>
        <w:t xml:space="preserve"> Odločba US, št. U-I-152/17, 4. 7. 2019, 33. točka odločbe; objava: Uradni list RS, št. 48/19. </w:t>
      </w:r>
    </w:p>
  </w:footnote>
  <w:footnote w:id="40">
    <w:p w:rsidR="00D850FC" w:rsidRPr="004C19F7" w:rsidRDefault="00D850FC" w:rsidP="00B95A00">
      <w:pPr>
        <w:pStyle w:val="Sprotnaopomba-besedilo"/>
        <w:jc w:val="both"/>
        <w:rPr>
          <w:sz w:val="18"/>
          <w:szCs w:val="18"/>
        </w:rPr>
      </w:pPr>
      <w:r w:rsidRPr="00B92327">
        <w:rPr>
          <w:rStyle w:val="Sprotnaopomba-sklic"/>
        </w:rPr>
        <w:footnoteRef/>
      </w:r>
      <w:r w:rsidRPr="00B92327">
        <w:rPr>
          <w:sz w:val="18"/>
          <w:szCs w:val="18"/>
        </w:rPr>
        <w:t xml:space="preserve"> Odločba US, št. U-I-115/92, 24. 12. 1992; objava: Uradni list RS, št. 3/93 in OdlUS I, 105. </w:t>
      </w:r>
      <w:r>
        <w:rPr>
          <w:sz w:val="18"/>
          <w:szCs w:val="18"/>
        </w:rPr>
        <w:t>V novejšem obdobju</w:t>
      </w:r>
      <w:r w:rsidRPr="00B92327">
        <w:rPr>
          <w:sz w:val="18"/>
          <w:szCs w:val="18"/>
        </w:rPr>
        <w:t xml:space="preserve"> je relevantna tudi odločba Ustavnega sodišča RS iz leta 2019 o načelu upravne zakonitosti (drugi odstavek 120. člena Ustave Republike Slovenije: »Upravni organi opravljajo svoje delo samostojno v okviru in na podlagi ustave in zakonov.«), št. U-I-26/17, U-I-87/16, U-I-105/16, 24. 10. 2019; objava: Uradni list RS, št. 67/19, kjer je </w:t>
      </w:r>
      <w:r>
        <w:rPr>
          <w:sz w:val="18"/>
          <w:szCs w:val="18"/>
        </w:rPr>
        <w:t xml:space="preserve">med drugim </w:t>
      </w:r>
      <w:r w:rsidRPr="00B92327">
        <w:rPr>
          <w:sz w:val="18"/>
          <w:szCs w:val="18"/>
        </w:rPr>
        <w:t xml:space="preserve">navedeno: »50.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w:t>
      </w:r>
      <w:r w:rsidRPr="004C19F7">
        <w:rPr>
          <w:sz w:val="18"/>
          <w:szCs w:val="18"/>
        </w:rPr>
        <w:t>(glede materije, ki mora po Ustavi biti zakonsko urejena) odpravljalo z jasnimi in razumljivimi podzakonskimi akti.«</w:t>
      </w:r>
    </w:p>
  </w:footnote>
  <w:footnote w:id="41">
    <w:p w:rsidR="00D850FC" w:rsidRPr="00B95A00" w:rsidRDefault="00D850FC" w:rsidP="00E302FA">
      <w:pPr>
        <w:rPr>
          <w:rFonts w:ascii="Calibri" w:hAnsi="Calibri" w:cs="Calibri"/>
          <w:sz w:val="18"/>
          <w:szCs w:val="18"/>
        </w:rPr>
      </w:pPr>
      <w:r w:rsidRPr="00B95A00">
        <w:rPr>
          <w:rStyle w:val="Sprotnaopomba-sklic"/>
          <w:rFonts w:ascii="Calibri" w:hAnsi="Calibri" w:cs="Calibri"/>
          <w:sz w:val="18"/>
          <w:szCs w:val="18"/>
        </w:rPr>
        <w:footnoteRef/>
      </w:r>
      <w:r w:rsidRPr="00B95A00">
        <w:rPr>
          <w:rFonts w:ascii="Calibri" w:hAnsi="Calibri" w:cs="Calibri"/>
          <w:sz w:val="18"/>
          <w:szCs w:val="18"/>
        </w:rPr>
        <w:t xml:space="preserve"> Gl. tudi: dr. Miroslav Žaberl, Mile Nunič, mag. Tatjana Bobnar, mag. Robert Ferenc, mag. Gregor Hudrič, Alojz Senčar (ur.: Mile Nunič), </w:t>
      </w:r>
      <w:r w:rsidRPr="00B95A00">
        <w:rPr>
          <w:rFonts w:ascii="Calibri" w:hAnsi="Calibri" w:cs="Calibri"/>
          <w:i/>
          <w:iCs/>
          <w:sz w:val="18"/>
          <w:szCs w:val="18"/>
        </w:rPr>
        <w:t>Zakon o nalogah in pooblastilih policije s komentarjem</w:t>
      </w:r>
      <w:r w:rsidRPr="00B95A00">
        <w:rPr>
          <w:rFonts w:ascii="Calibri" w:hAnsi="Calibri" w:cs="Calibri"/>
          <w:sz w:val="18"/>
          <w:szCs w:val="18"/>
        </w:rPr>
        <w:t xml:space="preserve">, GV Založba, Ljubljana, 2015, str. 41-42: »Prvi odstavek 4. člena zakona pa ni samostojen temelj, ki bi policiji zapovedoval dolžnost določenega delovanja. Gre za pravno normo, katere predmet je okvirno določanje nalog policije in ki je splošna. (opomba št. 2 knjige: Tako tudi VS, sodba št. 755/2005 in 181/2010). […] Edina izjema, ki pa velja za policijo in ki je vezana na odločitev ministra, bi bila v primeru uporabe generalne policijske klavzule (gl. komentar k 10. členu).« </w:t>
      </w:r>
    </w:p>
  </w:footnote>
  <w:footnote w:id="42">
    <w:p w:rsidR="00D850FC" w:rsidRPr="004C19F7" w:rsidRDefault="00D850FC" w:rsidP="00E302FA">
      <w:pPr>
        <w:pStyle w:val="Sprotnaopomba-besedilo"/>
      </w:pPr>
      <w:r w:rsidRPr="004C19F7">
        <w:rPr>
          <w:rStyle w:val="Sprotnaopomba-sklic"/>
        </w:rPr>
        <w:footnoteRef/>
      </w:r>
      <w:r w:rsidRPr="004C19F7">
        <w:rPr>
          <w:sz w:val="18"/>
          <w:szCs w:val="18"/>
        </w:rPr>
        <w:t xml:space="preserve"> Gl</w:t>
      </w:r>
      <w:r>
        <w:rPr>
          <w:sz w:val="18"/>
          <w:szCs w:val="18"/>
        </w:rPr>
        <w:t>.</w:t>
      </w:r>
      <w:r w:rsidRPr="004C19F7">
        <w:rPr>
          <w:sz w:val="18"/>
          <w:szCs w:val="18"/>
        </w:rPr>
        <w:t xml:space="preserve"> tudi ureditev v Republiki Avstriji: </w:t>
      </w:r>
      <w:r w:rsidRPr="00B6537C">
        <w:rPr>
          <w:sz w:val="18"/>
          <w:szCs w:val="18"/>
          <w:shd w:val="clear" w:color="auto" w:fill="FFFFFF"/>
        </w:rPr>
        <w:t>§ 38</w:t>
      </w:r>
      <w:r w:rsidRPr="004C19F7">
        <w:rPr>
          <w:sz w:val="18"/>
          <w:szCs w:val="18"/>
        </w:rPr>
        <w:t xml:space="preserve"> Zveznega zakona, s katerim se spreminja Zakon o varstvu osebnih podatkov iz leta 2000 </w:t>
      </w:r>
      <w:r w:rsidRPr="004C19F7">
        <w:rPr>
          <w:sz w:val="18"/>
          <w:szCs w:val="18"/>
          <w:shd w:val="clear" w:color="auto" w:fill="FFFFFF"/>
        </w:rPr>
        <w:t>(Zakon o prilagoditvi varstva osebnih podatkov 2018)</w:t>
      </w:r>
      <w:r>
        <w:rPr>
          <w:sz w:val="18"/>
          <w:szCs w:val="18"/>
          <w:shd w:val="clear" w:color="auto" w:fill="FFFFFF"/>
        </w:rPr>
        <w:t>, ki se glasi: »</w:t>
      </w:r>
      <w:r w:rsidRPr="00FC59E6">
        <w:rPr>
          <w:b/>
          <w:bCs/>
          <w:sz w:val="18"/>
          <w:szCs w:val="18"/>
          <w:shd w:val="clear" w:color="auto" w:fill="FFFFFF"/>
        </w:rPr>
        <w:t>Razen če je treba zaščititi življenjske interese posameznika, je obdelava zakonita</w:t>
      </w:r>
      <w:r w:rsidRPr="00B6537C">
        <w:rPr>
          <w:sz w:val="18"/>
          <w:szCs w:val="18"/>
          <w:shd w:val="clear" w:color="auto" w:fill="FFFFFF"/>
        </w:rPr>
        <w:t xml:space="preserve"> le, če je določena z zakoni ali z neposredno veljavnimi </w:t>
      </w:r>
      <w:r>
        <w:rPr>
          <w:sz w:val="18"/>
          <w:szCs w:val="18"/>
          <w:shd w:val="clear" w:color="auto" w:fill="FFFFFF"/>
        </w:rPr>
        <w:t xml:space="preserve">pravnimi </w:t>
      </w:r>
      <w:r w:rsidRPr="00B6537C">
        <w:rPr>
          <w:sz w:val="18"/>
          <w:szCs w:val="18"/>
          <w:shd w:val="clear" w:color="auto" w:fill="FFFFFF"/>
        </w:rPr>
        <w:t xml:space="preserve">določbami, ki imajo v Avstriji </w:t>
      </w:r>
      <w:r>
        <w:rPr>
          <w:sz w:val="18"/>
          <w:szCs w:val="18"/>
          <w:shd w:val="clear" w:color="auto" w:fill="FFFFFF"/>
        </w:rPr>
        <w:t xml:space="preserve">položaj </w:t>
      </w:r>
      <w:r w:rsidRPr="00B6537C">
        <w:rPr>
          <w:sz w:val="18"/>
          <w:szCs w:val="18"/>
          <w:shd w:val="clear" w:color="auto" w:fill="FFFFFF"/>
        </w:rPr>
        <w:t xml:space="preserve">zakonov in je </w:t>
      </w:r>
      <w:r>
        <w:rPr>
          <w:sz w:val="18"/>
          <w:szCs w:val="18"/>
          <w:shd w:val="clear" w:color="auto" w:fill="FFFFFF"/>
        </w:rPr>
        <w:t xml:space="preserve">to </w:t>
      </w:r>
      <w:r w:rsidRPr="00B6537C">
        <w:rPr>
          <w:sz w:val="18"/>
          <w:szCs w:val="18"/>
          <w:shd w:val="clear" w:color="auto" w:fill="FFFFFF"/>
        </w:rPr>
        <w:t xml:space="preserve">potrebno ter sorazmerno </w:t>
      </w:r>
      <w:r>
        <w:rPr>
          <w:sz w:val="18"/>
          <w:szCs w:val="18"/>
          <w:shd w:val="clear" w:color="auto" w:fill="FFFFFF"/>
        </w:rPr>
        <w:t xml:space="preserve">za </w:t>
      </w:r>
      <w:r w:rsidRPr="00B6537C">
        <w:rPr>
          <w:sz w:val="18"/>
          <w:szCs w:val="18"/>
          <w:shd w:val="clear" w:color="auto" w:fill="FFFFFF"/>
        </w:rPr>
        <w:t>izpolnjeva</w:t>
      </w:r>
      <w:r>
        <w:rPr>
          <w:sz w:val="18"/>
          <w:szCs w:val="18"/>
          <w:shd w:val="clear" w:color="auto" w:fill="FFFFFF"/>
        </w:rPr>
        <w:t>nje</w:t>
      </w:r>
      <w:r w:rsidRPr="00B6537C">
        <w:rPr>
          <w:sz w:val="18"/>
          <w:szCs w:val="18"/>
          <w:shd w:val="clear" w:color="auto" w:fill="FFFFFF"/>
        </w:rPr>
        <w:t xml:space="preserve"> nalog</w:t>
      </w:r>
      <w:r>
        <w:rPr>
          <w:sz w:val="18"/>
          <w:szCs w:val="18"/>
          <w:shd w:val="clear" w:color="auto" w:fill="FFFFFF"/>
        </w:rPr>
        <w:t>e</w:t>
      </w:r>
      <w:r w:rsidRPr="00B6537C">
        <w:rPr>
          <w:sz w:val="18"/>
          <w:szCs w:val="18"/>
          <w:shd w:val="clear" w:color="auto" w:fill="FFFFFF"/>
        </w:rPr>
        <w:t xml:space="preserve">, ki jo </w:t>
      </w:r>
      <w:r>
        <w:rPr>
          <w:sz w:val="18"/>
          <w:szCs w:val="18"/>
          <w:shd w:val="clear" w:color="auto" w:fill="FFFFFF"/>
        </w:rPr>
        <w:t>izvaja</w:t>
      </w:r>
      <w:r w:rsidRPr="00B6537C">
        <w:rPr>
          <w:sz w:val="18"/>
          <w:szCs w:val="18"/>
          <w:shd w:val="clear" w:color="auto" w:fill="FFFFFF"/>
        </w:rPr>
        <w:t xml:space="preserve"> pristojni organ za namene iz </w:t>
      </w:r>
      <w:r>
        <w:rPr>
          <w:sz w:val="18"/>
          <w:szCs w:val="18"/>
          <w:shd w:val="clear" w:color="auto" w:fill="FFFFFF"/>
        </w:rPr>
        <w:t xml:space="preserve">prvega </w:t>
      </w:r>
      <w:r w:rsidRPr="00B6537C">
        <w:rPr>
          <w:sz w:val="18"/>
          <w:szCs w:val="18"/>
          <w:shd w:val="clear" w:color="auto" w:fill="FFFFFF"/>
        </w:rPr>
        <w:t>odstavka 36 §.</w:t>
      </w:r>
      <w:r>
        <w:rPr>
          <w:sz w:val="18"/>
          <w:szCs w:val="18"/>
          <w:shd w:val="clear" w:color="auto" w:fill="FFFFFF"/>
        </w:rPr>
        <w:t>« (poudarilo Ministrstvo za pravosodje).</w:t>
      </w:r>
    </w:p>
    <w:p w:rsidR="00D850FC" w:rsidRPr="004C19F7" w:rsidRDefault="00D850FC" w:rsidP="00E302FA">
      <w:pPr>
        <w:pStyle w:val="Sprotnaopomba-besedilo"/>
      </w:pPr>
    </w:p>
  </w:footnote>
  <w:footnote w:id="43">
    <w:p w:rsidR="00D850FC" w:rsidRPr="00FE785D" w:rsidRDefault="00D850FC" w:rsidP="00E95184">
      <w:pPr>
        <w:pStyle w:val="Sprotnaopomba-besedilo"/>
        <w:rPr>
          <w:sz w:val="18"/>
          <w:szCs w:val="18"/>
        </w:rPr>
      </w:pPr>
      <w:r w:rsidRPr="008E74F5">
        <w:rPr>
          <w:rStyle w:val="Sprotnaopomba-sklic"/>
        </w:rPr>
        <w:footnoteRef/>
      </w:r>
      <w:r w:rsidRPr="00FE785D">
        <w:rPr>
          <w:sz w:val="18"/>
          <w:szCs w:val="18"/>
        </w:rPr>
        <w:t xml:space="preserve"> Glejte: Odločba US, št. U-I-98/11, 26. 9. 2012, 17. točka in opomba št. 10; objava: Uradni list RS, št. 79/12.</w:t>
      </w:r>
    </w:p>
  </w:footnote>
  <w:footnote w:id="44">
    <w:p w:rsidR="00D850FC" w:rsidRPr="00FE785D" w:rsidRDefault="00D850FC" w:rsidP="007F3A3C">
      <w:pPr>
        <w:pStyle w:val="Sprotnaopomba-besedilo"/>
        <w:rPr>
          <w:sz w:val="18"/>
          <w:szCs w:val="18"/>
        </w:rPr>
      </w:pPr>
      <w:r w:rsidRPr="008E74F5">
        <w:rPr>
          <w:rStyle w:val="Sprotnaopomba-sklic"/>
        </w:rPr>
        <w:footnoteRef/>
      </w:r>
      <w:r w:rsidRPr="00FE785D">
        <w:rPr>
          <w:sz w:val="18"/>
          <w:szCs w:val="18"/>
        </w:rPr>
        <w:t xml:space="preserve"> Bistveno je tudi, kaj je posameznik (tehnično) naredil – dejanje – če je namreč objavil osebne podatke v informacijskem sistemu, ki ne omogoča omejitve na ožji krog oseb, je to sam prostovoljno izbral.</w:t>
      </w:r>
    </w:p>
  </w:footnote>
  <w:footnote w:id="45">
    <w:p w:rsidR="00D850FC" w:rsidRPr="0027684E" w:rsidRDefault="00D850FC" w:rsidP="00E302FA">
      <w:pPr>
        <w:pStyle w:val="Sprotnaopomba-besedilo"/>
      </w:pPr>
      <w:r>
        <w:rPr>
          <w:rStyle w:val="Sprotnaopomba-sklic"/>
        </w:rPr>
        <w:footnoteRef/>
      </w:r>
      <w:r w:rsidRPr="00D629F1">
        <w:rPr>
          <w:sz w:val="18"/>
          <w:szCs w:val="18"/>
        </w:rPr>
        <w:t xml:space="preserve"> Za definicijo nevladnih organizacij gl</w:t>
      </w:r>
      <w:r>
        <w:rPr>
          <w:sz w:val="18"/>
          <w:szCs w:val="18"/>
        </w:rPr>
        <w:t>.</w:t>
      </w:r>
      <w:r w:rsidRPr="00D629F1">
        <w:rPr>
          <w:sz w:val="18"/>
          <w:szCs w:val="18"/>
        </w:rPr>
        <w:t xml:space="preserve"> 2. člen Zakona o nevladnih organizacijah (Uradni list RS, št. 21/18).</w:t>
      </w:r>
    </w:p>
  </w:footnote>
  <w:footnote w:id="46">
    <w:p w:rsidR="00D850FC" w:rsidRPr="00DD730D" w:rsidRDefault="00D850FC" w:rsidP="00E302FA">
      <w:pPr>
        <w:pStyle w:val="Sprotnaopomba-besedilo"/>
        <w:rPr>
          <w:sz w:val="18"/>
          <w:szCs w:val="18"/>
        </w:rPr>
      </w:pPr>
      <w:r w:rsidRPr="00B37093">
        <w:rPr>
          <w:rStyle w:val="Sprotnaopomba-sklic"/>
        </w:rPr>
        <w:footnoteRef/>
      </w:r>
      <w:r w:rsidRPr="00DD730D">
        <w:rPr>
          <w:sz w:val="18"/>
          <w:szCs w:val="18"/>
        </w:rPr>
        <w:t xml:space="preserve"> Glede drugačnih določb ZUP glejte: </w:t>
      </w:r>
      <w:r w:rsidRPr="00DD730D">
        <w:rPr>
          <w:i/>
          <w:iCs/>
          <w:sz w:val="18"/>
          <w:szCs w:val="18"/>
        </w:rPr>
        <w:t>Upravno procesno pravo : Upravni postopek in upravni spor</w:t>
      </w:r>
      <w:r w:rsidRPr="00DD730D">
        <w:rPr>
          <w:sz w:val="18"/>
          <w:szCs w:val="18"/>
        </w:rPr>
        <w:t xml:space="preserve">, dr. Vilko Androjna in dr. Erik Kerševan, GV Založba, Ljubljana, 2006, str. 224-226. </w:t>
      </w:r>
    </w:p>
  </w:footnote>
  <w:footnote w:id="47">
    <w:p w:rsidR="00D850FC" w:rsidRPr="00290AB4" w:rsidRDefault="00D850FC" w:rsidP="00E302FA">
      <w:pPr>
        <w:pStyle w:val="Sprotnaopomba-besedilo"/>
        <w:rPr>
          <w:sz w:val="18"/>
          <w:szCs w:val="18"/>
        </w:rPr>
      </w:pPr>
      <w:r w:rsidRPr="009E0638">
        <w:rPr>
          <w:rStyle w:val="Sprotnaopomba-sklic"/>
        </w:rPr>
        <w:footnoteRef/>
      </w:r>
      <w:r w:rsidRPr="00290AB4">
        <w:rPr>
          <w:sz w:val="18"/>
          <w:szCs w:val="18"/>
        </w:rPr>
        <w:t xml:space="preserve"> </w:t>
      </w:r>
      <w:r>
        <w:rPr>
          <w:sz w:val="18"/>
          <w:szCs w:val="18"/>
        </w:rPr>
        <w:t>Določba o j</w:t>
      </w:r>
      <w:r w:rsidRPr="00290AB4">
        <w:rPr>
          <w:sz w:val="18"/>
          <w:szCs w:val="18"/>
        </w:rPr>
        <w:t>avnost</w:t>
      </w:r>
      <w:r>
        <w:rPr>
          <w:sz w:val="18"/>
          <w:szCs w:val="18"/>
        </w:rPr>
        <w:t xml:space="preserve">i informacije </w:t>
      </w:r>
      <w:r w:rsidRPr="00290AB4">
        <w:rPr>
          <w:sz w:val="18"/>
          <w:szCs w:val="18"/>
        </w:rPr>
        <w:t xml:space="preserve">o pravni podlagi za obdelavo osebnih podatkov izhaja iz drugega odstavka </w:t>
      </w:r>
      <w:r>
        <w:rPr>
          <w:sz w:val="18"/>
          <w:szCs w:val="18"/>
        </w:rPr>
        <w:t>38., 87.</w:t>
      </w:r>
      <w:r w:rsidRPr="00290AB4">
        <w:rPr>
          <w:sz w:val="18"/>
          <w:szCs w:val="18"/>
        </w:rPr>
        <w:t>, drugega odstavka 120. in 153. člena Ustave Republike Slovenije</w:t>
      </w:r>
      <w:r>
        <w:rPr>
          <w:sz w:val="18"/>
          <w:szCs w:val="18"/>
        </w:rPr>
        <w:t>, saj v Republiki Sloveniji ne sme biti tajnih zakonov oziroma drugih tajnih predpisov, ki bi učinkovali na človekove pravice, svoboščine ali obveznosti</w:t>
      </w:r>
      <w:r w:rsidRPr="00290AB4">
        <w:rPr>
          <w:sz w:val="18"/>
          <w:szCs w:val="18"/>
        </w:rPr>
        <w:t>.</w:t>
      </w:r>
    </w:p>
  </w:footnote>
  <w:footnote w:id="48">
    <w:p w:rsidR="00D850FC" w:rsidRPr="00DD730D" w:rsidRDefault="00D850FC" w:rsidP="00EC2A5F">
      <w:pPr>
        <w:pStyle w:val="Sprotnaopomba-besedilo"/>
        <w:rPr>
          <w:sz w:val="18"/>
          <w:szCs w:val="18"/>
        </w:rPr>
      </w:pPr>
      <w:r w:rsidRPr="00754301">
        <w:rPr>
          <w:rStyle w:val="Sprotnaopomba-sklic"/>
        </w:rPr>
        <w:footnoteRef/>
      </w:r>
      <w:r w:rsidRPr="00754301">
        <w:rPr>
          <w:sz w:val="18"/>
          <w:szCs w:val="18"/>
        </w:rPr>
        <w:t xml:space="preserve"> Odločba US, št. U-I-40/12, 11. 4. 2013, OdlUS XX, 5 in Uradni list RS, št. 39/13</w:t>
      </w:r>
      <w:r>
        <w:rPr>
          <w:sz w:val="18"/>
          <w:szCs w:val="18"/>
        </w:rPr>
        <w:t>, glej 23. in 24. točko</w:t>
      </w:r>
      <w:r w:rsidRPr="00754301">
        <w:rPr>
          <w:sz w:val="18"/>
          <w:szCs w:val="18"/>
        </w:rPr>
        <w:t>.</w:t>
      </w:r>
    </w:p>
  </w:footnote>
  <w:footnote w:id="49">
    <w:p w:rsidR="00D850FC" w:rsidRPr="00F21A27" w:rsidRDefault="00D850FC" w:rsidP="00E302FA">
      <w:r w:rsidRPr="00754301">
        <w:rPr>
          <w:rStyle w:val="Sprotnaopomba-sklic"/>
        </w:rPr>
        <w:footnoteRef/>
      </w:r>
      <w:r w:rsidRPr="00DD730D">
        <w:rPr>
          <w:sz w:val="18"/>
          <w:szCs w:val="18"/>
        </w:rPr>
        <w:t xml:space="preserve"> Za starejšo ustavnosodno presojo glede neposeganja nadzornega organa v upravne zadeve (pred sprejetjem Splošne uredbe o varstvu podatkov) glejte: </w:t>
      </w:r>
      <w:r>
        <w:rPr>
          <w:sz w:val="18"/>
          <w:szCs w:val="18"/>
        </w:rPr>
        <w:t>O</w:t>
      </w:r>
      <w:r w:rsidRPr="00DD730D">
        <w:rPr>
          <w:sz w:val="18"/>
          <w:szCs w:val="18"/>
        </w:rPr>
        <w:t>dločba US, št. U-I-92/12, 10. 10. 2013; objava: Uradni list RS, št. 89/13</w:t>
      </w:r>
      <w:r>
        <w:rPr>
          <w:sz w:val="18"/>
          <w:szCs w:val="18"/>
        </w:rPr>
        <w:t>.</w:t>
      </w:r>
    </w:p>
  </w:footnote>
  <w:footnote w:id="50">
    <w:p w:rsidR="00D850FC" w:rsidRPr="002F09BA" w:rsidRDefault="00D850FC" w:rsidP="00E302FA">
      <w:pPr>
        <w:pStyle w:val="Sprotnaopomba-besedilo"/>
        <w:rPr>
          <w:sz w:val="18"/>
          <w:szCs w:val="18"/>
        </w:rPr>
      </w:pPr>
      <w:r w:rsidRPr="00231867">
        <w:rPr>
          <w:rStyle w:val="Sprotnaopomba-sklic"/>
        </w:rPr>
        <w:footnoteRef/>
      </w:r>
      <w:r w:rsidRPr="002F09BA">
        <w:rPr>
          <w:sz w:val="18"/>
          <w:szCs w:val="18"/>
        </w:rPr>
        <w:t xml:space="preserve"> Glejte: Sodba in sklep Vrhovnega sodišča RS, opr. št. I Up 476/2013, </w:t>
      </w:r>
      <w:r>
        <w:rPr>
          <w:sz w:val="18"/>
          <w:szCs w:val="18"/>
        </w:rPr>
        <w:t>5. 2. 2015</w:t>
      </w:r>
      <w:r w:rsidRPr="002F09BA">
        <w:rPr>
          <w:sz w:val="18"/>
          <w:szCs w:val="18"/>
        </w:rPr>
        <w:t>.</w:t>
      </w:r>
    </w:p>
  </w:footnote>
  <w:footnote w:id="51">
    <w:p w:rsidR="00D850FC" w:rsidRPr="002933BC" w:rsidRDefault="00D850FC" w:rsidP="00E302FA">
      <w:pPr>
        <w:pStyle w:val="Sprotnaopomba-besedilo"/>
        <w:rPr>
          <w:sz w:val="18"/>
          <w:szCs w:val="18"/>
        </w:rPr>
      </w:pPr>
      <w:r w:rsidRPr="004160A1">
        <w:rPr>
          <w:rStyle w:val="Sprotnaopomba-sklic"/>
        </w:rPr>
        <w:footnoteRef/>
      </w:r>
      <w:r w:rsidRPr="002933BC">
        <w:rPr>
          <w:sz w:val="18"/>
          <w:szCs w:val="18"/>
        </w:rPr>
        <w:t xml:space="preserve"> Uradni list RS, št. 109/12, 110/13, 40/14 – ZIN-B, 54/14 – odl. US, 81/15 in 40/17.</w:t>
      </w:r>
    </w:p>
  </w:footnote>
  <w:footnote w:id="52">
    <w:p w:rsidR="00D850FC" w:rsidRPr="002933BC" w:rsidRDefault="00D850FC" w:rsidP="00E302FA">
      <w:pPr>
        <w:pStyle w:val="Sprotnaopomba-besedilo"/>
      </w:pPr>
      <w:r w:rsidRPr="004160A1">
        <w:rPr>
          <w:rStyle w:val="Sprotnaopomba-sklic"/>
        </w:rPr>
        <w:footnoteRef/>
      </w:r>
      <w:r w:rsidRPr="002933BC">
        <w:rPr>
          <w:sz w:val="18"/>
          <w:szCs w:val="18"/>
        </w:rPr>
        <w:t xml:space="preserve"> Uradni list RS, št. 30/18.</w:t>
      </w:r>
    </w:p>
  </w:footnote>
  <w:footnote w:id="53">
    <w:p w:rsidR="00D850FC" w:rsidRPr="00BA1174" w:rsidRDefault="00D850FC" w:rsidP="00E302FA">
      <w:pPr>
        <w:pStyle w:val="Sprotnaopomba-besedilo"/>
        <w:rPr>
          <w:sz w:val="18"/>
          <w:szCs w:val="18"/>
        </w:rPr>
      </w:pPr>
      <w:r w:rsidRPr="00BA1174">
        <w:rPr>
          <w:rStyle w:val="Sprotnaopomba-sklic"/>
        </w:rPr>
        <w:footnoteRef/>
      </w:r>
      <w:r w:rsidRPr="00BA1174">
        <w:rPr>
          <w:sz w:val="18"/>
          <w:szCs w:val="18"/>
        </w:rPr>
        <w:t xml:space="preserve"> Gl</w:t>
      </w:r>
      <w:r>
        <w:rPr>
          <w:sz w:val="18"/>
          <w:szCs w:val="18"/>
        </w:rPr>
        <w:t>.</w:t>
      </w:r>
      <w:r w:rsidRPr="00BA1174">
        <w:rPr>
          <w:sz w:val="18"/>
          <w:szCs w:val="18"/>
        </w:rPr>
        <w:t>: WP250 z dne 3.10.2017, Guidelines on Personal data breach notification under Regulation 2016/679.</w:t>
      </w:r>
    </w:p>
  </w:footnote>
  <w:footnote w:id="54">
    <w:p w:rsidR="00D850FC" w:rsidRPr="00E6628B" w:rsidRDefault="00D850FC" w:rsidP="00E302FA">
      <w:pPr>
        <w:pStyle w:val="Sprotnaopomba-besedilo"/>
        <w:rPr>
          <w:sz w:val="18"/>
          <w:szCs w:val="18"/>
        </w:rPr>
      </w:pPr>
      <w:r w:rsidRPr="00272D22">
        <w:rPr>
          <w:rStyle w:val="Sprotnaopomba-sklic"/>
        </w:rPr>
        <w:footnoteRef/>
      </w:r>
      <w:r w:rsidRPr="00E6628B">
        <w:rPr>
          <w:sz w:val="18"/>
          <w:szCs w:val="18"/>
        </w:rPr>
        <w:t xml:space="preserve"> Izvirno: Uradni list RS, št. 1/99.</w:t>
      </w:r>
    </w:p>
  </w:footnote>
  <w:footnote w:id="55">
    <w:p w:rsidR="00D850FC" w:rsidRDefault="00D850FC" w:rsidP="00E302FA">
      <w:pPr>
        <w:pStyle w:val="Sprotnaopomba-besedilo"/>
      </w:pPr>
      <w:r>
        <w:rPr>
          <w:rStyle w:val="Sprotnaopomba-sklic"/>
        </w:rPr>
        <w:footnoteRef/>
      </w:r>
      <w:r>
        <w:t xml:space="preserve"> </w:t>
      </w:r>
      <w:r w:rsidRPr="00950693">
        <w:rPr>
          <w:sz w:val="18"/>
          <w:szCs w:val="18"/>
        </w:rPr>
        <w:t xml:space="preserve">Afero je razkril in kritiziral </w:t>
      </w:r>
      <w:r>
        <w:rPr>
          <w:sz w:val="18"/>
          <w:szCs w:val="18"/>
        </w:rPr>
        <w:t xml:space="preserve">francoski časopis </w:t>
      </w:r>
      <w:r w:rsidRPr="00950693">
        <w:rPr>
          <w:sz w:val="18"/>
          <w:szCs w:val="18"/>
        </w:rPr>
        <w:t>Le Monde</w:t>
      </w:r>
      <w:r>
        <w:rPr>
          <w:sz w:val="18"/>
          <w:szCs w:val="18"/>
        </w:rPr>
        <w:t xml:space="preserve">, v: </w:t>
      </w:r>
      <w:r w:rsidRPr="00950693">
        <w:rPr>
          <w:sz w:val="18"/>
          <w:szCs w:val="18"/>
        </w:rPr>
        <w:t xml:space="preserve">Boucher, Philippe, </w:t>
      </w:r>
      <w:r w:rsidRPr="00950693">
        <w:rPr>
          <w:i/>
          <w:sz w:val="18"/>
          <w:szCs w:val="18"/>
        </w:rPr>
        <w:t>SAFARI ou la chasse aux Français</w:t>
      </w:r>
      <w:r w:rsidRPr="00950693">
        <w:rPr>
          <w:sz w:val="18"/>
          <w:szCs w:val="18"/>
        </w:rPr>
        <w:t>, 21. 3. 1974.</w:t>
      </w:r>
    </w:p>
  </w:footnote>
  <w:footnote w:id="56">
    <w:p w:rsidR="00D850FC" w:rsidRDefault="00D850FC" w:rsidP="00E302FA">
      <w:pPr>
        <w:pStyle w:val="Sprotnaopomba-besedilo"/>
        <w:rPr>
          <w:sz w:val="18"/>
          <w:szCs w:val="18"/>
        </w:rPr>
      </w:pPr>
      <w:r w:rsidRPr="00744729">
        <w:rPr>
          <w:rStyle w:val="Sprotnaopomba-sklic"/>
        </w:rPr>
        <w:footnoteRef/>
      </w:r>
      <w:r w:rsidRPr="00D37F15">
        <w:rPr>
          <w:sz w:val="18"/>
          <w:szCs w:val="18"/>
        </w:rPr>
        <w:t xml:space="preserve"> Gl</w:t>
      </w:r>
      <w:r>
        <w:rPr>
          <w:sz w:val="18"/>
          <w:szCs w:val="18"/>
        </w:rPr>
        <w:t>.</w:t>
      </w:r>
      <w:r w:rsidRPr="00D37F15">
        <w:rPr>
          <w:sz w:val="18"/>
          <w:szCs w:val="18"/>
        </w:rPr>
        <w:t xml:space="preserve"> tudi sodbo Upravnega sodišča RS, opr. št.</w:t>
      </w:r>
      <w:r>
        <w:rPr>
          <w:sz w:val="18"/>
          <w:szCs w:val="18"/>
        </w:rPr>
        <w:t xml:space="preserve"> </w:t>
      </w:r>
      <w:r w:rsidRPr="00D37F15">
        <w:rPr>
          <w:sz w:val="18"/>
          <w:szCs w:val="18"/>
        </w:rPr>
        <w:t>I U 1715/2011</w:t>
      </w:r>
      <w:r>
        <w:rPr>
          <w:sz w:val="18"/>
          <w:szCs w:val="18"/>
        </w:rPr>
        <w:t xml:space="preserve">, 18. 4. 2012, kjer je med drugim navedeno: </w:t>
      </w:r>
    </w:p>
    <w:p w:rsidR="00D850FC" w:rsidRPr="00D37F15" w:rsidRDefault="00D850FC" w:rsidP="00E302FA">
      <w:pPr>
        <w:pStyle w:val="Sprotnaopomba-besedilo"/>
        <w:rPr>
          <w:sz w:val="18"/>
          <w:szCs w:val="18"/>
        </w:rPr>
      </w:pPr>
      <w:r>
        <w:rPr>
          <w:sz w:val="18"/>
          <w:szCs w:val="18"/>
        </w:rPr>
        <w:t>[…]</w:t>
      </w:r>
      <w:r w:rsidRPr="00D37F15">
        <w:rPr>
          <w:sz w:val="18"/>
          <w:szCs w:val="18"/>
        </w:rPr>
        <w:t xml:space="preserve"> Sodišče meni, da je zakonodajalec s tem, ko je ministrstvu zgolj dal možnost take povezave, ni pa navedel, da se te zbirke morajo povezati, predvidel, da tako povezovanje lahko pride v poštev, če ni katere druge ovire, ki bi tako povezovanje preprečila. V konkretnem primeru pa tak zadržek obstaja, to je določ</w:t>
      </w:r>
      <w:r>
        <w:rPr>
          <w:sz w:val="18"/>
          <w:szCs w:val="18"/>
        </w:rPr>
        <w:t>ba</w:t>
      </w:r>
      <w:r w:rsidRPr="00D37F15">
        <w:rPr>
          <w:sz w:val="18"/>
          <w:szCs w:val="18"/>
        </w:rPr>
        <w:t xml:space="preserve"> 199. člena ZZK-1, ki onemogoča tak način povezovanja. V ponovljenem postopku bo morala tožena stranka upoštevati stališča sodišča glede uporabe materialnega prava, kot so navedena v tej sodbi.</w:t>
      </w:r>
      <w:r>
        <w:rPr>
          <w:sz w:val="18"/>
          <w:szCs w:val="18"/>
        </w:rPr>
        <w:t xml:space="preserve"> […]«</w:t>
      </w:r>
    </w:p>
  </w:footnote>
  <w:footnote w:id="57">
    <w:p w:rsidR="00D850FC" w:rsidRPr="00360D42" w:rsidRDefault="00D850FC" w:rsidP="00E302FA">
      <w:pPr>
        <w:pStyle w:val="Sprotnaopomba-besedilo"/>
        <w:rPr>
          <w:sz w:val="18"/>
          <w:szCs w:val="18"/>
        </w:rPr>
      </w:pPr>
      <w:r w:rsidRPr="00360D42">
        <w:rPr>
          <w:rStyle w:val="Sprotnaopomba-sklic"/>
        </w:rPr>
        <w:footnoteRef/>
      </w:r>
      <w:r w:rsidRPr="00360D42">
        <w:rPr>
          <w:sz w:val="18"/>
          <w:szCs w:val="18"/>
        </w:rPr>
        <w:t xml:space="preserve"> Uradni list RS, št. 15/13, 11/14, 86/15, 77/16, 77/17, 36/19 in 66/19 – ZDZ.</w:t>
      </w:r>
    </w:p>
  </w:footnote>
  <w:footnote w:id="58">
    <w:p w:rsidR="00D850FC" w:rsidRPr="00360D42" w:rsidRDefault="00D850FC" w:rsidP="00E302FA">
      <w:pPr>
        <w:pStyle w:val="Sprotnaopomba-besedilo"/>
      </w:pPr>
      <w:r w:rsidRPr="00360D42">
        <w:rPr>
          <w:rStyle w:val="Sprotnaopomba-sklic"/>
        </w:rPr>
        <w:footnoteRef/>
      </w:r>
      <w:r w:rsidRPr="00360D42">
        <w:rPr>
          <w:sz w:val="18"/>
          <w:szCs w:val="18"/>
        </w:rPr>
        <w:t xml:space="preserve"> Uradni list RS, št. 58/11, 21/12 – ZDU-1F, 47/12, 15/13 – ZODPol, 47/13 – ZDU-1G, 48/13 – ZSKZDČEU-1, 19/15, 23/17 – ZSSve in 36/19.</w:t>
      </w:r>
    </w:p>
  </w:footnote>
  <w:footnote w:id="59">
    <w:p w:rsidR="00D850FC" w:rsidRPr="00323164" w:rsidRDefault="00D850FC" w:rsidP="00E302FA">
      <w:pPr>
        <w:pStyle w:val="Sprotnaopomba-besedilo"/>
        <w:rPr>
          <w:sz w:val="18"/>
          <w:szCs w:val="18"/>
        </w:rPr>
      </w:pPr>
      <w:r w:rsidRPr="001711B3">
        <w:rPr>
          <w:rStyle w:val="Sprotnaopomba-sklic"/>
        </w:rPr>
        <w:footnoteRef/>
      </w:r>
      <w:r w:rsidRPr="00323164">
        <w:rPr>
          <w:sz w:val="18"/>
          <w:szCs w:val="18"/>
        </w:rPr>
        <w:t xml:space="preserve"> Uradni list RS, št. 113/05 in 51/07 – ZUstS-A.</w:t>
      </w:r>
    </w:p>
  </w:footnote>
  <w:footnote w:id="60">
    <w:p w:rsidR="00D850FC" w:rsidRDefault="00D850FC">
      <w:pPr>
        <w:pStyle w:val="Sprotnaopomba-besedilo"/>
      </w:pPr>
      <w:r>
        <w:rPr>
          <w:rStyle w:val="Sprotnaopomba-sklic"/>
        </w:rPr>
        <w:footnoteRef/>
      </w:r>
      <w:r>
        <w:t xml:space="preserve"> </w:t>
      </w:r>
      <w:r w:rsidRPr="003E7F5F">
        <w:t>Uradni list RS, št. 93/07 – uradno prečiščeno besedilo</w:t>
      </w:r>
      <w:r>
        <w:t>.</w:t>
      </w:r>
    </w:p>
  </w:footnote>
  <w:footnote w:id="61">
    <w:p w:rsidR="00D850FC" w:rsidRDefault="00D850FC">
      <w:pPr>
        <w:pStyle w:val="Sprotnaopomba-besedilo"/>
      </w:pPr>
      <w:r>
        <w:rPr>
          <w:rStyle w:val="Sprotnaopomba-sklic"/>
        </w:rPr>
        <w:footnoteRef/>
      </w:r>
      <w:r>
        <w:t xml:space="preserve"> Poudarilo Ministrstvo za pravosodje.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0FC" w:rsidRPr="00110CBD" w:rsidRDefault="00D850F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0FC" w:rsidRDefault="00D850FC" w:rsidP="00F622D9">
    <w:pPr>
      <w:pStyle w:val="Glava"/>
      <w:tabs>
        <w:tab w:val="clear" w:pos="4320"/>
        <w:tab w:val="clear" w:pos="8640"/>
        <w:tab w:val="left" w:pos="546"/>
        <w:tab w:val="left" w:pos="5112"/>
      </w:tabs>
      <w:spacing w:line="240" w:lineRule="exact"/>
      <w:rPr>
        <w:rFonts w:cs="Arial"/>
        <w:sz w:val="16"/>
      </w:rPr>
    </w:pPr>
  </w:p>
  <w:p w:rsidR="00D850FC" w:rsidRDefault="00D850FC" w:rsidP="00F622D9">
    <w:pPr>
      <w:pStyle w:val="Glava"/>
      <w:tabs>
        <w:tab w:val="clear" w:pos="4320"/>
        <w:tab w:val="clear" w:pos="8640"/>
        <w:tab w:val="left" w:pos="546"/>
        <w:tab w:val="left" w:pos="5112"/>
      </w:tabs>
      <w:spacing w:line="240" w:lineRule="exact"/>
      <w:rPr>
        <w:rFonts w:cs="Arial"/>
        <w:sz w:val="16"/>
      </w:rPr>
    </w:pPr>
  </w:p>
  <w:p w:rsidR="00D850FC" w:rsidRDefault="00D850FC"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D64962"/>
    <w:multiLevelType w:val="hybridMultilevel"/>
    <w:tmpl w:val="88E2DA84"/>
    <w:lvl w:ilvl="0" w:tplc="B87E3F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4256BC"/>
    <w:multiLevelType w:val="hybridMultilevel"/>
    <w:tmpl w:val="018226CA"/>
    <w:lvl w:ilvl="0" w:tplc="6C44C852">
      <w:start w:val="1"/>
      <w:numFmt w:val="decimal"/>
      <w:pStyle w:val="Zakon-len"/>
      <w:lvlText w:val="%1."/>
      <w:lvlJc w:val="left"/>
      <w:pPr>
        <w:ind w:left="227" w:hanging="22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2347F09"/>
    <w:multiLevelType w:val="hybridMultilevel"/>
    <w:tmpl w:val="C1627AD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2179E8"/>
    <w:multiLevelType w:val="hybridMultilevel"/>
    <w:tmpl w:val="8F343358"/>
    <w:lvl w:ilvl="0" w:tplc="CF940D1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376819"/>
    <w:multiLevelType w:val="hybridMultilevel"/>
    <w:tmpl w:val="AB9C045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B03901"/>
    <w:multiLevelType w:val="hybridMultilevel"/>
    <w:tmpl w:val="E864F6B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24881D91"/>
    <w:multiLevelType w:val="hybridMultilevel"/>
    <w:tmpl w:val="FBC8BF36"/>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B611580"/>
    <w:multiLevelType w:val="hybridMultilevel"/>
    <w:tmpl w:val="24D0B8DA"/>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1516538"/>
    <w:multiLevelType w:val="hybridMultilevel"/>
    <w:tmpl w:val="FB5A47F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A974DB"/>
    <w:multiLevelType w:val="hybridMultilevel"/>
    <w:tmpl w:val="A4442E5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19" w15:restartNumberingAfterBreak="0">
    <w:nsid w:val="572F6B1F"/>
    <w:multiLevelType w:val="hybridMultilevel"/>
    <w:tmpl w:val="8294F6B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3C79EE"/>
    <w:multiLevelType w:val="hybridMultilevel"/>
    <w:tmpl w:val="B964B95E"/>
    <w:lvl w:ilvl="0" w:tplc="312A997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BC038C0"/>
    <w:multiLevelType w:val="hybridMultilevel"/>
    <w:tmpl w:val="539CEB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2"/>
  </w:num>
  <w:num w:numId="2">
    <w:abstractNumId w:val="11"/>
  </w:num>
  <w:num w:numId="3">
    <w:abstractNumId w:val="21"/>
  </w:num>
  <w:num w:numId="4">
    <w:abstractNumId w:val="23"/>
  </w:num>
  <w:num w:numId="5">
    <w:abstractNumId w:val="14"/>
  </w:num>
  <w:num w:numId="6">
    <w:abstractNumId w:val="10"/>
  </w:num>
  <w:num w:numId="7">
    <w:abstractNumId w:val="12"/>
  </w:num>
  <w:num w:numId="8">
    <w:abstractNumId w:val="24"/>
  </w:num>
  <w:num w:numId="9">
    <w:abstractNumId w:val="5"/>
  </w:num>
  <w:num w:numId="10">
    <w:abstractNumId w:val="9"/>
  </w:num>
  <w:num w:numId="11">
    <w:abstractNumId w:val="18"/>
  </w:num>
  <w:num w:numId="12">
    <w:abstractNumId w:val="19"/>
  </w:num>
  <w:num w:numId="13">
    <w:abstractNumId w:val="8"/>
  </w:num>
  <w:num w:numId="14">
    <w:abstractNumId w:val="3"/>
  </w:num>
  <w:num w:numId="15">
    <w:abstractNumId w:val="13"/>
  </w:num>
  <w:num w:numId="16">
    <w:abstractNumId w:val="1"/>
  </w:num>
  <w:num w:numId="17">
    <w:abstractNumId w:val="6"/>
  </w:num>
  <w:num w:numId="18">
    <w:abstractNumId w:val="17"/>
  </w:num>
  <w:num w:numId="19">
    <w:abstractNumId w:val="15"/>
  </w:num>
  <w:num w:numId="20">
    <w:abstractNumId w:val="2"/>
  </w:num>
  <w:num w:numId="21">
    <w:abstractNumId w:val="25"/>
  </w:num>
  <w:num w:numId="22">
    <w:abstractNumId w:val="7"/>
  </w:num>
  <w:num w:numId="23">
    <w:abstractNumId w:val="16"/>
  </w:num>
  <w:num w:numId="24">
    <w:abstractNumId w:val="0"/>
  </w:num>
  <w:num w:numId="25">
    <w:abstractNumId w:val="20"/>
  </w:num>
  <w:num w:numId="26">
    <w:abstractNumId w:val="4"/>
  </w:num>
  <w:num w:numId="27">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2226">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769"/>
    <w:rsid w:val="00000359"/>
    <w:rsid w:val="00001A56"/>
    <w:rsid w:val="000030C5"/>
    <w:rsid w:val="000046E9"/>
    <w:rsid w:val="00005A63"/>
    <w:rsid w:val="00006231"/>
    <w:rsid w:val="0000648A"/>
    <w:rsid w:val="000069B6"/>
    <w:rsid w:val="00006DB8"/>
    <w:rsid w:val="00007356"/>
    <w:rsid w:val="00007A6D"/>
    <w:rsid w:val="000122CC"/>
    <w:rsid w:val="00013AC2"/>
    <w:rsid w:val="00013D13"/>
    <w:rsid w:val="000144A9"/>
    <w:rsid w:val="00015C57"/>
    <w:rsid w:val="000167AB"/>
    <w:rsid w:val="00021BBD"/>
    <w:rsid w:val="0002247E"/>
    <w:rsid w:val="00022DDF"/>
    <w:rsid w:val="00023962"/>
    <w:rsid w:val="00023A88"/>
    <w:rsid w:val="00024355"/>
    <w:rsid w:val="00024BA7"/>
    <w:rsid w:val="00025CD3"/>
    <w:rsid w:val="00026310"/>
    <w:rsid w:val="00030F13"/>
    <w:rsid w:val="00030F8B"/>
    <w:rsid w:val="00031B5F"/>
    <w:rsid w:val="000359C3"/>
    <w:rsid w:val="00036F05"/>
    <w:rsid w:val="000402FA"/>
    <w:rsid w:val="000419AF"/>
    <w:rsid w:val="00041B39"/>
    <w:rsid w:val="000424EA"/>
    <w:rsid w:val="00042B7F"/>
    <w:rsid w:val="0004317E"/>
    <w:rsid w:val="0004416D"/>
    <w:rsid w:val="00046787"/>
    <w:rsid w:val="00046D5C"/>
    <w:rsid w:val="00050A71"/>
    <w:rsid w:val="00050E5F"/>
    <w:rsid w:val="00051F2B"/>
    <w:rsid w:val="00051F76"/>
    <w:rsid w:val="00052C7C"/>
    <w:rsid w:val="0005354E"/>
    <w:rsid w:val="000539AD"/>
    <w:rsid w:val="000551D5"/>
    <w:rsid w:val="0006005C"/>
    <w:rsid w:val="00063231"/>
    <w:rsid w:val="000633DC"/>
    <w:rsid w:val="00063772"/>
    <w:rsid w:val="00063B37"/>
    <w:rsid w:val="000644E4"/>
    <w:rsid w:val="000653AD"/>
    <w:rsid w:val="00065EC9"/>
    <w:rsid w:val="00067ADF"/>
    <w:rsid w:val="00070EAD"/>
    <w:rsid w:val="000719C3"/>
    <w:rsid w:val="00073CEE"/>
    <w:rsid w:val="00074D87"/>
    <w:rsid w:val="00076657"/>
    <w:rsid w:val="00080BF1"/>
    <w:rsid w:val="00083264"/>
    <w:rsid w:val="00083437"/>
    <w:rsid w:val="000840E7"/>
    <w:rsid w:val="00087019"/>
    <w:rsid w:val="00093826"/>
    <w:rsid w:val="0009516F"/>
    <w:rsid w:val="000953D4"/>
    <w:rsid w:val="00096D93"/>
    <w:rsid w:val="00097603"/>
    <w:rsid w:val="0009790F"/>
    <w:rsid w:val="00097ED6"/>
    <w:rsid w:val="000A6077"/>
    <w:rsid w:val="000A7238"/>
    <w:rsid w:val="000A7E49"/>
    <w:rsid w:val="000B505B"/>
    <w:rsid w:val="000B66A9"/>
    <w:rsid w:val="000C102E"/>
    <w:rsid w:val="000C1DEE"/>
    <w:rsid w:val="000C1E2A"/>
    <w:rsid w:val="000C34B2"/>
    <w:rsid w:val="000C5D05"/>
    <w:rsid w:val="000D3E80"/>
    <w:rsid w:val="000D3EFF"/>
    <w:rsid w:val="000D3FDE"/>
    <w:rsid w:val="000D588B"/>
    <w:rsid w:val="000D7515"/>
    <w:rsid w:val="000D79FD"/>
    <w:rsid w:val="000E05FF"/>
    <w:rsid w:val="000E0CD4"/>
    <w:rsid w:val="000E1911"/>
    <w:rsid w:val="000E2782"/>
    <w:rsid w:val="000E329C"/>
    <w:rsid w:val="000E3AFF"/>
    <w:rsid w:val="000E49B8"/>
    <w:rsid w:val="000E62F4"/>
    <w:rsid w:val="000E6ADA"/>
    <w:rsid w:val="000F2AF2"/>
    <w:rsid w:val="000F3EB9"/>
    <w:rsid w:val="000F437C"/>
    <w:rsid w:val="000F4BF2"/>
    <w:rsid w:val="000F513B"/>
    <w:rsid w:val="000F5190"/>
    <w:rsid w:val="000F6DD5"/>
    <w:rsid w:val="00101D6A"/>
    <w:rsid w:val="00102955"/>
    <w:rsid w:val="001057A3"/>
    <w:rsid w:val="00106F2F"/>
    <w:rsid w:val="001078E5"/>
    <w:rsid w:val="00110B03"/>
    <w:rsid w:val="0011486F"/>
    <w:rsid w:val="00115297"/>
    <w:rsid w:val="001237AE"/>
    <w:rsid w:val="00123F4F"/>
    <w:rsid w:val="00127C95"/>
    <w:rsid w:val="00130D77"/>
    <w:rsid w:val="00132EC7"/>
    <w:rsid w:val="001346A6"/>
    <w:rsid w:val="00134E4C"/>
    <w:rsid w:val="001357B2"/>
    <w:rsid w:val="0013655C"/>
    <w:rsid w:val="00137D76"/>
    <w:rsid w:val="00137FC2"/>
    <w:rsid w:val="00140101"/>
    <w:rsid w:val="00140B43"/>
    <w:rsid w:val="001427C8"/>
    <w:rsid w:val="0014672E"/>
    <w:rsid w:val="00146A02"/>
    <w:rsid w:val="00147B15"/>
    <w:rsid w:val="001510DA"/>
    <w:rsid w:val="0015453C"/>
    <w:rsid w:val="001546F8"/>
    <w:rsid w:val="00154C3D"/>
    <w:rsid w:val="001553AF"/>
    <w:rsid w:val="0015610F"/>
    <w:rsid w:val="00157424"/>
    <w:rsid w:val="00161436"/>
    <w:rsid w:val="00163D88"/>
    <w:rsid w:val="00164605"/>
    <w:rsid w:val="00165185"/>
    <w:rsid w:val="00166A29"/>
    <w:rsid w:val="001711D3"/>
    <w:rsid w:val="00173111"/>
    <w:rsid w:val="0017478F"/>
    <w:rsid w:val="00176120"/>
    <w:rsid w:val="00180313"/>
    <w:rsid w:val="0018258E"/>
    <w:rsid w:val="00184345"/>
    <w:rsid w:val="001865D7"/>
    <w:rsid w:val="00186C9B"/>
    <w:rsid w:val="00190EDB"/>
    <w:rsid w:val="00190F63"/>
    <w:rsid w:val="001918B7"/>
    <w:rsid w:val="00191B56"/>
    <w:rsid w:val="00192D9A"/>
    <w:rsid w:val="00195766"/>
    <w:rsid w:val="00195A59"/>
    <w:rsid w:val="001963C8"/>
    <w:rsid w:val="00196CFE"/>
    <w:rsid w:val="001A41C7"/>
    <w:rsid w:val="001A4880"/>
    <w:rsid w:val="001A51AB"/>
    <w:rsid w:val="001A5BA3"/>
    <w:rsid w:val="001A5C28"/>
    <w:rsid w:val="001A5CE9"/>
    <w:rsid w:val="001A7A90"/>
    <w:rsid w:val="001B1343"/>
    <w:rsid w:val="001B1CC9"/>
    <w:rsid w:val="001B3115"/>
    <w:rsid w:val="001B3156"/>
    <w:rsid w:val="001B33DD"/>
    <w:rsid w:val="001B351D"/>
    <w:rsid w:val="001B429E"/>
    <w:rsid w:val="001C497B"/>
    <w:rsid w:val="001C7A64"/>
    <w:rsid w:val="001D0674"/>
    <w:rsid w:val="001D21AA"/>
    <w:rsid w:val="001D39C1"/>
    <w:rsid w:val="001D4237"/>
    <w:rsid w:val="001D4E25"/>
    <w:rsid w:val="001D4F61"/>
    <w:rsid w:val="001D5AC6"/>
    <w:rsid w:val="001D749D"/>
    <w:rsid w:val="001D7C48"/>
    <w:rsid w:val="001E0D84"/>
    <w:rsid w:val="001E1310"/>
    <w:rsid w:val="001E1915"/>
    <w:rsid w:val="001E1A45"/>
    <w:rsid w:val="001E28FB"/>
    <w:rsid w:val="001E2B17"/>
    <w:rsid w:val="001E2C48"/>
    <w:rsid w:val="001E3678"/>
    <w:rsid w:val="001E6672"/>
    <w:rsid w:val="001E6B7A"/>
    <w:rsid w:val="001F031D"/>
    <w:rsid w:val="001F0385"/>
    <w:rsid w:val="001F0776"/>
    <w:rsid w:val="001F173D"/>
    <w:rsid w:val="001F2DED"/>
    <w:rsid w:val="001F3192"/>
    <w:rsid w:val="001F31FC"/>
    <w:rsid w:val="001F498C"/>
    <w:rsid w:val="001F69F1"/>
    <w:rsid w:val="001F7815"/>
    <w:rsid w:val="002029F4"/>
    <w:rsid w:val="00202A77"/>
    <w:rsid w:val="0020615E"/>
    <w:rsid w:val="00206BC6"/>
    <w:rsid w:val="0020771E"/>
    <w:rsid w:val="002110BE"/>
    <w:rsid w:val="00212AFF"/>
    <w:rsid w:val="00212C75"/>
    <w:rsid w:val="002134EC"/>
    <w:rsid w:val="002143E3"/>
    <w:rsid w:val="002158AB"/>
    <w:rsid w:val="00215A0A"/>
    <w:rsid w:val="00217F5F"/>
    <w:rsid w:val="00217F64"/>
    <w:rsid w:val="00221465"/>
    <w:rsid w:val="0022185B"/>
    <w:rsid w:val="0022230A"/>
    <w:rsid w:val="00223430"/>
    <w:rsid w:val="00223F78"/>
    <w:rsid w:val="00224472"/>
    <w:rsid w:val="00224FB9"/>
    <w:rsid w:val="00225947"/>
    <w:rsid w:val="00226B4D"/>
    <w:rsid w:val="00227986"/>
    <w:rsid w:val="0023133B"/>
    <w:rsid w:val="00231857"/>
    <w:rsid w:val="00234210"/>
    <w:rsid w:val="0023445E"/>
    <w:rsid w:val="00236D7C"/>
    <w:rsid w:val="00237CAE"/>
    <w:rsid w:val="00241007"/>
    <w:rsid w:val="00241319"/>
    <w:rsid w:val="002413F3"/>
    <w:rsid w:val="002434B7"/>
    <w:rsid w:val="00243AED"/>
    <w:rsid w:val="00244B04"/>
    <w:rsid w:val="00246715"/>
    <w:rsid w:val="00246DD8"/>
    <w:rsid w:val="00247AE7"/>
    <w:rsid w:val="00252372"/>
    <w:rsid w:val="00252DA1"/>
    <w:rsid w:val="002532E0"/>
    <w:rsid w:val="00253E41"/>
    <w:rsid w:val="002545A3"/>
    <w:rsid w:val="00260C51"/>
    <w:rsid w:val="00263D97"/>
    <w:rsid w:val="00264E44"/>
    <w:rsid w:val="002655D3"/>
    <w:rsid w:val="002659B2"/>
    <w:rsid w:val="00265C1F"/>
    <w:rsid w:val="00266588"/>
    <w:rsid w:val="002701C1"/>
    <w:rsid w:val="00270AB4"/>
    <w:rsid w:val="00271CE5"/>
    <w:rsid w:val="002738C7"/>
    <w:rsid w:val="00274C9D"/>
    <w:rsid w:val="00275DD0"/>
    <w:rsid w:val="002809BE"/>
    <w:rsid w:val="00282020"/>
    <w:rsid w:val="00282AF9"/>
    <w:rsid w:val="00282D26"/>
    <w:rsid w:val="002837F0"/>
    <w:rsid w:val="00292219"/>
    <w:rsid w:val="00292897"/>
    <w:rsid w:val="002931E0"/>
    <w:rsid w:val="00293EBB"/>
    <w:rsid w:val="00294DBE"/>
    <w:rsid w:val="00294F11"/>
    <w:rsid w:val="002952A0"/>
    <w:rsid w:val="002A2B69"/>
    <w:rsid w:val="002A445D"/>
    <w:rsid w:val="002A4D3B"/>
    <w:rsid w:val="002A64EF"/>
    <w:rsid w:val="002A732F"/>
    <w:rsid w:val="002B089C"/>
    <w:rsid w:val="002B523E"/>
    <w:rsid w:val="002C0294"/>
    <w:rsid w:val="002C1C2C"/>
    <w:rsid w:val="002C1C2F"/>
    <w:rsid w:val="002C26BD"/>
    <w:rsid w:val="002C397C"/>
    <w:rsid w:val="002C7150"/>
    <w:rsid w:val="002D0C4E"/>
    <w:rsid w:val="002D1538"/>
    <w:rsid w:val="002D2075"/>
    <w:rsid w:val="002D3A15"/>
    <w:rsid w:val="002D4001"/>
    <w:rsid w:val="002D5146"/>
    <w:rsid w:val="002D5B62"/>
    <w:rsid w:val="002D660A"/>
    <w:rsid w:val="002D7B39"/>
    <w:rsid w:val="002E10B1"/>
    <w:rsid w:val="002E142F"/>
    <w:rsid w:val="002E4E74"/>
    <w:rsid w:val="002E6031"/>
    <w:rsid w:val="002F1A85"/>
    <w:rsid w:val="002F3ADC"/>
    <w:rsid w:val="002F3D6B"/>
    <w:rsid w:val="002F47BF"/>
    <w:rsid w:val="002F5C2E"/>
    <w:rsid w:val="002F74F1"/>
    <w:rsid w:val="002F7B3A"/>
    <w:rsid w:val="00302674"/>
    <w:rsid w:val="00302F04"/>
    <w:rsid w:val="0030360D"/>
    <w:rsid w:val="00305602"/>
    <w:rsid w:val="003078D5"/>
    <w:rsid w:val="00307C05"/>
    <w:rsid w:val="003109E2"/>
    <w:rsid w:val="00310C5D"/>
    <w:rsid w:val="00311862"/>
    <w:rsid w:val="00311E69"/>
    <w:rsid w:val="00312898"/>
    <w:rsid w:val="0031368A"/>
    <w:rsid w:val="00313CB9"/>
    <w:rsid w:val="003160D9"/>
    <w:rsid w:val="00317204"/>
    <w:rsid w:val="00320C52"/>
    <w:rsid w:val="00322894"/>
    <w:rsid w:val="00322A13"/>
    <w:rsid w:val="003234D9"/>
    <w:rsid w:val="00323F7E"/>
    <w:rsid w:val="003264A3"/>
    <w:rsid w:val="00333F93"/>
    <w:rsid w:val="0033458E"/>
    <w:rsid w:val="0033668C"/>
    <w:rsid w:val="00337E3E"/>
    <w:rsid w:val="00343309"/>
    <w:rsid w:val="00343D3E"/>
    <w:rsid w:val="003449C5"/>
    <w:rsid w:val="003475F4"/>
    <w:rsid w:val="00350BE5"/>
    <w:rsid w:val="00351085"/>
    <w:rsid w:val="003547C9"/>
    <w:rsid w:val="00355D7F"/>
    <w:rsid w:val="00360579"/>
    <w:rsid w:val="00360D56"/>
    <w:rsid w:val="00361B56"/>
    <w:rsid w:val="00363506"/>
    <w:rsid w:val="003636BF"/>
    <w:rsid w:val="00371442"/>
    <w:rsid w:val="00376153"/>
    <w:rsid w:val="00376433"/>
    <w:rsid w:val="00376690"/>
    <w:rsid w:val="00376932"/>
    <w:rsid w:val="00381510"/>
    <w:rsid w:val="003822FD"/>
    <w:rsid w:val="00382709"/>
    <w:rsid w:val="003827DB"/>
    <w:rsid w:val="00383058"/>
    <w:rsid w:val="003845B4"/>
    <w:rsid w:val="00385599"/>
    <w:rsid w:val="003861FE"/>
    <w:rsid w:val="00387B1A"/>
    <w:rsid w:val="0039011D"/>
    <w:rsid w:val="003907C3"/>
    <w:rsid w:val="00392E73"/>
    <w:rsid w:val="00394573"/>
    <w:rsid w:val="00397C6D"/>
    <w:rsid w:val="003A0332"/>
    <w:rsid w:val="003A594C"/>
    <w:rsid w:val="003B1BCF"/>
    <w:rsid w:val="003B1DC1"/>
    <w:rsid w:val="003B2038"/>
    <w:rsid w:val="003B21BB"/>
    <w:rsid w:val="003B4205"/>
    <w:rsid w:val="003B4DC3"/>
    <w:rsid w:val="003B5B71"/>
    <w:rsid w:val="003B6437"/>
    <w:rsid w:val="003C2AAA"/>
    <w:rsid w:val="003C5EE5"/>
    <w:rsid w:val="003D0C14"/>
    <w:rsid w:val="003D2A1D"/>
    <w:rsid w:val="003D2F0E"/>
    <w:rsid w:val="003D5D0C"/>
    <w:rsid w:val="003D6A0B"/>
    <w:rsid w:val="003D7F20"/>
    <w:rsid w:val="003E1C74"/>
    <w:rsid w:val="003E2288"/>
    <w:rsid w:val="003E44E3"/>
    <w:rsid w:val="003E741A"/>
    <w:rsid w:val="003E74F5"/>
    <w:rsid w:val="003E7BE7"/>
    <w:rsid w:val="003F2698"/>
    <w:rsid w:val="003F27C9"/>
    <w:rsid w:val="003F2CA4"/>
    <w:rsid w:val="003F2F5D"/>
    <w:rsid w:val="003F33D6"/>
    <w:rsid w:val="003F5288"/>
    <w:rsid w:val="003F5852"/>
    <w:rsid w:val="003F63F0"/>
    <w:rsid w:val="003F7762"/>
    <w:rsid w:val="00402BA3"/>
    <w:rsid w:val="00404BF8"/>
    <w:rsid w:val="00406FE0"/>
    <w:rsid w:val="00407733"/>
    <w:rsid w:val="00407CFC"/>
    <w:rsid w:val="004105C9"/>
    <w:rsid w:val="00410BB5"/>
    <w:rsid w:val="00411B97"/>
    <w:rsid w:val="0041465F"/>
    <w:rsid w:val="004151A8"/>
    <w:rsid w:val="00416135"/>
    <w:rsid w:val="004167EE"/>
    <w:rsid w:val="00421665"/>
    <w:rsid w:val="0042288C"/>
    <w:rsid w:val="0042598A"/>
    <w:rsid w:val="00425FF2"/>
    <w:rsid w:val="00426361"/>
    <w:rsid w:val="004263C6"/>
    <w:rsid w:val="00426A7B"/>
    <w:rsid w:val="00427223"/>
    <w:rsid w:val="00430397"/>
    <w:rsid w:val="004316F3"/>
    <w:rsid w:val="0043210E"/>
    <w:rsid w:val="004331B6"/>
    <w:rsid w:val="00433FBC"/>
    <w:rsid w:val="004345E5"/>
    <w:rsid w:val="004355D3"/>
    <w:rsid w:val="00436200"/>
    <w:rsid w:val="00436D35"/>
    <w:rsid w:val="004370B6"/>
    <w:rsid w:val="00437CE0"/>
    <w:rsid w:val="00437F81"/>
    <w:rsid w:val="0044175C"/>
    <w:rsid w:val="00442EF2"/>
    <w:rsid w:val="00443A1D"/>
    <w:rsid w:val="00443E77"/>
    <w:rsid w:val="00444A81"/>
    <w:rsid w:val="004453CE"/>
    <w:rsid w:val="00445705"/>
    <w:rsid w:val="00445AF0"/>
    <w:rsid w:val="004477C3"/>
    <w:rsid w:val="00451CC1"/>
    <w:rsid w:val="00451F51"/>
    <w:rsid w:val="00453406"/>
    <w:rsid w:val="0045384C"/>
    <w:rsid w:val="00456775"/>
    <w:rsid w:val="004616DB"/>
    <w:rsid w:val="00461FB1"/>
    <w:rsid w:val="00461FFE"/>
    <w:rsid w:val="00462697"/>
    <w:rsid w:val="00462DD0"/>
    <w:rsid w:val="004657EE"/>
    <w:rsid w:val="00466432"/>
    <w:rsid w:val="00471613"/>
    <w:rsid w:val="004761A4"/>
    <w:rsid w:val="00476A1E"/>
    <w:rsid w:val="00476BDC"/>
    <w:rsid w:val="004801D4"/>
    <w:rsid w:val="0048048B"/>
    <w:rsid w:val="004818EC"/>
    <w:rsid w:val="00481B17"/>
    <w:rsid w:val="004829A4"/>
    <w:rsid w:val="004839EF"/>
    <w:rsid w:val="00484DB8"/>
    <w:rsid w:val="004853C2"/>
    <w:rsid w:val="004869BB"/>
    <w:rsid w:val="00487B9C"/>
    <w:rsid w:val="00490F22"/>
    <w:rsid w:val="004910A4"/>
    <w:rsid w:val="004939F1"/>
    <w:rsid w:val="00493FDB"/>
    <w:rsid w:val="00496086"/>
    <w:rsid w:val="0049766B"/>
    <w:rsid w:val="004A2B42"/>
    <w:rsid w:val="004A436A"/>
    <w:rsid w:val="004A619C"/>
    <w:rsid w:val="004B3C11"/>
    <w:rsid w:val="004B43DD"/>
    <w:rsid w:val="004B70EF"/>
    <w:rsid w:val="004B767B"/>
    <w:rsid w:val="004C2482"/>
    <w:rsid w:val="004C2821"/>
    <w:rsid w:val="004C29D8"/>
    <w:rsid w:val="004C3011"/>
    <w:rsid w:val="004C3C07"/>
    <w:rsid w:val="004D1C19"/>
    <w:rsid w:val="004D2DAD"/>
    <w:rsid w:val="004D32E4"/>
    <w:rsid w:val="004D34E4"/>
    <w:rsid w:val="004D4CD2"/>
    <w:rsid w:val="004D57EE"/>
    <w:rsid w:val="004D6951"/>
    <w:rsid w:val="004E106F"/>
    <w:rsid w:val="004E2AAD"/>
    <w:rsid w:val="004F0A74"/>
    <w:rsid w:val="004F1924"/>
    <w:rsid w:val="004F1D99"/>
    <w:rsid w:val="004F6B4A"/>
    <w:rsid w:val="004F6C18"/>
    <w:rsid w:val="004F6EE9"/>
    <w:rsid w:val="004F704B"/>
    <w:rsid w:val="004F7C19"/>
    <w:rsid w:val="0050050A"/>
    <w:rsid w:val="00503ED9"/>
    <w:rsid w:val="00503F6A"/>
    <w:rsid w:val="005041E7"/>
    <w:rsid w:val="005058AA"/>
    <w:rsid w:val="00507310"/>
    <w:rsid w:val="005078EE"/>
    <w:rsid w:val="00507A34"/>
    <w:rsid w:val="00507D7F"/>
    <w:rsid w:val="005157CF"/>
    <w:rsid w:val="00516F20"/>
    <w:rsid w:val="00517020"/>
    <w:rsid w:val="0052020E"/>
    <w:rsid w:val="005214B2"/>
    <w:rsid w:val="00521DFE"/>
    <w:rsid w:val="00521E5D"/>
    <w:rsid w:val="00522477"/>
    <w:rsid w:val="00523543"/>
    <w:rsid w:val="00523C99"/>
    <w:rsid w:val="0052444D"/>
    <w:rsid w:val="00526246"/>
    <w:rsid w:val="00532A9F"/>
    <w:rsid w:val="005330C1"/>
    <w:rsid w:val="005360B7"/>
    <w:rsid w:val="005363D0"/>
    <w:rsid w:val="00537E64"/>
    <w:rsid w:val="00540D6F"/>
    <w:rsid w:val="00541F85"/>
    <w:rsid w:val="00542D1C"/>
    <w:rsid w:val="00543BF2"/>
    <w:rsid w:val="00543C81"/>
    <w:rsid w:val="005447FB"/>
    <w:rsid w:val="00545A71"/>
    <w:rsid w:val="00545C89"/>
    <w:rsid w:val="00546EB4"/>
    <w:rsid w:val="00547375"/>
    <w:rsid w:val="005507A7"/>
    <w:rsid w:val="00550D5D"/>
    <w:rsid w:val="0055102A"/>
    <w:rsid w:val="005518E5"/>
    <w:rsid w:val="00551C5A"/>
    <w:rsid w:val="00553DDA"/>
    <w:rsid w:val="00554F86"/>
    <w:rsid w:val="00555F5E"/>
    <w:rsid w:val="00556D65"/>
    <w:rsid w:val="00556E7F"/>
    <w:rsid w:val="00557053"/>
    <w:rsid w:val="005601C5"/>
    <w:rsid w:val="0056161C"/>
    <w:rsid w:val="0056212E"/>
    <w:rsid w:val="00562F67"/>
    <w:rsid w:val="00565B86"/>
    <w:rsid w:val="00567106"/>
    <w:rsid w:val="005719E8"/>
    <w:rsid w:val="00573F81"/>
    <w:rsid w:val="005749C8"/>
    <w:rsid w:val="00574AD1"/>
    <w:rsid w:val="00574BE6"/>
    <w:rsid w:val="005763B2"/>
    <w:rsid w:val="0057695E"/>
    <w:rsid w:val="005771B0"/>
    <w:rsid w:val="00577470"/>
    <w:rsid w:val="0058290D"/>
    <w:rsid w:val="00583886"/>
    <w:rsid w:val="0058647F"/>
    <w:rsid w:val="00586534"/>
    <w:rsid w:val="005908EC"/>
    <w:rsid w:val="005928FE"/>
    <w:rsid w:val="00593194"/>
    <w:rsid w:val="005934BF"/>
    <w:rsid w:val="0059452C"/>
    <w:rsid w:val="005948D4"/>
    <w:rsid w:val="00596EB6"/>
    <w:rsid w:val="005979F7"/>
    <w:rsid w:val="005A016D"/>
    <w:rsid w:val="005A2A80"/>
    <w:rsid w:val="005A4723"/>
    <w:rsid w:val="005A6353"/>
    <w:rsid w:val="005A6CC7"/>
    <w:rsid w:val="005A7D79"/>
    <w:rsid w:val="005B2094"/>
    <w:rsid w:val="005B5D4D"/>
    <w:rsid w:val="005B7893"/>
    <w:rsid w:val="005C0506"/>
    <w:rsid w:val="005C0838"/>
    <w:rsid w:val="005C0F46"/>
    <w:rsid w:val="005C1DB4"/>
    <w:rsid w:val="005C3358"/>
    <w:rsid w:val="005C5CDF"/>
    <w:rsid w:val="005C7800"/>
    <w:rsid w:val="005C7E3B"/>
    <w:rsid w:val="005D0644"/>
    <w:rsid w:val="005D0D6C"/>
    <w:rsid w:val="005D14D7"/>
    <w:rsid w:val="005D5B92"/>
    <w:rsid w:val="005D5FE1"/>
    <w:rsid w:val="005D6B12"/>
    <w:rsid w:val="005E00EF"/>
    <w:rsid w:val="005E1D3C"/>
    <w:rsid w:val="005E4449"/>
    <w:rsid w:val="005E60DB"/>
    <w:rsid w:val="005E6308"/>
    <w:rsid w:val="005E6332"/>
    <w:rsid w:val="005E63C2"/>
    <w:rsid w:val="005E70FF"/>
    <w:rsid w:val="005E7A87"/>
    <w:rsid w:val="005F0452"/>
    <w:rsid w:val="005F09BC"/>
    <w:rsid w:val="005F27B0"/>
    <w:rsid w:val="005F35E0"/>
    <w:rsid w:val="005F3775"/>
    <w:rsid w:val="005F5E3C"/>
    <w:rsid w:val="005F6D1A"/>
    <w:rsid w:val="00600577"/>
    <w:rsid w:val="00601108"/>
    <w:rsid w:val="006013C5"/>
    <w:rsid w:val="00601948"/>
    <w:rsid w:val="0060201D"/>
    <w:rsid w:val="00604522"/>
    <w:rsid w:val="0060472C"/>
    <w:rsid w:val="00604D9B"/>
    <w:rsid w:val="006060F2"/>
    <w:rsid w:val="00606BB9"/>
    <w:rsid w:val="00607753"/>
    <w:rsid w:val="00611AE9"/>
    <w:rsid w:val="00612510"/>
    <w:rsid w:val="00612705"/>
    <w:rsid w:val="00613494"/>
    <w:rsid w:val="00614A59"/>
    <w:rsid w:val="0061520E"/>
    <w:rsid w:val="006213C8"/>
    <w:rsid w:val="00621612"/>
    <w:rsid w:val="00621664"/>
    <w:rsid w:val="00622AB0"/>
    <w:rsid w:val="00622B2A"/>
    <w:rsid w:val="00622D70"/>
    <w:rsid w:val="006230A4"/>
    <w:rsid w:val="0062356B"/>
    <w:rsid w:val="00623B38"/>
    <w:rsid w:val="00624E38"/>
    <w:rsid w:val="00625AE6"/>
    <w:rsid w:val="006263A4"/>
    <w:rsid w:val="00627D7D"/>
    <w:rsid w:val="006300D7"/>
    <w:rsid w:val="00630B16"/>
    <w:rsid w:val="00630B59"/>
    <w:rsid w:val="00632253"/>
    <w:rsid w:val="0063431B"/>
    <w:rsid w:val="006348AE"/>
    <w:rsid w:val="006378D7"/>
    <w:rsid w:val="00640AC6"/>
    <w:rsid w:val="00642714"/>
    <w:rsid w:val="00643B9E"/>
    <w:rsid w:val="006455CE"/>
    <w:rsid w:val="00645F39"/>
    <w:rsid w:val="006473C8"/>
    <w:rsid w:val="00650197"/>
    <w:rsid w:val="00650710"/>
    <w:rsid w:val="00652BCF"/>
    <w:rsid w:val="00654207"/>
    <w:rsid w:val="00655841"/>
    <w:rsid w:val="006612B4"/>
    <w:rsid w:val="00661822"/>
    <w:rsid w:val="00661CEF"/>
    <w:rsid w:val="00662D1A"/>
    <w:rsid w:val="00665575"/>
    <w:rsid w:val="00665E35"/>
    <w:rsid w:val="00666729"/>
    <w:rsid w:val="006676B9"/>
    <w:rsid w:val="0067206F"/>
    <w:rsid w:val="00672D16"/>
    <w:rsid w:val="00672FA1"/>
    <w:rsid w:val="00674506"/>
    <w:rsid w:val="00674708"/>
    <w:rsid w:val="00674D8E"/>
    <w:rsid w:val="00675BEE"/>
    <w:rsid w:val="00676A25"/>
    <w:rsid w:val="00676CF2"/>
    <w:rsid w:val="006772E5"/>
    <w:rsid w:val="00677461"/>
    <w:rsid w:val="00681C3F"/>
    <w:rsid w:val="00681DA3"/>
    <w:rsid w:val="0068628B"/>
    <w:rsid w:val="00687C57"/>
    <w:rsid w:val="006916EA"/>
    <w:rsid w:val="00692A17"/>
    <w:rsid w:val="00693AF6"/>
    <w:rsid w:val="006948AA"/>
    <w:rsid w:val="0069543B"/>
    <w:rsid w:val="00696BEC"/>
    <w:rsid w:val="006A0E93"/>
    <w:rsid w:val="006A2CEE"/>
    <w:rsid w:val="006A34DD"/>
    <w:rsid w:val="006A38A2"/>
    <w:rsid w:val="006A6AAA"/>
    <w:rsid w:val="006B00AC"/>
    <w:rsid w:val="006B0380"/>
    <w:rsid w:val="006B0ABE"/>
    <w:rsid w:val="006B297D"/>
    <w:rsid w:val="006B4D55"/>
    <w:rsid w:val="006B5F33"/>
    <w:rsid w:val="006B6B99"/>
    <w:rsid w:val="006B7A62"/>
    <w:rsid w:val="006C0451"/>
    <w:rsid w:val="006C1AC9"/>
    <w:rsid w:val="006C33A1"/>
    <w:rsid w:val="006C4C4F"/>
    <w:rsid w:val="006C7B49"/>
    <w:rsid w:val="006D1CAD"/>
    <w:rsid w:val="006D3139"/>
    <w:rsid w:val="006D3300"/>
    <w:rsid w:val="006D46F4"/>
    <w:rsid w:val="006D500E"/>
    <w:rsid w:val="006D6066"/>
    <w:rsid w:val="006D679E"/>
    <w:rsid w:val="006D78E3"/>
    <w:rsid w:val="006E14C4"/>
    <w:rsid w:val="006E1875"/>
    <w:rsid w:val="006E1F7C"/>
    <w:rsid w:val="006E2C88"/>
    <w:rsid w:val="006E6427"/>
    <w:rsid w:val="006E6DDF"/>
    <w:rsid w:val="006E7236"/>
    <w:rsid w:val="006E75C4"/>
    <w:rsid w:val="006E793C"/>
    <w:rsid w:val="006F2E7F"/>
    <w:rsid w:val="006F4150"/>
    <w:rsid w:val="006F58FE"/>
    <w:rsid w:val="006F5D0A"/>
    <w:rsid w:val="006F6C14"/>
    <w:rsid w:val="006F6D2D"/>
    <w:rsid w:val="007008CC"/>
    <w:rsid w:val="00701079"/>
    <w:rsid w:val="00702E65"/>
    <w:rsid w:val="0070382B"/>
    <w:rsid w:val="00703CD9"/>
    <w:rsid w:val="00704424"/>
    <w:rsid w:val="00704F09"/>
    <w:rsid w:val="00705EA6"/>
    <w:rsid w:val="0071087F"/>
    <w:rsid w:val="00711996"/>
    <w:rsid w:val="007121E4"/>
    <w:rsid w:val="00713D82"/>
    <w:rsid w:val="007153F3"/>
    <w:rsid w:val="00716D73"/>
    <w:rsid w:val="00721396"/>
    <w:rsid w:val="007224AB"/>
    <w:rsid w:val="00725079"/>
    <w:rsid w:val="00726B3A"/>
    <w:rsid w:val="0072754F"/>
    <w:rsid w:val="00730ABF"/>
    <w:rsid w:val="00730C80"/>
    <w:rsid w:val="00731330"/>
    <w:rsid w:val="00733017"/>
    <w:rsid w:val="00733E77"/>
    <w:rsid w:val="00734392"/>
    <w:rsid w:val="00734E01"/>
    <w:rsid w:val="007353BA"/>
    <w:rsid w:val="00740F9E"/>
    <w:rsid w:val="0074250D"/>
    <w:rsid w:val="00743E0E"/>
    <w:rsid w:val="007442F2"/>
    <w:rsid w:val="00746B88"/>
    <w:rsid w:val="00747446"/>
    <w:rsid w:val="0075214F"/>
    <w:rsid w:val="0075277C"/>
    <w:rsid w:val="0075600C"/>
    <w:rsid w:val="007607CA"/>
    <w:rsid w:val="00761ED5"/>
    <w:rsid w:val="00766B2F"/>
    <w:rsid w:val="00767A7B"/>
    <w:rsid w:val="00772BB3"/>
    <w:rsid w:val="00772F30"/>
    <w:rsid w:val="00774D7F"/>
    <w:rsid w:val="00777D9D"/>
    <w:rsid w:val="00783310"/>
    <w:rsid w:val="00783E26"/>
    <w:rsid w:val="00785FA7"/>
    <w:rsid w:val="00787D60"/>
    <w:rsid w:val="0079008A"/>
    <w:rsid w:val="00795A7A"/>
    <w:rsid w:val="00796EB1"/>
    <w:rsid w:val="007A2BFD"/>
    <w:rsid w:val="007A4A6D"/>
    <w:rsid w:val="007A4B3B"/>
    <w:rsid w:val="007A77FE"/>
    <w:rsid w:val="007A7B30"/>
    <w:rsid w:val="007B2469"/>
    <w:rsid w:val="007B525D"/>
    <w:rsid w:val="007B531E"/>
    <w:rsid w:val="007B5893"/>
    <w:rsid w:val="007B58B8"/>
    <w:rsid w:val="007B782E"/>
    <w:rsid w:val="007C190F"/>
    <w:rsid w:val="007C548F"/>
    <w:rsid w:val="007C554D"/>
    <w:rsid w:val="007C6C66"/>
    <w:rsid w:val="007C7142"/>
    <w:rsid w:val="007C7DCB"/>
    <w:rsid w:val="007D1BCF"/>
    <w:rsid w:val="007D2E8B"/>
    <w:rsid w:val="007D4385"/>
    <w:rsid w:val="007D4F71"/>
    <w:rsid w:val="007D5184"/>
    <w:rsid w:val="007D54C1"/>
    <w:rsid w:val="007D54EA"/>
    <w:rsid w:val="007D75CF"/>
    <w:rsid w:val="007D78B5"/>
    <w:rsid w:val="007D7920"/>
    <w:rsid w:val="007E0440"/>
    <w:rsid w:val="007E06FF"/>
    <w:rsid w:val="007E1C1A"/>
    <w:rsid w:val="007E1DFA"/>
    <w:rsid w:val="007E36A7"/>
    <w:rsid w:val="007E36EC"/>
    <w:rsid w:val="007E52B7"/>
    <w:rsid w:val="007E6DC5"/>
    <w:rsid w:val="007E70BB"/>
    <w:rsid w:val="007E7151"/>
    <w:rsid w:val="007F1BD1"/>
    <w:rsid w:val="007F2A0A"/>
    <w:rsid w:val="007F2F09"/>
    <w:rsid w:val="007F3A3C"/>
    <w:rsid w:val="007F4BAB"/>
    <w:rsid w:val="007F5441"/>
    <w:rsid w:val="0080285F"/>
    <w:rsid w:val="008028F5"/>
    <w:rsid w:val="00804BDF"/>
    <w:rsid w:val="008050FD"/>
    <w:rsid w:val="00806A01"/>
    <w:rsid w:val="00807D07"/>
    <w:rsid w:val="00811817"/>
    <w:rsid w:val="00811C3B"/>
    <w:rsid w:val="008120B8"/>
    <w:rsid w:val="008138F8"/>
    <w:rsid w:val="00816485"/>
    <w:rsid w:val="008176BB"/>
    <w:rsid w:val="00820758"/>
    <w:rsid w:val="00821193"/>
    <w:rsid w:val="00822AED"/>
    <w:rsid w:val="00822DD6"/>
    <w:rsid w:val="0082351A"/>
    <w:rsid w:val="00826DD0"/>
    <w:rsid w:val="008316DB"/>
    <w:rsid w:val="00831732"/>
    <w:rsid w:val="00832899"/>
    <w:rsid w:val="008330B6"/>
    <w:rsid w:val="00836937"/>
    <w:rsid w:val="008370FC"/>
    <w:rsid w:val="00840361"/>
    <w:rsid w:val="00840475"/>
    <w:rsid w:val="00842817"/>
    <w:rsid w:val="00842921"/>
    <w:rsid w:val="00845994"/>
    <w:rsid w:val="00845F11"/>
    <w:rsid w:val="00851522"/>
    <w:rsid w:val="0085335D"/>
    <w:rsid w:val="00855761"/>
    <w:rsid w:val="00863256"/>
    <w:rsid w:val="00863752"/>
    <w:rsid w:val="00863792"/>
    <w:rsid w:val="008647C7"/>
    <w:rsid w:val="00864A30"/>
    <w:rsid w:val="008651D8"/>
    <w:rsid w:val="00866A35"/>
    <w:rsid w:val="00870806"/>
    <w:rsid w:val="00872098"/>
    <w:rsid w:val="00873A7F"/>
    <w:rsid w:val="00877409"/>
    <w:rsid w:val="008774F5"/>
    <w:rsid w:val="0088043C"/>
    <w:rsid w:val="00880C6C"/>
    <w:rsid w:val="00884889"/>
    <w:rsid w:val="00885AED"/>
    <w:rsid w:val="00886D8B"/>
    <w:rsid w:val="008872EF"/>
    <w:rsid w:val="00887634"/>
    <w:rsid w:val="008906C9"/>
    <w:rsid w:val="00891FC4"/>
    <w:rsid w:val="00894268"/>
    <w:rsid w:val="008944B5"/>
    <w:rsid w:val="00894A7F"/>
    <w:rsid w:val="00896BB7"/>
    <w:rsid w:val="00897861"/>
    <w:rsid w:val="008A116B"/>
    <w:rsid w:val="008A4A93"/>
    <w:rsid w:val="008A4B1B"/>
    <w:rsid w:val="008A55D0"/>
    <w:rsid w:val="008A6184"/>
    <w:rsid w:val="008A6A2B"/>
    <w:rsid w:val="008B113D"/>
    <w:rsid w:val="008B1B82"/>
    <w:rsid w:val="008B2746"/>
    <w:rsid w:val="008B39C1"/>
    <w:rsid w:val="008B5D59"/>
    <w:rsid w:val="008B5E90"/>
    <w:rsid w:val="008B7D8D"/>
    <w:rsid w:val="008C0FA4"/>
    <w:rsid w:val="008C1661"/>
    <w:rsid w:val="008C24ED"/>
    <w:rsid w:val="008C280B"/>
    <w:rsid w:val="008C2C01"/>
    <w:rsid w:val="008C3988"/>
    <w:rsid w:val="008C4D0E"/>
    <w:rsid w:val="008C5738"/>
    <w:rsid w:val="008C5E9E"/>
    <w:rsid w:val="008C6674"/>
    <w:rsid w:val="008C76EE"/>
    <w:rsid w:val="008D04F0"/>
    <w:rsid w:val="008D1560"/>
    <w:rsid w:val="008D3301"/>
    <w:rsid w:val="008D340F"/>
    <w:rsid w:val="008D35C2"/>
    <w:rsid w:val="008D41C2"/>
    <w:rsid w:val="008D44AA"/>
    <w:rsid w:val="008D57C1"/>
    <w:rsid w:val="008D5B2D"/>
    <w:rsid w:val="008E1019"/>
    <w:rsid w:val="008E115A"/>
    <w:rsid w:val="008E14A1"/>
    <w:rsid w:val="008E36DC"/>
    <w:rsid w:val="008E3A29"/>
    <w:rsid w:val="008E4305"/>
    <w:rsid w:val="008E46D9"/>
    <w:rsid w:val="008E4B3A"/>
    <w:rsid w:val="008E6732"/>
    <w:rsid w:val="008F31D0"/>
    <w:rsid w:val="008F3500"/>
    <w:rsid w:val="008F4642"/>
    <w:rsid w:val="008F77DD"/>
    <w:rsid w:val="008F7902"/>
    <w:rsid w:val="009016AB"/>
    <w:rsid w:val="00903B24"/>
    <w:rsid w:val="00904596"/>
    <w:rsid w:val="00906322"/>
    <w:rsid w:val="009109A5"/>
    <w:rsid w:val="00912DD8"/>
    <w:rsid w:val="00913879"/>
    <w:rsid w:val="00915538"/>
    <w:rsid w:val="00915F4F"/>
    <w:rsid w:val="0091631B"/>
    <w:rsid w:val="00917A10"/>
    <w:rsid w:val="009208A1"/>
    <w:rsid w:val="00922416"/>
    <w:rsid w:val="00922B73"/>
    <w:rsid w:val="00923CD7"/>
    <w:rsid w:val="009245C8"/>
    <w:rsid w:val="009249B9"/>
    <w:rsid w:val="00924E3C"/>
    <w:rsid w:val="00925AFB"/>
    <w:rsid w:val="00925C24"/>
    <w:rsid w:val="00926C59"/>
    <w:rsid w:val="009310B7"/>
    <w:rsid w:val="0093158D"/>
    <w:rsid w:val="009316AB"/>
    <w:rsid w:val="009328A2"/>
    <w:rsid w:val="00932AB6"/>
    <w:rsid w:val="00932AE2"/>
    <w:rsid w:val="0093366C"/>
    <w:rsid w:val="0093681F"/>
    <w:rsid w:val="0093781B"/>
    <w:rsid w:val="009411ED"/>
    <w:rsid w:val="009413E5"/>
    <w:rsid w:val="00941A5F"/>
    <w:rsid w:val="00944EB7"/>
    <w:rsid w:val="00947156"/>
    <w:rsid w:val="00947765"/>
    <w:rsid w:val="00947DEF"/>
    <w:rsid w:val="009501A9"/>
    <w:rsid w:val="00951E44"/>
    <w:rsid w:val="00952421"/>
    <w:rsid w:val="009527AC"/>
    <w:rsid w:val="009539C1"/>
    <w:rsid w:val="00955211"/>
    <w:rsid w:val="009557BF"/>
    <w:rsid w:val="00955FA5"/>
    <w:rsid w:val="00957574"/>
    <w:rsid w:val="00960A18"/>
    <w:rsid w:val="00960A36"/>
    <w:rsid w:val="00961249"/>
    <w:rsid w:val="009612BB"/>
    <w:rsid w:val="00962590"/>
    <w:rsid w:val="00972570"/>
    <w:rsid w:val="00972E5D"/>
    <w:rsid w:val="00974272"/>
    <w:rsid w:val="00975497"/>
    <w:rsid w:val="009771FD"/>
    <w:rsid w:val="0097765D"/>
    <w:rsid w:val="00977900"/>
    <w:rsid w:val="009800AE"/>
    <w:rsid w:val="00980167"/>
    <w:rsid w:val="009809C0"/>
    <w:rsid w:val="00982B17"/>
    <w:rsid w:val="0098402A"/>
    <w:rsid w:val="00984C48"/>
    <w:rsid w:val="0098711C"/>
    <w:rsid w:val="00987305"/>
    <w:rsid w:val="00987637"/>
    <w:rsid w:val="009877F4"/>
    <w:rsid w:val="00993CC9"/>
    <w:rsid w:val="00994BF5"/>
    <w:rsid w:val="0099749F"/>
    <w:rsid w:val="00997C47"/>
    <w:rsid w:val="009A06BD"/>
    <w:rsid w:val="009A1E53"/>
    <w:rsid w:val="009A57DF"/>
    <w:rsid w:val="009A76D7"/>
    <w:rsid w:val="009A7974"/>
    <w:rsid w:val="009B02FE"/>
    <w:rsid w:val="009B1481"/>
    <w:rsid w:val="009B1994"/>
    <w:rsid w:val="009B334C"/>
    <w:rsid w:val="009B44F3"/>
    <w:rsid w:val="009B450D"/>
    <w:rsid w:val="009B4D00"/>
    <w:rsid w:val="009B4D52"/>
    <w:rsid w:val="009B5194"/>
    <w:rsid w:val="009B583B"/>
    <w:rsid w:val="009B5C48"/>
    <w:rsid w:val="009C09DE"/>
    <w:rsid w:val="009C0CED"/>
    <w:rsid w:val="009C1337"/>
    <w:rsid w:val="009C139B"/>
    <w:rsid w:val="009C1CCD"/>
    <w:rsid w:val="009C624F"/>
    <w:rsid w:val="009C71F5"/>
    <w:rsid w:val="009C740A"/>
    <w:rsid w:val="009D137B"/>
    <w:rsid w:val="009D342B"/>
    <w:rsid w:val="009D359D"/>
    <w:rsid w:val="009D38BA"/>
    <w:rsid w:val="009D497B"/>
    <w:rsid w:val="009D54E5"/>
    <w:rsid w:val="009E0880"/>
    <w:rsid w:val="009E173A"/>
    <w:rsid w:val="009E5C07"/>
    <w:rsid w:val="009E6BE6"/>
    <w:rsid w:val="009F130F"/>
    <w:rsid w:val="009F3EB2"/>
    <w:rsid w:val="009F48B1"/>
    <w:rsid w:val="00A013CC"/>
    <w:rsid w:val="00A05687"/>
    <w:rsid w:val="00A060B7"/>
    <w:rsid w:val="00A066EB"/>
    <w:rsid w:val="00A07460"/>
    <w:rsid w:val="00A125C5"/>
    <w:rsid w:val="00A12B25"/>
    <w:rsid w:val="00A13645"/>
    <w:rsid w:val="00A138F9"/>
    <w:rsid w:val="00A148F6"/>
    <w:rsid w:val="00A14C38"/>
    <w:rsid w:val="00A1571A"/>
    <w:rsid w:val="00A1576B"/>
    <w:rsid w:val="00A15FA0"/>
    <w:rsid w:val="00A1627A"/>
    <w:rsid w:val="00A200CC"/>
    <w:rsid w:val="00A21365"/>
    <w:rsid w:val="00A2138B"/>
    <w:rsid w:val="00A23AF6"/>
    <w:rsid w:val="00A2451C"/>
    <w:rsid w:val="00A2704D"/>
    <w:rsid w:val="00A337FA"/>
    <w:rsid w:val="00A34593"/>
    <w:rsid w:val="00A34671"/>
    <w:rsid w:val="00A34AED"/>
    <w:rsid w:val="00A34F7E"/>
    <w:rsid w:val="00A35240"/>
    <w:rsid w:val="00A35F78"/>
    <w:rsid w:val="00A40B40"/>
    <w:rsid w:val="00A410C7"/>
    <w:rsid w:val="00A419B3"/>
    <w:rsid w:val="00A43BF1"/>
    <w:rsid w:val="00A4420C"/>
    <w:rsid w:val="00A470E5"/>
    <w:rsid w:val="00A4715E"/>
    <w:rsid w:val="00A4789C"/>
    <w:rsid w:val="00A47C96"/>
    <w:rsid w:val="00A50B32"/>
    <w:rsid w:val="00A51254"/>
    <w:rsid w:val="00A51BCB"/>
    <w:rsid w:val="00A5265A"/>
    <w:rsid w:val="00A52DD7"/>
    <w:rsid w:val="00A54208"/>
    <w:rsid w:val="00A5454E"/>
    <w:rsid w:val="00A54A51"/>
    <w:rsid w:val="00A559D8"/>
    <w:rsid w:val="00A562B8"/>
    <w:rsid w:val="00A56C6C"/>
    <w:rsid w:val="00A601A5"/>
    <w:rsid w:val="00A60ADD"/>
    <w:rsid w:val="00A63720"/>
    <w:rsid w:val="00A6468D"/>
    <w:rsid w:val="00A64F1C"/>
    <w:rsid w:val="00A65BC7"/>
    <w:rsid w:val="00A65EE7"/>
    <w:rsid w:val="00A6688B"/>
    <w:rsid w:val="00A6716A"/>
    <w:rsid w:val="00A70133"/>
    <w:rsid w:val="00A73888"/>
    <w:rsid w:val="00A74B8B"/>
    <w:rsid w:val="00A74E31"/>
    <w:rsid w:val="00A770A6"/>
    <w:rsid w:val="00A809C0"/>
    <w:rsid w:val="00A813B1"/>
    <w:rsid w:val="00A821A6"/>
    <w:rsid w:val="00A827B3"/>
    <w:rsid w:val="00A840AF"/>
    <w:rsid w:val="00A92687"/>
    <w:rsid w:val="00A92849"/>
    <w:rsid w:val="00A94190"/>
    <w:rsid w:val="00A95049"/>
    <w:rsid w:val="00A9538A"/>
    <w:rsid w:val="00A95964"/>
    <w:rsid w:val="00A965B0"/>
    <w:rsid w:val="00A9699B"/>
    <w:rsid w:val="00A96C48"/>
    <w:rsid w:val="00A97280"/>
    <w:rsid w:val="00A97BA6"/>
    <w:rsid w:val="00A97DCC"/>
    <w:rsid w:val="00AA0CF6"/>
    <w:rsid w:val="00AA1BAD"/>
    <w:rsid w:val="00AA1CCE"/>
    <w:rsid w:val="00AA2C2B"/>
    <w:rsid w:val="00AA3EE7"/>
    <w:rsid w:val="00AA6CB5"/>
    <w:rsid w:val="00AB0804"/>
    <w:rsid w:val="00AB3019"/>
    <w:rsid w:val="00AB36C4"/>
    <w:rsid w:val="00AB3A5B"/>
    <w:rsid w:val="00AB4D05"/>
    <w:rsid w:val="00AB6A57"/>
    <w:rsid w:val="00AB77EA"/>
    <w:rsid w:val="00AC32B2"/>
    <w:rsid w:val="00AC3422"/>
    <w:rsid w:val="00AC48AF"/>
    <w:rsid w:val="00AC7206"/>
    <w:rsid w:val="00AD36B4"/>
    <w:rsid w:val="00AD5FFF"/>
    <w:rsid w:val="00AE0769"/>
    <w:rsid w:val="00AE1012"/>
    <w:rsid w:val="00AE1032"/>
    <w:rsid w:val="00AE2155"/>
    <w:rsid w:val="00AE2915"/>
    <w:rsid w:val="00AE3B9B"/>
    <w:rsid w:val="00AE6AA8"/>
    <w:rsid w:val="00AE77A5"/>
    <w:rsid w:val="00AF4D95"/>
    <w:rsid w:val="00AF4E51"/>
    <w:rsid w:val="00AF4EA1"/>
    <w:rsid w:val="00AF6F4B"/>
    <w:rsid w:val="00B0119F"/>
    <w:rsid w:val="00B014E7"/>
    <w:rsid w:val="00B0153C"/>
    <w:rsid w:val="00B01E0D"/>
    <w:rsid w:val="00B02B9C"/>
    <w:rsid w:val="00B03E9F"/>
    <w:rsid w:val="00B04A1F"/>
    <w:rsid w:val="00B07B2D"/>
    <w:rsid w:val="00B10EC6"/>
    <w:rsid w:val="00B10F76"/>
    <w:rsid w:val="00B119C6"/>
    <w:rsid w:val="00B12E0D"/>
    <w:rsid w:val="00B131F4"/>
    <w:rsid w:val="00B144C7"/>
    <w:rsid w:val="00B1519D"/>
    <w:rsid w:val="00B15D25"/>
    <w:rsid w:val="00B17141"/>
    <w:rsid w:val="00B20CE7"/>
    <w:rsid w:val="00B21C6B"/>
    <w:rsid w:val="00B2201F"/>
    <w:rsid w:val="00B22723"/>
    <w:rsid w:val="00B239E1"/>
    <w:rsid w:val="00B24032"/>
    <w:rsid w:val="00B2604F"/>
    <w:rsid w:val="00B30DEC"/>
    <w:rsid w:val="00B31575"/>
    <w:rsid w:val="00B31E87"/>
    <w:rsid w:val="00B32292"/>
    <w:rsid w:val="00B33795"/>
    <w:rsid w:val="00B343AC"/>
    <w:rsid w:val="00B34F4C"/>
    <w:rsid w:val="00B355EF"/>
    <w:rsid w:val="00B35A2B"/>
    <w:rsid w:val="00B372B1"/>
    <w:rsid w:val="00B373B0"/>
    <w:rsid w:val="00B40EA4"/>
    <w:rsid w:val="00B414E2"/>
    <w:rsid w:val="00B44EED"/>
    <w:rsid w:val="00B45263"/>
    <w:rsid w:val="00B46024"/>
    <w:rsid w:val="00B46D70"/>
    <w:rsid w:val="00B520D0"/>
    <w:rsid w:val="00B537CF"/>
    <w:rsid w:val="00B54077"/>
    <w:rsid w:val="00B5516B"/>
    <w:rsid w:val="00B56E9F"/>
    <w:rsid w:val="00B60397"/>
    <w:rsid w:val="00B60A68"/>
    <w:rsid w:val="00B618C3"/>
    <w:rsid w:val="00B61B01"/>
    <w:rsid w:val="00B638DA"/>
    <w:rsid w:val="00B644CC"/>
    <w:rsid w:val="00B64D5C"/>
    <w:rsid w:val="00B6607A"/>
    <w:rsid w:val="00B716BD"/>
    <w:rsid w:val="00B72496"/>
    <w:rsid w:val="00B7393A"/>
    <w:rsid w:val="00B73A38"/>
    <w:rsid w:val="00B73FBD"/>
    <w:rsid w:val="00B77673"/>
    <w:rsid w:val="00B8049E"/>
    <w:rsid w:val="00B8078D"/>
    <w:rsid w:val="00B80CEC"/>
    <w:rsid w:val="00B80F6C"/>
    <w:rsid w:val="00B81962"/>
    <w:rsid w:val="00B82654"/>
    <w:rsid w:val="00B84573"/>
    <w:rsid w:val="00B8547D"/>
    <w:rsid w:val="00B85884"/>
    <w:rsid w:val="00B873AF"/>
    <w:rsid w:val="00B9464D"/>
    <w:rsid w:val="00B948A2"/>
    <w:rsid w:val="00B95884"/>
    <w:rsid w:val="00B95A00"/>
    <w:rsid w:val="00BA0AE8"/>
    <w:rsid w:val="00BA2CBB"/>
    <w:rsid w:val="00BA5E76"/>
    <w:rsid w:val="00BB10C3"/>
    <w:rsid w:val="00BB3E31"/>
    <w:rsid w:val="00BB4556"/>
    <w:rsid w:val="00BB4D17"/>
    <w:rsid w:val="00BB5192"/>
    <w:rsid w:val="00BB6BCB"/>
    <w:rsid w:val="00BB7956"/>
    <w:rsid w:val="00BB7CB5"/>
    <w:rsid w:val="00BB7DA9"/>
    <w:rsid w:val="00BC0AC0"/>
    <w:rsid w:val="00BC0DA5"/>
    <w:rsid w:val="00BC0E53"/>
    <w:rsid w:val="00BC2554"/>
    <w:rsid w:val="00BC25A3"/>
    <w:rsid w:val="00BC27BF"/>
    <w:rsid w:val="00BC3C6D"/>
    <w:rsid w:val="00BC40CC"/>
    <w:rsid w:val="00BC4ACA"/>
    <w:rsid w:val="00BC5053"/>
    <w:rsid w:val="00BC7776"/>
    <w:rsid w:val="00BC7D49"/>
    <w:rsid w:val="00BD340B"/>
    <w:rsid w:val="00BD49B4"/>
    <w:rsid w:val="00BD5754"/>
    <w:rsid w:val="00BD7024"/>
    <w:rsid w:val="00BD7385"/>
    <w:rsid w:val="00BD7B17"/>
    <w:rsid w:val="00BE08AE"/>
    <w:rsid w:val="00BE297C"/>
    <w:rsid w:val="00BE34F8"/>
    <w:rsid w:val="00BE3B8D"/>
    <w:rsid w:val="00BE3FEA"/>
    <w:rsid w:val="00BE4767"/>
    <w:rsid w:val="00BF3165"/>
    <w:rsid w:val="00BF5EAC"/>
    <w:rsid w:val="00C02962"/>
    <w:rsid w:val="00C03860"/>
    <w:rsid w:val="00C03C4B"/>
    <w:rsid w:val="00C03E39"/>
    <w:rsid w:val="00C06C70"/>
    <w:rsid w:val="00C06CA6"/>
    <w:rsid w:val="00C06FB6"/>
    <w:rsid w:val="00C10C2C"/>
    <w:rsid w:val="00C116D1"/>
    <w:rsid w:val="00C15754"/>
    <w:rsid w:val="00C17600"/>
    <w:rsid w:val="00C20D0A"/>
    <w:rsid w:val="00C237B7"/>
    <w:rsid w:val="00C24CF7"/>
    <w:rsid w:val="00C250D5"/>
    <w:rsid w:val="00C27D58"/>
    <w:rsid w:val="00C32B67"/>
    <w:rsid w:val="00C35085"/>
    <w:rsid w:val="00C35666"/>
    <w:rsid w:val="00C36FCF"/>
    <w:rsid w:val="00C40177"/>
    <w:rsid w:val="00C421E3"/>
    <w:rsid w:val="00C4491C"/>
    <w:rsid w:val="00C44AED"/>
    <w:rsid w:val="00C47294"/>
    <w:rsid w:val="00C5009C"/>
    <w:rsid w:val="00C5077E"/>
    <w:rsid w:val="00C508AD"/>
    <w:rsid w:val="00C52295"/>
    <w:rsid w:val="00C5284C"/>
    <w:rsid w:val="00C52F0D"/>
    <w:rsid w:val="00C53C0B"/>
    <w:rsid w:val="00C53F30"/>
    <w:rsid w:val="00C54695"/>
    <w:rsid w:val="00C5599A"/>
    <w:rsid w:val="00C5607B"/>
    <w:rsid w:val="00C607A7"/>
    <w:rsid w:val="00C60979"/>
    <w:rsid w:val="00C662D9"/>
    <w:rsid w:val="00C6664A"/>
    <w:rsid w:val="00C66C87"/>
    <w:rsid w:val="00C671C8"/>
    <w:rsid w:val="00C67794"/>
    <w:rsid w:val="00C677C6"/>
    <w:rsid w:val="00C67B42"/>
    <w:rsid w:val="00C70B41"/>
    <w:rsid w:val="00C756F2"/>
    <w:rsid w:val="00C76EC0"/>
    <w:rsid w:val="00C8037E"/>
    <w:rsid w:val="00C82497"/>
    <w:rsid w:val="00C83073"/>
    <w:rsid w:val="00C84C71"/>
    <w:rsid w:val="00C8638B"/>
    <w:rsid w:val="00C876E7"/>
    <w:rsid w:val="00C912BB"/>
    <w:rsid w:val="00C91832"/>
    <w:rsid w:val="00C92218"/>
    <w:rsid w:val="00C923FF"/>
    <w:rsid w:val="00C925FF"/>
    <w:rsid w:val="00C92898"/>
    <w:rsid w:val="00C965E3"/>
    <w:rsid w:val="00C96663"/>
    <w:rsid w:val="00C974DA"/>
    <w:rsid w:val="00CA0776"/>
    <w:rsid w:val="00CA195B"/>
    <w:rsid w:val="00CA1F83"/>
    <w:rsid w:val="00CA4340"/>
    <w:rsid w:val="00CA4BE6"/>
    <w:rsid w:val="00CA4C2C"/>
    <w:rsid w:val="00CA4FFC"/>
    <w:rsid w:val="00CA56C1"/>
    <w:rsid w:val="00CA5C22"/>
    <w:rsid w:val="00CA6989"/>
    <w:rsid w:val="00CA7A1E"/>
    <w:rsid w:val="00CB007B"/>
    <w:rsid w:val="00CB03A6"/>
    <w:rsid w:val="00CB0A1D"/>
    <w:rsid w:val="00CB0CC4"/>
    <w:rsid w:val="00CB140D"/>
    <w:rsid w:val="00CB32AF"/>
    <w:rsid w:val="00CB623C"/>
    <w:rsid w:val="00CC22E2"/>
    <w:rsid w:val="00CC33F8"/>
    <w:rsid w:val="00CC346B"/>
    <w:rsid w:val="00CC4927"/>
    <w:rsid w:val="00CD4260"/>
    <w:rsid w:val="00CD485B"/>
    <w:rsid w:val="00CD4F29"/>
    <w:rsid w:val="00CD5A79"/>
    <w:rsid w:val="00CD7003"/>
    <w:rsid w:val="00CD73B4"/>
    <w:rsid w:val="00CD73B7"/>
    <w:rsid w:val="00CE02D0"/>
    <w:rsid w:val="00CE41BC"/>
    <w:rsid w:val="00CE5238"/>
    <w:rsid w:val="00CE5D91"/>
    <w:rsid w:val="00CE68E4"/>
    <w:rsid w:val="00CE7514"/>
    <w:rsid w:val="00CF0B25"/>
    <w:rsid w:val="00CF26DA"/>
    <w:rsid w:val="00CF3018"/>
    <w:rsid w:val="00CF4691"/>
    <w:rsid w:val="00D00563"/>
    <w:rsid w:val="00D00EBE"/>
    <w:rsid w:val="00D02076"/>
    <w:rsid w:val="00D02098"/>
    <w:rsid w:val="00D042F8"/>
    <w:rsid w:val="00D06F75"/>
    <w:rsid w:val="00D1439D"/>
    <w:rsid w:val="00D14CC5"/>
    <w:rsid w:val="00D14E32"/>
    <w:rsid w:val="00D15384"/>
    <w:rsid w:val="00D178ED"/>
    <w:rsid w:val="00D17C46"/>
    <w:rsid w:val="00D20D57"/>
    <w:rsid w:val="00D22718"/>
    <w:rsid w:val="00D2336C"/>
    <w:rsid w:val="00D248DE"/>
    <w:rsid w:val="00D25460"/>
    <w:rsid w:val="00D2548F"/>
    <w:rsid w:val="00D32226"/>
    <w:rsid w:val="00D33206"/>
    <w:rsid w:val="00D33C13"/>
    <w:rsid w:val="00D34769"/>
    <w:rsid w:val="00D358FA"/>
    <w:rsid w:val="00D403DB"/>
    <w:rsid w:val="00D40AAD"/>
    <w:rsid w:val="00D430D9"/>
    <w:rsid w:val="00D46531"/>
    <w:rsid w:val="00D47751"/>
    <w:rsid w:val="00D5002A"/>
    <w:rsid w:val="00D50EA6"/>
    <w:rsid w:val="00D5123E"/>
    <w:rsid w:val="00D54F23"/>
    <w:rsid w:val="00D55A71"/>
    <w:rsid w:val="00D60244"/>
    <w:rsid w:val="00D605A7"/>
    <w:rsid w:val="00D615B8"/>
    <w:rsid w:val="00D63769"/>
    <w:rsid w:val="00D65B1B"/>
    <w:rsid w:val="00D67269"/>
    <w:rsid w:val="00D72B6C"/>
    <w:rsid w:val="00D74870"/>
    <w:rsid w:val="00D7625E"/>
    <w:rsid w:val="00D774C8"/>
    <w:rsid w:val="00D7750C"/>
    <w:rsid w:val="00D77756"/>
    <w:rsid w:val="00D80273"/>
    <w:rsid w:val="00D82CC8"/>
    <w:rsid w:val="00D847AB"/>
    <w:rsid w:val="00D850FC"/>
    <w:rsid w:val="00D85127"/>
    <w:rsid w:val="00D8542D"/>
    <w:rsid w:val="00D85BD9"/>
    <w:rsid w:val="00D86186"/>
    <w:rsid w:val="00D87A23"/>
    <w:rsid w:val="00D903B2"/>
    <w:rsid w:val="00D904B8"/>
    <w:rsid w:val="00D9136E"/>
    <w:rsid w:val="00D91E56"/>
    <w:rsid w:val="00D92A18"/>
    <w:rsid w:val="00D934A7"/>
    <w:rsid w:val="00D9536E"/>
    <w:rsid w:val="00DA3F0D"/>
    <w:rsid w:val="00DA3FEC"/>
    <w:rsid w:val="00DB198D"/>
    <w:rsid w:val="00DB2ACE"/>
    <w:rsid w:val="00DB2BAC"/>
    <w:rsid w:val="00DB3C93"/>
    <w:rsid w:val="00DB4329"/>
    <w:rsid w:val="00DC0D3F"/>
    <w:rsid w:val="00DC2FE4"/>
    <w:rsid w:val="00DC35BE"/>
    <w:rsid w:val="00DC463A"/>
    <w:rsid w:val="00DC6A71"/>
    <w:rsid w:val="00DC7E97"/>
    <w:rsid w:val="00DC7F22"/>
    <w:rsid w:val="00DD1FA1"/>
    <w:rsid w:val="00DD3035"/>
    <w:rsid w:val="00DD34B7"/>
    <w:rsid w:val="00DD5B11"/>
    <w:rsid w:val="00DD7397"/>
    <w:rsid w:val="00DD7583"/>
    <w:rsid w:val="00DE083A"/>
    <w:rsid w:val="00DE0C1B"/>
    <w:rsid w:val="00DE1D6A"/>
    <w:rsid w:val="00DE276A"/>
    <w:rsid w:val="00DE75D4"/>
    <w:rsid w:val="00DE7FC4"/>
    <w:rsid w:val="00DF29E0"/>
    <w:rsid w:val="00DF44CD"/>
    <w:rsid w:val="00DF4F17"/>
    <w:rsid w:val="00DF611D"/>
    <w:rsid w:val="00DF6380"/>
    <w:rsid w:val="00DF65F6"/>
    <w:rsid w:val="00DF7070"/>
    <w:rsid w:val="00DF780A"/>
    <w:rsid w:val="00E00911"/>
    <w:rsid w:val="00E00CB6"/>
    <w:rsid w:val="00E012C3"/>
    <w:rsid w:val="00E01576"/>
    <w:rsid w:val="00E0357D"/>
    <w:rsid w:val="00E05E3A"/>
    <w:rsid w:val="00E06FC7"/>
    <w:rsid w:val="00E113D6"/>
    <w:rsid w:val="00E12F67"/>
    <w:rsid w:val="00E13533"/>
    <w:rsid w:val="00E1382E"/>
    <w:rsid w:val="00E17585"/>
    <w:rsid w:val="00E17FC1"/>
    <w:rsid w:val="00E201A3"/>
    <w:rsid w:val="00E210B5"/>
    <w:rsid w:val="00E21D2C"/>
    <w:rsid w:val="00E236AD"/>
    <w:rsid w:val="00E23FF4"/>
    <w:rsid w:val="00E2561E"/>
    <w:rsid w:val="00E25A13"/>
    <w:rsid w:val="00E26AA9"/>
    <w:rsid w:val="00E26B51"/>
    <w:rsid w:val="00E26CE3"/>
    <w:rsid w:val="00E27525"/>
    <w:rsid w:val="00E302FA"/>
    <w:rsid w:val="00E3202B"/>
    <w:rsid w:val="00E3433B"/>
    <w:rsid w:val="00E3530A"/>
    <w:rsid w:val="00E4148D"/>
    <w:rsid w:val="00E43E92"/>
    <w:rsid w:val="00E43EE7"/>
    <w:rsid w:val="00E44DFA"/>
    <w:rsid w:val="00E51860"/>
    <w:rsid w:val="00E5691A"/>
    <w:rsid w:val="00E6136A"/>
    <w:rsid w:val="00E6465D"/>
    <w:rsid w:val="00E64BC2"/>
    <w:rsid w:val="00E6664A"/>
    <w:rsid w:val="00E71D90"/>
    <w:rsid w:val="00E72090"/>
    <w:rsid w:val="00E721A5"/>
    <w:rsid w:val="00E7396C"/>
    <w:rsid w:val="00E74ACC"/>
    <w:rsid w:val="00E762CA"/>
    <w:rsid w:val="00E76566"/>
    <w:rsid w:val="00E7688C"/>
    <w:rsid w:val="00E777D3"/>
    <w:rsid w:val="00E77F66"/>
    <w:rsid w:val="00E8160A"/>
    <w:rsid w:val="00E81E77"/>
    <w:rsid w:val="00E8274E"/>
    <w:rsid w:val="00E829EE"/>
    <w:rsid w:val="00E830D8"/>
    <w:rsid w:val="00E85B7D"/>
    <w:rsid w:val="00E85E23"/>
    <w:rsid w:val="00E95184"/>
    <w:rsid w:val="00E97E56"/>
    <w:rsid w:val="00EA08F5"/>
    <w:rsid w:val="00EA1F72"/>
    <w:rsid w:val="00EA3EA9"/>
    <w:rsid w:val="00EA46EF"/>
    <w:rsid w:val="00EA7CF2"/>
    <w:rsid w:val="00EB2843"/>
    <w:rsid w:val="00EB6771"/>
    <w:rsid w:val="00EC2A5F"/>
    <w:rsid w:val="00EC6E02"/>
    <w:rsid w:val="00EC73BB"/>
    <w:rsid w:val="00EC749E"/>
    <w:rsid w:val="00EC7B1C"/>
    <w:rsid w:val="00ED1076"/>
    <w:rsid w:val="00ED1C3E"/>
    <w:rsid w:val="00ED21FE"/>
    <w:rsid w:val="00ED4E21"/>
    <w:rsid w:val="00ED6452"/>
    <w:rsid w:val="00ED7EC8"/>
    <w:rsid w:val="00EE134E"/>
    <w:rsid w:val="00EE3259"/>
    <w:rsid w:val="00EE5A04"/>
    <w:rsid w:val="00EE5F05"/>
    <w:rsid w:val="00EE73DB"/>
    <w:rsid w:val="00EE79F1"/>
    <w:rsid w:val="00EF0159"/>
    <w:rsid w:val="00EF0732"/>
    <w:rsid w:val="00EF21AF"/>
    <w:rsid w:val="00EF49A2"/>
    <w:rsid w:val="00EF76BE"/>
    <w:rsid w:val="00F00781"/>
    <w:rsid w:val="00F0272D"/>
    <w:rsid w:val="00F03A06"/>
    <w:rsid w:val="00F03F58"/>
    <w:rsid w:val="00F03FBA"/>
    <w:rsid w:val="00F0412C"/>
    <w:rsid w:val="00F04540"/>
    <w:rsid w:val="00F066EA"/>
    <w:rsid w:val="00F06752"/>
    <w:rsid w:val="00F10F23"/>
    <w:rsid w:val="00F11112"/>
    <w:rsid w:val="00F119F5"/>
    <w:rsid w:val="00F132ED"/>
    <w:rsid w:val="00F140EC"/>
    <w:rsid w:val="00F150E5"/>
    <w:rsid w:val="00F17488"/>
    <w:rsid w:val="00F177DE"/>
    <w:rsid w:val="00F206A2"/>
    <w:rsid w:val="00F207A4"/>
    <w:rsid w:val="00F238DC"/>
    <w:rsid w:val="00F23A7A"/>
    <w:rsid w:val="00F23BC5"/>
    <w:rsid w:val="00F23FD4"/>
    <w:rsid w:val="00F240BB"/>
    <w:rsid w:val="00F243F8"/>
    <w:rsid w:val="00F24669"/>
    <w:rsid w:val="00F24E1B"/>
    <w:rsid w:val="00F25413"/>
    <w:rsid w:val="00F272D1"/>
    <w:rsid w:val="00F2770A"/>
    <w:rsid w:val="00F30755"/>
    <w:rsid w:val="00F31611"/>
    <w:rsid w:val="00F32E37"/>
    <w:rsid w:val="00F3330D"/>
    <w:rsid w:val="00F35529"/>
    <w:rsid w:val="00F37841"/>
    <w:rsid w:val="00F402A4"/>
    <w:rsid w:val="00F4086C"/>
    <w:rsid w:val="00F413AE"/>
    <w:rsid w:val="00F41ED4"/>
    <w:rsid w:val="00F41FCE"/>
    <w:rsid w:val="00F42A03"/>
    <w:rsid w:val="00F43D23"/>
    <w:rsid w:val="00F45249"/>
    <w:rsid w:val="00F45D0A"/>
    <w:rsid w:val="00F46219"/>
    <w:rsid w:val="00F47424"/>
    <w:rsid w:val="00F4770D"/>
    <w:rsid w:val="00F4779E"/>
    <w:rsid w:val="00F50578"/>
    <w:rsid w:val="00F508A2"/>
    <w:rsid w:val="00F53949"/>
    <w:rsid w:val="00F54852"/>
    <w:rsid w:val="00F56509"/>
    <w:rsid w:val="00F569CB"/>
    <w:rsid w:val="00F57475"/>
    <w:rsid w:val="00F57FED"/>
    <w:rsid w:val="00F622D9"/>
    <w:rsid w:val="00F6517C"/>
    <w:rsid w:val="00F65D79"/>
    <w:rsid w:val="00F71631"/>
    <w:rsid w:val="00F72335"/>
    <w:rsid w:val="00F72AB0"/>
    <w:rsid w:val="00F74131"/>
    <w:rsid w:val="00F754F5"/>
    <w:rsid w:val="00F7775B"/>
    <w:rsid w:val="00F77A49"/>
    <w:rsid w:val="00F80974"/>
    <w:rsid w:val="00F810C4"/>
    <w:rsid w:val="00F817D4"/>
    <w:rsid w:val="00F82F0E"/>
    <w:rsid w:val="00F84ABA"/>
    <w:rsid w:val="00F8591D"/>
    <w:rsid w:val="00F91E0F"/>
    <w:rsid w:val="00F91FE4"/>
    <w:rsid w:val="00F93359"/>
    <w:rsid w:val="00F95329"/>
    <w:rsid w:val="00F95568"/>
    <w:rsid w:val="00F960FB"/>
    <w:rsid w:val="00FA1C91"/>
    <w:rsid w:val="00FA4272"/>
    <w:rsid w:val="00FA5B09"/>
    <w:rsid w:val="00FA6ADC"/>
    <w:rsid w:val="00FB0C59"/>
    <w:rsid w:val="00FB3B70"/>
    <w:rsid w:val="00FB78FD"/>
    <w:rsid w:val="00FC0F01"/>
    <w:rsid w:val="00FC1713"/>
    <w:rsid w:val="00FC1A23"/>
    <w:rsid w:val="00FC1AFA"/>
    <w:rsid w:val="00FC36E5"/>
    <w:rsid w:val="00FC3746"/>
    <w:rsid w:val="00FC3F89"/>
    <w:rsid w:val="00FC4E26"/>
    <w:rsid w:val="00FC5186"/>
    <w:rsid w:val="00FC61F7"/>
    <w:rsid w:val="00FC6629"/>
    <w:rsid w:val="00FC73C9"/>
    <w:rsid w:val="00FC7415"/>
    <w:rsid w:val="00FD069D"/>
    <w:rsid w:val="00FD1F7A"/>
    <w:rsid w:val="00FD2102"/>
    <w:rsid w:val="00FD5779"/>
    <w:rsid w:val="00FD5A74"/>
    <w:rsid w:val="00FD6AFE"/>
    <w:rsid w:val="00FD6BFD"/>
    <w:rsid w:val="00FD73EA"/>
    <w:rsid w:val="00FE1EAC"/>
    <w:rsid w:val="00FE2490"/>
    <w:rsid w:val="00FE2D8F"/>
    <w:rsid w:val="00FE4991"/>
    <w:rsid w:val="00FE5A4F"/>
    <w:rsid w:val="00FE5F20"/>
    <w:rsid w:val="00FE5F88"/>
    <w:rsid w:val="00FE7586"/>
    <w:rsid w:val="00FE7FEA"/>
    <w:rsid w:val="00FF035A"/>
    <w:rsid w:val="00FF1AAA"/>
    <w:rsid w:val="00FF49C1"/>
    <w:rsid w:val="00FF57CF"/>
    <w:rsid w:val="00FF601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6">
      <o:colormru v:ext="edit" colors="#428299,#529dba"/>
    </o:shapedefaults>
    <o:shapelayout v:ext="edit">
      <o:idmap v:ext="edit" data="1"/>
    </o:shapelayout>
  </w:shapeDefaults>
  <w:doNotEmbedSmartTags/>
  <w:decimalSymbol w:val=","/>
  <w:listSeparator w:val=";"/>
  <w15:chartTrackingRefBased/>
  <w15:docId w15:val="{A829CAF0-CE28-4B38-9533-3BD2C8383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5B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AE2155"/>
    <w:pPr>
      <w:keepNext/>
      <w:spacing w:before="240" w:after="60"/>
      <w:outlineLvl w:val="1"/>
    </w:pPr>
    <w:rPr>
      <w:rFonts w:ascii="Calibri Light" w:hAnsi="Calibri Light"/>
      <w:b/>
      <w:bCs/>
      <w:i/>
      <w:iCs/>
      <w:sz w:val="28"/>
      <w:szCs w:val="28"/>
      <w:lang w:val="x-none"/>
    </w:rPr>
  </w:style>
  <w:style w:type="paragraph" w:styleId="Naslov3">
    <w:name w:val="heading 3"/>
    <w:basedOn w:val="Navaden"/>
    <w:next w:val="Navaden"/>
    <w:link w:val="Naslov3Znak"/>
    <w:uiPriority w:val="9"/>
    <w:unhideWhenUsed/>
    <w:qFormat/>
    <w:rsid w:val="002143E3"/>
    <w:pPr>
      <w:keepNext/>
      <w:spacing w:before="240" w:after="60"/>
      <w:outlineLvl w:val="2"/>
    </w:pPr>
    <w:rPr>
      <w:rFonts w:ascii="Calibri Light" w:hAnsi="Calibri Light"/>
      <w:b/>
      <w:bCs/>
      <w:sz w:val="26"/>
      <w:szCs w:val="26"/>
      <w:lang w:val="x-none"/>
    </w:rPr>
  </w:style>
  <w:style w:type="paragraph" w:styleId="Naslov4">
    <w:name w:val="heading 4"/>
    <w:basedOn w:val="Navaden"/>
    <w:next w:val="Navaden"/>
    <w:link w:val="Naslov4Znak"/>
    <w:uiPriority w:val="9"/>
    <w:unhideWhenUsed/>
    <w:qFormat/>
    <w:rsid w:val="00E302FA"/>
    <w:pPr>
      <w:spacing w:before="240" w:line="360" w:lineRule="auto"/>
      <w:jc w:val="center"/>
      <w:outlineLvl w:val="3"/>
    </w:pPr>
    <w:rPr>
      <w:rFonts w:eastAsia="Calibri"/>
      <w:b/>
      <w:szCs w:val="20"/>
    </w:rPr>
  </w:style>
  <w:style w:type="paragraph" w:styleId="Naslov5">
    <w:name w:val="heading 5"/>
    <w:basedOn w:val="Navaden"/>
    <w:link w:val="Naslov5Znak"/>
    <w:uiPriority w:val="9"/>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rPr>
      <w:lang w:val="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ela - mreža"/>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uiPriority w:val="9"/>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en-US"/>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lang w:val="en-US"/>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uiPriority w:val="99"/>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rPr>
  </w:style>
  <w:style w:type="character" w:customStyle="1" w:styleId="OddelekZnak1">
    <w:name w:val="Oddelek Znak1"/>
    <w:link w:val="Oddelek"/>
    <w:uiPriority w:val="99"/>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uiPriority w:val="99"/>
    <w:qFormat/>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uiPriority w:val="99"/>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lang w:val="en-US"/>
    </w:rPr>
  </w:style>
  <w:style w:type="character" w:customStyle="1" w:styleId="NaslovpredpisaZnak">
    <w:name w:val="Naslov_predpisa Znak"/>
    <w:link w:val="Naslovpredpisa"/>
    <w:uiPriority w:val="99"/>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uiPriority w:val="99"/>
    <w:qFormat/>
    <w:rsid w:val="00130D77"/>
    <w:pPr>
      <w:numPr>
        <w:numId w:val="6"/>
      </w:numPr>
      <w:overflowPunct w:val="0"/>
      <w:autoSpaceDE w:val="0"/>
      <w:autoSpaceDN w:val="0"/>
      <w:adjustRightInd w:val="0"/>
      <w:spacing w:line="200" w:lineRule="exact"/>
      <w:ind w:left="709" w:hanging="284"/>
      <w:jc w:val="both"/>
      <w:textAlignment w:val="baseline"/>
    </w:pPr>
    <w:rPr>
      <w:sz w:val="22"/>
      <w:szCs w:val="22"/>
      <w:lang w:val="x-none"/>
    </w:rPr>
  </w:style>
  <w:style w:type="character" w:customStyle="1" w:styleId="AlineazaodstavkomZnak">
    <w:name w:val="Alinea za odstavkom Znak"/>
    <w:link w:val="Alineazaodstavkom"/>
    <w:uiPriority w:val="99"/>
    <w:rsid w:val="00130D77"/>
    <w:rPr>
      <w:rFonts w:ascii="Arial" w:hAnsi="Arial" w:cs="Arial"/>
      <w:sz w:val="22"/>
      <w:szCs w:val="22"/>
      <w:lang w:eastAsia="en-US"/>
    </w:rPr>
  </w:style>
  <w:style w:type="character" w:customStyle="1" w:styleId="GlavaZnak">
    <w:name w:val="Glava Znak"/>
    <w:link w:val="Glava"/>
    <w:locked/>
    <w:rsid w:val="00DE7FC4"/>
    <w:rPr>
      <w:rFonts w:ascii="Arial" w:hAnsi="Arial"/>
      <w:szCs w:val="24"/>
      <w:lang w:val="en-US" w:eastAsia="en-US" w:bidi="ar-SA"/>
    </w:rPr>
  </w:style>
  <w:style w:type="paragraph" w:customStyle="1" w:styleId="Odstavekseznama1">
    <w:name w:val="Odstavek seznama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nhideWhenUsed/>
    <w:qFormat/>
    <w:rsid w:val="00AB3A5B"/>
    <w:pPr>
      <w:spacing w:line="240" w:lineRule="auto"/>
    </w:pPr>
    <w:rPr>
      <w:rFonts w:ascii="Calibri" w:eastAsia="Calibri" w:hAnsi="Calibri"/>
      <w:szCs w:val="20"/>
      <w:lang w:val="x-none"/>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rsid w:val="00AB3A5B"/>
    <w:rPr>
      <w:rFonts w:ascii="Calibri" w:eastAsia="Calibri" w:hAnsi="Calibri"/>
      <w:lang w:eastAsia="en-US"/>
    </w:rPr>
  </w:style>
  <w:style w:type="character" w:styleId="Sprotnaopomba-sklic">
    <w:name w:val="footnote reference"/>
    <w:uiPriority w:val="99"/>
    <w:unhideWhenUsed/>
    <w:qFormat/>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B3A5B"/>
    <w:rPr>
      <w:rFonts w:ascii="Arial" w:hAnsi="Arial"/>
      <w:sz w:val="22"/>
      <w:szCs w:val="22"/>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lang w:val="x-none"/>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pPr>
    <w:rPr>
      <w:lang w:eastAsia="x-none"/>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link w:val="OdstavekseznamaZnak"/>
    <w:uiPriority w:val="99"/>
    <w:qFormat/>
    <w:rsid w:val="00C923FF"/>
    <w:pPr>
      <w:spacing w:line="260" w:lineRule="exact"/>
      <w:ind w:left="720"/>
      <w:contextualSpacing/>
    </w:pPr>
    <w:rPr>
      <w:lang w:val="x-none"/>
    </w:rPr>
  </w:style>
  <w:style w:type="paragraph" w:styleId="Telobesedila">
    <w:name w:val="Body Text"/>
    <w:basedOn w:val="Navaden"/>
    <w:link w:val="TelobesedilaZnak"/>
    <w:uiPriority w:val="1"/>
    <w:rsid w:val="00C923FF"/>
    <w:pPr>
      <w:suppressAutoHyphens/>
      <w:spacing w:after="120" w:line="240" w:lineRule="auto"/>
    </w:pPr>
    <w:rPr>
      <w:rFonts w:ascii="Times New Roman" w:hAnsi="Times New Roman"/>
      <w:sz w:val="24"/>
      <w:lang w:val="x-none" w:eastAsia="ar-SA"/>
    </w:rPr>
  </w:style>
  <w:style w:type="character" w:customStyle="1" w:styleId="TelobesedilaZnak">
    <w:name w:val="Telo besedila Znak"/>
    <w:link w:val="Telobesedila"/>
    <w:uiPriority w:val="1"/>
    <w:rsid w:val="00C923FF"/>
    <w:rPr>
      <w:sz w:val="24"/>
      <w:szCs w:val="24"/>
      <w:lang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7"/>
      </w:numPr>
      <w:overflowPunct w:val="0"/>
      <w:autoSpaceDE w:val="0"/>
      <w:autoSpaceDN w:val="0"/>
      <w:adjustRightInd w:val="0"/>
      <w:spacing w:line="200" w:lineRule="exact"/>
      <w:jc w:val="both"/>
      <w:textAlignment w:val="baseline"/>
    </w:pPr>
    <w:rPr>
      <w:szCs w:val="20"/>
      <w:lang w:val="x-none" w:eastAsia="x-none"/>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szCs w:val="20"/>
      <w:lang w:val="x-none"/>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AA0CF6"/>
    <w:pPr>
      <w:spacing w:before="100" w:beforeAutospacing="1" w:after="100" w:afterAutospacing="1" w:line="240" w:lineRule="auto"/>
    </w:pPr>
    <w:rPr>
      <w:rFonts w:ascii="Times New Roman" w:hAnsi="Times New Roman"/>
      <w:sz w:val="24"/>
      <w:lang w:eastAsia="sl-SI"/>
    </w:rPr>
  </w:style>
  <w:style w:type="character" w:styleId="Komentar-sklic">
    <w:name w:val="Komentar - sklic"/>
    <w:uiPriority w:val="99"/>
    <w:semiHidden/>
    <w:unhideWhenUsed/>
    <w:rsid w:val="004331B6"/>
    <w:rPr>
      <w:sz w:val="16"/>
      <w:szCs w:val="16"/>
    </w:rPr>
  </w:style>
  <w:style w:type="paragraph" w:styleId="Komentar-besedilo">
    <w:name w:val="Komentar - besedilo"/>
    <w:basedOn w:val="Navaden"/>
    <w:link w:val="Komentar-besediloZnak1"/>
    <w:uiPriority w:val="99"/>
    <w:unhideWhenUsed/>
    <w:rsid w:val="004331B6"/>
    <w:rPr>
      <w:szCs w:val="20"/>
      <w:lang w:val="x-none"/>
    </w:rPr>
  </w:style>
  <w:style w:type="character" w:customStyle="1" w:styleId="Komentar-besediloZnak1">
    <w:name w:val="Komentar - besedilo Znak1"/>
    <w:link w:val="Komentar-besedilo"/>
    <w:uiPriority w:val="99"/>
    <w:rsid w:val="004331B6"/>
    <w:rPr>
      <w:rFonts w:ascii="Arial" w:hAnsi="Arial"/>
      <w:lang w:eastAsia="en-US"/>
    </w:rPr>
  </w:style>
  <w:style w:type="paragraph" w:styleId="Zadevakomentarja">
    <w:name w:val="Zadeva komentarja"/>
    <w:basedOn w:val="Komentar-besedilo"/>
    <w:next w:val="Komentar-besedilo"/>
    <w:link w:val="ZadevakomentarjaZnak"/>
    <w:uiPriority w:val="99"/>
    <w:semiHidden/>
    <w:unhideWhenUsed/>
    <w:rsid w:val="004331B6"/>
    <w:rPr>
      <w:b/>
      <w:bCs/>
    </w:rPr>
  </w:style>
  <w:style w:type="character" w:customStyle="1" w:styleId="ZadevakomentarjaZnak">
    <w:name w:val="Zadeva komentarja Znak"/>
    <w:link w:val="Zadevakomentarja"/>
    <w:uiPriority w:val="99"/>
    <w:semiHidden/>
    <w:rsid w:val="004331B6"/>
    <w:rPr>
      <w:rFonts w:ascii="Arial" w:hAnsi="Arial"/>
      <w:b/>
      <w:bCs/>
      <w:lang w:eastAsia="en-US"/>
    </w:rPr>
  </w:style>
  <w:style w:type="character" w:styleId="Besediloograde">
    <w:name w:val="Besedilo ograde"/>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lang w:val="x-none"/>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1">
    <w:name w:val="Char Char31"/>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szCs w:val="20"/>
      <w:lang w:val="x-none" w:eastAsia="x-none"/>
    </w:rPr>
  </w:style>
  <w:style w:type="character" w:customStyle="1" w:styleId="HTML-oblikovanoZnak">
    <w:name w:val="HTML-oblikovano Znak"/>
    <w:link w:val="HTML-oblikovano"/>
    <w:uiPriority w:val="99"/>
    <w:rsid w:val="00A6716A"/>
    <w:rPr>
      <w:rFonts w:ascii="Courier New" w:hAnsi="Courier New" w:cs="Courier New"/>
    </w:rPr>
  </w:style>
  <w:style w:type="character" w:customStyle="1" w:styleId="Naslov3Znak">
    <w:name w:val="Naslov 3 Znak"/>
    <w:link w:val="Naslov3"/>
    <w:uiPriority w:val="9"/>
    <w:rsid w:val="002143E3"/>
    <w:rPr>
      <w:rFonts w:ascii="Calibri Light" w:eastAsia="Times New Roman" w:hAnsi="Calibri Light" w:cs="Times New Roman"/>
      <w:b/>
      <w:bCs/>
      <w:sz w:val="26"/>
      <w:szCs w:val="26"/>
      <w:lang w:eastAsia="en-US"/>
    </w:rPr>
  </w:style>
  <w:style w:type="character" w:customStyle="1" w:styleId="Naslov2Znak">
    <w:name w:val="Naslov 2 Znak"/>
    <w:link w:val="Naslov2"/>
    <w:uiPriority w:val="9"/>
    <w:rsid w:val="00AE2155"/>
    <w:rPr>
      <w:rFonts w:ascii="Calibri Light" w:hAnsi="Calibri Light"/>
      <w:b/>
      <w:bCs/>
      <w:i/>
      <w:iCs/>
      <w:sz w:val="28"/>
      <w:szCs w:val="28"/>
      <w:lang w:eastAsia="en-US"/>
    </w:rPr>
  </w:style>
  <w:style w:type="paragraph" w:customStyle="1" w:styleId="CharChar11">
    <w:name w:val="Char Char11"/>
    <w:basedOn w:val="Navaden"/>
    <w:rsid w:val="00AE2155"/>
    <w:pPr>
      <w:spacing w:after="160" w:line="240" w:lineRule="exact"/>
    </w:pPr>
    <w:rPr>
      <w:rFonts w:ascii="Tahoma" w:hAnsi="Tahoma"/>
      <w:szCs w:val="20"/>
    </w:rPr>
  </w:style>
  <w:style w:type="paragraph" w:customStyle="1" w:styleId="Odstavekseznama11">
    <w:name w:val="Odstavek seznama11"/>
    <w:basedOn w:val="Navaden"/>
    <w:rsid w:val="00AE2155"/>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CharChar2">
    <w:name w:val="Char Char2"/>
    <w:basedOn w:val="Navaden"/>
    <w:rsid w:val="00AE2155"/>
    <w:pPr>
      <w:spacing w:after="160" w:line="240" w:lineRule="exact"/>
    </w:pPr>
    <w:rPr>
      <w:rFonts w:ascii="Tahoma" w:hAnsi="Tahoma"/>
      <w:szCs w:val="20"/>
      <w:lang w:val="en-US"/>
    </w:rPr>
  </w:style>
  <w:style w:type="character" w:customStyle="1" w:styleId="Nerazreenaomemba11">
    <w:name w:val="Nerazrešena omemba11"/>
    <w:uiPriority w:val="99"/>
    <w:semiHidden/>
    <w:unhideWhenUsed/>
    <w:rsid w:val="00AE2155"/>
    <w:rPr>
      <w:color w:val="808080"/>
      <w:shd w:val="clear" w:color="auto" w:fill="E6E6E6"/>
    </w:rPr>
  </w:style>
  <w:style w:type="table" w:customStyle="1" w:styleId="TableGrid">
    <w:name w:val="TableGrid"/>
    <w:rsid w:val="00AE2155"/>
    <w:rPr>
      <w:rFonts w:ascii="Calibri" w:hAnsi="Calibri"/>
      <w:sz w:val="22"/>
      <w:szCs w:val="22"/>
    </w:rPr>
    <w:tblPr>
      <w:tblCellMar>
        <w:top w:w="0" w:type="dxa"/>
        <w:left w:w="0" w:type="dxa"/>
        <w:bottom w:w="0" w:type="dxa"/>
        <w:right w:w="0" w:type="dxa"/>
      </w:tblCellMar>
    </w:tblPr>
  </w:style>
  <w:style w:type="paragraph" w:customStyle="1" w:styleId="odstavek0">
    <w:name w:val="odstavek"/>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AE2155"/>
    <w:pPr>
      <w:autoSpaceDE w:val="0"/>
      <w:autoSpaceDN w:val="0"/>
      <w:adjustRightInd w:val="0"/>
    </w:pPr>
    <w:rPr>
      <w:rFonts w:ascii="Arial" w:hAnsi="Arial" w:cs="Arial"/>
      <w:color w:val="000000"/>
      <w:sz w:val="24"/>
      <w:szCs w:val="24"/>
    </w:rPr>
  </w:style>
  <w:style w:type="paragraph" w:customStyle="1" w:styleId="alineazaodstavkom0">
    <w:name w:val="alineazaodstavkom"/>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0E3AFF"/>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0E3AFF"/>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0E3AFF"/>
    <w:pPr>
      <w:jc w:val="left"/>
    </w:pPr>
  </w:style>
  <w:style w:type="paragraph" w:customStyle="1" w:styleId="Tabela-vsebina-vrednosti">
    <w:name w:val="Tabela - vsebina - vrednosti"/>
    <w:basedOn w:val="Navaden"/>
    <w:qFormat/>
    <w:rsid w:val="000E3AFF"/>
    <w:pPr>
      <w:spacing w:line="240" w:lineRule="auto"/>
      <w:jc w:val="center"/>
    </w:pPr>
    <w:rPr>
      <w:rFonts w:ascii="Calibri" w:hAnsi="Calibri"/>
      <w:sz w:val="16"/>
      <w:szCs w:val="16"/>
    </w:rPr>
  </w:style>
  <w:style w:type="numbering" w:styleId="111111">
    <w:name w:val="Outline List 2"/>
    <w:basedOn w:val="Brezseznama"/>
    <w:rsid w:val="000E3AFF"/>
    <w:pPr>
      <w:numPr>
        <w:numId w:val="11"/>
      </w:numPr>
    </w:pPr>
  </w:style>
  <w:style w:type="character" w:customStyle="1" w:styleId="OdstavekseznamaZnak">
    <w:name w:val="Odstavek seznama Znak"/>
    <w:link w:val="Odstavekseznama"/>
    <w:uiPriority w:val="99"/>
    <w:rsid w:val="000E3AFF"/>
    <w:rPr>
      <w:rFonts w:ascii="Arial" w:hAnsi="Arial"/>
      <w:szCs w:val="24"/>
      <w:lang w:eastAsia="en-US"/>
    </w:rPr>
  </w:style>
  <w:style w:type="paragraph" w:customStyle="1" w:styleId="Zatabelo">
    <w:name w:val="Za tabelo"/>
    <w:basedOn w:val="Navaden"/>
    <w:link w:val="ZatabeloChar"/>
    <w:qFormat/>
    <w:rsid w:val="000E3AFF"/>
    <w:pPr>
      <w:spacing w:line="288" w:lineRule="auto"/>
      <w:jc w:val="both"/>
    </w:pPr>
    <w:rPr>
      <w:rFonts w:ascii="Calibri" w:eastAsia="Calibri" w:hAnsi="Calibri"/>
      <w:sz w:val="24"/>
      <w:lang w:val="x-none"/>
    </w:rPr>
  </w:style>
  <w:style w:type="character" w:customStyle="1" w:styleId="ZatabeloChar">
    <w:name w:val="Za tabelo Char"/>
    <w:link w:val="Zatabelo"/>
    <w:rsid w:val="000E3AFF"/>
    <w:rPr>
      <w:rFonts w:ascii="Calibri" w:eastAsia="Calibri" w:hAnsi="Calibri"/>
      <w:sz w:val="24"/>
      <w:szCs w:val="24"/>
      <w:lang w:eastAsia="en-US"/>
    </w:rPr>
  </w:style>
  <w:style w:type="character" w:customStyle="1" w:styleId="Sidrosprotneopombe">
    <w:name w:val="Sidro sprotne opombe"/>
    <w:rsid w:val="00313CB9"/>
    <w:rPr>
      <w:vertAlign w:val="superscript"/>
    </w:rPr>
  </w:style>
  <w:style w:type="character" w:customStyle="1" w:styleId="Spletnapovezava">
    <w:name w:val="Spletna povezava"/>
    <w:uiPriority w:val="99"/>
    <w:unhideWhenUsed/>
    <w:rsid w:val="00313CB9"/>
    <w:rPr>
      <w:color w:val="0000FF"/>
      <w:u w:val="single"/>
    </w:rPr>
  </w:style>
  <w:style w:type="character" w:customStyle="1" w:styleId="UnresolvedMention">
    <w:name w:val="Unresolved Mention"/>
    <w:basedOn w:val="Privzetapisavaodstavka"/>
    <w:uiPriority w:val="99"/>
    <w:semiHidden/>
    <w:unhideWhenUsed/>
    <w:rsid w:val="001D21AA"/>
    <w:rPr>
      <w:color w:val="605E5C"/>
      <w:shd w:val="clear" w:color="auto" w:fill="E1DFDD"/>
    </w:rPr>
  </w:style>
  <w:style w:type="character" w:customStyle="1" w:styleId="Naslov4Znak">
    <w:name w:val="Naslov 4 Znak"/>
    <w:basedOn w:val="Privzetapisavaodstavka"/>
    <w:link w:val="Naslov4"/>
    <w:uiPriority w:val="9"/>
    <w:rsid w:val="00E302FA"/>
    <w:rPr>
      <w:rFonts w:ascii="Arial" w:eastAsia="Calibri" w:hAnsi="Arial"/>
      <w:b/>
      <w:lang w:eastAsia="en-US"/>
    </w:rPr>
  </w:style>
  <w:style w:type="numbering" w:customStyle="1" w:styleId="Brezseznama1">
    <w:name w:val="Brez seznama1"/>
    <w:next w:val="Brezseznama"/>
    <w:uiPriority w:val="99"/>
    <w:semiHidden/>
    <w:unhideWhenUsed/>
    <w:rsid w:val="00E302FA"/>
  </w:style>
  <w:style w:type="character" w:customStyle="1" w:styleId="Naslov5Znak">
    <w:name w:val="Naslov 5 Znak"/>
    <w:basedOn w:val="Privzetapisavaodstavka"/>
    <w:link w:val="Naslov5"/>
    <w:uiPriority w:val="9"/>
    <w:rsid w:val="00E302FA"/>
    <w:rPr>
      <w:b/>
      <w:bCs/>
      <w:sz w:val="18"/>
      <w:szCs w:val="18"/>
    </w:rPr>
  </w:style>
  <w:style w:type="paragraph" w:customStyle="1" w:styleId="piki">
    <w:name w:val="piki"/>
    <w:basedOn w:val="Odstavekseznama"/>
    <w:link w:val="pikiChar"/>
    <w:rsid w:val="00E302FA"/>
    <w:pPr>
      <w:widowControl w:val="0"/>
      <w:numPr>
        <w:numId w:val="14"/>
      </w:numPr>
      <w:tabs>
        <w:tab w:val="left" w:pos="1460"/>
      </w:tabs>
      <w:spacing w:line="240" w:lineRule="auto"/>
      <w:jc w:val="both"/>
    </w:pPr>
    <w:rPr>
      <w:sz w:val="21"/>
      <w:szCs w:val="21"/>
      <w:lang w:val="de-DE"/>
    </w:rPr>
  </w:style>
  <w:style w:type="paragraph" w:customStyle="1" w:styleId="Navaden4">
    <w:name w:val="Navaden4"/>
    <w:basedOn w:val="Navaden"/>
    <w:rsid w:val="00E302FA"/>
    <w:pPr>
      <w:spacing w:before="100" w:beforeAutospacing="1" w:after="100" w:afterAutospacing="1" w:line="240" w:lineRule="auto"/>
    </w:pPr>
    <w:rPr>
      <w:rFonts w:ascii="Times New Roman" w:hAnsi="Times New Roman"/>
      <w:sz w:val="24"/>
      <w:lang w:eastAsia="sl-SI"/>
    </w:rPr>
  </w:style>
  <w:style w:type="character" w:customStyle="1" w:styleId="PripombabesediloZnak1">
    <w:name w:val="Pripomba – besedilo Znak1"/>
    <w:aliases w:val="Komentar - besedilo Znak"/>
    <w:uiPriority w:val="99"/>
    <w:rsid w:val="00E302FA"/>
    <w:rPr>
      <w:rFonts w:ascii="Arial" w:eastAsia="Calibri" w:hAnsi="Arial" w:cs="Times New Roman"/>
      <w:sz w:val="20"/>
      <w:szCs w:val="20"/>
    </w:rPr>
  </w:style>
  <w:style w:type="paragraph" w:customStyle="1" w:styleId="naslovnadlenom">
    <w:name w:val="naslovnadlenom"/>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ti-art">
    <w:name w:val="ti-art"/>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Navaden1">
    <w:name w:val="Navaden1"/>
    <w:basedOn w:val="Navaden"/>
    <w:rsid w:val="00E302FA"/>
    <w:pPr>
      <w:spacing w:before="100" w:beforeAutospacing="1" w:after="100" w:afterAutospacing="1" w:line="240" w:lineRule="auto"/>
      <w:jc w:val="both"/>
    </w:pPr>
    <w:rPr>
      <w:rFonts w:ascii="Times New Roman" w:hAnsi="Times New Roman"/>
      <w:sz w:val="24"/>
      <w:lang w:eastAsia="sl-SI"/>
    </w:rPr>
  </w:style>
  <w:style w:type="paragraph" w:customStyle="1" w:styleId="tevilnatoka">
    <w:name w:val="tevilnatoka"/>
    <w:basedOn w:val="Navaden"/>
    <w:rsid w:val="00E302FA"/>
    <w:pPr>
      <w:spacing w:before="100" w:beforeAutospacing="1" w:after="100" w:afterAutospacing="1" w:line="240" w:lineRule="auto"/>
      <w:jc w:val="both"/>
    </w:pPr>
    <w:rPr>
      <w:rFonts w:ascii="Times New Roman" w:hAnsi="Times New Roman"/>
      <w:sz w:val="24"/>
      <w:lang w:eastAsia="sl-SI"/>
    </w:rPr>
  </w:style>
  <w:style w:type="character" w:customStyle="1" w:styleId="ListLabel3">
    <w:name w:val="ListLabel 3"/>
    <w:rsid w:val="00E302FA"/>
    <w:rPr>
      <w:rFonts w:eastAsia="Times New Roman" w:cs="Times New Roman"/>
      <w:spacing w:val="-1"/>
      <w:w w:val="100"/>
      <w:sz w:val="21"/>
      <w:szCs w:val="21"/>
    </w:rPr>
  </w:style>
  <w:style w:type="character" w:customStyle="1" w:styleId="pikiChar">
    <w:name w:val="piki Char"/>
    <w:link w:val="piki"/>
    <w:rsid w:val="00E302FA"/>
    <w:rPr>
      <w:rFonts w:ascii="Arial" w:hAnsi="Arial"/>
      <w:sz w:val="21"/>
      <w:szCs w:val="21"/>
      <w:lang w:val="de-DE" w:eastAsia="en-US"/>
    </w:rPr>
  </w:style>
  <w:style w:type="paragraph" w:customStyle="1" w:styleId="crke">
    <w:name w:val="crke"/>
    <w:basedOn w:val="Navaden"/>
    <w:link w:val="crkeChar"/>
    <w:rsid w:val="00E302FA"/>
    <w:pPr>
      <w:widowControl w:val="0"/>
      <w:spacing w:line="240" w:lineRule="auto"/>
      <w:jc w:val="both"/>
    </w:pPr>
    <w:rPr>
      <w:sz w:val="21"/>
      <w:szCs w:val="21"/>
      <w:lang w:val="de-DE"/>
    </w:rPr>
  </w:style>
  <w:style w:type="character" w:customStyle="1" w:styleId="crkeChar">
    <w:name w:val="crke Char"/>
    <w:link w:val="crke"/>
    <w:rsid w:val="00E302FA"/>
    <w:rPr>
      <w:rFonts w:ascii="Arial" w:hAnsi="Arial"/>
      <w:sz w:val="21"/>
      <w:szCs w:val="21"/>
      <w:lang w:val="de-DE" w:eastAsia="en-US"/>
    </w:rPr>
  </w:style>
  <w:style w:type="paragraph" w:customStyle="1" w:styleId="piki2">
    <w:name w:val="piki2"/>
    <w:basedOn w:val="piki"/>
    <w:link w:val="piki2Char"/>
    <w:rsid w:val="00E302FA"/>
    <w:pPr>
      <w:numPr>
        <w:numId w:val="15"/>
      </w:numPr>
    </w:pPr>
  </w:style>
  <w:style w:type="character" w:customStyle="1" w:styleId="piki2Char">
    <w:name w:val="piki2 Char"/>
    <w:link w:val="piki2"/>
    <w:rsid w:val="00E302FA"/>
    <w:rPr>
      <w:rFonts w:ascii="Arial" w:hAnsi="Arial"/>
      <w:sz w:val="21"/>
      <w:szCs w:val="21"/>
      <w:lang w:val="de-DE" w:eastAsia="en-US"/>
    </w:rPr>
  </w:style>
  <w:style w:type="paragraph" w:customStyle="1" w:styleId="Char">
    <w:name w:val="Char"/>
    <w:basedOn w:val="Navaden"/>
    <w:rsid w:val="00E302FA"/>
    <w:pPr>
      <w:spacing w:line="240" w:lineRule="auto"/>
      <w:jc w:val="both"/>
    </w:pPr>
    <w:rPr>
      <w:rFonts w:ascii="Times New Roman" w:hAnsi="Times New Roman"/>
      <w:sz w:val="24"/>
      <w:lang w:val="pl-PL" w:eastAsia="pl-PL"/>
    </w:rPr>
  </w:style>
  <w:style w:type="paragraph" w:styleId="Revizija">
    <w:name w:val="Revision"/>
    <w:hidden/>
    <w:uiPriority w:val="99"/>
    <w:semiHidden/>
    <w:rsid w:val="00E302FA"/>
    <w:rPr>
      <w:rFonts w:ascii="Calibri" w:eastAsia="Calibri" w:hAnsi="Calibri"/>
      <w:sz w:val="22"/>
      <w:szCs w:val="22"/>
      <w:lang w:eastAsia="en-US"/>
    </w:rPr>
  </w:style>
  <w:style w:type="paragraph" w:styleId="Naslov">
    <w:name w:val="Title"/>
    <w:basedOn w:val="Navaden"/>
    <w:next w:val="Navaden"/>
    <w:link w:val="NaslovZnak"/>
    <w:uiPriority w:val="10"/>
    <w:qFormat/>
    <w:rsid w:val="00E302FA"/>
    <w:pPr>
      <w:tabs>
        <w:tab w:val="left" w:pos="943"/>
        <w:tab w:val="center" w:pos="4536"/>
      </w:tabs>
      <w:spacing w:line="240" w:lineRule="auto"/>
      <w:contextualSpacing/>
      <w:outlineLvl w:val="0"/>
    </w:pPr>
    <w:rPr>
      <w:b/>
      <w:spacing w:val="-10"/>
      <w:kern w:val="28"/>
      <w:sz w:val="24"/>
    </w:rPr>
  </w:style>
  <w:style w:type="character" w:customStyle="1" w:styleId="NaslovZnak">
    <w:name w:val="Naslov Znak"/>
    <w:basedOn w:val="Privzetapisavaodstavka"/>
    <w:link w:val="Naslov"/>
    <w:uiPriority w:val="10"/>
    <w:rsid w:val="00E302FA"/>
    <w:rPr>
      <w:rFonts w:ascii="Arial" w:hAnsi="Arial"/>
      <w:b/>
      <w:spacing w:val="-10"/>
      <w:kern w:val="28"/>
      <w:sz w:val="24"/>
      <w:szCs w:val="24"/>
      <w:lang w:eastAsia="en-US"/>
    </w:rPr>
  </w:style>
  <w:style w:type="character" w:customStyle="1" w:styleId="highlight">
    <w:name w:val="highlight"/>
    <w:basedOn w:val="Privzetapisavaodstavka"/>
    <w:rsid w:val="00E302FA"/>
  </w:style>
  <w:style w:type="paragraph" w:customStyle="1" w:styleId="Zakon-del">
    <w:name w:val="Zakon - del"/>
    <w:basedOn w:val="Naslov2"/>
    <w:link w:val="Zakon-delZnak"/>
    <w:rsid w:val="00E302FA"/>
    <w:pPr>
      <w:keepNext w:val="0"/>
      <w:spacing w:after="240" w:line="360" w:lineRule="auto"/>
      <w:contextualSpacing/>
      <w:jc w:val="center"/>
    </w:pPr>
    <w:rPr>
      <w:rFonts w:ascii="Arial" w:eastAsia="Calibri" w:hAnsi="Arial"/>
      <w:b w:val="0"/>
      <w:bCs w:val="0"/>
      <w:i w:val="0"/>
      <w:iCs w:val="0"/>
      <w:sz w:val="24"/>
      <w:szCs w:val="24"/>
    </w:rPr>
  </w:style>
  <w:style w:type="character" w:customStyle="1" w:styleId="Zakon-delZnak">
    <w:name w:val="Zakon - del Znak"/>
    <w:link w:val="Zakon-del"/>
    <w:rsid w:val="00E302FA"/>
    <w:rPr>
      <w:rFonts w:ascii="Arial" w:eastAsia="Calibri" w:hAnsi="Arial" w:cs="Arial"/>
      <w:sz w:val="24"/>
      <w:szCs w:val="24"/>
      <w:lang w:eastAsia="en-US"/>
    </w:rPr>
  </w:style>
  <w:style w:type="paragraph" w:customStyle="1" w:styleId="Zakon-len">
    <w:name w:val="Zakon - člen"/>
    <w:basedOn w:val="Naslov3"/>
    <w:link w:val="Zakon-lenZnak"/>
    <w:rsid w:val="00E302FA"/>
    <w:pPr>
      <w:keepNext w:val="0"/>
      <w:numPr>
        <w:numId w:val="16"/>
      </w:numPr>
      <w:spacing w:before="600" w:after="240" w:line="360" w:lineRule="auto"/>
      <w:jc w:val="center"/>
    </w:pPr>
    <w:rPr>
      <w:rFonts w:ascii="Arial" w:eastAsia="Calibri" w:hAnsi="Arial"/>
      <w:b w:val="0"/>
      <w:bCs w:val="0"/>
      <w:sz w:val="20"/>
      <w:szCs w:val="20"/>
    </w:rPr>
  </w:style>
  <w:style w:type="character" w:customStyle="1" w:styleId="Zakon-lenZnak">
    <w:name w:val="Zakon - člen Znak"/>
    <w:link w:val="Zakon-len"/>
    <w:rsid w:val="00E302FA"/>
    <w:rPr>
      <w:rFonts w:ascii="Arial" w:eastAsia="Calibri" w:hAnsi="Arial"/>
      <w:lang w:eastAsia="en-US"/>
    </w:rPr>
  </w:style>
  <w:style w:type="paragraph" w:customStyle="1" w:styleId="align-justify">
    <w:name w:val="align-justify"/>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3">
    <w:name w:val="Navaden3"/>
    <w:basedOn w:val="Navaden"/>
    <w:rsid w:val="00E302F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uiPriority w:val="99"/>
    <w:semiHidden/>
    <w:unhideWhenUsed/>
    <w:rsid w:val="00E302FA"/>
    <w:rPr>
      <w:color w:val="808080"/>
      <w:shd w:val="clear" w:color="auto" w:fill="E6E6E6"/>
    </w:rPr>
  </w:style>
  <w:style w:type="paragraph" w:customStyle="1" w:styleId="odstavek1">
    <w:name w:val="odstavek1"/>
    <w:basedOn w:val="Navaden"/>
    <w:rsid w:val="00E302FA"/>
    <w:pPr>
      <w:spacing w:before="240" w:line="240" w:lineRule="auto"/>
      <w:ind w:firstLine="1021"/>
      <w:jc w:val="both"/>
    </w:pPr>
    <w:rPr>
      <w:rFonts w:cs="Arial"/>
      <w:sz w:val="22"/>
      <w:szCs w:val="22"/>
      <w:lang w:eastAsia="sl-SI"/>
    </w:rPr>
  </w:style>
  <w:style w:type="paragraph" w:customStyle="1" w:styleId="ziffere1">
    <w:name w:val="ziffere1"/>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E302FA"/>
    <w:pPr>
      <w:spacing w:before="100" w:beforeAutospacing="1" w:after="100" w:afterAutospacing="1" w:line="240" w:lineRule="auto"/>
    </w:pPr>
    <w:rPr>
      <w:rFonts w:ascii="Times New Roman" w:hAnsi="Times New Roman"/>
      <w:sz w:val="24"/>
      <w:lang w:eastAsia="sl-SI"/>
    </w:rPr>
  </w:style>
  <w:style w:type="paragraph" w:customStyle="1" w:styleId="Navaden6">
    <w:name w:val="Navaden6"/>
    <w:basedOn w:val="Navaden"/>
    <w:rsid w:val="00E302F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57096163">
      <w:bodyDiv w:val="1"/>
      <w:marLeft w:val="0"/>
      <w:marRight w:val="0"/>
      <w:marTop w:val="0"/>
      <w:marBottom w:val="0"/>
      <w:divBdr>
        <w:top w:val="none" w:sz="0" w:space="0" w:color="auto"/>
        <w:left w:val="none" w:sz="0" w:space="0" w:color="auto"/>
        <w:bottom w:val="none" w:sz="0" w:space="0" w:color="auto"/>
        <w:right w:val="none" w:sz="0" w:space="0" w:color="auto"/>
      </w:divBdr>
      <w:divsChild>
        <w:div w:id="117846074">
          <w:marLeft w:val="0"/>
          <w:marRight w:val="0"/>
          <w:marTop w:val="0"/>
          <w:marBottom w:val="0"/>
          <w:divBdr>
            <w:top w:val="none" w:sz="0" w:space="0" w:color="auto"/>
            <w:left w:val="none" w:sz="0" w:space="0" w:color="auto"/>
            <w:bottom w:val="none" w:sz="0" w:space="0" w:color="auto"/>
            <w:right w:val="none" w:sz="0" w:space="0" w:color="auto"/>
          </w:divBdr>
        </w:div>
        <w:div w:id="205869672">
          <w:marLeft w:val="0"/>
          <w:marRight w:val="0"/>
          <w:marTop w:val="0"/>
          <w:marBottom w:val="0"/>
          <w:divBdr>
            <w:top w:val="none" w:sz="0" w:space="0" w:color="auto"/>
            <w:left w:val="none" w:sz="0" w:space="0" w:color="auto"/>
            <w:bottom w:val="none" w:sz="0" w:space="0" w:color="auto"/>
            <w:right w:val="none" w:sz="0" w:space="0" w:color="auto"/>
          </w:divBdr>
        </w:div>
        <w:div w:id="658070974">
          <w:marLeft w:val="0"/>
          <w:marRight w:val="0"/>
          <w:marTop w:val="0"/>
          <w:marBottom w:val="0"/>
          <w:divBdr>
            <w:top w:val="none" w:sz="0" w:space="0" w:color="auto"/>
            <w:left w:val="none" w:sz="0" w:space="0" w:color="auto"/>
            <w:bottom w:val="none" w:sz="0" w:space="0" w:color="auto"/>
            <w:right w:val="none" w:sz="0" w:space="0" w:color="auto"/>
          </w:divBdr>
        </w:div>
        <w:div w:id="791483304">
          <w:marLeft w:val="0"/>
          <w:marRight w:val="0"/>
          <w:marTop w:val="0"/>
          <w:marBottom w:val="0"/>
          <w:divBdr>
            <w:top w:val="none" w:sz="0" w:space="0" w:color="auto"/>
            <w:left w:val="none" w:sz="0" w:space="0" w:color="auto"/>
            <w:bottom w:val="none" w:sz="0" w:space="0" w:color="auto"/>
            <w:right w:val="none" w:sz="0" w:space="0" w:color="auto"/>
          </w:divBdr>
        </w:div>
        <w:div w:id="902983131">
          <w:marLeft w:val="0"/>
          <w:marRight w:val="0"/>
          <w:marTop w:val="0"/>
          <w:marBottom w:val="0"/>
          <w:divBdr>
            <w:top w:val="none" w:sz="0" w:space="0" w:color="auto"/>
            <w:left w:val="none" w:sz="0" w:space="0" w:color="auto"/>
            <w:bottom w:val="none" w:sz="0" w:space="0" w:color="auto"/>
            <w:right w:val="none" w:sz="0" w:space="0" w:color="auto"/>
          </w:divBdr>
        </w:div>
        <w:div w:id="1226377303">
          <w:marLeft w:val="0"/>
          <w:marRight w:val="0"/>
          <w:marTop w:val="0"/>
          <w:marBottom w:val="0"/>
          <w:divBdr>
            <w:top w:val="none" w:sz="0" w:space="0" w:color="auto"/>
            <w:left w:val="none" w:sz="0" w:space="0" w:color="auto"/>
            <w:bottom w:val="none" w:sz="0" w:space="0" w:color="auto"/>
            <w:right w:val="none" w:sz="0" w:space="0" w:color="auto"/>
          </w:divBdr>
        </w:div>
        <w:div w:id="1604218696">
          <w:marLeft w:val="0"/>
          <w:marRight w:val="0"/>
          <w:marTop w:val="0"/>
          <w:marBottom w:val="0"/>
          <w:divBdr>
            <w:top w:val="none" w:sz="0" w:space="0" w:color="auto"/>
            <w:left w:val="none" w:sz="0" w:space="0" w:color="auto"/>
            <w:bottom w:val="none" w:sz="0" w:space="0" w:color="auto"/>
            <w:right w:val="none" w:sz="0" w:space="0" w:color="auto"/>
          </w:divBdr>
        </w:div>
        <w:div w:id="1871213532">
          <w:marLeft w:val="0"/>
          <w:marRight w:val="0"/>
          <w:marTop w:val="0"/>
          <w:marBottom w:val="0"/>
          <w:divBdr>
            <w:top w:val="none" w:sz="0" w:space="0" w:color="auto"/>
            <w:left w:val="none" w:sz="0" w:space="0" w:color="auto"/>
            <w:bottom w:val="none" w:sz="0" w:space="0" w:color="auto"/>
            <w:right w:val="none" w:sz="0" w:space="0" w:color="auto"/>
          </w:divBdr>
        </w:div>
        <w:div w:id="1886062603">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16216010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15048773">
      <w:bodyDiv w:val="1"/>
      <w:marLeft w:val="0"/>
      <w:marRight w:val="0"/>
      <w:marTop w:val="0"/>
      <w:marBottom w:val="0"/>
      <w:divBdr>
        <w:top w:val="none" w:sz="0" w:space="0" w:color="auto"/>
        <w:left w:val="none" w:sz="0" w:space="0" w:color="auto"/>
        <w:bottom w:val="none" w:sz="0" w:space="0" w:color="auto"/>
        <w:right w:val="none" w:sz="0" w:space="0" w:color="auto"/>
      </w:divBdr>
    </w:div>
    <w:div w:id="223688046">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64389866">
      <w:bodyDiv w:val="1"/>
      <w:marLeft w:val="0"/>
      <w:marRight w:val="0"/>
      <w:marTop w:val="0"/>
      <w:marBottom w:val="0"/>
      <w:divBdr>
        <w:top w:val="none" w:sz="0" w:space="0" w:color="auto"/>
        <w:left w:val="none" w:sz="0" w:space="0" w:color="auto"/>
        <w:bottom w:val="none" w:sz="0" w:space="0" w:color="auto"/>
        <w:right w:val="none" w:sz="0" w:space="0" w:color="auto"/>
      </w:divBdr>
      <w:divsChild>
        <w:div w:id="325477020">
          <w:marLeft w:val="0"/>
          <w:marRight w:val="0"/>
          <w:marTop w:val="0"/>
          <w:marBottom w:val="0"/>
          <w:divBdr>
            <w:top w:val="none" w:sz="0" w:space="0" w:color="auto"/>
            <w:left w:val="none" w:sz="0" w:space="0" w:color="auto"/>
            <w:bottom w:val="none" w:sz="0" w:space="0" w:color="auto"/>
            <w:right w:val="none" w:sz="0" w:space="0" w:color="auto"/>
          </w:divBdr>
        </w:div>
        <w:div w:id="539830162">
          <w:marLeft w:val="0"/>
          <w:marRight w:val="0"/>
          <w:marTop w:val="0"/>
          <w:marBottom w:val="0"/>
          <w:divBdr>
            <w:top w:val="none" w:sz="0" w:space="0" w:color="auto"/>
            <w:left w:val="none" w:sz="0" w:space="0" w:color="auto"/>
            <w:bottom w:val="none" w:sz="0" w:space="0" w:color="auto"/>
            <w:right w:val="none" w:sz="0" w:space="0" w:color="auto"/>
          </w:divBdr>
        </w:div>
        <w:div w:id="582758271">
          <w:marLeft w:val="0"/>
          <w:marRight w:val="0"/>
          <w:marTop w:val="0"/>
          <w:marBottom w:val="0"/>
          <w:divBdr>
            <w:top w:val="none" w:sz="0" w:space="0" w:color="auto"/>
            <w:left w:val="none" w:sz="0" w:space="0" w:color="auto"/>
            <w:bottom w:val="none" w:sz="0" w:space="0" w:color="auto"/>
            <w:right w:val="none" w:sz="0" w:space="0" w:color="auto"/>
          </w:divBdr>
        </w:div>
        <w:div w:id="791561414">
          <w:marLeft w:val="0"/>
          <w:marRight w:val="0"/>
          <w:marTop w:val="0"/>
          <w:marBottom w:val="0"/>
          <w:divBdr>
            <w:top w:val="none" w:sz="0" w:space="0" w:color="auto"/>
            <w:left w:val="none" w:sz="0" w:space="0" w:color="auto"/>
            <w:bottom w:val="none" w:sz="0" w:space="0" w:color="auto"/>
            <w:right w:val="none" w:sz="0" w:space="0" w:color="auto"/>
          </w:divBdr>
        </w:div>
        <w:div w:id="830874428">
          <w:marLeft w:val="0"/>
          <w:marRight w:val="0"/>
          <w:marTop w:val="0"/>
          <w:marBottom w:val="0"/>
          <w:divBdr>
            <w:top w:val="none" w:sz="0" w:space="0" w:color="auto"/>
            <w:left w:val="none" w:sz="0" w:space="0" w:color="auto"/>
            <w:bottom w:val="none" w:sz="0" w:space="0" w:color="auto"/>
            <w:right w:val="none" w:sz="0" w:space="0" w:color="auto"/>
          </w:divBdr>
        </w:div>
        <w:div w:id="848913457">
          <w:marLeft w:val="0"/>
          <w:marRight w:val="0"/>
          <w:marTop w:val="0"/>
          <w:marBottom w:val="0"/>
          <w:divBdr>
            <w:top w:val="none" w:sz="0" w:space="0" w:color="auto"/>
            <w:left w:val="none" w:sz="0" w:space="0" w:color="auto"/>
            <w:bottom w:val="none" w:sz="0" w:space="0" w:color="auto"/>
            <w:right w:val="none" w:sz="0" w:space="0" w:color="auto"/>
          </w:divBdr>
        </w:div>
        <w:div w:id="918175998">
          <w:marLeft w:val="0"/>
          <w:marRight w:val="0"/>
          <w:marTop w:val="0"/>
          <w:marBottom w:val="0"/>
          <w:divBdr>
            <w:top w:val="none" w:sz="0" w:space="0" w:color="auto"/>
            <w:left w:val="none" w:sz="0" w:space="0" w:color="auto"/>
            <w:bottom w:val="none" w:sz="0" w:space="0" w:color="auto"/>
            <w:right w:val="none" w:sz="0" w:space="0" w:color="auto"/>
          </w:divBdr>
        </w:div>
        <w:div w:id="1028681894">
          <w:marLeft w:val="0"/>
          <w:marRight w:val="0"/>
          <w:marTop w:val="0"/>
          <w:marBottom w:val="0"/>
          <w:divBdr>
            <w:top w:val="none" w:sz="0" w:space="0" w:color="auto"/>
            <w:left w:val="none" w:sz="0" w:space="0" w:color="auto"/>
            <w:bottom w:val="none" w:sz="0" w:space="0" w:color="auto"/>
            <w:right w:val="none" w:sz="0" w:space="0" w:color="auto"/>
          </w:divBdr>
        </w:div>
        <w:div w:id="1030960088">
          <w:marLeft w:val="0"/>
          <w:marRight w:val="0"/>
          <w:marTop w:val="0"/>
          <w:marBottom w:val="0"/>
          <w:divBdr>
            <w:top w:val="none" w:sz="0" w:space="0" w:color="auto"/>
            <w:left w:val="none" w:sz="0" w:space="0" w:color="auto"/>
            <w:bottom w:val="none" w:sz="0" w:space="0" w:color="auto"/>
            <w:right w:val="none" w:sz="0" w:space="0" w:color="auto"/>
          </w:divBdr>
        </w:div>
        <w:div w:id="1050692444">
          <w:marLeft w:val="0"/>
          <w:marRight w:val="0"/>
          <w:marTop w:val="0"/>
          <w:marBottom w:val="0"/>
          <w:divBdr>
            <w:top w:val="none" w:sz="0" w:space="0" w:color="auto"/>
            <w:left w:val="none" w:sz="0" w:space="0" w:color="auto"/>
            <w:bottom w:val="none" w:sz="0" w:space="0" w:color="auto"/>
            <w:right w:val="none" w:sz="0" w:space="0" w:color="auto"/>
          </w:divBdr>
        </w:div>
        <w:div w:id="1054231455">
          <w:marLeft w:val="0"/>
          <w:marRight w:val="0"/>
          <w:marTop w:val="0"/>
          <w:marBottom w:val="0"/>
          <w:divBdr>
            <w:top w:val="none" w:sz="0" w:space="0" w:color="auto"/>
            <w:left w:val="none" w:sz="0" w:space="0" w:color="auto"/>
            <w:bottom w:val="none" w:sz="0" w:space="0" w:color="auto"/>
            <w:right w:val="none" w:sz="0" w:space="0" w:color="auto"/>
          </w:divBdr>
        </w:div>
        <w:div w:id="1061753178">
          <w:marLeft w:val="0"/>
          <w:marRight w:val="0"/>
          <w:marTop w:val="0"/>
          <w:marBottom w:val="0"/>
          <w:divBdr>
            <w:top w:val="none" w:sz="0" w:space="0" w:color="auto"/>
            <w:left w:val="none" w:sz="0" w:space="0" w:color="auto"/>
            <w:bottom w:val="none" w:sz="0" w:space="0" w:color="auto"/>
            <w:right w:val="none" w:sz="0" w:space="0" w:color="auto"/>
          </w:divBdr>
        </w:div>
        <w:div w:id="1098254375">
          <w:marLeft w:val="0"/>
          <w:marRight w:val="0"/>
          <w:marTop w:val="0"/>
          <w:marBottom w:val="0"/>
          <w:divBdr>
            <w:top w:val="none" w:sz="0" w:space="0" w:color="auto"/>
            <w:left w:val="none" w:sz="0" w:space="0" w:color="auto"/>
            <w:bottom w:val="none" w:sz="0" w:space="0" w:color="auto"/>
            <w:right w:val="none" w:sz="0" w:space="0" w:color="auto"/>
          </w:divBdr>
        </w:div>
        <w:div w:id="1267928550">
          <w:marLeft w:val="0"/>
          <w:marRight w:val="0"/>
          <w:marTop w:val="0"/>
          <w:marBottom w:val="0"/>
          <w:divBdr>
            <w:top w:val="none" w:sz="0" w:space="0" w:color="auto"/>
            <w:left w:val="none" w:sz="0" w:space="0" w:color="auto"/>
            <w:bottom w:val="none" w:sz="0" w:space="0" w:color="auto"/>
            <w:right w:val="none" w:sz="0" w:space="0" w:color="auto"/>
          </w:divBdr>
        </w:div>
        <w:div w:id="1337657356">
          <w:marLeft w:val="0"/>
          <w:marRight w:val="0"/>
          <w:marTop w:val="0"/>
          <w:marBottom w:val="0"/>
          <w:divBdr>
            <w:top w:val="none" w:sz="0" w:space="0" w:color="auto"/>
            <w:left w:val="none" w:sz="0" w:space="0" w:color="auto"/>
            <w:bottom w:val="none" w:sz="0" w:space="0" w:color="auto"/>
            <w:right w:val="none" w:sz="0" w:space="0" w:color="auto"/>
          </w:divBdr>
        </w:div>
        <w:div w:id="1364671307">
          <w:marLeft w:val="0"/>
          <w:marRight w:val="0"/>
          <w:marTop w:val="0"/>
          <w:marBottom w:val="0"/>
          <w:divBdr>
            <w:top w:val="none" w:sz="0" w:space="0" w:color="auto"/>
            <w:left w:val="none" w:sz="0" w:space="0" w:color="auto"/>
            <w:bottom w:val="none" w:sz="0" w:space="0" w:color="auto"/>
            <w:right w:val="none" w:sz="0" w:space="0" w:color="auto"/>
          </w:divBdr>
        </w:div>
        <w:div w:id="1579552546">
          <w:marLeft w:val="0"/>
          <w:marRight w:val="0"/>
          <w:marTop w:val="0"/>
          <w:marBottom w:val="0"/>
          <w:divBdr>
            <w:top w:val="none" w:sz="0" w:space="0" w:color="auto"/>
            <w:left w:val="none" w:sz="0" w:space="0" w:color="auto"/>
            <w:bottom w:val="none" w:sz="0" w:space="0" w:color="auto"/>
            <w:right w:val="none" w:sz="0" w:space="0" w:color="auto"/>
          </w:divBdr>
        </w:div>
        <w:div w:id="1895266999">
          <w:marLeft w:val="0"/>
          <w:marRight w:val="0"/>
          <w:marTop w:val="0"/>
          <w:marBottom w:val="0"/>
          <w:divBdr>
            <w:top w:val="none" w:sz="0" w:space="0" w:color="auto"/>
            <w:left w:val="none" w:sz="0" w:space="0" w:color="auto"/>
            <w:bottom w:val="none" w:sz="0" w:space="0" w:color="auto"/>
            <w:right w:val="none" w:sz="0" w:space="0" w:color="auto"/>
          </w:divBdr>
        </w:div>
        <w:div w:id="1955943128">
          <w:marLeft w:val="0"/>
          <w:marRight w:val="0"/>
          <w:marTop w:val="0"/>
          <w:marBottom w:val="0"/>
          <w:divBdr>
            <w:top w:val="none" w:sz="0" w:space="0" w:color="auto"/>
            <w:left w:val="none" w:sz="0" w:space="0" w:color="auto"/>
            <w:bottom w:val="none" w:sz="0" w:space="0" w:color="auto"/>
            <w:right w:val="none" w:sz="0" w:space="0" w:color="auto"/>
          </w:divBdr>
        </w:div>
        <w:div w:id="1960993951">
          <w:marLeft w:val="0"/>
          <w:marRight w:val="0"/>
          <w:marTop w:val="0"/>
          <w:marBottom w:val="0"/>
          <w:divBdr>
            <w:top w:val="none" w:sz="0" w:space="0" w:color="auto"/>
            <w:left w:val="none" w:sz="0" w:space="0" w:color="auto"/>
            <w:bottom w:val="none" w:sz="0" w:space="0" w:color="auto"/>
            <w:right w:val="none" w:sz="0" w:space="0" w:color="auto"/>
          </w:divBdr>
        </w:div>
      </w:divsChild>
    </w:div>
    <w:div w:id="330832643">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545603474">
      <w:bodyDiv w:val="1"/>
      <w:marLeft w:val="0"/>
      <w:marRight w:val="0"/>
      <w:marTop w:val="0"/>
      <w:marBottom w:val="0"/>
      <w:divBdr>
        <w:top w:val="none" w:sz="0" w:space="0" w:color="auto"/>
        <w:left w:val="none" w:sz="0" w:space="0" w:color="auto"/>
        <w:bottom w:val="none" w:sz="0" w:space="0" w:color="auto"/>
        <w:right w:val="none" w:sz="0" w:space="0" w:color="auto"/>
      </w:divBdr>
    </w:div>
    <w:div w:id="548078396">
      <w:bodyDiv w:val="1"/>
      <w:marLeft w:val="0"/>
      <w:marRight w:val="0"/>
      <w:marTop w:val="0"/>
      <w:marBottom w:val="0"/>
      <w:divBdr>
        <w:top w:val="none" w:sz="0" w:space="0" w:color="auto"/>
        <w:left w:val="none" w:sz="0" w:space="0" w:color="auto"/>
        <w:bottom w:val="none" w:sz="0" w:space="0" w:color="auto"/>
        <w:right w:val="none" w:sz="0" w:space="0" w:color="auto"/>
      </w:divBdr>
    </w:div>
    <w:div w:id="571694196">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15928893">
      <w:bodyDiv w:val="1"/>
      <w:marLeft w:val="0"/>
      <w:marRight w:val="0"/>
      <w:marTop w:val="0"/>
      <w:marBottom w:val="0"/>
      <w:divBdr>
        <w:top w:val="none" w:sz="0" w:space="0" w:color="auto"/>
        <w:left w:val="none" w:sz="0" w:space="0" w:color="auto"/>
        <w:bottom w:val="none" w:sz="0" w:space="0" w:color="auto"/>
        <w:right w:val="none" w:sz="0" w:space="0" w:color="auto"/>
      </w:divBdr>
    </w:div>
    <w:div w:id="718625665">
      <w:bodyDiv w:val="1"/>
      <w:marLeft w:val="0"/>
      <w:marRight w:val="0"/>
      <w:marTop w:val="0"/>
      <w:marBottom w:val="0"/>
      <w:divBdr>
        <w:top w:val="none" w:sz="0" w:space="0" w:color="auto"/>
        <w:left w:val="none" w:sz="0" w:space="0" w:color="auto"/>
        <w:bottom w:val="none" w:sz="0" w:space="0" w:color="auto"/>
        <w:right w:val="none" w:sz="0" w:space="0" w:color="auto"/>
      </w:divBdr>
    </w:div>
    <w:div w:id="778795691">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794904384">
      <w:bodyDiv w:val="1"/>
      <w:marLeft w:val="0"/>
      <w:marRight w:val="0"/>
      <w:marTop w:val="0"/>
      <w:marBottom w:val="0"/>
      <w:divBdr>
        <w:top w:val="none" w:sz="0" w:space="0" w:color="auto"/>
        <w:left w:val="none" w:sz="0" w:space="0" w:color="auto"/>
        <w:bottom w:val="none" w:sz="0" w:space="0" w:color="auto"/>
        <w:right w:val="none" w:sz="0" w:space="0" w:color="auto"/>
      </w:divBdr>
    </w:div>
    <w:div w:id="908616952">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5043530">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267669">
      <w:bodyDiv w:val="1"/>
      <w:marLeft w:val="0"/>
      <w:marRight w:val="0"/>
      <w:marTop w:val="0"/>
      <w:marBottom w:val="0"/>
      <w:divBdr>
        <w:top w:val="none" w:sz="0" w:space="0" w:color="auto"/>
        <w:left w:val="none" w:sz="0" w:space="0" w:color="auto"/>
        <w:bottom w:val="none" w:sz="0" w:space="0" w:color="auto"/>
        <w:right w:val="none" w:sz="0" w:space="0" w:color="auto"/>
      </w:divBdr>
      <w:divsChild>
        <w:div w:id="276956113">
          <w:marLeft w:val="0"/>
          <w:marRight w:val="0"/>
          <w:marTop w:val="0"/>
          <w:marBottom w:val="0"/>
          <w:divBdr>
            <w:top w:val="none" w:sz="0" w:space="0" w:color="auto"/>
            <w:left w:val="none" w:sz="0" w:space="0" w:color="auto"/>
            <w:bottom w:val="none" w:sz="0" w:space="0" w:color="auto"/>
            <w:right w:val="none" w:sz="0" w:space="0" w:color="auto"/>
          </w:divBdr>
        </w:div>
        <w:div w:id="607539981">
          <w:marLeft w:val="0"/>
          <w:marRight w:val="0"/>
          <w:marTop w:val="0"/>
          <w:marBottom w:val="0"/>
          <w:divBdr>
            <w:top w:val="none" w:sz="0" w:space="0" w:color="auto"/>
            <w:left w:val="none" w:sz="0" w:space="0" w:color="auto"/>
            <w:bottom w:val="none" w:sz="0" w:space="0" w:color="auto"/>
            <w:right w:val="none" w:sz="0" w:space="0" w:color="auto"/>
          </w:divBdr>
        </w:div>
        <w:div w:id="994802025">
          <w:marLeft w:val="0"/>
          <w:marRight w:val="0"/>
          <w:marTop w:val="0"/>
          <w:marBottom w:val="0"/>
          <w:divBdr>
            <w:top w:val="none" w:sz="0" w:space="0" w:color="auto"/>
            <w:left w:val="none" w:sz="0" w:space="0" w:color="auto"/>
            <w:bottom w:val="none" w:sz="0" w:space="0" w:color="auto"/>
            <w:right w:val="none" w:sz="0" w:space="0" w:color="auto"/>
          </w:divBdr>
        </w:div>
        <w:div w:id="1148786634">
          <w:marLeft w:val="0"/>
          <w:marRight w:val="0"/>
          <w:marTop w:val="0"/>
          <w:marBottom w:val="0"/>
          <w:divBdr>
            <w:top w:val="none" w:sz="0" w:space="0" w:color="auto"/>
            <w:left w:val="none" w:sz="0" w:space="0" w:color="auto"/>
            <w:bottom w:val="none" w:sz="0" w:space="0" w:color="auto"/>
            <w:right w:val="none" w:sz="0" w:space="0" w:color="auto"/>
          </w:divBdr>
        </w:div>
        <w:div w:id="1167793663">
          <w:marLeft w:val="0"/>
          <w:marRight w:val="0"/>
          <w:marTop w:val="0"/>
          <w:marBottom w:val="0"/>
          <w:divBdr>
            <w:top w:val="none" w:sz="0" w:space="0" w:color="auto"/>
            <w:left w:val="none" w:sz="0" w:space="0" w:color="auto"/>
            <w:bottom w:val="none" w:sz="0" w:space="0" w:color="auto"/>
            <w:right w:val="none" w:sz="0" w:space="0" w:color="auto"/>
          </w:divBdr>
        </w:div>
        <w:div w:id="1549142930">
          <w:marLeft w:val="0"/>
          <w:marRight w:val="0"/>
          <w:marTop w:val="0"/>
          <w:marBottom w:val="0"/>
          <w:divBdr>
            <w:top w:val="none" w:sz="0" w:space="0" w:color="auto"/>
            <w:left w:val="none" w:sz="0" w:space="0" w:color="auto"/>
            <w:bottom w:val="none" w:sz="0" w:space="0" w:color="auto"/>
            <w:right w:val="none" w:sz="0" w:space="0" w:color="auto"/>
          </w:divBdr>
        </w:div>
        <w:div w:id="1622033372">
          <w:marLeft w:val="0"/>
          <w:marRight w:val="0"/>
          <w:marTop w:val="0"/>
          <w:marBottom w:val="0"/>
          <w:divBdr>
            <w:top w:val="none" w:sz="0" w:space="0" w:color="auto"/>
            <w:left w:val="none" w:sz="0" w:space="0" w:color="auto"/>
            <w:bottom w:val="none" w:sz="0" w:space="0" w:color="auto"/>
            <w:right w:val="none" w:sz="0" w:space="0" w:color="auto"/>
          </w:divBdr>
        </w:div>
        <w:div w:id="1677032435">
          <w:marLeft w:val="0"/>
          <w:marRight w:val="0"/>
          <w:marTop w:val="0"/>
          <w:marBottom w:val="0"/>
          <w:divBdr>
            <w:top w:val="none" w:sz="0" w:space="0" w:color="auto"/>
            <w:left w:val="none" w:sz="0" w:space="0" w:color="auto"/>
            <w:bottom w:val="none" w:sz="0" w:space="0" w:color="auto"/>
            <w:right w:val="none" w:sz="0" w:space="0" w:color="auto"/>
          </w:divBdr>
        </w:div>
        <w:div w:id="1837723483">
          <w:marLeft w:val="0"/>
          <w:marRight w:val="0"/>
          <w:marTop w:val="0"/>
          <w:marBottom w:val="0"/>
          <w:divBdr>
            <w:top w:val="none" w:sz="0" w:space="0" w:color="auto"/>
            <w:left w:val="none" w:sz="0" w:space="0" w:color="auto"/>
            <w:bottom w:val="none" w:sz="0" w:space="0" w:color="auto"/>
            <w:right w:val="none" w:sz="0" w:space="0" w:color="auto"/>
          </w:divBdr>
        </w:div>
        <w:div w:id="1911429724">
          <w:marLeft w:val="0"/>
          <w:marRight w:val="0"/>
          <w:marTop w:val="0"/>
          <w:marBottom w:val="0"/>
          <w:divBdr>
            <w:top w:val="none" w:sz="0" w:space="0" w:color="auto"/>
            <w:left w:val="none" w:sz="0" w:space="0" w:color="auto"/>
            <w:bottom w:val="none" w:sz="0" w:space="0" w:color="auto"/>
            <w:right w:val="none" w:sz="0" w:space="0" w:color="auto"/>
          </w:divBdr>
        </w:div>
      </w:divsChild>
    </w:div>
    <w:div w:id="1007252082">
      <w:bodyDiv w:val="1"/>
      <w:marLeft w:val="0"/>
      <w:marRight w:val="0"/>
      <w:marTop w:val="0"/>
      <w:marBottom w:val="0"/>
      <w:divBdr>
        <w:top w:val="none" w:sz="0" w:space="0" w:color="auto"/>
        <w:left w:val="none" w:sz="0" w:space="0" w:color="auto"/>
        <w:bottom w:val="none" w:sz="0" w:space="0" w:color="auto"/>
        <w:right w:val="none" w:sz="0" w:space="0" w:color="auto"/>
      </w:divBdr>
      <w:divsChild>
        <w:div w:id="9962132">
          <w:marLeft w:val="0"/>
          <w:marRight w:val="0"/>
          <w:marTop w:val="0"/>
          <w:marBottom w:val="0"/>
          <w:divBdr>
            <w:top w:val="none" w:sz="0" w:space="0" w:color="auto"/>
            <w:left w:val="none" w:sz="0" w:space="0" w:color="auto"/>
            <w:bottom w:val="none" w:sz="0" w:space="0" w:color="auto"/>
            <w:right w:val="none" w:sz="0" w:space="0" w:color="auto"/>
          </w:divBdr>
        </w:div>
        <w:div w:id="600190404">
          <w:marLeft w:val="0"/>
          <w:marRight w:val="0"/>
          <w:marTop w:val="0"/>
          <w:marBottom w:val="0"/>
          <w:divBdr>
            <w:top w:val="none" w:sz="0" w:space="0" w:color="auto"/>
            <w:left w:val="none" w:sz="0" w:space="0" w:color="auto"/>
            <w:bottom w:val="none" w:sz="0" w:space="0" w:color="auto"/>
            <w:right w:val="none" w:sz="0" w:space="0" w:color="auto"/>
          </w:divBdr>
        </w:div>
        <w:div w:id="653681017">
          <w:marLeft w:val="0"/>
          <w:marRight w:val="0"/>
          <w:marTop w:val="0"/>
          <w:marBottom w:val="0"/>
          <w:divBdr>
            <w:top w:val="none" w:sz="0" w:space="0" w:color="auto"/>
            <w:left w:val="none" w:sz="0" w:space="0" w:color="auto"/>
            <w:bottom w:val="none" w:sz="0" w:space="0" w:color="auto"/>
            <w:right w:val="none" w:sz="0" w:space="0" w:color="auto"/>
          </w:divBdr>
        </w:div>
        <w:div w:id="762729158">
          <w:marLeft w:val="0"/>
          <w:marRight w:val="0"/>
          <w:marTop w:val="0"/>
          <w:marBottom w:val="0"/>
          <w:divBdr>
            <w:top w:val="none" w:sz="0" w:space="0" w:color="auto"/>
            <w:left w:val="none" w:sz="0" w:space="0" w:color="auto"/>
            <w:bottom w:val="none" w:sz="0" w:space="0" w:color="auto"/>
            <w:right w:val="none" w:sz="0" w:space="0" w:color="auto"/>
          </w:divBdr>
        </w:div>
        <w:div w:id="1586960386">
          <w:marLeft w:val="0"/>
          <w:marRight w:val="0"/>
          <w:marTop w:val="0"/>
          <w:marBottom w:val="0"/>
          <w:divBdr>
            <w:top w:val="none" w:sz="0" w:space="0" w:color="auto"/>
            <w:left w:val="none" w:sz="0" w:space="0" w:color="auto"/>
            <w:bottom w:val="none" w:sz="0" w:space="0" w:color="auto"/>
            <w:right w:val="none" w:sz="0" w:space="0" w:color="auto"/>
          </w:divBdr>
        </w:div>
        <w:div w:id="1769502015">
          <w:marLeft w:val="0"/>
          <w:marRight w:val="0"/>
          <w:marTop w:val="0"/>
          <w:marBottom w:val="0"/>
          <w:divBdr>
            <w:top w:val="none" w:sz="0" w:space="0" w:color="auto"/>
            <w:left w:val="none" w:sz="0" w:space="0" w:color="auto"/>
            <w:bottom w:val="none" w:sz="0" w:space="0" w:color="auto"/>
            <w:right w:val="none" w:sz="0" w:space="0" w:color="auto"/>
          </w:divBdr>
        </w:div>
        <w:div w:id="2108035737">
          <w:marLeft w:val="0"/>
          <w:marRight w:val="0"/>
          <w:marTop w:val="0"/>
          <w:marBottom w:val="0"/>
          <w:divBdr>
            <w:top w:val="none" w:sz="0" w:space="0" w:color="auto"/>
            <w:left w:val="none" w:sz="0" w:space="0" w:color="auto"/>
            <w:bottom w:val="none" w:sz="0" w:space="0" w:color="auto"/>
            <w:right w:val="none" w:sz="0" w:space="0" w:color="auto"/>
          </w:divBdr>
        </w:div>
      </w:divsChild>
    </w:div>
    <w:div w:id="1007321047">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31342755">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90202780">
      <w:bodyDiv w:val="1"/>
      <w:marLeft w:val="0"/>
      <w:marRight w:val="0"/>
      <w:marTop w:val="0"/>
      <w:marBottom w:val="0"/>
      <w:divBdr>
        <w:top w:val="none" w:sz="0" w:space="0" w:color="auto"/>
        <w:left w:val="none" w:sz="0" w:space="0" w:color="auto"/>
        <w:bottom w:val="none" w:sz="0" w:space="0" w:color="auto"/>
        <w:right w:val="none" w:sz="0" w:space="0" w:color="auto"/>
      </w:divBdr>
      <w:divsChild>
        <w:div w:id="15278806">
          <w:marLeft w:val="0"/>
          <w:marRight w:val="0"/>
          <w:marTop w:val="0"/>
          <w:marBottom w:val="0"/>
          <w:divBdr>
            <w:top w:val="none" w:sz="0" w:space="0" w:color="auto"/>
            <w:left w:val="none" w:sz="0" w:space="0" w:color="auto"/>
            <w:bottom w:val="none" w:sz="0" w:space="0" w:color="auto"/>
            <w:right w:val="none" w:sz="0" w:space="0" w:color="auto"/>
          </w:divBdr>
        </w:div>
        <w:div w:id="166137393">
          <w:marLeft w:val="0"/>
          <w:marRight w:val="0"/>
          <w:marTop w:val="0"/>
          <w:marBottom w:val="0"/>
          <w:divBdr>
            <w:top w:val="none" w:sz="0" w:space="0" w:color="auto"/>
            <w:left w:val="none" w:sz="0" w:space="0" w:color="auto"/>
            <w:bottom w:val="none" w:sz="0" w:space="0" w:color="auto"/>
            <w:right w:val="none" w:sz="0" w:space="0" w:color="auto"/>
          </w:divBdr>
        </w:div>
        <w:div w:id="171454951">
          <w:marLeft w:val="0"/>
          <w:marRight w:val="0"/>
          <w:marTop w:val="0"/>
          <w:marBottom w:val="0"/>
          <w:divBdr>
            <w:top w:val="none" w:sz="0" w:space="0" w:color="auto"/>
            <w:left w:val="none" w:sz="0" w:space="0" w:color="auto"/>
            <w:bottom w:val="none" w:sz="0" w:space="0" w:color="auto"/>
            <w:right w:val="none" w:sz="0" w:space="0" w:color="auto"/>
          </w:divBdr>
        </w:div>
        <w:div w:id="213583791">
          <w:marLeft w:val="0"/>
          <w:marRight w:val="0"/>
          <w:marTop w:val="0"/>
          <w:marBottom w:val="0"/>
          <w:divBdr>
            <w:top w:val="none" w:sz="0" w:space="0" w:color="auto"/>
            <w:left w:val="none" w:sz="0" w:space="0" w:color="auto"/>
            <w:bottom w:val="none" w:sz="0" w:space="0" w:color="auto"/>
            <w:right w:val="none" w:sz="0" w:space="0" w:color="auto"/>
          </w:divBdr>
        </w:div>
        <w:div w:id="286736648">
          <w:marLeft w:val="0"/>
          <w:marRight w:val="0"/>
          <w:marTop w:val="0"/>
          <w:marBottom w:val="0"/>
          <w:divBdr>
            <w:top w:val="none" w:sz="0" w:space="0" w:color="auto"/>
            <w:left w:val="none" w:sz="0" w:space="0" w:color="auto"/>
            <w:bottom w:val="none" w:sz="0" w:space="0" w:color="auto"/>
            <w:right w:val="none" w:sz="0" w:space="0" w:color="auto"/>
          </w:divBdr>
        </w:div>
        <w:div w:id="379482388">
          <w:marLeft w:val="0"/>
          <w:marRight w:val="0"/>
          <w:marTop w:val="0"/>
          <w:marBottom w:val="0"/>
          <w:divBdr>
            <w:top w:val="none" w:sz="0" w:space="0" w:color="auto"/>
            <w:left w:val="none" w:sz="0" w:space="0" w:color="auto"/>
            <w:bottom w:val="none" w:sz="0" w:space="0" w:color="auto"/>
            <w:right w:val="none" w:sz="0" w:space="0" w:color="auto"/>
          </w:divBdr>
        </w:div>
        <w:div w:id="398484634">
          <w:marLeft w:val="0"/>
          <w:marRight w:val="0"/>
          <w:marTop w:val="0"/>
          <w:marBottom w:val="0"/>
          <w:divBdr>
            <w:top w:val="none" w:sz="0" w:space="0" w:color="auto"/>
            <w:left w:val="none" w:sz="0" w:space="0" w:color="auto"/>
            <w:bottom w:val="none" w:sz="0" w:space="0" w:color="auto"/>
            <w:right w:val="none" w:sz="0" w:space="0" w:color="auto"/>
          </w:divBdr>
        </w:div>
        <w:div w:id="507330906">
          <w:marLeft w:val="0"/>
          <w:marRight w:val="0"/>
          <w:marTop w:val="0"/>
          <w:marBottom w:val="0"/>
          <w:divBdr>
            <w:top w:val="none" w:sz="0" w:space="0" w:color="auto"/>
            <w:left w:val="none" w:sz="0" w:space="0" w:color="auto"/>
            <w:bottom w:val="none" w:sz="0" w:space="0" w:color="auto"/>
            <w:right w:val="none" w:sz="0" w:space="0" w:color="auto"/>
          </w:divBdr>
        </w:div>
        <w:div w:id="680861253">
          <w:marLeft w:val="0"/>
          <w:marRight w:val="0"/>
          <w:marTop w:val="0"/>
          <w:marBottom w:val="0"/>
          <w:divBdr>
            <w:top w:val="none" w:sz="0" w:space="0" w:color="auto"/>
            <w:left w:val="none" w:sz="0" w:space="0" w:color="auto"/>
            <w:bottom w:val="none" w:sz="0" w:space="0" w:color="auto"/>
            <w:right w:val="none" w:sz="0" w:space="0" w:color="auto"/>
          </w:divBdr>
        </w:div>
        <w:div w:id="719716672">
          <w:marLeft w:val="0"/>
          <w:marRight w:val="0"/>
          <w:marTop w:val="0"/>
          <w:marBottom w:val="0"/>
          <w:divBdr>
            <w:top w:val="none" w:sz="0" w:space="0" w:color="auto"/>
            <w:left w:val="none" w:sz="0" w:space="0" w:color="auto"/>
            <w:bottom w:val="none" w:sz="0" w:space="0" w:color="auto"/>
            <w:right w:val="none" w:sz="0" w:space="0" w:color="auto"/>
          </w:divBdr>
        </w:div>
        <w:div w:id="791051860">
          <w:marLeft w:val="0"/>
          <w:marRight w:val="0"/>
          <w:marTop w:val="0"/>
          <w:marBottom w:val="0"/>
          <w:divBdr>
            <w:top w:val="none" w:sz="0" w:space="0" w:color="auto"/>
            <w:left w:val="none" w:sz="0" w:space="0" w:color="auto"/>
            <w:bottom w:val="none" w:sz="0" w:space="0" w:color="auto"/>
            <w:right w:val="none" w:sz="0" w:space="0" w:color="auto"/>
          </w:divBdr>
        </w:div>
        <w:div w:id="799491410">
          <w:marLeft w:val="0"/>
          <w:marRight w:val="0"/>
          <w:marTop w:val="0"/>
          <w:marBottom w:val="0"/>
          <w:divBdr>
            <w:top w:val="none" w:sz="0" w:space="0" w:color="auto"/>
            <w:left w:val="none" w:sz="0" w:space="0" w:color="auto"/>
            <w:bottom w:val="none" w:sz="0" w:space="0" w:color="auto"/>
            <w:right w:val="none" w:sz="0" w:space="0" w:color="auto"/>
          </w:divBdr>
        </w:div>
        <w:div w:id="913780869">
          <w:marLeft w:val="0"/>
          <w:marRight w:val="0"/>
          <w:marTop w:val="0"/>
          <w:marBottom w:val="0"/>
          <w:divBdr>
            <w:top w:val="none" w:sz="0" w:space="0" w:color="auto"/>
            <w:left w:val="none" w:sz="0" w:space="0" w:color="auto"/>
            <w:bottom w:val="none" w:sz="0" w:space="0" w:color="auto"/>
            <w:right w:val="none" w:sz="0" w:space="0" w:color="auto"/>
          </w:divBdr>
        </w:div>
        <w:div w:id="951866947">
          <w:marLeft w:val="0"/>
          <w:marRight w:val="0"/>
          <w:marTop w:val="0"/>
          <w:marBottom w:val="0"/>
          <w:divBdr>
            <w:top w:val="none" w:sz="0" w:space="0" w:color="auto"/>
            <w:left w:val="none" w:sz="0" w:space="0" w:color="auto"/>
            <w:bottom w:val="none" w:sz="0" w:space="0" w:color="auto"/>
            <w:right w:val="none" w:sz="0" w:space="0" w:color="auto"/>
          </w:divBdr>
        </w:div>
        <w:div w:id="1036542985">
          <w:marLeft w:val="0"/>
          <w:marRight w:val="0"/>
          <w:marTop w:val="0"/>
          <w:marBottom w:val="0"/>
          <w:divBdr>
            <w:top w:val="none" w:sz="0" w:space="0" w:color="auto"/>
            <w:left w:val="none" w:sz="0" w:space="0" w:color="auto"/>
            <w:bottom w:val="none" w:sz="0" w:space="0" w:color="auto"/>
            <w:right w:val="none" w:sz="0" w:space="0" w:color="auto"/>
          </w:divBdr>
        </w:div>
        <w:div w:id="1160854188">
          <w:marLeft w:val="0"/>
          <w:marRight w:val="0"/>
          <w:marTop w:val="0"/>
          <w:marBottom w:val="0"/>
          <w:divBdr>
            <w:top w:val="none" w:sz="0" w:space="0" w:color="auto"/>
            <w:left w:val="none" w:sz="0" w:space="0" w:color="auto"/>
            <w:bottom w:val="none" w:sz="0" w:space="0" w:color="auto"/>
            <w:right w:val="none" w:sz="0" w:space="0" w:color="auto"/>
          </w:divBdr>
        </w:div>
        <w:div w:id="1173378578">
          <w:marLeft w:val="0"/>
          <w:marRight w:val="0"/>
          <w:marTop w:val="0"/>
          <w:marBottom w:val="0"/>
          <w:divBdr>
            <w:top w:val="none" w:sz="0" w:space="0" w:color="auto"/>
            <w:left w:val="none" w:sz="0" w:space="0" w:color="auto"/>
            <w:bottom w:val="none" w:sz="0" w:space="0" w:color="auto"/>
            <w:right w:val="none" w:sz="0" w:space="0" w:color="auto"/>
          </w:divBdr>
        </w:div>
        <w:div w:id="1382099778">
          <w:marLeft w:val="0"/>
          <w:marRight w:val="0"/>
          <w:marTop w:val="0"/>
          <w:marBottom w:val="0"/>
          <w:divBdr>
            <w:top w:val="none" w:sz="0" w:space="0" w:color="auto"/>
            <w:left w:val="none" w:sz="0" w:space="0" w:color="auto"/>
            <w:bottom w:val="none" w:sz="0" w:space="0" w:color="auto"/>
            <w:right w:val="none" w:sz="0" w:space="0" w:color="auto"/>
          </w:divBdr>
        </w:div>
        <w:div w:id="1531334539">
          <w:marLeft w:val="0"/>
          <w:marRight w:val="0"/>
          <w:marTop w:val="0"/>
          <w:marBottom w:val="0"/>
          <w:divBdr>
            <w:top w:val="none" w:sz="0" w:space="0" w:color="auto"/>
            <w:left w:val="none" w:sz="0" w:space="0" w:color="auto"/>
            <w:bottom w:val="none" w:sz="0" w:space="0" w:color="auto"/>
            <w:right w:val="none" w:sz="0" w:space="0" w:color="auto"/>
          </w:divBdr>
        </w:div>
        <w:div w:id="1708406479">
          <w:marLeft w:val="0"/>
          <w:marRight w:val="0"/>
          <w:marTop w:val="0"/>
          <w:marBottom w:val="0"/>
          <w:divBdr>
            <w:top w:val="none" w:sz="0" w:space="0" w:color="auto"/>
            <w:left w:val="none" w:sz="0" w:space="0" w:color="auto"/>
            <w:bottom w:val="none" w:sz="0" w:space="0" w:color="auto"/>
            <w:right w:val="none" w:sz="0" w:space="0" w:color="auto"/>
          </w:divBdr>
        </w:div>
        <w:div w:id="1821117630">
          <w:marLeft w:val="0"/>
          <w:marRight w:val="0"/>
          <w:marTop w:val="0"/>
          <w:marBottom w:val="0"/>
          <w:divBdr>
            <w:top w:val="none" w:sz="0" w:space="0" w:color="auto"/>
            <w:left w:val="none" w:sz="0" w:space="0" w:color="auto"/>
            <w:bottom w:val="none" w:sz="0" w:space="0" w:color="auto"/>
            <w:right w:val="none" w:sz="0" w:space="0" w:color="auto"/>
          </w:divBdr>
        </w:div>
        <w:div w:id="1874295915">
          <w:marLeft w:val="0"/>
          <w:marRight w:val="0"/>
          <w:marTop w:val="0"/>
          <w:marBottom w:val="0"/>
          <w:divBdr>
            <w:top w:val="none" w:sz="0" w:space="0" w:color="auto"/>
            <w:left w:val="none" w:sz="0" w:space="0" w:color="auto"/>
            <w:bottom w:val="none" w:sz="0" w:space="0" w:color="auto"/>
            <w:right w:val="none" w:sz="0" w:space="0" w:color="auto"/>
          </w:divBdr>
        </w:div>
        <w:div w:id="1918592545">
          <w:marLeft w:val="0"/>
          <w:marRight w:val="0"/>
          <w:marTop w:val="0"/>
          <w:marBottom w:val="0"/>
          <w:divBdr>
            <w:top w:val="none" w:sz="0" w:space="0" w:color="auto"/>
            <w:left w:val="none" w:sz="0" w:space="0" w:color="auto"/>
            <w:bottom w:val="none" w:sz="0" w:space="0" w:color="auto"/>
            <w:right w:val="none" w:sz="0" w:space="0" w:color="auto"/>
          </w:divBdr>
        </w:div>
        <w:div w:id="1980068079">
          <w:marLeft w:val="0"/>
          <w:marRight w:val="0"/>
          <w:marTop w:val="0"/>
          <w:marBottom w:val="0"/>
          <w:divBdr>
            <w:top w:val="none" w:sz="0" w:space="0" w:color="auto"/>
            <w:left w:val="none" w:sz="0" w:space="0" w:color="auto"/>
            <w:bottom w:val="none" w:sz="0" w:space="0" w:color="auto"/>
            <w:right w:val="none" w:sz="0" w:space="0" w:color="auto"/>
          </w:divBdr>
        </w:div>
        <w:div w:id="2064676196">
          <w:marLeft w:val="0"/>
          <w:marRight w:val="0"/>
          <w:marTop w:val="0"/>
          <w:marBottom w:val="0"/>
          <w:divBdr>
            <w:top w:val="none" w:sz="0" w:space="0" w:color="auto"/>
            <w:left w:val="none" w:sz="0" w:space="0" w:color="auto"/>
            <w:bottom w:val="none" w:sz="0" w:space="0" w:color="auto"/>
            <w:right w:val="none" w:sz="0" w:space="0" w:color="auto"/>
          </w:divBdr>
        </w:div>
        <w:div w:id="2079087675">
          <w:marLeft w:val="0"/>
          <w:marRight w:val="0"/>
          <w:marTop w:val="0"/>
          <w:marBottom w:val="0"/>
          <w:divBdr>
            <w:top w:val="none" w:sz="0" w:space="0" w:color="auto"/>
            <w:left w:val="none" w:sz="0" w:space="0" w:color="auto"/>
            <w:bottom w:val="none" w:sz="0" w:space="0" w:color="auto"/>
            <w:right w:val="none" w:sz="0" w:space="0" w:color="auto"/>
          </w:divBdr>
        </w:div>
        <w:div w:id="2146312688">
          <w:marLeft w:val="0"/>
          <w:marRight w:val="0"/>
          <w:marTop w:val="0"/>
          <w:marBottom w:val="0"/>
          <w:divBdr>
            <w:top w:val="none" w:sz="0" w:space="0" w:color="auto"/>
            <w:left w:val="none" w:sz="0" w:space="0" w:color="auto"/>
            <w:bottom w:val="none" w:sz="0" w:space="0" w:color="auto"/>
            <w:right w:val="none" w:sz="0" w:space="0" w:color="auto"/>
          </w:divBdr>
        </w:div>
      </w:divsChild>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5632846">
      <w:bodyDiv w:val="1"/>
      <w:marLeft w:val="0"/>
      <w:marRight w:val="0"/>
      <w:marTop w:val="0"/>
      <w:marBottom w:val="0"/>
      <w:divBdr>
        <w:top w:val="none" w:sz="0" w:space="0" w:color="auto"/>
        <w:left w:val="none" w:sz="0" w:space="0" w:color="auto"/>
        <w:bottom w:val="none" w:sz="0" w:space="0" w:color="auto"/>
        <w:right w:val="none" w:sz="0" w:space="0" w:color="auto"/>
      </w:divBdr>
      <w:divsChild>
        <w:div w:id="439647635">
          <w:marLeft w:val="0"/>
          <w:marRight w:val="0"/>
          <w:marTop w:val="0"/>
          <w:marBottom w:val="0"/>
          <w:divBdr>
            <w:top w:val="none" w:sz="0" w:space="0" w:color="auto"/>
            <w:left w:val="none" w:sz="0" w:space="0" w:color="auto"/>
            <w:bottom w:val="none" w:sz="0" w:space="0" w:color="auto"/>
            <w:right w:val="none" w:sz="0" w:space="0" w:color="auto"/>
          </w:divBdr>
        </w:div>
        <w:div w:id="567346809">
          <w:marLeft w:val="0"/>
          <w:marRight w:val="0"/>
          <w:marTop w:val="0"/>
          <w:marBottom w:val="0"/>
          <w:divBdr>
            <w:top w:val="none" w:sz="0" w:space="0" w:color="auto"/>
            <w:left w:val="none" w:sz="0" w:space="0" w:color="auto"/>
            <w:bottom w:val="none" w:sz="0" w:space="0" w:color="auto"/>
            <w:right w:val="none" w:sz="0" w:space="0" w:color="auto"/>
          </w:divBdr>
        </w:div>
        <w:div w:id="1478572011">
          <w:marLeft w:val="0"/>
          <w:marRight w:val="0"/>
          <w:marTop w:val="0"/>
          <w:marBottom w:val="0"/>
          <w:divBdr>
            <w:top w:val="none" w:sz="0" w:space="0" w:color="auto"/>
            <w:left w:val="none" w:sz="0" w:space="0" w:color="auto"/>
            <w:bottom w:val="none" w:sz="0" w:space="0" w:color="auto"/>
            <w:right w:val="none" w:sz="0" w:space="0" w:color="auto"/>
          </w:divBdr>
        </w:div>
      </w:divsChild>
    </w:div>
    <w:div w:id="1104808388">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189026081">
      <w:bodyDiv w:val="1"/>
      <w:marLeft w:val="0"/>
      <w:marRight w:val="0"/>
      <w:marTop w:val="0"/>
      <w:marBottom w:val="0"/>
      <w:divBdr>
        <w:top w:val="none" w:sz="0" w:space="0" w:color="auto"/>
        <w:left w:val="none" w:sz="0" w:space="0" w:color="auto"/>
        <w:bottom w:val="none" w:sz="0" w:space="0" w:color="auto"/>
        <w:right w:val="none" w:sz="0" w:space="0" w:color="auto"/>
      </w:divBdr>
      <w:divsChild>
        <w:div w:id="306056080">
          <w:marLeft w:val="0"/>
          <w:marRight w:val="0"/>
          <w:marTop w:val="0"/>
          <w:marBottom w:val="0"/>
          <w:divBdr>
            <w:top w:val="none" w:sz="0" w:space="0" w:color="auto"/>
            <w:left w:val="none" w:sz="0" w:space="0" w:color="auto"/>
            <w:bottom w:val="none" w:sz="0" w:space="0" w:color="auto"/>
            <w:right w:val="none" w:sz="0" w:space="0" w:color="auto"/>
          </w:divBdr>
        </w:div>
        <w:div w:id="756749440">
          <w:marLeft w:val="0"/>
          <w:marRight w:val="0"/>
          <w:marTop w:val="0"/>
          <w:marBottom w:val="0"/>
          <w:divBdr>
            <w:top w:val="none" w:sz="0" w:space="0" w:color="auto"/>
            <w:left w:val="none" w:sz="0" w:space="0" w:color="auto"/>
            <w:bottom w:val="none" w:sz="0" w:space="0" w:color="auto"/>
            <w:right w:val="none" w:sz="0" w:space="0" w:color="auto"/>
          </w:divBdr>
        </w:div>
        <w:div w:id="1019114446">
          <w:marLeft w:val="0"/>
          <w:marRight w:val="0"/>
          <w:marTop w:val="0"/>
          <w:marBottom w:val="0"/>
          <w:divBdr>
            <w:top w:val="none" w:sz="0" w:space="0" w:color="auto"/>
            <w:left w:val="none" w:sz="0" w:space="0" w:color="auto"/>
            <w:bottom w:val="none" w:sz="0" w:space="0" w:color="auto"/>
            <w:right w:val="none" w:sz="0" w:space="0" w:color="auto"/>
          </w:divBdr>
        </w:div>
        <w:div w:id="1229806732">
          <w:marLeft w:val="0"/>
          <w:marRight w:val="0"/>
          <w:marTop w:val="0"/>
          <w:marBottom w:val="0"/>
          <w:divBdr>
            <w:top w:val="none" w:sz="0" w:space="0" w:color="auto"/>
            <w:left w:val="none" w:sz="0" w:space="0" w:color="auto"/>
            <w:bottom w:val="none" w:sz="0" w:space="0" w:color="auto"/>
            <w:right w:val="none" w:sz="0" w:space="0" w:color="auto"/>
          </w:divBdr>
        </w:div>
        <w:div w:id="1863008799">
          <w:marLeft w:val="0"/>
          <w:marRight w:val="0"/>
          <w:marTop w:val="0"/>
          <w:marBottom w:val="0"/>
          <w:divBdr>
            <w:top w:val="none" w:sz="0" w:space="0" w:color="auto"/>
            <w:left w:val="none" w:sz="0" w:space="0" w:color="auto"/>
            <w:bottom w:val="none" w:sz="0" w:space="0" w:color="auto"/>
            <w:right w:val="none" w:sz="0" w:space="0" w:color="auto"/>
          </w:divBdr>
        </w:div>
      </w:divsChild>
    </w:div>
    <w:div w:id="1203246482">
      <w:bodyDiv w:val="1"/>
      <w:marLeft w:val="0"/>
      <w:marRight w:val="0"/>
      <w:marTop w:val="0"/>
      <w:marBottom w:val="0"/>
      <w:divBdr>
        <w:top w:val="none" w:sz="0" w:space="0" w:color="auto"/>
        <w:left w:val="none" w:sz="0" w:space="0" w:color="auto"/>
        <w:bottom w:val="none" w:sz="0" w:space="0" w:color="auto"/>
        <w:right w:val="none" w:sz="0" w:space="0" w:color="auto"/>
      </w:divBdr>
      <w:divsChild>
        <w:div w:id="38481003">
          <w:marLeft w:val="0"/>
          <w:marRight w:val="0"/>
          <w:marTop w:val="0"/>
          <w:marBottom w:val="0"/>
          <w:divBdr>
            <w:top w:val="none" w:sz="0" w:space="0" w:color="auto"/>
            <w:left w:val="none" w:sz="0" w:space="0" w:color="auto"/>
            <w:bottom w:val="none" w:sz="0" w:space="0" w:color="auto"/>
            <w:right w:val="none" w:sz="0" w:space="0" w:color="auto"/>
          </w:divBdr>
        </w:div>
        <w:div w:id="44373007">
          <w:marLeft w:val="0"/>
          <w:marRight w:val="0"/>
          <w:marTop w:val="0"/>
          <w:marBottom w:val="0"/>
          <w:divBdr>
            <w:top w:val="none" w:sz="0" w:space="0" w:color="auto"/>
            <w:left w:val="none" w:sz="0" w:space="0" w:color="auto"/>
            <w:bottom w:val="none" w:sz="0" w:space="0" w:color="auto"/>
            <w:right w:val="none" w:sz="0" w:space="0" w:color="auto"/>
          </w:divBdr>
        </w:div>
        <w:div w:id="48116805">
          <w:marLeft w:val="0"/>
          <w:marRight w:val="0"/>
          <w:marTop w:val="0"/>
          <w:marBottom w:val="0"/>
          <w:divBdr>
            <w:top w:val="none" w:sz="0" w:space="0" w:color="auto"/>
            <w:left w:val="none" w:sz="0" w:space="0" w:color="auto"/>
            <w:bottom w:val="none" w:sz="0" w:space="0" w:color="auto"/>
            <w:right w:val="none" w:sz="0" w:space="0" w:color="auto"/>
          </w:divBdr>
        </w:div>
        <w:div w:id="154495248">
          <w:marLeft w:val="0"/>
          <w:marRight w:val="0"/>
          <w:marTop w:val="0"/>
          <w:marBottom w:val="0"/>
          <w:divBdr>
            <w:top w:val="none" w:sz="0" w:space="0" w:color="auto"/>
            <w:left w:val="none" w:sz="0" w:space="0" w:color="auto"/>
            <w:bottom w:val="none" w:sz="0" w:space="0" w:color="auto"/>
            <w:right w:val="none" w:sz="0" w:space="0" w:color="auto"/>
          </w:divBdr>
        </w:div>
        <w:div w:id="157575221">
          <w:marLeft w:val="0"/>
          <w:marRight w:val="0"/>
          <w:marTop w:val="0"/>
          <w:marBottom w:val="0"/>
          <w:divBdr>
            <w:top w:val="none" w:sz="0" w:space="0" w:color="auto"/>
            <w:left w:val="none" w:sz="0" w:space="0" w:color="auto"/>
            <w:bottom w:val="none" w:sz="0" w:space="0" w:color="auto"/>
            <w:right w:val="none" w:sz="0" w:space="0" w:color="auto"/>
          </w:divBdr>
        </w:div>
        <w:div w:id="187060657">
          <w:marLeft w:val="0"/>
          <w:marRight w:val="0"/>
          <w:marTop w:val="0"/>
          <w:marBottom w:val="0"/>
          <w:divBdr>
            <w:top w:val="none" w:sz="0" w:space="0" w:color="auto"/>
            <w:left w:val="none" w:sz="0" w:space="0" w:color="auto"/>
            <w:bottom w:val="none" w:sz="0" w:space="0" w:color="auto"/>
            <w:right w:val="none" w:sz="0" w:space="0" w:color="auto"/>
          </w:divBdr>
        </w:div>
        <w:div w:id="191769865">
          <w:marLeft w:val="0"/>
          <w:marRight w:val="0"/>
          <w:marTop w:val="0"/>
          <w:marBottom w:val="0"/>
          <w:divBdr>
            <w:top w:val="none" w:sz="0" w:space="0" w:color="auto"/>
            <w:left w:val="none" w:sz="0" w:space="0" w:color="auto"/>
            <w:bottom w:val="none" w:sz="0" w:space="0" w:color="auto"/>
            <w:right w:val="none" w:sz="0" w:space="0" w:color="auto"/>
          </w:divBdr>
        </w:div>
        <w:div w:id="194082249">
          <w:marLeft w:val="0"/>
          <w:marRight w:val="0"/>
          <w:marTop w:val="0"/>
          <w:marBottom w:val="0"/>
          <w:divBdr>
            <w:top w:val="none" w:sz="0" w:space="0" w:color="auto"/>
            <w:left w:val="none" w:sz="0" w:space="0" w:color="auto"/>
            <w:bottom w:val="none" w:sz="0" w:space="0" w:color="auto"/>
            <w:right w:val="none" w:sz="0" w:space="0" w:color="auto"/>
          </w:divBdr>
        </w:div>
        <w:div w:id="206259453">
          <w:marLeft w:val="0"/>
          <w:marRight w:val="0"/>
          <w:marTop w:val="0"/>
          <w:marBottom w:val="0"/>
          <w:divBdr>
            <w:top w:val="none" w:sz="0" w:space="0" w:color="auto"/>
            <w:left w:val="none" w:sz="0" w:space="0" w:color="auto"/>
            <w:bottom w:val="none" w:sz="0" w:space="0" w:color="auto"/>
            <w:right w:val="none" w:sz="0" w:space="0" w:color="auto"/>
          </w:divBdr>
        </w:div>
        <w:div w:id="280383467">
          <w:marLeft w:val="0"/>
          <w:marRight w:val="0"/>
          <w:marTop w:val="0"/>
          <w:marBottom w:val="0"/>
          <w:divBdr>
            <w:top w:val="none" w:sz="0" w:space="0" w:color="auto"/>
            <w:left w:val="none" w:sz="0" w:space="0" w:color="auto"/>
            <w:bottom w:val="none" w:sz="0" w:space="0" w:color="auto"/>
            <w:right w:val="none" w:sz="0" w:space="0" w:color="auto"/>
          </w:divBdr>
        </w:div>
        <w:div w:id="288512390">
          <w:marLeft w:val="0"/>
          <w:marRight w:val="0"/>
          <w:marTop w:val="0"/>
          <w:marBottom w:val="0"/>
          <w:divBdr>
            <w:top w:val="none" w:sz="0" w:space="0" w:color="auto"/>
            <w:left w:val="none" w:sz="0" w:space="0" w:color="auto"/>
            <w:bottom w:val="none" w:sz="0" w:space="0" w:color="auto"/>
            <w:right w:val="none" w:sz="0" w:space="0" w:color="auto"/>
          </w:divBdr>
        </w:div>
        <w:div w:id="325548682">
          <w:marLeft w:val="0"/>
          <w:marRight w:val="0"/>
          <w:marTop w:val="0"/>
          <w:marBottom w:val="0"/>
          <w:divBdr>
            <w:top w:val="none" w:sz="0" w:space="0" w:color="auto"/>
            <w:left w:val="none" w:sz="0" w:space="0" w:color="auto"/>
            <w:bottom w:val="none" w:sz="0" w:space="0" w:color="auto"/>
            <w:right w:val="none" w:sz="0" w:space="0" w:color="auto"/>
          </w:divBdr>
        </w:div>
        <w:div w:id="397172280">
          <w:marLeft w:val="0"/>
          <w:marRight w:val="0"/>
          <w:marTop w:val="0"/>
          <w:marBottom w:val="0"/>
          <w:divBdr>
            <w:top w:val="none" w:sz="0" w:space="0" w:color="auto"/>
            <w:left w:val="none" w:sz="0" w:space="0" w:color="auto"/>
            <w:bottom w:val="none" w:sz="0" w:space="0" w:color="auto"/>
            <w:right w:val="none" w:sz="0" w:space="0" w:color="auto"/>
          </w:divBdr>
        </w:div>
        <w:div w:id="412971945">
          <w:marLeft w:val="0"/>
          <w:marRight w:val="0"/>
          <w:marTop w:val="0"/>
          <w:marBottom w:val="0"/>
          <w:divBdr>
            <w:top w:val="none" w:sz="0" w:space="0" w:color="auto"/>
            <w:left w:val="none" w:sz="0" w:space="0" w:color="auto"/>
            <w:bottom w:val="none" w:sz="0" w:space="0" w:color="auto"/>
            <w:right w:val="none" w:sz="0" w:space="0" w:color="auto"/>
          </w:divBdr>
        </w:div>
        <w:div w:id="497619960">
          <w:marLeft w:val="0"/>
          <w:marRight w:val="0"/>
          <w:marTop w:val="0"/>
          <w:marBottom w:val="0"/>
          <w:divBdr>
            <w:top w:val="none" w:sz="0" w:space="0" w:color="auto"/>
            <w:left w:val="none" w:sz="0" w:space="0" w:color="auto"/>
            <w:bottom w:val="none" w:sz="0" w:space="0" w:color="auto"/>
            <w:right w:val="none" w:sz="0" w:space="0" w:color="auto"/>
          </w:divBdr>
        </w:div>
        <w:div w:id="502009352">
          <w:marLeft w:val="0"/>
          <w:marRight w:val="0"/>
          <w:marTop w:val="0"/>
          <w:marBottom w:val="0"/>
          <w:divBdr>
            <w:top w:val="none" w:sz="0" w:space="0" w:color="auto"/>
            <w:left w:val="none" w:sz="0" w:space="0" w:color="auto"/>
            <w:bottom w:val="none" w:sz="0" w:space="0" w:color="auto"/>
            <w:right w:val="none" w:sz="0" w:space="0" w:color="auto"/>
          </w:divBdr>
        </w:div>
        <w:div w:id="511996432">
          <w:marLeft w:val="0"/>
          <w:marRight w:val="0"/>
          <w:marTop w:val="0"/>
          <w:marBottom w:val="0"/>
          <w:divBdr>
            <w:top w:val="none" w:sz="0" w:space="0" w:color="auto"/>
            <w:left w:val="none" w:sz="0" w:space="0" w:color="auto"/>
            <w:bottom w:val="none" w:sz="0" w:space="0" w:color="auto"/>
            <w:right w:val="none" w:sz="0" w:space="0" w:color="auto"/>
          </w:divBdr>
        </w:div>
        <w:div w:id="512301599">
          <w:marLeft w:val="0"/>
          <w:marRight w:val="0"/>
          <w:marTop w:val="0"/>
          <w:marBottom w:val="0"/>
          <w:divBdr>
            <w:top w:val="none" w:sz="0" w:space="0" w:color="auto"/>
            <w:left w:val="none" w:sz="0" w:space="0" w:color="auto"/>
            <w:bottom w:val="none" w:sz="0" w:space="0" w:color="auto"/>
            <w:right w:val="none" w:sz="0" w:space="0" w:color="auto"/>
          </w:divBdr>
        </w:div>
        <w:div w:id="516387919">
          <w:marLeft w:val="0"/>
          <w:marRight w:val="0"/>
          <w:marTop w:val="0"/>
          <w:marBottom w:val="0"/>
          <w:divBdr>
            <w:top w:val="none" w:sz="0" w:space="0" w:color="auto"/>
            <w:left w:val="none" w:sz="0" w:space="0" w:color="auto"/>
            <w:bottom w:val="none" w:sz="0" w:space="0" w:color="auto"/>
            <w:right w:val="none" w:sz="0" w:space="0" w:color="auto"/>
          </w:divBdr>
        </w:div>
        <w:div w:id="521238427">
          <w:marLeft w:val="0"/>
          <w:marRight w:val="0"/>
          <w:marTop w:val="0"/>
          <w:marBottom w:val="0"/>
          <w:divBdr>
            <w:top w:val="none" w:sz="0" w:space="0" w:color="auto"/>
            <w:left w:val="none" w:sz="0" w:space="0" w:color="auto"/>
            <w:bottom w:val="none" w:sz="0" w:space="0" w:color="auto"/>
            <w:right w:val="none" w:sz="0" w:space="0" w:color="auto"/>
          </w:divBdr>
        </w:div>
        <w:div w:id="538857158">
          <w:marLeft w:val="0"/>
          <w:marRight w:val="0"/>
          <w:marTop w:val="0"/>
          <w:marBottom w:val="0"/>
          <w:divBdr>
            <w:top w:val="none" w:sz="0" w:space="0" w:color="auto"/>
            <w:left w:val="none" w:sz="0" w:space="0" w:color="auto"/>
            <w:bottom w:val="none" w:sz="0" w:space="0" w:color="auto"/>
            <w:right w:val="none" w:sz="0" w:space="0" w:color="auto"/>
          </w:divBdr>
        </w:div>
        <w:div w:id="586773952">
          <w:marLeft w:val="0"/>
          <w:marRight w:val="0"/>
          <w:marTop w:val="0"/>
          <w:marBottom w:val="0"/>
          <w:divBdr>
            <w:top w:val="none" w:sz="0" w:space="0" w:color="auto"/>
            <w:left w:val="none" w:sz="0" w:space="0" w:color="auto"/>
            <w:bottom w:val="none" w:sz="0" w:space="0" w:color="auto"/>
            <w:right w:val="none" w:sz="0" w:space="0" w:color="auto"/>
          </w:divBdr>
        </w:div>
        <w:div w:id="593167618">
          <w:marLeft w:val="0"/>
          <w:marRight w:val="0"/>
          <w:marTop w:val="0"/>
          <w:marBottom w:val="0"/>
          <w:divBdr>
            <w:top w:val="none" w:sz="0" w:space="0" w:color="auto"/>
            <w:left w:val="none" w:sz="0" w:space="0" w:color="auto"/>
            <w:bottom w:val="none" w:sz="0" w:space="0" w:color="auto"/>
            <w:right w:val="none" w:sz="0" w:space="0" w:color="auto"/>
          </w:divBdr>
        </w:div>
        <w:div w:id="620376673">
          <w:marLeft w:val="0"/>
          <w:marRight w:val="0"/>
          <w:marTop w:val="0"/>
          <w:marBottom w:val="0"/>
          <w:divBdr>
            <w:top w:val="none" w:sz="0" w:space="0" w:color="auto"/>
            <w:left w:val="none" w:sz="0" w:space="0" w:color="auto"/>
            <w:bottom w:val="none" w:sz="0" w:space="0" w:color="auto"/>
            <w:right w:val="none" w:sz="0" w:space="0" w:color="auto"/>
          </w:divBdr>
        </w:div>
        <w:div w:id="625430623">
          <w:marLeft w:val="0"/>
          <w:marRight w:val="0"/>
          <w:marTop w:val="0"/>
          <w:marBottom w:val="0"/>
          <w:divBdr>
            <w:top w:val="none" w:sz="0" w:space="0" w:color="auto"/>
            <w:left w:val="none" w:sz="0" w:space="0" w:color="auto"/>
            <w:bottom w:val="none" w:sz="0" w:space="0" w:color="auto"/>
            <w:right w:val="none" w:sz="0" w:space="0" w:color="auto"/>
          </w:divBdr>
        </w:div>
        <w:div w:id="632444875">
          <w:marLeft w:val="0"/>
          <w:marRight w:val="0"/>
          <w:marTop w:val="0"/>
          <w:marBottom w:val="0"/>
          <w:divBdr>
            <w:top w:val="none" w:sz="0" w:space="0" w:color="auto"/>
            <w:left w:val="none" w:sz="0" w:space="0" w:color="auto"/>
            <w:bottom w:val="none" w:sz="0" w:space="0" w:color="auto"/>
            <w:right w:val="none" w:sz="0" w:space="0" w:color="auto"/>
          </w:divBdr>
        </w:div>
        <w:div w:id="664404803">
          <w:marLeft w:val="0"/>
          <w:marRight w:val="0"/>
          <w:marTop w:val="0"/>
          <w:marBottom w:val="0"/>
          <w:divBdr>
            <w:top w:val="none" w:sz="0" w:space="0" w:color="auto"/>
            <w:left w:val="none" w:sz="0" w:space="0" w:color="auto"/>
            <w:bottom w:val="none" w:sz="0" w:space="0" w:color="auto"/>
            <w:right w:val="none" w:sz="0" w:space="0" w:color="auto"/>
          </w:divBdr>
        </w:div>
        <w:div w:id="742292583">
          <w:marLeft w:val="0"/>
          <w:marRight w:val="0"/>
          <w:marTop w:val="0"/>
          <w:marBottom w:val="0"/>
          <w:divBdr>
            <w:top w:val="none" w:sz="0" w:space="0" w:color="auto"/>
            <w:left w:val="none" w:sz="0" w:space="0" w:color="auto"/>
            <w:bottom w:val="none" w:sz="0" w:space="0" w:color="auto"/>
            <w:right w:val="none" w:sz="0" w:space="0" w:color="auto"/>
          </w:divBdr>
        </w:div>
        <w:div w:id="745300153">
          <w:marLeft w:val="0"/>
          <w:marRight w:val="0"/>
          <w:marTop w:val="0"/>
          <w:marBottom w:val="0"/>
          <w:divBdr>
            <w:top w:val="none" w:sz="0" w:space="0" w:color="auto"/>
            <w:left w:val="none" w:sz="0" w:space="0" w:color="auto"/>
            <w:bottom w:val="none" w:sz="0" w:space="0" w:color="auto"/>
            <w:right w:val="none" w:sz="0" w:space="0" w:color="auto"/>
          </w:divBdr>
        </w:div>
        <w:div w:id="746851392">
          <w:marLeft w:val="0"/>
          <w:marRight w:val="0"/>
          <w:marTop w:val="0"/>
          <w:marBottom w:val="0"/>
          <w:divBdr>
            <w:top w:val="none" w:sz="0" w:space="0" w:color="auto"/>
            <w:left w:val="none" w:sz="0" w:space="0" w:color="auto"/>
            <w:bottom w:val="none" w:sz="0" w:space="0" w:color="auto"/>
            <w:right w:val="none" w:sz="0" w:space="0" w:color="auto"/>
          </w:divBdr>
        </w:div>
        <w:div w:id="767847182">
          <w:marLeft w:val="0"/>
          <w:marRight w:val="0"/>
          <w:marTop w:val="0"/>
          <w:marBottom w:val="0"/>
          <w:divBdr>
            <w:top w:val="none" w:sz="0" w:space="0" w:color="auto"/>
            <w:left w:val="none" w:sz="0" w:space="0" w:color="auto"/>
            <w:bottom w:val="none" w:sz="0" w:space="0" w:color="auto"/>
            <w:right w:val="none" w:sz="0" w:space="0" w:color="auto"/>
          </w:divBdr>
        </w:div>
        <w:div w:id="798299245">
          <w:marLeft w:val="0"/>
          <w:marRight w:val="0"/>
          <w:marTop w:val="0"/>
          <w:marBottom w:val="0"/>
          <w:divBdr>
            <w:top w:val="none" w:sz="0" w:space="0" w:color="auto"/>
            <w:left w:val="none" w:sz="0" w:space="0" w:color="auto"/>
            <w:bottom w:val="none" w:sz="0" w:space="0" w:color="auto"/>
            <w:right w:val="none" w:sz="0" w:space="0" w:color="auto"/>
          </w:divBdr>
        </w:div>
        <w:div w:id="798573304">
          <w:marLeft w:val="0"/>
          <w:marRight w:val="0"/>
          <w:marTop w:val="0"/>
          <w:marBottom w:val="0"/>
          <w:divBdr>
            <w:top w:val="none" w:sz="0" w:space="0" w:color="auto"/>
            <w:left w:val="none" w:sz="0" w:space="0" w:color="auto"/>
            <w:bottom w:val="none" w:sz="0" w:space="0" w:color="auto"/>
            <w:right w:val="none" w:sz="0" w:space="0" w:color="auto"/>
          </w:divBdr>
        </w:div>
        <w:div w:id="826440814">
          <w:marLeft w:val="0"/>
          <w:marRight w:val="0"/>
          <w:marTop w:val="0"/>
          <w:marBottom w:val="0"/>
          <w:divBdr>
            <w:top w:val="none" w:sz="0" w:space="0" w:color="auto"/>
            <w:left w:val="none" w:sz="0" w:space="0" w:color="auto"/>
            <w:bottom w:val="none" w:sz="0" w:space="0" w:color="auto"/>
            <w:right w:val="none" w:sz="0" w:space="0" w:color="auto"/>
          </w:divBdr>
        </w:div>
        <w:div w:id="828519240">
          <w:marLeft w:val="0"/>
          <w:marRight w:val="0"/>
          <w:marTop w:val="0"/>
          <w:marBottom w:val="0"/>
          <w:divBdr>
            <w:top w:val="none" w:sz="0" w:space="0" w:color="auto"/>
            <w:left w:val="none" w:sz="0" w:space="0" w:color="auto"/>
            <w:bottom w:val="none" w:sz="0" w:space="0" w:color="auto"/>
            <w:right w:val="none" w:sz="0" w:space="0" w:color="auto"/>
          </w:divBdr>
        </w:div>
        <w:div w:id="844245225">
          <w:marLeft w:val="0"/>
          <w:marRight w:val="0"/>
          <w:marTop w:val="0"/>
          <w:marBottom w:val="0"/>
          <w:divBdr>
            <w:top w:val="none" w:sz="0" w:space="0" w:color="auto"/>
            <w:left w:val="none" w:sz="0" w:space="0" w:color="auto"/>
            <w:bottom w:val="none" w:sz="0" w:space="0" w:color="auto"/>
            <w:right w:val="none" w:sz="0" w:space="0" w:color="auto"/>
          </w:divBdr>
        </w:div>
        <w:div w:id="867840976">
          <w:marLeft w:val="0"/>
          <w:marRight w:val="0"/>
          <w:marTop w:val="0"/>
          <w:marBottom w:val="0"/>
          <w:divBdr>
            <w:top w:val="none" w:sz="0" w:space="0" w:color="auto"/>
            <w:left w:val="none" w:sz="0" w:space="0" w:color="auto"/>
            <w:bottom w:val="none" w:sz="0" w:space="0" w:color="auto"/>
            <w:right w:val="none" w:sz="0" w:space="0" w:color="auto"/>
          </w:divBdr>
        </w:div>
        <w:div w:id="891888414">
          <w:marLeft w:val="0"/>
          <w:marRight w:val="0"/>
          <w:marTop w:val="0"/>
          <w:marBottom w:val="0"/>
          <w:divBdr>
            <w:top w:val="none" w:sz="0" w:space="0" w:color="auto"/>
            <w:left w:val="none" w:sz="0" w:space="0" w:color="auto"/>
            <w:bottom w:val="none" w:sz="0" w:space="0" w:color="auto"/>
            <w:right w:val="none" w:sz="0" w:space="0" w:color="auto"/>
          </w:divBdr>
        </w:div>
        <w:div w:id="897057160">
          <w:marLeft w:val="0"/>
          <w:marRight w:val="0"/>
          <w:marTop w:val="0"/>
          <w:marBottom w:val="0"/>
          <w:divBdr>
            <w:top w:val="none" w:sz="0" w:space="0" w:color="auto"/>
            <w:left w:val="none" w:sz="0" w:space="0" w:color="auto"/>
            <w:bottom w:val="none" w:sz="0" w:space="0" w:color="auto"/>
            <w:right w:val="none" w:sz="0" w:space="0" w:color="auto"/>
          </w:divBdr>
        </w:div>
        <w:div w:id="923346436">
          <w:marLeft w:val="0"/>
          <w:marRight w:val="0"/>
          <w:marTop w:val="0"/>
          <w:marBottom w:val="0"/>
          <w:divBdr>
            <w:top w:val="none" w:sz="0" w:space="0" w:color="auto"/>
            <w:left w:val="none" w:sz="0" w:space="0" w:color="auto"/>
            <w:bottom w:val="none" w:sz="0" w:space="0" w:color="auto"/>
            <w:right w:val="none" w:sz="0" w:space="0" w:color="auto"/>
          </w:divBdr>
        </w:div>
        <w:div w:id="935214098">
          <w:marLeft w:val="0"/>
          <w:marRight w:val="0"/>
          <w:marTop w:val="0"/>
          <w:marBottom w:val="0"/>
          <w:divBdr>
            <w:top w:val="none" w:sz="0" w:space="0" w:color="auto"/>
            <w:left w:val="none" w:sz="0" w:space="0" w:color="auto"/>
            <w:bottom w:val="none" w:sz="0" w:space="0" w:color="auto"/>
            <w:right w:val="none" w:sz="0" w:space="0" w:color="auto"/>
          </w:divBdr>
        </w:div>
        <w:div w:id="940726126">
          <w:marLeft w:val="0"/>
          <w:marRight w:val="0"/>
          <w:marTop w:val="0"/>
          <w:marBottom w:val="0"/>
          <w:divBdr>
            <w:top w:val="none" w:sz="0" w:space="0" w:color="auto"/>
            <w:left w:val="none" w:sz="0" w:space="0" w:color="auto"/>
            <w:bottom w:val="none" w:sz="0" w:space="0" w:color="auto"/>
            <w:right w:val="none" w:sz="0" w:space="0" w:color="auto"/>
          </w:divBdr>
        </w:div>
        <w:div w:id="955866955">
          <w:marLeft w:val="0"/>
          <w:marRight w:val="0"/>
          <w:marTop w:val="0"/>
          <w:marBottom w:val="0"/>
          <w:divBdr>
            <w:top w:val="none" w:sz="0" w:space="0" w:color="auto"/>
            <w:left w:val="none" w:sz="0" w:space="0" w:color="auto"/>
            <w:bottom w:val="none" w:sz="0" w:space="0" w:color="auto"/>
            <w:right w:val="none" w:sz="0" w:space="0" w:color="auto"/>
          </w:divBdr>
        </w:div>
        <w:div w:id="972246555">
          <w:marLeft w:val="0"/>
          <w:marRight w:val="0"/>
          <w:marTop w:val="0"/>
          <w:marBottom w:val="0"/>
          <w:divBdr>
            <w:top w:val="none" w:sz="0" w:space="0" w:color="auto"/>
            <w:left w:val="none" w:sz="0" w:space="0" w:color="auto"/>
            <w:bottom w:val="none" w:sz="0" w:space="0" w:color="auto"/>
            <w:right w:val="none" w:sz="0" w:space="0" w:color="auto"/>
          </w:divBdr>
        </w:div>
        <w:div w:id="986128827">
          <w:marLeft w:val="0"/>
          <w:marRight w:val="0"/>
          <w:marTop w:val="0"/>
          <w:marBottom w:val="0"/>
          <w:divBdr>
            <w:top w:val="none" w:sz="0" w:space="0" w:color="auto"/>
            <w:left w:val="none" w:sz="0" w:space="0" w:color="auto"/>
            <w:bottom w:val="none" w:sz="0" w:space="0" w:color="auto"/>
            <w:right w:val="none" w:sz="0" w:space="0" w:color="auto"/>
          </w:divBdr>
        </w:div>
        <w:div w:id="1042559989">
          <w:marLeft w:val="0"/>
          <w:marRight w:val="0"/>
          <w:marTop w:val="0"/>
          <w:marBottom w:val="0"/>
          <w:divBdr>
            <w:top w:val="none" w:sz="0" w:space="0" w:color="auto"/>
            <w:left w:val="none" w:sz="0" w:space="0" w:color="auto"/>
            <w:bottom w:val="none" w:sz="0" w:space="0" w:color="auto"/>
            <w:right w:val="none" w:sz="0" w:space="0" w:color="auto"/>
          </w:divBdr>
        </w:div>
        <w:div w:id="1054281104">
          <w:marLeft w:val="0"/>
          <w:marRight w:val="0"/>
          <w:marTop w:val="0"/>
          <w:marBottom w:val="0"/>
          <w:divBdr>
            <w:top w:val="none" w:sz="0" w:space="0" w:color="auto"/>
            <w:left w:val="none" w:sz="0" w:space="0" w:color="auto"/>
            <w:bottom w:val="none" w:sz="0" w:space="0" w:color="auto"/>
            <w:right w:val="none" w:sz="0" w:space="0" w:color="auto"/>
          </w:divBdr>
        </w:div>
        <w:div w:id="1094786818">
          <w:marLeft w:val="0"/>
          <w:marRight w:val="0"/>
          <w:marTop w:val="0"/>
          <w:marBottom w:val="0"/>
          <w:divBdr>
            <w:top w:val="none" w:sz="0" w:space="0" w:color="auto"/>
            <w:left w:val="none" w:sz="0" w:space="0" w:color="auto"/>
            <w:bottom w:val="none" w:sz="0" w:space="0" w:color="auto"/>
            <w:right w:val="none" w:sz="0" w:space="0" w:color="auto"/>
          </w:divBdr>
        </w:div>
        <w:div w:id="1104157294">
          <w:marLeft w:val="0"/>
          <w:marRight w:val="0"/>
          <w:marTop w:val="0"/>
          <w:marBottom w:val="0"/>
          <w:divBdr>
            <w:top w:val="none" w:sz="0" w:space="0" w:color="auto"/>
            <w:left w:val="none" w:sz="0" w:space="0" w:color="auto"/>
            <w:bottom w:val="none" w:sz="0" w:space="0" w:color="auto"/>
            <w:right w:val="none" w:sz="0" w:space="0" w:color="auto"/>
          </w:divBdr>
        </w:div>
        <w:div w:id="1112869180">
          <w:marLeft w:val="0"/>
          <w:marRight w:val="0"/>
          <w:marTop w:val="0"/>
          <w:marBottom w:val="0"/>
          <w:divBdr>
            <w:top w:val="none" w:sz="0" w:space="0" w:color="auto"/>
            <w:left w:val="none" w:sz="0" w:space="0" w:color="auto"/>
            <w:bottom w:val="none" w:sz="0" w:space="0" w:color="auto"/>
            <w:right w:val="none" w:sz="0" w:space="0" w:color="auto"/>
          </w:divBdr>
        </w:div>
        <w:div w:id="1161235386">
          <w:marLeft w:val="0"/>
          <w:marRight w:val="0"/>
          <w:marTop w:val="0"/>
          <w:marBottom w:val="0"/>
          <w:divBdr>
            <w:top w:val="none" w:sz="0" w:space="0" w:color="auto"/>
            <w:left w:val="none" w:sz="0" w:space="0" w:color="auto"/>
            <w:bottom w:val="none" w:sz="0" w:space="0" w:color="auto"/>
            <w:right w:val="none" w:sz="0" w:space="0" w:color="auto"/>
          </w:divBdr>
        </w:div>
        <w:div w:id="1162425114">
          <w:marLeft w:val="0"/>
          <w:marRight w:val="0"/>
          <w:marTop w:val="0"/>
          <w:marBottom w:val="0"/>
          <w:divBdr>
            <w:top w:val="none" w:sz="0" w:space="0" w:color="auto"/>
            <w:left w:val="none" w:sz="0" w:space="0" w:color="auto"/>
            <w:bottom w:val="none" w:sz="0" w:space="0" w:color="auto"/>
            <w:right w:val="none" w:sz="0" w:space="0" w:color="auto"/>
          </w:divBdr>
        </w:div>
        <w:div w:id="1183858443">
          <w:marLeft w:val="0"/>
          <w:marRight w:val="0"/>
          <w:marTop w:val="0"/>
          <w:marBottom w:val="0"/>
          <w:divBdr>
            <w:top w:val="none" w:sz="0" w:space="0" w:color="auto"/>
            <w:left w:val="none" w:sz="0" w:space="0" w:color="auto"/>
            <w:bottom w:val="none" w:sz="0" w:space="0" w:color="auto"/>
            <w:right w:val="none" w:sz="0" w:space="0" w:color="auto"/>
          </w:divBdr>
        </w:div>
        <w:div w:id="1216697775">
          <w:marLeft w:val="0"/>
          <w:marRight w:val="0"/>
          <w:marTop w:val="0"/>
          <w:marBottom w:val="0"/>
          <w:divBdr>
            <w:top w:val="none" w:sz="0" w:space="0" w:color="auto"/>
            <w:left w:val="none" w:sz="0" w:space="0" w:color="auto"/>
            <w:bottom w:val="none" w:sz="0" w:space="0" w:color="auto"/>
            <w:right w:val="none" w:sz="0" w:space="0" w:color="auto"/>
          </w:divBdr>
        </w:div>
        <w:div w:id="1228107935">
          <w:marLeft w:val="0"/>
          <w:marRight w:val="0"/>
          <w:marTop w:val="0"/>
          <w:marBottom w:val="0"/>
          <w:divBdr>
            <w:top w:val="none" w:sz="0" w:space="0" w:color="auto"/>
            <w:left w:val="none" w:sz="0" w:space="0" w:color="auto"/>
            <w:bottom w:val="none" w:sz="0" w:space="0" w:color="auto"/>
            <w:right w:val="none" w:sz="0" w:space="0" w:color="auto"/>
          </w:divBdr>
        </w:div>
        <w:div w:id="1236823693">
          <w:marLeft w:val="0"/>
          <w:marRight w:val="0"/>
          <w:marTop w:val="0"/>
          <w:marBottom w:val="0"/>
          <w:divBdr>
            <w:top w:val="none" w:sz="0" w:space="0" w:color="auto"/>
            <w:left w:val="none" w:sz="0" w:space="0" w:color="auto"/>
            <w:bottom w:val="none" w:sz="0" w:space="0" w:color="auto"/>
            <w:right w:val="none" w:sz="0" w:space="0" w:color="auto"/>
          </w:divBdr>
        </w:div>
        <w:div w:id="1245800419">
          <w:marLeft w:val="0"/>
          <w:marRight w:val="0"/>
          <w:marTop w:val="0"/>
          <w:marBottom w:val="0"/>
          <w:divBdr>
            <w:top w:val="none" w:sz="0" w:space="0" w:color="auto"/>
            <w:left w:val="none" w:sz="0" w:space="0" w:color="auto"/>
            <w:bottom w:val="none" w:sz="0" w:space="0" w:color="auto"/>
            <w:right w:val="none" w:sz="0" w:space="0" w:color="auto"/>
          </w:divBdr>
        </w:div>
        <w:div w:id="1247109006">
          <w:marLeft w:val="0"/>
          <w:marRight w:val="0"/>
          <w:marTop w:val="0"/>
          <w:marBottom w:val="0"/>
          <w:divBdr>
            <w:top w:val="none" w:sz="0" w:space="0" w:color="auto"/>
            <w:left w:val="none" w:sz="0" w:space="0" w:color="auto"/>
            <w:bottom w:val="none" w:sz="0" w:space="0" w:color="auto"/>
            <w:right w:val="none" w:sz="0" w:space="0" w:color="auto"/>
          </w:divBdr>
        </w:div>
        <w:div w:id="1314795104">
          <w:marLeft w:val="0"/>
          <w:marRight w:val="0"/>
          <w:marTop w:val="0"/>
          <w:marBottom w:val="0"/>
          <w:divBdr>
            <w:top w:val="none" w:sz="0" w:space="0" w:color="auto"/>
            <w:left w:val="none" w:sz="0" w:space="0" w:color="auto"/>
            <w:bottom w:val="none" w:sz="0" w:space="0" w:color="auto"/>
            <w:right w:val="none" w:sz="0" w:space="0" w:color="auto"/>
          </w:divBdr>
        </w:div>
        <w:div w:id="1343974673">
          <w:marLeft w:val="0"/>
          <w:marRight w:val="0"/>
          <w:marTop w:val="0"/>
          <w:marBottom w:val="0"/>
          <w:divBdr>
            <w:top w:val="none" w:sz="0" w:space="0" w:color="auto"/>
            <w:left w:val="none" w:sz="0" w:space="0" w:color="auto"/>
            <w:bottom w:val="none" w:sz="0" w:space="0" w:color="auto"/>
            <w:right w:val="none" w:sz="0" w:space="0" w:color="auto"/>
          </w:divBdr>
        </w:div>
        <w:div w:id="1371302862">
          <w:marLeft w:val="0"/>
          <w:marRight w:val="0"/>
          <w:marTop w:val="0"/>
          <w:marBottom w:val="0"/>
          <w:divBdr>
            <w:top w:val="none" w:sz="0" w:space="0" w:color="auto"/>
            <w:left w:val="none" w:sz="0" w:space="0" w:color="auto"/>
            <w:bottom w:val="none" w:sz="0" w:space="0" w:color="auto"/>
            <w:right w:val="none" w:sz="0" w:space="0" w:color="auto"/>
          </w:divBdr>
        </w:div>
        <w:div w:id="1420249432">
          <w:marLeft w:val="0"/>
          <w:marRight w:val="0"/>
          <w:marTop w:val="0"/>
          <w:marBottom w:val="0"/>
          <w:divBdr>
            <w:top w:val="none" w:sz="0" w:space="0" w:color="auto"/>
            <w:left w:val="none" w:sz="0" w:space="0" w:color="auto"/>
            <w:bottom w:val="none" w:sz="0" w:space="0" w:color="auto"/>
            <w:right w:val="none" w:sz="0" w:space="0" w:color="auto"/>
          </w:divBdr>
        </w:div>
        <w:div w:id="1432046880">
          <w:marLeft w:val="0"/>
          <w:marRight w:val="0"/>
          <w:marTop w:val="0"/>
          <w:marBottom w:val="0"/>
          <w:divBdr>
            <w:top w:val="none" w:sz="0" w:space="0" w:color="auto"/>
            <w:left w:val="none" w:sz="0" w:space="0" w:color="auto"/>
            <w:bottom w:val="none" w:sz="0" w:space="0" w:color="auto"/>
            <w:right w:val="none" w:sz="0" w:space="0" w:color="auto"/>
          </w:divBdr>
        </w:div>
        <w:div w:id="1474372362">
          <w:marLeft w:val="0"/>
          <w:marRight w:val="0"/>
          <w:marTop w:val="0"/>
          <w:marBottom w:val="0"/>
          <w:divBdr>
            <w:top w:val="none" w:sz="0" w:space="0" w:color="auto"/>
            <w:left w:val="none" w:sz="0" w:space="0" w:color="auto"/>
            <w:bottom w:val="none" w:sz="0" w:space="0" w:color="auto"/>
            <w:right w:val="none" w:sz="0" w:space="0" w:color="auto"/>
          </w:divBdr>
        </w:div>
        <w:div w:id="1515458937">
          <w:marLeft w:val="0"/>
          <w:marRight w:val="0"/>
          <w:marTop w:val="0"/>
          <w:marBottom w:val="0"/>
          <w:divBdr>
            <w:top w:val="none" w:sz="0" w:space="0" w:color="auto"/>
            <w:left w:val="none" w:sz="0" w:space="0" w:color="auto"/>
            <w:bottom w:val="none" w:sz="0" w:space="0" w:color="auto"/>
            <w:right w:val="none" w:sz="0" w:space="0" w:color="auto"/>
          </w:divBdr>
        </w:div>
        <w:div w:id="1569415454">
          <w:marLeft w:val="0"/>
          <w:marRight w:val="0"/>
          <w:marTop w:val="0"/>
          <w:marBottom w:val="0"/>
          <w:divBdr>
            <w:top w:val="none" w:sz="0" w:space="0" w:color="auto"/>
            <w:left w:val="none" w:sz="0" w:space="0" w:color="auto"/>
            <w:bottom w:val="none" w:sz="0" w:space="0" w:color="auto"/>
            <w:right w:val="none" w:sz="0" w:space="0" w:color="auto"/>
          </w:divBdr>
        </w:div>
        <w:div w:id="1635283285">
          <w:marLeft w:val="0"/>
          <w:marRight w:val="0"/>
          <w:marTop w:val="0"/>
          <w:marBottom w:val="0"/>
          <w:divBdr>
            <w:top w:val="none" w:sz="0" w:space="0" w:color="auto"/>
            <w:left w:val="none" w:sz="0" w:space="0" w:color="auto"/>
            <w:bottom w:val="none" w:sz="0" w:space="0" w:color="auto"/>
            <w:right w:val="none" w:sz="0" w:space="0" w:color="auto"/>
          </w:divBdr>
        </w:div>
        <w:div w:id="1642005591">
          <w:marLeft w:val="0"/>
          <w:marRight w:val="0"/>
          <w:marTop w:val="0"/>
          <w:marBottom w:val="0"/>
          <w:divBdr>
            <w:top w:val="none" w:sz="0" w:space="0" w:color="auto"/>
            <w:left w:val="none" w:sz="0" w:space="0" w:color="auto"/>
            <w:bottom w:val="none" w:sz="0" w:space="0" w:color="auto"/>
            <w:right w:val="none" w:sz="0" w:space="0" w:color="auto"/>
          </w:divBdr>
        </w:div>
        <w:div w:id="1657412129">
          <w:marLeft w:val="0"/>
          <w:marRight w:val="0"/>
          <w:marTop w:val="0"/>
          <w:marBottom w:val="0"/>
          <w:divBdr>
            <w:top w:val="none" w:sz="0" w:space="0" w:color="auto"/>
            <w:left w:val="none" w:sz="0" w:space="0" w:color="auto"/>
            <w:bottom w:val="none" w:sz="0" w:space="0" w:color="auto"/>
            <w:right w:val="none" w:sz="0" w:space="0" w:color="auto"/>
          </w:divBdr>
        </w:div>
        <w:div w:id="1711421876">
          <w:marLeft w:val="0"/>
          <w:marRight w:val="0"/>
          <w:marTop w:val="0"/>
          <w:marBottom w:val="0"/>
          <w:divBdr>
            <w:top w:val="none" w:sz="0" w:space="0" w:color="auto"/>
            <w:left w:val="none" w:sz="0" w:space="0" w:color="auto"/>
            <w:bottom w:val="none" w:sz="0" w:space="0" w:color="auto"/>
            <w:right w:val="none" w:sz="0" w:space="0" w:color="auto"/>
          </w:divBdr>
        </w:div>
        <w:div w:id="1774009228">
          <w:marLeft w:val="0"/>
          <w:marRight w:val="0"/>
          <w:marTop w:val="0"/>
          <w:marBottom w:val="0"/>
          <w:divBdr>
            <w:top w:val="none" w:sz="0" w:space="0" w:color="auto"/>
            <w:left w:val="none" w:sz="0" w:space="0" w:color="auto"/>
            <w:bottom w:val="none" w:sz="0" w:space="0" w:color="auto"/>
            <w:right w:val="none" w:sz="0" w:space="0" w:color="auto"/>
          </w:divBdr>
        </w:div>
        <w:div w:id="1790930463">
          <w:marLeft w:val="0"/>
          <w:marRight w:val="0"/>
          <w:marTop w:val="0"/>
          <w:marBottom w:val="0"/>
          <w:divBdr>
            <w:top w:val="none" w:sz="0" w:space="0" w:color="auto"/>
            <w:left w:val="none" w:sz="0" w:space="0" w:color="auto"/>
            <w:bottom w:val="none" w:sz="0" w:space="0" w:color="auto"/>
            <w:right w:val="none" w:sz="0" w:space="0" w:color="auto"/>
          </w:divBdr>
        </w:div>
        <w:div w:id="1811172696">
          <w:marLeft w:val="0"/>
          <w:marRight w:val="0"/>
          <w:marTop w:val="0"/>
          <w:marBottom w:val="0"/>
          <w:divBdr>
            <w:top w:val="none" w:sz="0" w:space="0" w:color="auto"/>
            <w:left w:val="none" w:sz="0" w:space="0" w:color="auto"/>
            <w:bottom w:val="none" w:sz="0" w:space="0" w:color="auto"/>
            <w:right w:val="none" w:sz="0" w:space="0" w:color="auto"/>
          </w:divBdr>
        </w:div>
        <w:div w:id="1812013808">
          <w:marLeft w:val="0"/>
          <w:marRight w:val="0"/>
          <w:marTop w:val="0"/>
          <w:marBottom w:val="0"/>
          <w:divBdr>
            <w:top w:val="none" w:sz="0" w:space="0" w:color="auto"/>
            <w:left w:val="none" w:sz="0" w:space="0" w:color="auto"/>
            <w:bottom w:val="none" w:sz="0" w:space="0" w:color="auto"/>
            <w:right w:val="none" w:sz="0" w:space="0" w:color="auto"/>
          </w:divBdr>
        </w:div>
        <w:div w:id="1821923405">
          <w:marLeft w:val="0"/>
          <w:marRight w:val="0"/>
          <w:marTop w:val="0"/>
          <w:marBottom w:val="0"/>
          <w:divBdr>
            <w:top w:val="none" w:sz="0" w:space="0" w:color="auto"/>
            <w:left w:val="none" w:sz="0" w:space="0" w:color="auto"/>
            <w:bottom w:val="none" w:sz="0" w:space="0" w:color="auto"/>
            <w:right w:val="none" w:sz="0" w:space="0" w:color="auto"/>
          </w:divBdr>
        </w:div>
        <w:div w:id="1838687614">
          <w:marLeft w:val="0"/>
          <w:marRight w:val="0"/>
          <w:marTop w:val="0"/>
          <w:marBottom w:val="0"/>
          <w:divBdr>
            <w:top w:val="none" w:sz="0" w:space="0" w:color="auto"/>
            <w:left w:val="none" w:sz="0" w:space="0" w:color="auto"/>
            <w:bottom w:val="none" w:sz="0" w:space="0" w:color="auto"/>
            <w:right w:val="none" w:sz="0" w:space="0" w:color="auto"/>
          </w:divBdr>
        </w:div>
        <w:div w:id="1885099051">
          <w:marLeft w:val="0"/>
          <w:marRight w:val="0"/>
          <w:marTop w:val="0"/>
          <w:marBottom w:val="0"/>
          <w:divBdr>
            <w:top w:val="none" w:sz="0" w:space="0" w:color="auto"/>
            <w:left w:val="none" w:sz="0" w:space="0" w:color="auto"/>
            <w:bottom w:val="none" w:sz="0" w:space="0" w:color="auto"/>
            <w:right w:val="none" w:sz="0" w:space="0" w:color="auto"/>
          </w:divBdr>
        </w:div>
        <w:div w:id="1889106014">
          <w:marLeft w:val="0"/>
          <w:marRight w:val="0"/>
          <w:marTop w:val="0"/>
          <w:marBottom w:val="0"/>
          <w:divBdr>
            <w:top w:val="none" w:sz="0" w:space="0" w:color="auto"/>
            <w:left w:val="none" w:sz="0" w:space="0" w:color="auto"/>
            <w:bottom w:val="none" w:sz="0" w:space="0" w:color="auto"/>
            <w:right w:val="none" w:sz="0" w:space="0" w:color="auto"/>
          </w:divBdr>
        </w:div>
        <w:div w:id="1913075885">
          <w:marLeft w:val="0"/>
          <w:marRight w:val="0"/>
          <w:marTop w:val="0"/>
          <w:marBottom w:val="0"/>
          <w:divBdr>
            <w:top w:val="none" w:sz="0" w:space="0" w:color="auto"/>
            <w:left w:val="none" w:sz="0" w:space="0" w:color="auto"/>
            <w:bottom w:val="none" w:sz="0" w:space="0" w:color="auto"/>
            <w:right w:val="none" w:sz="0" w:space="0" w:color="auto"/>
          </w:divBdr>
        </w:div>
        <w:div w:id="1934898403">
          <w:marLeft w:val="0"/>
          <w:marRight w:val="0"/>
          <w:marTop w:val="0"/>
          <w:marBottom w:val="0"/>
          <w:divBdr>
            <w:top w:val="none" w:sz="0" w:space="0" w:color="auto"/>
            <w:left w:val="none" w:sz="0" w:space="0" w:color="auto"/>
            <w:bottom w:val="none" w:sz="0" w:space="0" w:color="auto"/>
            <w:right w:val="none" w:sz="0" w:space="0" w:color="auto"/>
          </w:divBdr>
        </w:div>
        <w:div w:id="1976373103">
          <w:marLeft w:val="0"/>
          <w:marRight w:val="0"/>
          <w:marTop w:val="0"/>
          <w:marBottom w:val="0"/>
          <w:divBdr>
            <w:top w:val="none" w:sz="0" w:space="0" w:color="auto"/>
            <w:left w:val="none" w:sz="0" w:space="0" w:color="auto"/>
            <w:bottom w:val="none" w:sz="0" w:space="0" w:color="auto"/>
            <w:right w:val="none" w:sz="0" w:space="0" w:color="auto"/>
          </w:divBdr>
        </w:div>
        <w:div w:id="1979678192">
          <w:marLeft w:val="0"/>
          <w:marRight w:val="0"/>
          <w:marTop w:val="0"/>
          <w:marBottom w:val="0"/>
          <w:divBdr>
            <w:top w:val="none" w:sz="0" w:space="0" w:color="auto"/>
            <w:left w:val="none" w:sz="0" w:space="0" w:color="auto"/>
            <w:bottom w:val="none" w:sz="0" w:space="0" w:color="auto"/>
            <w:right w:val="none" w:sz="0" w:space="0" w:color="auto"/>
          </w:divBdr>
        </w:div>
        <w:div w:id="2019774986">
          <w:marLeft w:val="0"/>
          <w:marRight w:val="0"/>
          <w:marTop w:val="0"/>
          <w:marBottom w:val="0"/>
          <w:divBdr>
            <w:top w:val="none" w:sz="0" w:space="0" w:color="auto"/>
            <w:left w:val="none" w:sz="0" w:space="0" w:color="auto"/>
            <w:bottom w:val="none" w:sz="0" w:space="0" w:color="auto"/>
            <w:right w:val="none" w:sz="0" w:space="0" w:color="auto"/>
          </w:divBdr>
        </w:div>
        <w:div w:id="2042853518">
          <w:marLeft w:val="0"/>
          <w:marRight w:val="0"/>
          <w:marTop w:val="0"/>
          <w:marBottom w:val="0"/>
          <w:divBdr>
            <w:top w:val="none" w:sz="0" w:space="0" w:color="auto"/>
            <w:left w:val="none" w:sz="0" w:space="0" w:color="auto"/>
            <w:bottom w:val="none" w:sz="0" w:space="0" w:color="auto"/>
            <w:right w:val="none" w:sz="0" w:space="0" w:color="auto"/>
          </w:divBdr>
        </w:div>
        <w:div w:id="2077706533">
          <w:marLeft w:val="0"/>
          <w:marRight w:val="0"/>
          <w:marTop w:val="0"/>
          <w:marBottom w:val="0"/>
          <w:divBdr>
            <w:top w:val="none" w:sz="0" w:space="0" w:color="auto"/>
            <w:left w:val="none" w:sz="0" w:space="0" w:color="auto"/>
            <w:bottom w:val="none" w:sz="0" w:space="0" w:color="auto"/>
            <w:right w:val="none" w:sz="0" w:space="0" w:color="auto"/>
          </w:divBdr>
        </w:div>
        <w:div w:id="2091269154">
          <w:marLeft w:val="0"/>
          <w:marRight w:val="0"/>
          <w:marTop w:val="0"/>
          <w:marBottom w:val="0"/>
          <w:divBdr>
            <w:top w:val="none" w:sz="0" w:space="0" w:color="auto"/>
            <w:left w:val="none" w:sz="0" w:space="0" w:color="auto"/>
            <w:bottom w:val="none" w:sz="0" w:space="0" w:color="auto"/>
            <w:right w:val="none" w:sz="0" w:space="0" w:color="auto"/>
          </w:divBdr>
        </w:div>
        <w:div w:id="2146853299">
          <w:marLeft w:val="0"/>
          <w:marRight w:val="0"/>
          <w:marTop w:val="0"/>
          <w:marBottom w:val="0"/>
          <w:divBdr>
            <w:top w:val="none" w:sz="0" w:space="0" w:color="auto"/>
            <w:left w:val="none" w:sz="0" w:space="0" w:color="auto"/>
            <w:bottom w:val="none" w:sz="0" w:space="0" w:color="auto"/>
            <w:right w:val="none" w:sz="0" w:space="0" w:color="auto"/>
          </w:divBdr>
        </w:div>
      </w:divsChild>
    </w:div>
    <w:div w:id="1256786606">
      <w:bodyDiv w:val="1"/>
      <w:marLeft w:val="0"/>
      <w:marRight w:val="0"/>
      <w:marTop w:val="0"/>
      <w:marBottom w:val="0"/>
      <w:divBdr>
        <w:top w:val="none" w:sz="0" w:space="0" w:color="auto"/>
        <w:left w:val="none" w:sz="0" w:space="0" w:color="auto"/>
        <w:bottom w:val="none" w:sz="0" w:space="0" w:color="auto"/>
        <w:right w:val="none" w:sz="0" w:space="0" w:color="auto"/>
      </w:divBdr>
      <w:divsChild>
        <w:div w:id="54010524">
          <w:marLeft w:val="0"/>
          <w:marRight w:val="0"/>
          <w:marTop w:val="0"/>
          <w:marBottom w:val="0"/>
          <w:divBdr>
            <w:top w:val="none" w:sz="0" w:space="0" w:color="auto"/>
            <w:left w:val="none" w:sz="0" w:space="0" w:color="auto"/>
            <w:bottom w:val="none" w:sz="0" w:space="0" w:color="auto"/>
            <w:right w:val="none" w:sz="0" w:space="0" w:color="auto"/>
          </w:divBdr>
          <w:divsChild>
            <w:div w:id="151220761">
              <w:marLeft w:val="0"/>
              <w:marRight w:val="0"/>
              <w:marTop w:val="0"/>
              <w:marBottom w:val="0"/>
              <w:divBdr>
                <w:top w:val="none" w:sz="0" w:space="0" w:color="auto"/>
                <w:left w:val="none" w:sz="0" w:space="0" w:color="auto"/>
                <w:bottom w:val="none" w:sz="0" w:space="0" w:color="auto"/>
                <w:right w:val="none" w:sz="0" w:space="0" w:color="auto"/>
              </w:divBdr>
            </w:div>
            <w:div w:id="159349070">
              <w:marLeft w:val="0"/>
              <w:marRight w:val="0"/>
              <w:marTop w:val="0"/>
              <w:marBottom w:val="0"/>
              <w:divBdr>
                <w:top w:val="none" w:sz="0" w:space="0" w:color="auto"/>
                <w:left w:val="none" w:sz="0" w:space="0" w:color="auto"/>
                <w:bottom w:val="none" w:sz="0" w:space="0" w:color="auto"/>
                <w:right w:val="none" w:sz="0" w:space="0" w:color="auto"/>
              </w:divBdr>
            </w:div>
            <w:div w:id="364138697">
              <w:marLeft w:val="0"/>
              <w:marRight w:val="0"/>
              <w:marTop w:val="0"/>
              <w:marBottom w:val="0"/>
              <w:divBdr>
                <w:top w:val="none" w:sz="0" w:space="0" w:color="auto"/>
                <w:left w:val="none" w:sz="0" w:space="0" w:color="auto"/>
                <w:bottom w:val="none" w:sz="0" w:space="0" w:color="auto"/>
                <w:right w:val="none" w:sz="0" w:space="0" w:color="auto"/>
              </w:divBdr>
            </w:div>
            <w:div w:id="591667399">
              <w:marLeft w:val="0"/>
              <w:marRight w:val="0"/>
              <w:marTop w:val="0"/>
              <w:marBottom w:val="0"/>
              <w:divBdr>
                <w:top w:val="none" w:sz="0" w:space="0" w:color="auto"/>
                <w:left w:val="none" w:sz="0" w:space="0" w:color="auto"/>
                <w:bottom w:val="none" w:sz="0" w:space="0" w:color="auto"/>
                <w:right w:val="none" w:sz="0" w:space="0" w:color="auto"/>
              </w:divBdr>
            </w:div>
            <w:div w:id="1278416031">
              <w:marLeft w:val="0"/>
              <w:marRight w:val="0"/>
              <w:marTop w:val="0"/>
              <w:marBottom w:val="0"/>
              <w:divBdr>
                <w:top w:val="none" w:sz="0" w:space="0" w:color="auto"/>
                <w:left w:val="none" w:sz="0" w:space="0" w:color="auto"/>
                <w:bottom w:val="none" w:sz="0" w:space="0" w:color="auto"/>
                <w:right w:val="none" w:sz="0" w:space="0" w:color="auto"/>
              </w:divBdr>
            </w:div>
            <w:div w:id="1485707159">
              <w:marLeft w:val="0"/>
              <w:marRight w:val="0"/>
              <w:marTop w:val="0"/>
              <w:marBottom w:val="0"/>
              <w:divBdr>
                <w:top w:val="none" w:sz="0" w:space="0" w:color="auto"/>
                <w:left w:val="none" w:sz="0" w:space="0" w:color="auto"/>
                <w:bottom w:val="none" w:sz="0" w:space="0" w:color="auto"/>
                <w:right w:val="none" w:sz="0" w:space="0" w:color="auto"/>
              </w:divBdr>
            </w:div>
            <w:div w:id="1644693330">
              <w:marLeft w:val="0"/>
              <w:marRight w:val="0"/>
              <w:marTop w:val="0"/>
              <w:marBottom w:val="0"/>
              <w:divBdr>
                <w:top w:val="none" w:sz="0" w:space="0" w:color="auto"/>
                <w:left w:val="none" w:sz="0" w:space="0" w:color="auto"/>
                <w:bottom w:val="none" w:sz="0" w:space="0" w:color="auto"/>
                <w:right w:val="none" w:sz="0" w:space="0" w:color="auto"/>
              </w:divBdr>
            </w:div>
            <w:div w:id="1713964672">
              <w:marLeft w:val="0"/>
              <w:marRight w:val="0"/>
              <w:marTop w:val="0"/>
              <w:marBottom w:val="0"/>
              <w:divBdr>
                <w:top w:val="none" w:sz="0" w:space="0" w:color="auto"/>
                <w:left w:val="none" w:sz="0" w:space="0" w:color="auto"/>
                <w:bottom w:val="none" w:sz="0" w:space="0" w:color="auto"/>
                <w:right w:val="none" w:sz="0" w:space="0" w:color="auto"/>
              </w:divBdr>
            </w:div>
            <w:div w:id="1761482246">
              <w:marLeft w:val="0"/>
              <w:marRight w:val="0"/>
              <w:marTop w:val="0"/>
              <w:marBottom w:val="0"/>
              <w:divBdr>
                <w:top w:val="none" w:sz="0" w:space="0" w:color="auto"/>
                <w:left w:val="none" w:sz="0" w:space="0" w:color="auto"/>
                <w:bottom w:val="none" w:sz="0" w:space="0" w:color="auto"/>
                <w:right w:val="none" w:sz="0" w:space="0" w:color="auto"/>
              </w:divBdr>
            </w:div>
            <w:div w:id="192934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458999">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295210181">
      <w:bodyDiv w:val="1"/>
      <w:marLeft w:val="0"/>
      <w:marRight w:val="0"/>
      <w:marTop w:val="0"/>
      <w:marBottom w:val="0"/>
      <w:divBdr>
        <w:top w:val="none" w:sz="0" w:space="0" w:color="auto"/>
        <w:left w:val="none" w:sz="0" w:space="0" w:color="auto"/>
        <w:bottom w:val="none" w:sz="0" w:space="0" w:color="auto"/>
        <w:right w:val="none" w:sz="0" w:space="0" w:color="auto"/>
      </w:divBdr>
      <w:divsChild>
        <w:div w:id="164051995">
          <w:marLeft w:val="0"/>
          <w:marRight w:val="0"/>
          <w:marTop w:val="0"/>
          <w:marBottom w:val="0"/>
          <w:divBdr>
            <w:top w:val="none" w:sz="0" w:space="0" w:color="auto"/>
            <w:left w:val="none" w:sz="0" w:space="0" w:color="auto"/>
            <w:bottom w:val="none" w:sz="0" w:space="0" w:color="auto"/>
            <w:right w:val="none" w:sz="0" w:space="0" w:color="auto"/>
          </w:divBdr>
        </w:div>
        <w:div w:id="348146045">
          <w:marLeft w:val="0"/>
          <w:marRight w:val="0"/>
          <w:marTop w:val="0"/>
          <w:marBottom w:val="0"/>
          <w:divBdr>
            <w:top w:val="none" w:sz="0" w:space="0" w:color="auto"/>
            <w:left w:val="none" w:sz="0" w:space="0" w:color="auto"/>
            <w:bottom w:val="none" w:sz="0" w:space="0" w:color="auto"/>
            <w:right w:val="none" w:sz="0" w:space="0" w:color="auto"/>
          </w:divBdr>
        </w:div>
        <w:div w:id="573394024">
          <w:marLeft w:val="0"/>
          <w:marRight w:val="0"/>
          <w:marTop w:val="0"/>
          <w:marBottom w:val="0"/>
          <w:divBdr>
            <w:top w:val="none" w:sz="0" w:space="0" w:color="auto"/>
            <w:left w:val="none" w:sz="0" w:space="0" w:color="auto"/>
            <w:bottom w:val="none" w:sz="0" w:space="0" w:color="auto"/>
            <w:right w:val="none" w:sz="0" w:space="0" w:color="auto"/>
          </w:divBdr>
        </w:div>
        <w:div w:id="912080215">
          <w:marLeft w:val="0"/>
          <w:marRight w:val="0"/>
          <w:marTop w:val="0"/>
          <w:marBottom w:val="0"/>
          <w:divBdr>
            <w:top w:val="none" w:sz="0" w:space="0" w:color="auto"/>
            <w:left w:val="none" w:sz="0" w:space="0" w:color="auto"/>
            <w:bottom w:val="none" w:sz="0" w:space="0" w:color="auto"/>
            <w:right w:val="none" w:sz="0" w:space="0" w:color="auto"/>
          </w:divBdr>
        </w:div>
        <w:div w:id="1148402900">
          <w:marLeft w:val="0"/>
          <w:marRight w:val="0"/>
          <w:marTop w:val="0"/>
          <w:marBottom w:val="0"/>
          <w:divBdr>
            <w:top w:val="none" w:sz="0" w:space="0" w:color="auto"/>
            <w:left w:val="none" w:sz="0" w:space="0" w:color="auto"/>
            <w:bottom w:val="none" w:sz="0" w:space="0" w:color="auto"/>
            <w:right w:val="none" w:sz="0" w:space="0" w:color="auto"/>
          </w:divBdr>
        </w:div>
        <w:div w:id="1177885767">
          <w:marLeft w:val="0"/>
          <w:marRight w:val="0"/>
          <w:marTop w:val="0"/>
          <w:marBottom w:val="0"/>
          <w:divBdr>
            <w:top w:val="none" w:sz="0" w:space="0" w:color="auto"/>
            <w:left w:val="none" w:sz="0" w:space="0" w:color="auto"/>
            <w:bottom w:val="none" w:sz="0" w:space="0" w:color="auto"/>
            <w:right w:val="none" w:sz="0" w:space="0" w:color="auto"/>
          </w:divBdr>
        </w:div>
        <w:div w:id="1191648561">
          <w:marLeft w:val="0"/>
          <w:marRight w:val="0"/>
          <w:marTop w:val="0"/>
          <w:marBottom w:val="0"/>
          <w:divBdr>
            <w:top w:val="none" w:sz="0" w:space="0" w:color="auto"/>
            <w:left w:val="none" w:sz="0" w:space="0" w:color="auto"/>
            <w:bottom w:val="none" w:sz="0" w:space="0" w:color="auto"/>
            <w:right w:val="none" w:sz="0" w:space="0" w:color="auto"/>
          </w:divBdr>
        </w:div>
        <w:div w:id="1366635851">
          <w:marLeft w:val="0"/>
          <w:marRight w:val="0"/>
          <w:marTop w:val="0"/>
          <w:marBottom w:val="0"/>
          <w:divBdr>
            <w:top w:val="none" w:sz="0" w:space="0" w:color="auto"/>
            <w:left w:val="none" w:sz="0" w:space="0" w:color="auto"/>
            <w:bottom w:val="none" w:sz="0" w:space="0" w:color="auto"/>
            <w:right w:val="none" w:sz="0" w:space="0" w:color="auto"/>
          </w:divBdr>
        </w:div>
        <w:div w:id="1442264096">
          <w:marLeft w:val="0"/>
          <w:marRight w:val="0"/>
          <w:marTop w:val="0"/>
          <w:marBottom w:val="0"/>
          <w:divBdr>
            <w:top w:val="none" w:sz="0" w:space="0" w:color="auto"/>
            <w:left w:val="none" w:sz="0" w:space="0" w:color="auto"/>
            <w:bottom w:val="none" w:sz="0" w:space="0" w:color="auto"/>
            <w:right w:val="none" w:sz="0" w:space="0" w:color="auto"/>
          </w:divBdr>
        </w:div>
        <w:div w:id="1661496150">
          <w:marLeft w:val="0"/>
          <w:marRight w:val="0"/>
          <w:marTop w:val="0"/>
          <w:marBottom w:val="0"/>
          <w:divBdr>
            <w:top w:val="none" w:sz="0" w:space="0" w:color="auto"/>
            <w:left w:val="none" w:sz="0" w:space="0" w:color="auto"/>
            <w:bottom w:val="none" w:sz="0" w:space="0" w:color="auto"/>
            <w:right w:val="none" w:sz="0" w:space="0" w:color="auto"/>
          </w:divBdr>
        </w:div>
        <w:div w:id="1662195042">
          <w:marLeft w:val="0"/>
          <w:marRight w:val="0"/>
          <w:marTop w:val="0"/>
          <w:marBottom w:val="0"/>
          <w:divBdr>
            <w:top w:val="none" w:sz="0" w:space="0" w:color="auto"/>
            <w:left w:val="none" w:sz="0" w:space="0" w:color="auto"/>
            <w:bottom w:val="none" w:sz="0" w:space="0" w:color="auto"/>
            <w:right w:val="none" w:sz="0" w:space="0" w:color="auto"/>
          </w:divBdr>
        </w:div>
        <w:div w:id="1708679938">
          <w:marLeft w:val="0"/>
          <w:marRight w:val="0"/>
          <w:marTop w:val="0"/>
          <w:marBottom w:val="0"/>
          <w:divBdr>
            <w:top w:val="none" w:sz="0" w:space="0" w:color="auto"/>
            <w:left w:val="none" w:sz="0" w:space="0" w:color="auto"/>
            <w:bottom w:val="none" w:sz="0" w:space="0" w:color="auto"/>
            <w:right w:val="none" w:sz="0" w:space="0" w:color="auto"/>
          </w:divBdr>
        </w:div>
        <w:div w:id="1779376508">
          <w:marLeft w:val="0"/>
          <w:marRight w:val="0"/>
          <w:marTop w:val="0"/>
          <w:marBottom w:val="0"/>
          <w:divBdr>
            <w:top w:val="none" w:sz="0" w:space="0" w:color="auto"/>
            <w:left w:val="none" w:sz="0" w:space="0" w:color="auto"/>
            <w:bottom w:val="none" w:sz="0" w:space="0" w:color="auto"/>
            <w:right w:val="none" w:sz="0" w:space="0" w:color="auto"/>
          </w:divBdr>
        </w:div>
        <w:div w:id="1831940378">
          <w:marLeft w:val="0"/>
          <w:marRight w:val="0"/>
          <w:marTop w:val="0"/>
          <w:marBottom w:val="0"/>
          <w:divBdr>
            <w:top w:val="none" w:sz="0" w:space="0" w:color="auto"/>
            <w:left w:val="none" w:sz="0" w:space="0" w:color="auto"/>
            <w:bottom w:val="none" w:sz="0" w:space="0" w:color="auto"/>
            <w:right w:val="none" w:sz="0" w:space="0" w:color="auto"/>
          </w:divBdr>
        </w:div>
        <w:div w:id="2011791094">
          <w:marLeft w:val="0"/>
          <w:marRight w:val="0"/>
          <w:marTop w:val="0"/>
          <w:marBottom w:val="0"/>
          <w:divBdr>
            <w:top w:val="none" w:sz="0" w:space="0" w:color="auto"/>
            <w:left w:val="none" w:sz="0" w:space="0" w:color="auto"/>
            <w:bottom w:val="none" w:sz="0" w:space="0" w:color="auto"/>
            <w:right w:val="none" w:sz="0" w:space="0" w:color="auto"/>
          </w:divBdr>
        </w:div>
        <w:div w:id="2038386540">
          <w:marLeft w:val="0"/>
          <w:marRight w:val="0"/>
          <w:marTop w:val="0"/>
          <w:marBottom w:val="0"/>
          <w:divBdr>
            <w:top w:val="none" w:sz="0" w:space="0" w:color="auto"/>
            <w:left w:val="none" w:sz="0" w:space="0" w:color="auto"/>
            <w:bottom w:val="none" w:sz="0" w:space="0" w:color="auto"/>
            <w:right w:val="none" w:sz="0" w:space="0" w:color="auto"/>
          </w:divBdr>
        </w:div>
        <w:div w:id="2051412421">
          <w:marLeft w:val="0"/>
          <w:marRight w:val="0"/>
          <w:marTop w:val="0"/>
          <w:marBottom w:val="0"/>
          <w:divBdr>
            <w:top w:val="none" w:sz="0" w:space="0" w:color="auto"/>
            <w:left w:val="none" w:sz="0" w:space="0" w:color="auto"/>
            <w:bottom w:val="none" w:sz="0" w:space="0" w:color="auto"/>
            <w:right w:val="none" w:sz="0" w:space="0" w:color="auto"/>
          </w:divBdr>
        </w:div>
        <w:div w:id="2145152147">
          <w:marLeft w:val="0"/>
          <w:marRight w:val="0"/>
          <w:marTop w:val="0"/>
          <w:marBottom w:val="0"/>
          <w:divBdr>
            <w:top w:val="none" w:sz="0" w:space="0" w:color="auto"/>
            <w:left w:val="none" w:sz="0" w:space="0" w:color="auto"/>
            <w:bottom w:val="none" w:sz="0" w:space="0" w:color="auto"/>
            <w:right w:val="none" w:sz="0" w:space="0" w:color="auto"/>
          </w:divBdr>
        </w:div>
      </w:divsChild>
    </w:div>
    <w:div w:id="1298489065">
      <w:bodyDiv w:val="1"/>
      <w:marLeft w:val="0"/>
      <w:marRight w:val="0"/>
      <w:marTop w:val="0"/>
      <w:marBottom w:val="0"/>
      <w:divBdr>
        <w:top w:val="none" w:sz="0" w:space="0" w:color="auto"/>
        <w:left w:val="none" w:sz="0" w:space="0" w:color="auto"/>
        <w:bottom w:val="none" w:sz="0" w:space="0" w:color="auto"/>
        <w:right w:val="none" w:sz="0" w:space="0" w:color="auto"/>
      </w:divBdr>
    </w:div>
    <w:div w:id="1308822118">
      <w:bodyDiv w:val="1"/>
      <w:marLeft w:val="0"/>
      <w:marRight w:val="0"/>
      <w:marTop w:val="0"/>
      <w:marBottom w:val="0"/>
      <w:divBdr>
        <w:top w:val="none" w:sz="0" w:space="0" w:color="auto"/>
        <w:left w:val="none" w:sz="0" w:space="0" w:color="auto"/>
        <w:bottom w:val="none" w:sz="0" w:space="0" w:color="auto"/>
        <w:right w:val="none" w:sz="0" w:space="0" w:color="auto"/>
      </w:divBdr>
      <w:divsChild>
        <w:div w:id="7954339">
          <w:marLeft w:val="0"/>
          <w:marRight w:val="0"/>
          <w:marTop w:val="0"/>
          <w:marBottom w:val="0"/>
          <w:divBdr>
            <w:top w:val="none" w:sz="0" w:space="0" w:color="auto"/>
            <w:left w:val="none" w:sz="0" w:space="0" w:color="auto"/>
            <w:bottom w:val="none" w:sz="0" w:space="0" w:color="auto"/>
            <w:right w:val="none" w:sz="0" w:space="0" w:color="auto"/>
          </w:divBdr>
        </w:div>
        <w:div w:id="42677514">
          <w:marLeft w:val="0"/>
          <w:marRight w:val="0"/>
          <w:marTop w:val="0"/>
          <w:marBottom w:val="0"/>
          <w:divBdr>
            <w:top w:val="none" w:sz="0" w:space="0" w:color="auto"/>
            <w:left w:val="none" w:sz="0" w:space="0" w:color="auto"/>
            <w:bottom w:val="none" w:sz="0" w:space="0" w:color="auto"/>
            <w:right w:val="none" w:sz="0" w:space="0" w:color="auto"/>
          </w:divBdr>
        </w:div>
        <w:div w:id="49962367">
          <w:marLeft w:val="0"/>
          <w:marRight w:val="0"/>
          <w:marTop w:val="0"/>
          <w:marBottom w:val="0"/>
          <w:divBdr>
            <w:top w:val="none" w:sz="0" w:space="0" w:color="auto"/>
            <w:left w:val="none" w:sz="0" w:space="0" w:color="auto"/>
            <w:bottom w:val="none" w:sz="0" w:space="0" w:color="auto"/>
            <w:right w:val="none" w:sz="0" w:space="0" w:color="auto"/>
          </w:divBdr>
        </w:div>
        <w:div w:id="102766820">
          <w:marLeft w:val="0"/>
          <w:marRight w:val="0"/>
          <w:marTop w:val="0"/>
          <w:marBottom w:val="0"/>
          <w:divBdr>
            <w:top w:val="none" w:sz="0" w:space="0" w:color="auto"/>
            <w:left w:val="none" w:sz="0" w:space="0" w:color="auto"/>
            <w:bottom w:val="none" w:sz="0" w:space="0" w:color="auto"/>
            <w:right w:val="none" w:sz="0" w:space="0" w:color="auto"/>
          </w:divBdr>
        </w:div>
        <w:div w:id="148834246">
          <w:marLeft w:val="0"/>
          <w:marRight w:val="0"/>
          <w:marTop w:val="0"/>
          <w:marBottom w:val="0"/>
          <w:divBdr>
            <w:top w:val="none" w:sz="0" w:space="0" w:color="auto"/>
            <w:left w:val="none" w:sz="0" w:space="0" w:color="auto"/>
            <w:bottom w:val="none" w:sz="0" w:space="0" w:color="auto"/>
            <w:right w:val="none" w:sz="0" w:space="0" w:color="auto"/>
          </w:divBdr>
        </w:div>
        <w:div w:id="169101943">
          <w:marLeft w:val="0"/>
          <w:marRight w:val="0"/>
          <w:marTop w:val="0"/>
          <w:marBottom w:val="0"/>
          <w:divBdr>
            <w:top w:val="none" w:sz="0" w:space="0" w:color="auto"/>
            <w:left w:val="none" w:sz="0" w:space="0" w:color="auto"/>
            <w:bottom w:val="none" w:sz="0" w:space="0" w:color="auto"/>
            <w:right w:val="none" w:sz="0" w:space="0" w:color="auto"/>
          </w:divBdr>
        </w:div>
        <w:div w:id="177626204">
          <w:marLeft w:val="0"/>
          <w:marRight w:val="0"/>
          <w:marTop w:val="0"/>
          <w:marBottom w:val="0"/>
          <w:divBdr>
            <w:top w:val="none" w:sz="0" w:space="0" w:color="auto"/>
            <w:left w:val="none" w:sz="0" w:space="0" w:color="auto"/>
            <w:bottom w:val="none" w:sz="0" w:space="0" w:color="auto"/>
            <w:right w:val="none" w:sz="0" w:space="0" w:color="auto"/>
          </w:divBdr>
        </w:div>
        <w:div w:id="189148974">
          <w:marLeft w:val="0"/>
          <w:marRight w:val="0"/>
          <w:marTop w:val="0"/>
          <w:marBottom w:val="0"/>
          <w:divBdr>
            <w:top w:val="none" w:sz="0" w:space="0" w:color="auto"/>
            <w:left w:val="none" w:sz="0" w:space="0" w:color="auto"/>
            <w:bottom w:val="none" w:sz="0" w:space="0" w:color="auto"/>
            <w:right w:val="none" w:sz="0" w:space="0" w:color="auto"/>
          </w:divBdr>
        </w:div>
        <w:div w:id="213468607">
          <w:marLeft w:val="0"/>
          <w:marRight w:val="0"/>
          <w:marTop w:val="0"/>
          <w:marBottom w:val="0"/>
          <w:divBdr>
            <w:top w:val="none" w:sz="0" w:space="0" w:color="auto"/>
            <w:left w:val="none" w:sz="0" w:space="0" w:color="auto"/>
            <w:bottom w:val="none" w:sz="0" w:space="0" w:color="auto"/>
            <w:right w:val="none" w:sz="0" w:space="0" w:color="auto"/>
          </w:divBdr>
        </w:div>
        <w:div w:id="214120883">
          <w:marLeft w:val="0"/>
          <w:marRight w:val="0"/>
          <w:marTop w:val="0"/>
          <w:marBottom w:val="0"/>
          <w:divBdr>
            <w:top w:val="none" w:sz="0" w:space="0" w:color="auto"/>
            <w:left w:val="none" w:sz="0" w:space="0" w:color="auto"/>
            <w:bottom w:val="none" w:sz="0" w:space="0" w:color="auto"/>
            <w:right w:val="none" w:sz="0" w:space="0" w:color="auto"/>
          </w:divBdr>
        </w:div>
        <w:div w:id="255942940">
          <w:marLeft w:val="0"/>
          <w:marRight w:val="0"/>
          <w:marTop w:val="0"/>
          <w:marBottom w:val="0"/>
          <w:divBdr>
            <w:top w:val="none" w:sz="0" w:space="0" w:color="auto"/>
            <w:left w:val="none" w:sz="0" w:space="0" w:color="auto"/>
            <w:bottom w:val="none" w:sz="0" w:space="0" w:color="auto"/>
            <w:right w:val="none" w:sz="0" w:space="0" w:color="auto"/>
          </w:divBdr>
        </w:div>
        <w:div w:id="299728756">
          <w:marLeft w:val="0"/>
          <w:marRight w:val="0"/>
          <w:marTop w:val="0"/>
          <w:marBottom w:val="0"/>
          <w:divBdr>
            <w:top w:val="none" w:sz="0" w:space="0" w:color="auto"/>
            <w:left w:val="none" w:sz="0" w:space="0" w:color="auto"/>
            <w:bottom w:val="none" w:sz="0" w:space="0" w:color="auto"/>
            <w:right w:val="none" w:sz="0" w:space="0" w:color="auto"/>
          </w:divBdr>
        </w:div>
        <w:div w:id="302273107">
          <w:marLeft w:val="0"/>
          <w:marRight w:val="0"/>
          <w:marTop w:val="0"/>
          <w:marBottom w:val="0"/>
          <w:divBdr>
            <w:top w:val="none" w:sz="0" w:space="0" w:color="auto"/>
            <w:left w:val="none" w:sz="0" w:space="0" w:color="auto"/>
            <w:bottom w:val="none" w:sz="0" w:space="0" w:color="auto"/>
            <w:right w:val="none" w:sz="0" w:space="0" w:color="auto"/>
          </w:divBdr>
        </w:div>
        <w:div w:id="310016370">
          <w:marLeft w:val="0"/>
          <w:marRight w:val="0"/>
          <w:marTop w:val="0"/>
          <w:marBottom w:val="0"/>
          <w:divBdr>
            <w:top w:val="none" w:sz="0" w:space="0" w:color="auto"/>
            <w:left w:val="none" w:sz="0" w:space="0" w:color="auto"/>
            <w:bottom w:val="none" w:sz="0" w:space="0" w:color="auto"/>
            <w:right w:val="none" w:sz="0" w:space="0" w:color="auto"/>
          </w:divBdr>
        </w:div>
        <w:div w:id="354774788">
          <w:marLeft w:val="0"/>
          <w:marRight w:val="0"/>
          <w:marTop w:val="0"/>
          <w:marBottom w:val="0"/>
          <w:divBdr>
            <w:top w:val="none" w:sz="0" w:space="0" w:color="auto"/>
            <w:left w:val="none" w:sz="0" w:space="0" w:color="auto"/>
            <w:bottom w:val="none" w:sz="0" w:space="0" w:color="auto"/>
            <w:right w:val="none" w:sz="0" w:space="0" w:color="auto"/>
          </w:divBdr>
        </w:div>
        <w:div w:id="358161487">
          <w:marLeft w:val="0"/>
          <w:marRight w:val="0"/>
          <w:marTop w:val="0"/>
          <w:marBottom w:val="0"/>
          <w:divBdr>
            <w:top w:val="none" w:sz="0" w:space="0" w:color="auto"/>
            <w:left w:val="none" w:sz="0" w:space="0" w:color="auto"/>
            <w:bottom w:val="none" w:sz="0" w:space="0" w:color="auto"/>
            <w:right w:val="none" w:sz="0" w:space="0" w:color="auto"/>
          </w:divBdr>
        </w:div>
        <w:div w:id="380833434">
          <w:marLeft w:val="0"/>
          <w:marRight w:val="0"/>
          <w:marTop w:val="0"/>
          <w:marBottom w:val="0"/>
          <w:divBdr>
            <w:top w:val="none" w:sz="0" w:space="0" w:color="auto"/>
            <w:left w:val="none" w:sz="0" w:space="0" w:color="auto"/>
            <w:bottom w:val="none" w:sz="0" w:space="0" w:color="auto"/>
            <w:right w:val="none" w:sz="0" w:space="0" w:color="auto"/>
          </w:divBdr>
        </w:div>
        <w:div w:id="436221033">
          <w:marLeft w:val="0"/>
          <w:marRight w:val="0"/>
          <w:marTop w:val="0"/>
          <w:marBottom w:val="0"/>
          <w:divBdr>
            <w:top w:val="none" w:sz="0" w:space="0" w:color="auto"/>
            <w:left w:val="none" w:sz="0" w:space="0" w:color="auto"/>
            <w:bottom w:val="none" w:sz="0" w:space="0" w:color="auto"/>
            <w:right w:val="none" w:sz="0" w:space="0" w:color="auto"/>
          </w:divBdr>
        </w:div>
        <w:div w:id="439229575">
          <w:marLeft w:val="0"/>
          <w:marRight w:val="0"/>
          <w:marTop w:val="0"/>
          <w:marBottom w:val="0"/>
          <w:divBdr>
            <w:top w:val="none" w:sz="0" w:space="0" w:color="auto"/>
            <w:left w:val="none" w:sz="0" w:space="0" w:color="auto"/>
            <w:bottom w:val="none" w:sz="0" w:space="0" w:color="auto"/>
            <w:right w:val="none" w:sz="0" w:space="0" w:color="auto"/>
          </w:divBdr>
        </w:div>
        <w:div w:id="495072558">
          <w:marLeft w:val="0"/>
          <w:marRight w:val="0"/>
          <w:marTop w:val="0"/>
          <w:marBottom w:val="0"/>
          <w:divBdr>
            <w:top w:val="none" w:sz="0" w:space="0" w:color="auto"/>
            <w:left w:val="none" w:sz="0" w:space="0" w:color="auto"/>
            <w:bottom w:val="none" w:sz="0" w:space="0" w:color="auto"/>
            <w:right w:val="none" w:sz="0" w:space="0" w:color="auto"/>
          </w:divBdr>
        </w:div>
        <w:div w:id="504589525">
          <w:marLeft w:val="0"/>
          <w:marRight w:val="0"/>
          <w:marTop w:val="0"/>
          <w:marBottom w:val="0"/>
          <w:divBdr>
            <w:top w:val="none" w:sz="0" w:space="0" w:color="auto"/>
            <w:left w:val="none" w:sz="0" w:space="0" w:color="auto"/>
            <w:bottom w:val="none" w:sz="0" w:space="0" w:color="auto"/>
            <w:right w:val="none" w:sz="0" w:space="0" w:color="auto"/>
          </w:divBdr>
        </w:div>
        <w:div w:id="519977719">
          <w:marLeft w:val="0"/>
          <w:marRight w:val="0"/>
          <w:marTop w:val="0"/>
          <w:marBottom w:val="0"/>
          <w:divBdr>
            <w:top w:val="none" w:sz="0" w:space="0" w:color="auto"/>
            <w:left w:val="none" w:sz="0" w:space="0" w:color="auto"/>
            <w:bottom w:val="none" w:sz="0" w:space="0" w:color="auto"/>
            <w:right w:val="none" w:sz="0" w:space="0" w:color="auto"/>
          </w:divBdr>
        </w:div>
        <w:div w:id="524484700">
          <w:marLeft w:val="0"/>
          <w:marRight w:val="0"/>
          <w:marTop w:val="0"/>
          <w:marBottom w:val="0"/>
          <w:divBdr>
            <w:top w:val="none" w:sz="0" w:space="0" w:color="auto"/>
            <w:left w:val="none" w:sz="0" w:space="0" w:color="auto"/>
            <w:bottom w:val="none" w:sz="0" w:space="0" w:color="auto"/>
            <w:right w:val="none" w:sz="0" w:space="0" w:color="auto"/>
          </w:divBdr>
        </w:div>
        <w:div w:id="532573792">
          <w:marLeft w:val="0"/>
          <w:marRight w:val="0"/>
          <w:marTop w:val="0"/>
          <w:marBottom w:val="0"/>
          <w:divBdr>
            <w:top w:val="none" w:sz="0" w:space="0" w:color="auto"/>
            <w:left w:val="none" w:sz="0" w:space="0" w:color="auto"/>
            <w:bottom w:val="none" w:sz="0" w:space="0" w:color="auto"/>
            <w:right w:val="none" w:sz="0" w:space="0" w:color="auto"/>
          </w:divBdr>
        </w:div>
        <w:div w:id="537788640">
          <w:marLeft w:val="0"/>
          <w:marRight w:val="0"/>
          <w:marTop w:val="0"/>
          <w:marBottom w:val="0"/>
          <w:divBdr>
            <w:top w:val="none" w:sz="0" w:space="0" w:color="auto"/>
            <w:left w:val="none" w:sz="0" w:space="0" w:color="auto"/>
            <w:bottom w:val="none" w:sz="0" w:space="0" w:color="auto"/>
            <w:right w:val="none" w:sz="0" w:space="0" w:color="auto"/>
          </w:divBdr>
        </w:div>
        <w:div w:id="539784245">
          <w:marLeft w:val="0"/>
          <w:marRight w:val="0"/>
          <w:marTop w:val="0"/>
          <w:marBottom w:val="0"/>
          <w:divBdr>
            <w:top w:val="none" w:sz="0" w:space="0" w:color="auto"/>
            <w:left w:val="none" w:sz="0" w:space="0" w:color="auto"/>
            <w:bottom w:val="none" w:sz="0" w:space="0" w:color="auto"/>
            <w:right w:val="none" w:sz="0" w:space="0" w:color="auto"/>
          </w:divBdr>
        </w:div>
        <w:div w:id="556740220">
          <w:marLeft w:val="0"/>
          <w:marRight w:val="0"/>
          <w:marTop w:val="0"/>
          <w:marBottom w:val="0"/>
          <w:divBdr>
            <w:top w:val="none" w:sz="0" w:space="0" w:color="auto"/>
            <w:left w:val="none" w:sz="0" w:space="0" w:color="auto"/>
            <w:bottom w:val="none" w:sz="0" w:space="0" w:color="auto"/>
            <w:right w:val="none" w:sz="0" w:space="0" w:color="auto"/>
          </w:divBdr>
        </w:div>
        <w:div w:id="561597463">
          <w:marLeft w:val="0"/>
          <w:marRight w:val="0"/>
          <w:marTop w:val="0"/>
          <w:marBottom w:val="0"/>
          <w:divBdr>
            <w:top w:val="none" w:sz="0" w:space="0" w:color="auto"/>
            <w:left w:val="none" w:sz="0" w:space="0" w:color="auto"/>
            <w:bottom w:val="none" w:sz="0" w:space="0" w:color="auto"/>
            <w:right w:val="none" w:sz="0" w:space="0" w:color="auto"/>
          </w:divBdr>
        </w:div>
        <w:div w:id="579759421">
          <w:marLeft w:val="0"/>
          <w:marRight w:val="0"/>
          <w:marTop w:val="0"/>
          <w:marBottom w:val="0"/>
          <w:divBdr>
            <w:top w:val="none" w:sz="0" w:space="0" w:color="auto"/>
            <w:left w:val="none" w:sz="0" w:space="0" w:color="auto"/>
            <w:bottom w:val="none" w:sz="0" w:space="0" w:color="auto"/>
            <w:right w:val="none" w:sz="0" w:space="0" w:color="auto"/>
          </w:divBdr>
        </w:div>
        <w:div w:id="601378845">
          <w:marLeft w:val="0"/>
          <w:marRight w:val="0"/>
          <w:marTop w:val="0"/>
          <w:marBottom w:val="0"/>
          <w:divBdr>
            <w:top w:val="none" w:sz="0" w:space="0" w:color="auto"/>
            <w:left w:val="none" w:sz="0" w:space="0" w:color="auto"/>
            <w:bottom w:val="none" w:sz="0" w:space="0" w:color="auto"/>
            <w:right w:val="none" w:sz="0" w:space="0" w:color="auto"/>
          </w:divBdr>
        </w:div>
        <w:div w:id="636765576">
          <w:marLeft w:val="0"/>
          <w:marRight w:val="0"/>
          <w:marTop w:val="0"/>
          <w:marBottom w:val="0"/>
          <w:divBdr>
            <w:top w:val="none" w:sz="0" w:space="0" w:color="auto"/>
            <w:left w:val="none" w:sz="0" w:space="0" w:color="auto"/>
            <w:bottom w:val="none" w:sz="0" w:space="0" w:color="auto"/>
            <w:right w:val="none" w:sz="0" w:space="0" w:color="auto"/>
          </w:divBdr>
        </w:div>
        <w:div w:id="641158379">
          <w:marLeft w:val="0"/>
          <w:marRight w:val="0"/>
          <w:marTop w:val="0"/>
          <w:marBottom w:val="0"/>
          <w:divBdr>
            <w:top w:val="none" w:sz="0" w:space="0" w:color="auto"/>
            <w:left w:val="none" w:sz="0" w:space="0" w:color="auto"/>
            <w:bottom w:val="none" w:sz="0" w:space="0" w:color="auto"/>
            <w:right w:val="none" w:sz="0" w:space="0" w:color="auto"/>
          </w:divBdr>
        </w:div>
        <w:div w:id="652486878">
          <w:marLeft w:val="0"/>
          <w:marRight w:val="0"/>
          <w:marTop w:val="0"/>
          <w:marBottom w:val="0"/>
          <w:divBdr>
            <w:top w:val="none" w:sz="0" w:space="0" w:color="auto"/>
            <w:left w:val="none" w:sz="0" w:space="0" w:color="auto"/>
            <w:bottom w:val="none" w:sz="0" w:space="0" w:color="auto"/>
            <w:right w:val="none" w:sz="0" w:space="0" w:color="auto"/>
          </w:divBdr>
        </w:div>
        <w:div w:id="657685494">
          <w:marLeft w:val="0"/>
          <w:marRight w:val="0"/>
          <w:marTop w:val="0"/>
          <w:marBottom w:val="0"/>
          <w:divBdr>
            <w:top w:val="none" w:sz="0" w:space="0" w:color="auto"/>
            <w:left w:val="none" w:sz="0" w:space="0" w:color="auto"/>
            <w:bottom w:val="none" w:sz="0" w:space="0" w:color="auto"/>
            <w:right w:val="none" w:sz="0" w:space="0" w:color="auto"/>
          </w:divBdr>
        </w:div>
        <w:div w:id="666711748">
          <w:marLeft w:val="0"/>
          <w:marRight w:val="0"/>
          <w:marTop w:val="0"/>
          <w:marBottom w:val="0"/>
          <w:divBdr>
            <w:top w:val="none" w:sz="0" w:space="0" w:color="auto"/>
            <w:left w:val="none" w:sz="0" w:space="0" w:color="auto"/>
            <w:bottom w:val="none" w:sz="0" w:space="0" w:color="auto"/>
            <w:right w:val="none" w:sz="0" w:space="0" w:color="auto"/>
          </w:divBdr>
        </w:div>
        <w:div w:id="672729049">
          <w:marLeft w:val="0"/>
          <w:marRight w:val="0"/>
          <w:marTop w:val="0"/>
          <w:marBottom w:val="0"/>
          <w:divBdr>
            <w:top w:val="none" w:sz="0" w:space="0" w:color="auto"/>
            <w:left w:val="none" w:sz="0" w:space="0" w:color="auto"/>
            <w:bottom w:val="none" w:sz="0" w:space="0" w:color="auto"/>
            <w:right w:val="none" w:sz="0" w:space="0" w:color="auto"/>
          </w:divBdr>
        </w:div>
        <w:div w:id="683289023">
          <w:marLeft w:val="0"/>
          <w:marRight w:val="0"/>
          <w:marTop w:val="0"/>
          <w:marBottom w:val="0"/>
          <w:divBdr>
            <w:top w:val="none" w:sz="0" w:space="0" w:color="auto"/>
            <w:left w:val="none" w:sz="0" w:space="0" w:color="auto"/>
            <w:bottom w:val="none" w:sz="0" w:space="0" w:color="auto"/>
            <w:right w:val="none" w:sz="0" w:space="0" w:color="auto"/>
          </w:divBdr>
        </w:div>
        <w:div w:id="692535113">
          <w:marLeft w:val="0"/>
          <w:marRight w:val="0"/>
          <w:marTop w:val="0"/>
          <w:marBottom w:val="0"/>
          <w:divBdr>
            <w:top w:val="none" w:sz="0" w:space="0" w:color="auto"/>
            <w:left w:val="none" w:sz="0" w:space="0" w:color="auto"/>
            <w:bottom w:val="none" w:sz="0" w:space="0" w:color="auto"/>
            <w:right w:val="none" w:sz="0" w:space="0" w:color="auto"/>
          </w:divBdr>
        </w:div>
        <w:div w:id="713700771">
          <w:marLeft w:val="0"/>
          <w:marRight w:val="0"/>
          <w:marTop w:val="0"/>
          <w:marBottom w:val="0"/>
          <w:divBdr>
            <w:top w:val="none" w:sz="0" w:space="0" w:color="auto"/>
            <w:left w:val="none" w:sz="0" w:space="0" w:color="auto"/>
            <w:bottom w:val="none" w:sz="0" w:space="0" w:color="auto"/>
            <w:right w:val="none" w:sz="0" w:space="0" w:color="auto"/>
          </w:divBdr>
        </w:div>
        <w:div w:id="798570127">
          <w:marLeft w:val="0"/>
          <w:marRight w:val="0"/>
          <w:marTop w:val="0"/>
          <w:marBottom w:val="0"/>
          <w:divBdr>
            <w:top w:val="none" w:sz="0" w:space="0" w:color="auto"/>
            <w:left w:val="none" w:sz="0" w:space="0" w:color="auto"/>
            <w:bottom w:val="none" w:sz="0" w:space="0" w:color="auto"/>
            <w:right w:val="none" w:sz="0" w:space="0" w:color="auto"/>
          </w:divBdr>
        </w:div>
        <w:div w:id="817382635">
          <w:marLeft w:val="0"/>
          <w:marRight w:val="0"/>
          <w:marTop w:val="0"/>
          <w:marBottom w:val="0"/>
          <w:divBdr>
            <w:top w:val="none" w:sz="0" w:space="0" w:color="auto"/>
            <w:left w:val="none" w:sz="0" w:space="0" w:color="auto"/>
            <w:bottom w:val="none" w:sz="0" w:space="0" w:color="auto"/>
            <w:right w:val="none" w:sz="0" w:space="0" w:color="auto"/>
          </w:divBdr>
        </w:div>
        <w:div w:id="830096460">
          <w:marLeft w:val="0"/>
          <w:marRight w:val="0"/>
          <w:marTop w:val="0"/>
          <w:marBottom w:val="0"/>
          <w:divBdr>
            <w:top w:val="none" w:sz="0" w:space="0" w:color="auto"/>
            <w:left w:val="none" w:sz="0" w:space="0" w:color="auto"/>
            <w:bottom w:val="none" w:sz="0" w:space="0" w:color="auto"/>
            <w:right w:val="none" w:sz="0" w:space="0" w:color="auto"/>
          </w:divBdr>
        </w:div>
        <w:div w:id="840967207">
          <w:marLeft w:val="0"/>
          <w:marRight w:val="0"/>
          <w:marTop w:val="0"/>
          <w:marBottom w:val="0"/>
          <w:divBdr>
            <w:top w:val="none" w:sz="0" w:space="0" w:color="auto"/>
            <w:left w:val="none" w:sz="0" w:space="0" w:color="auto"/>
            <w:bottom w:val="none" w:sz="0" w:space="0" w:color="auto"/>
            <w:right w:val="none" w:sz="0" w:space="0" w:color="auto"/>
          </w:divBdr>
        </w:div>
        <w:div w:id="841314729">
          <w:marLeft w:val="0"/>
          <w:marRight w:val="0"/>
          <w:marTop w:val="0"/>
          <w:marBottom w:val="0"/>
          <w:divBdr>
            <w:top w:val="none" w:sz="0" w:space="0" w:color="auto"/>
            <w:left w:val="none" w:sz="0" w:space="0" w:color="auto"/>
            <w:bottom w:val="none" w:sz="0" w:space="0" w:color="auto"/>
            <w:right w:val="none" w:sz="0" w:space="0" w:color="auto"/>
          </w:divBdr>
        </w:div>
        <w:div w:id="842087226">
          <w:marLeft w:val="0"/>
          <w:marRight w:val="0"/>
          <w:marTop w:val="0"/>
          <w:marBottom w:val="0"/>
          <w:divBdr>
            <w:top w:val="none" w:sz="0" w:space="0" w:color="auto"/>
            <w:left w:val="none" w:sz="0" w:space="0" w:color="auto"/>
            <w:bottom w:val="none" w:sz="0" w:space="0" w:color="auto"/>
            <w:right w:val="none" w:sz="0" w:space="0" w:color="auto"/>
          </w:divBdr>
        </w:div>
        <w:div w:id="852374999">
          <w:marLeft w:val="0"/>
          <w:marRight w:val="0"/>
          <w:marTop w:val="0"/>
          <w:marBottom w:val="0"/>
          <w:divBdr>
            <w:top w:val="none" w:sz="0" w:space="0" w:color="auto"/>
            <w:left w:val="none" w:sz="0" w:space="0" w:color="auto"/>
            <w:bottom w:val="none" w:sz="0" w:space="0" w:color="auto"/>
            <w:right w:val="none" w:sz="0" w:space="0" w:color="auto"/>
          </w:divBdr>
        </w:div>
        <w:div w:id="859582355">
          <w:marLeft w:val="0"/>
          <w:marRight w:val="0"/>
          <w:marTop w:val="0"/>
          <w:marBottom w:val="0"/>
          <w:divBdr>
            <w:top w:val="none" w:sz="0" w:space="0" w:color="auto"/>
            <w:left w:val="none" w:sz="0" w:space="0" w:color="auto"/>
            <w:bottom w:val="none" w:sz="0" w:space="0" w:color="auto"/>
            <w:right w:val="none" w:sz="0" w:space="0" w:color="auto"/>
          </w:divBdr>
        </w:div>
        <w:div w:id="862741802">
          <w:marLeft w:val="0"/>
          <w:marRight w:val="0"/>
          <w:marTop w:val="0"/>
          <w:marBottom w:val="0"/>
          <w:divBdr>
            <w:top w:val="none" w:sz="0" w:space="0" w:color="auto"/>
            <w:left w:val="none" w:sz="0" w:space="0" w:color="auto"/>
            <w:bottom w:val="none" w:sz="0" w:space="0" w:color="auto"/>
            <w:right w:val="none" w:sz="0" w:space="0" w:color="auto"/>
          </w:divBdr>
        </w:div>
        <w:div w:id="878392818">
          <w:marLeft w:val="0"/>
          <w:marRight w:val="0"/>
          <w:marTop w:val="0"/>
          <w:marBottom w:val="0"/>
          <w:divBdr>
            <w:top w:val="none" w:sz="0" w:space="0" w:color="auto"/>
            <w:left w:val="none" w:sz="0" w:space="0" w:color="auto"/>
            <w:bottom w:val="none" w:sz="0" w:space="0" w:color="auto"/>
            <w:right w:val="none" w:sz="0" w:space="0" w:color="auto"/>
          </w:divBdr>
        </w:div>
        <w:div w:id="926578250">
          <w:marLeft w:val="0"/>
          <w:marRight w:val="0"/>
          <w:marTop w:val="0"/>
          <w:marBottom w:val="0"/>
          <w:divBdr>
            <w:top w:val="none" w:sz="0" w:space="0" w:color="auto"/>
            <w:left w:val="none" w:sz="0" w:space="0" w:color="auto"/>
            <w:bottom w:val="none" w:sz="0" w:space="0" w:color="auto"/>
            <w:right w:val="none" w:sz="0" w:space="0" w:color="auto"/>
          </w:divBdr>
        </w:div>
        <w:div w:id="970019272">
          <w:marLeft w:val="0"/>
          <w:marRight w:val="0"/>
          <w:marTop w:val="0"/>
          <w:marBottom w:val="0"/>
          <w:divBdr>
            <w:top w:val="none" w:sz="0" w:space="0" w:color="auto"/>
            <w:left w:val="none" w:sz="0" w:space="0" w:color="auto"/>
            <w:bottom w:val="none" w:sz="0" w:space="0" w:color="auto"/>
            <w:right w:val="none" w:sz="0" w:space="0" w:color="auto"/>
          </w:divBdr>
        </w:div>
        <w:div w:id="1002853231">
          <w:marLeft w:val="0"/>
          <w:marRight w:val="0"/>
          <w:marTop w:val="0"/>
          <w:marBottom w:val="0"/>
          <w:divBdr>
            <w:top w:val="none" w:sz="0" w:space="0" w:color="auto"/>
            <w:left w:val="none" w:sz="0" w:space="0" w:color="auto"/>
            <w:bottom w:val="none" w:sz="0" w:space="0" w:color="auto"/>
            <w:right w:val="none" w:sz="0" w:space="0" w:color="auto"/>
          </w:divBdr>
        </w:div>
        <w:div w:id="1019308689">
          <w:marLeft w:val="0"/>
          <w:marRight w:val="0"/>
          <w:marTop w:val="0"/>
          <w:marBottom w:val="0"/>
          <w:divBdr>
            <w:top w:val="none" w:sz="0" w:space="0" w:color="auto"/>
            <w:left w:val="none" w:sz="0" w:space="0" w:color="auto"/>
            <w:bottom w:val="none" w:sz="0" w:space="0" w:color="auto"/>
            <w:right w:val="none" w:sz="0" w:space="0" w:color="auto"/>
          </w:divBdr>
        </w:div>
        <w:div w:id="1046369908">
          <w:marLeft w:val="0"/>
          <w:marRight w:val="0"/>
          <w:marTop w:val="0"/>
          <w:marBottom w:val="0"/>
          <w:divBdr>
            <w:top w:val="none" w:sz="0" w:space="0" w:color="auto"/>
            <w:left w:val="none" w:sz="0" w:space="0" w:color="auto"/>
            <w:bottom w:val="none" w:sz="0" w:space="0" w:color="auto"/>
            <w:right w:val="none" w:sz="0" w:space="0" w:color="auto"/>
          </w:divBdr>
        </w:div>
        <w:div w:id="1052923752">
          <w:marLeft w:val="0"/>
          <w:marRight w:val="0"/>
          <w:marTop w:val="0"/>
          <w:marBottom w:val="0"/>
          <w:divBdr>
            <w:top w:val="none" w:sz="0" w:space="0" w:color="auto"/>
            <w:left w:val="none" w:sz="0" w:space="0" w:color="auto"/>
            <w:bottom w:val="none" w:sz="0" w:space="0" w:color="auto"/>
            <w:right w:val="none" w:sz="0" w:space="0" w:color="auto"/>
          </w:divBdr>
        </w:div>
        <w:div w:id="1073627851">
          <w:marLeft w:val="0"/>
          <w:marRight w:val="0"/>
          <w:marTop w:val="0"/>
          <w:marBottom w:val="0"/>
          <w:divBdr>
            <w:top w:val="none" w:sz="0" w:space="0" w:color="auto"/>
            <w:left w:val="none" w:sz="0" w:space="0" w:color="auto"/>
            <w:bottom w:val="none" w:sz="0" w:space="0" w:color="auto"/>
            <w:right w:val="none" w:sz="0" w:space="0" w:color="auto"/>
          </w:divBdr>
        </w:div>
        <w:div w:id="1122840084">
          <w:marLeft w:val="0"/>
          <w:marRight w:val="0"/>
          <w:marTop w:val="0"/>
          <w:marBottom w:val="0"/>
          <w:divBdr>
            <w:top w:val="none" w:sz="0" w:space="0" w:color="auto"/>
            <w:left w:val="none" w:sz="0" w:space="0" w:color="auto"/>
            <w:bottom w:val="none" w:sz="0" w:space="0" w:color="auto"/>
            <w:right w:val="none" w:sz="0" w:space="0" w:color="auto"/>
          </w:divBdr>
        </w:div>
        <w:div w:id="1130513253">
          <w:marLeft w:val="0"/>
          <w:marRight w:val="0"/>
          <w:marTop w:val="0"/>
          <w:marBottom w:val="0"/>
          <w:divBdr>
            <w:top w:val="none" w:sz="0" w:space="0" w:color="auto"/>
            <w:left w:val="none" w:sz="0" w:space="0" w:color="auto"/>
            <w:bottom w:val="none" w:sz="0" w:space="0" w:color="auto"/>
            <w:right w:val="none" w:sz="0" w:space="0" w:color="auto"/>
          </w:divBdr>
        </w:div>
        <w:div w:id="1157840979">
          <w:marLeft w:val="0"/>
          <w:marRight w:val="0"/>
          <w:marTop w:val="0"/>
          <w:marBottom w:val="0"/>
          <w:divBdr>
            <w:top w:val="none" w:sz="0" w:space="0" w:color="auto"/>
            <w:left w:val="none" w:sz="0" w:space="0" w:color="auto"/>
            <w:bottom w:val="none" w:sz="0" w:space="0" w:color="auto"/>
            <w:right w:val="none" w:sz="0" w:space="0" w:color="auto"/>
          </w:divBdr>
        </w:div>
        <w:div w:id="1161852661">
          <w:marLeft w:val="0"/>
          <w:marRight w:val="0"/>
          <w:marTop w:val="0"/>
          <w:marBottom w:val="0"/>
          <w:divBdr>
            <w:top w:val="none" w:sz="0" w:space="0" w:color="auto"/>
            <w:left w:val="none" w:sz="0" w:space="0" w:color="auto"/>
            <w:bottom w:val="none" w:sz="0" w:space="0" w:color="auto"/>
            <w:right w:val="none" w:sz="0" w:space="0" w:color="auto"/>
          </w:divBdr>
        </w:div>
        <w:div w:id="1166358851">
          <w:marLeft w:val="0"/>
          <w:marRight w:val="0"/>
          <w:marTop w:val="0"/>
          <w:marBottom w:val="0"/>
          <w:divBdr>
            <w:top w:val="none" w:sz="0" w:space="0" w:color="auto"/>
            <w:left w:val="none" w:sz="0" w:space="0" w:color="auto"/>
            <w:bottom w:val="none" w:sz="0" w:space="0" w:color="auto"/>
            <w:right w:val="none" w:sz="0" w:space="0" w:color="auto"/>
          </w:divBdr>
        </w:div>
        <w:div w:id="1170028398">
          <w:marLeft w:val="0"/>
          <w:marRight w:val="0"/>
          <w:marTop w:val="0"/>
          <w:marBottom w:val="0"/>
          <w:divBdr>
            <w:top w:val="none" w:sz="0" w:space="0" w:color="auto"/>
            <w:left w:val="none" w:sz="0" w:space="0" w:color="auto"/>
            <w:bottom w:val="none" w:sz="0" w:space="0" w:color="auto"/>
            <w:right w:val="none" w:sz="0" w:space="0" w:color="auto"/>
          </w:divBdr>
        </w:div>
        <w:div w:id="1267888199">
          <w:marLeft w:val="0"/>
          <w:marRight w:val="0"/>
          <w:marTop w:val="0"/>
          <w:marBottom w:val="0"/>
          <w:divBdr>
            <w:top w:val="none" w:sz="0" w:space="0" w:color="auto"/>
            <w:left w:val="none" w:sz="0" w:space="0" w:color="auto"/>
            <w:bottom w:val="none" w:sz="0" w:space="0" w:color="auto"/>
            <w:right w:val="none" w:sz="0" w:space="0" w:color="auto"/>
          </w:divBdr>
        </w:div>
        <w:div w:id="1274049225">
          <w:marLeft w:val="0"/>
          <w:marRight w:val="0"/>
          <w:marTop w:val="0"/>
          <w:marBottom w:val="0"/>
          <w:divBdr>
            <w:top w:val="none" w:sz="0" w:space="0" w:color="auto"/>
            <w:left w:val="none" w:sz="0" w:space="0" w:color="auto"/>
            <w:bottom w:val="none" w:sz="0" w:space="0" w:color="auto"/>
            <w:right w:val="none" w:sz="0" w:space="0" w:color="auto"/>
          </w:divBdr>
        </w:div>
        <w:div w:id="1276668685">
          <w:marLeft w:val="0"/>
          <w:marRight w:val="0"/>
          <w:marTop w:val="0"/>
          <w:marBottom w:val="0"/>
          <w:divBdr>
            <w:top w:val="none" w:sz="0" w:space="0" w:color="auto"/>
            <w:left w:val="none" w:sz="0" w:space="0" w:color="auto"/>
            <w:bottom w:val="none" w:sz="0" w:space="0" w:color="auto"/>
            <w:right w:val="none" w:sz="0" w:space="0" w:color="auto"/>
          </w:divBdr>
        </w:div>
        <w:div w:id="1314870071">
          <w:marLeft w:val="0"/>
          <w:marRight w:val="0"/>
          <w:marTop w:val="0"/>
          <w:marBottom w:val="0"/>
          <w:divBdr>
            <w:top w:val="none" w:sz="0" w:space="0" w:color="auto"/>
            <w:left w:val="none" w:sz="0" w:space="0" w:color="auto"/>
            <w:bottom w:val="none" w:sz="0" w:space="0" w:color="auto"/>
            <w:right w:val="none" w:sz="0" w:space="0" w:color="auto"/>
          </w:divBdr>
        </w:div>
        <w:div w:id="1317300038">
          <w:marLeft w:val="0"/>
          <w:marRight w:val="0"/>
          <w:marTop w:val="0"/>
          <w:marBottom w:val="0"/>
          <w:divBdr>
            <w:top w:val="none" w:sz="0" w:space="0" w:color="auto"/>
            <w:left w:val="none" w:sz="0" w:space="0" w:color="auto"/>
            <w:bottom w:val="none" w:sz="0" w:space="0" w:color="auto"/>
            <w:right w:val="none" w:sz="0" w:space="0" w:color="auto"/>
          </w:divBdr>
        </w:div>
        <w:div w:id="1329283817">
          <w:marLeft w:val="0"/>
          <w:marRight w:val="0"/>
          <w:marTop w:val="0"/>
          <w:marBottom w:val="0"/>
          <w:divBdr>
            <w:top w:val="none" w:sz="0" w:space="0" w:color="auto"/>
            <w:left w:val="none" w:sz="0" w:space="0" w:color="auto"/>
            <w:bottom w:val="none" w:sz="0" w:space="0" w:color="auto"/>
            <w:right w:val="none" w:sz="0" w:space="0" w:color="auto"/>
          </w:divBdr>
        </w:div>
        <w:div w:id="1353726287">
          <w:marLeft w:val="0"/>
          <w:marRight w:val="0"/>
          <w:marTop w:val="0"/>
          <w:marBottom w:val="0"/>
          <w:divBdr>
            <w:top w:val="none" w:sz="0" w:space="0" w:color="auto"/>
            <w:left w:val="none" w:sz="0" w:space="0" w:color="auto"/>
            <w:bottom w:val="none" w:sz="0" w:space="0" w:color="auto"/>
            <w:right w:val="none" w:sz="0" w:space="0" w:color="auto"/>
          </w:divBdr>
        </w:div>
        <w:div w:id="1368028018">
          <w:marLeft w:val="0"/>
          <w:marRight w:val="0"/>
          <w:marTop w:val="0"/>
          <w:marBottom w:val="0"/>
          <w:divBdr>
            <w:top w:val="none" w:sz="0" w:space="0" w:color="auto"/>
            <w:left w:val="none" w:sz="0" w:space="0" w:color="auto"/>
            <w:bottom w:val="none" w:sz="0" w:space="0" w:color="auto"/>
            <w:right w:val="none" w:sz="0" w:space="0" w:color="auto"/>
          </w:divBdr>
        </w:div>
        <w:div w:id="1394618327">
          <w:marLeft w:val="0"/>
          <w:marRight w:val="0"/>
          <w:marTop w:val="0"/>
          <w:marBottom w:val="0"/>
          <w:divBdr>
            <w:top w:val="none" w:sz="0" w:space="0" w:color="auto"/>
            <w:left w:val="none" w:sz="0" w:space="0" w:color="auto"/>
            <w:bottom w:val="none" w:sz="0" w:space="0" w:color="auto"/>
            <w:right w:val="none" w:sz="0" w:space="0" w:color="auto"/>
          </w:divBdr>
        </w:div>
        <w:div w:id="1408724739">
          <w:marLeft w:val="0"/>
          <w:marRight w:val="0"/>
          <w:marTop w:val="0"/>
          <w:marBottom w:val="0"/>
          <w:divBdr>
            <w:top w:val="none" w:sz="0" w:space="0" w:color="auto"/>
            <w:left w:val="none" w:sz="0" w:space="0" w:color="auto"/>
            <w:bottom w:val="none" w:sz="0" w:space="0" w:color="auto"/>
            <w:right w:val="none" w:sz="0" w:space="0" w:color="auto"/>
          </w:divBdr>
        </w:div>
        <w:div w:id="1420297554">
          <w:marLeft w:val="0"/>
          <w:marRight w:val="0"/>
          <w:marTop w:val="0"/>
          <w:marBottom w:val="0"/>
          <w:divBdr>
            <w:top w:val="none" w:sz="0" w:space="0" w:color="auto"/>
            <w:left w:val="none" w:sz="0" w:space="0" w:color="auto"/>
            <w:bottom w:val="none" w:sz="0" w:space="0" w:color="auto"/>
            <w:right w:val="none" w:sz="0" w:space="0" w:color="auto"/>
          </w:divBdr>
        </w:div>
        <w:div w:id="1433433372">
          <w:marLeft w:val="0"/>
          <w:marRight w:val="0"/>
          <w:marTop w:val="0"/>
          <w:marBottom w:val="0"/>
          <w:divBdr>
            <w:top w:val="none" w:sz="0" w:space="0" w:color="auto"/>
            <w:left w:val="none" w:sz="0" w:space="0" w:color="auto"/>
            <w:bottom w:val="none" w:sz="0" w:space="0" w:color="auto"/>
            <w:right w:val="none" w:sz="0" w:space="0" w:color="auto"/>
          </w:divBdr>
        </w:div>
        <w:div w:id="1452164643">
          <w:marLeft w:val="0"/>
          <w:marRight w:val="0"/>
          <w:marTop w:val="0"/>
          <w:marBottom w:val="0"/>
          <w:divBdr>
            <w:top w:val="none" w:sz="0" w:space="0" w:color="auto"/>
            <w:left w:val="none" w:sz="0" w:space="0" w:color="auto"/>
            <w:bottom w:val="none" w:sz="0" w:space="0" w:color="auto"/>
            <w:right w:val="none" w:sz="0" w:space="0" w:color="auto"/>
          </w:divBdr>
        </w:div>
        <w:div w:id="1461915395">
          <w:marLeft w:val="0"/>
          <w:marRight w:val="0"/>
          <w:marTop w:val="0"/>
          <w:marBottom w:val="0"/>
          <w:divBdr>
            <w:top w:val="none" w:sz="0" w:space="0" w:color="auto"/>
            <w:left w:val="none" w:sz="0" w:space="0" w:color="auto"/>
            <w:bottom w:val="none" w:sz="0" w:space="0" w:color="auto"/>
            <w:right w:val="none" w:sz="0" w:space="0" w:color="auto"/>
          </w:divBdr>
        </w:div>
        <w:div w:id="1515992416">
          <w:marLeft w:val="0"/>
          <w:marRight w:val="0"/>
          <w:marTop w:val="0"/>
          <w:marBottom w:val="0"/>
          <w:divBdr>
            <w:top w:val="none" w:sz="0" w:space="0" w:color="auto"/>
            <w:left w:val="none" w:sz="0" w:space="0" w:color="auto"/>
            <w:bottom w:val="none" w:sz="0" w:space="0" w:color="auto"/>
            <w:right w:val="none" w:sz="0" w:space="0" w:color="auto"/>
          </w:divBdr>
        </w:div>
        <w:div w:id="1540121020">
          <w:marLeft w:val="0"/>
          <w:marRight w:val="0"/>
          <w:marTop w:val="0"/>
          <w:marBottom w:val="0"/>
          <w:divBdr>
            <w:top w:val="none" w:sz="0" w:space="0" w:color="auto"/>
            <w:left w:val="none" w:sz="0" w:space="0" w:color="auto"/>
            <w:bottom w:val="none" w:sz="0" w:space="0" w:color="auto"/>
            <w:right w:val="none" w:sz="0" w:space="0" w:color="auto"/>
          </w:divBdr>
        </w:div>
        <w:div w:id="1594511013">
          <w:marLeft w:val="0"/>
          <w:marRight w:val="0"/>
          <w:marTop w:val="0"/>
          <w:marBottom w:val="0"/>
          <w:divBdr>
            <w:top w:val="none" w:sz="0" w:space="0" w:color="auto"/>
            <w:left w:val="none" w:sz="0" w:space="0" w:color="auto"/>
            <w:bottom w:val="none" w:sz="0" w:space="0" w:color="auto"/>
            <w:right w:val="none" w:sz="0" w:space="0" w:color="auto"/>
          </w:divBdr>
        </w:div>
        <w:div w:id="1609123960">
          <w:marLeft w:val="0"/>
          <w:marRight w:val="0"/>
          <w:marTop w:val="0"/>
          <w:marBottom w:val="0"/>
          <w:divBdr>
            <w:top w:val="none" w:sz="0" w:space="0" w:color="auto"/>
            <w:left w:val="none" w:sz="0" w:space="0" w:color="auto"/>
            <w:bottom w:val="none" w:sz="0" w:space="0" w:color="auto"/>
            <w:right w:val="none" w:sz="0" w:space="0" w:color="auto"/>
          </w:divBdr>
        </w:div>
        <w:div w:id="1620602774">
          <w:marLeft w:val="0"/>
          <w:marRight w:val="0"/>
          <w:marTop w:val="0"/>
          <w:marBottom w:val="0"/>
          <w:divBdr>
            <w:top w:val="none" w:sz="0" w:space="0" w:color="auto"/>
            <w:left w:val="none" w:sz="0" w:space="0" w:color="auto"/>
            <w:bottom w:val="none" w:sz="0" w:space="0" w:color="auto"/>
            <w:right w:val="none" w:sz="0" w:space="0" w:color="auto"/>
          </w:divBdr>
        </w:div>
        <w:div w:id="1674381740">
          <w:marLeft w:val="0"/>
          <w:marRight w:val="0"/>
          <w:marTop w:val="0"/>
          <w:marBottom w:val="0"/>
          <w:divBdr>
            <w:top w:val="none" w:sz="0" w:space="0" w:color="auto"/>
            <w:left w:val="none" w:sz="0" w:space="0" w:color="auto"/>
            <w:bottom w:val="none" w:sz="0" w:space="0" w:color="auto"/>
            <w:right w:val="none" w:sz="0" w:space="0" w:color="auto"/>
          </w:divBdr>
        </w:div>
        <w:div w:id="1676298970">
          <w:marLeft w:val="0"/>
          <w:marRight w:val="0"/>
          <w:marTop w:val="0"/>
          <w:marBottom w:val="0"/>
          <w:divBdr>
            <w:top w:val="none" w:sz="0" w:space="0" w:color="auto"/>
            <w:left w:val="none" w:sz="0" w:space="0" w:color="auto"/>
            <w:bottom w:val="none" w:sz="0" w:space="0" w:color="auto"/>
            <w:right w:val="none" w:sz="0" w:space="0" w:color="auto"/>
          </w:divBdr>
        </w:div>
        <w:div w:id="1735395234">
          <w:marLeft w:val="0"/>
          <w:marRight w:val="0"/>
          <w:marTop w:val="0"/>
          <w:marBottom w:val="0"/>
          <w:divBdr>
            <w:top w:val="none" w:sz="0" w:space="0" w:color="auto"/>
            <w:left w:val="none" w:sz="0" w:space="0" w:color="auto"/>
            <w:bottom w:val="none" w:sz="0" w:space="0" w:color="auto"/>
            <w:right w:val="none" w:sz="0" w:space="0" w:color="auto"/>
          </w:divBdr>
        </w:div>
        <w:div w:id="1736051891">
          <w:marLeft w:val="0"/>
          <w:marRight w:val="0"/>
          <w:marTop w:val="0"/>
          <w:marBottom w:val="0"/>
          <w:divBdr>
            <w:top w:val="none" w:sz="0" w:space="0" w:color="auto"/>
            <w:left w:val="none" w:sz="0" w:space="0" w:color="auto"/>
            <w:bottom w:val="none" w:sz="0" w:space="0" w:color="auto"/>
            <w:right w:val="none" w:sz="0" w:space="0" w:color="auto"/>
          </w:divBdr>
        </w:div>
        <w:div w:id="1777676659">
          <w:marLeft w:val="0"/>
          <w:marRight w:val="0"/>
          <w:marTop w:val="0"/>
          <w:marBottom w:val="0"/>
          <w:divBdr>
            <w:top w:val="none" w:sz="0" w:space="0" w:color="auto"/>
            <w:left w:val="none" w:sz="0" w:space="0" w:color="auto"/>
            <w:bottom w:val="none" w:sz="0" w:space="0" w:color="auto"/>
            <w:right w:val="none" w:sz="0" w:space="0" w:color="auto"/>
          </w:divBdr>
        </w:div>
        <w:div w:id="1805930061">
          <w:marLeft w:val="0"/>
          <w:marRight w:val="0"/>
          <w:marTop w:val="0"/>
          <w:marBottom w:val="0"/>
          <w:divBdr>
            <w:top w:val="none" w:sz="0" w:space="0" w:color="auto"/>
            <w:left w:val="none" w:sz="0" w:space="0" w:color="auto"/>
            <w:bottom w:val="none" w:sz="0" w:space="0" w:color="auto"/>
            <w:right w:val="none" w:sz="0" w:space="0" w:color="auto"/>
          </w:divBdr>
        </w:div>
        <w:div w:id="1816603812">
          <w:marLeft w:val="0"/>
          <w:marRight w:val="0"/>
          <w:marTop w:val="0"/>
          <w:marBottom w:val="0"/>
          <w:divBdr>
            <w:top w:val="none" w:sz="0" w:space="0" w:color="auto"/>
            <w:left w:val="none" w:sz="0" w:space="0" w:color="auto"/>
            <w:bottom w:val="none" w:sz="0" w:space="0" w:color="auto"/>
            <w:right w:val="none" w:sz="0" w:space="0" w:color="auto"/>
          </w:divBdr>
        </w:div>
        <w:div w:id="1835994697">
          <w:marLeft w:val="0"/>
          <w:marRight w:val="0"/>
          <w:marTop w:val="0"/>
          <w:marBottom w:val="0"/>
          <w:divBdr>
            <w:top w:val="none" w:sz="0" w:space="0" w:color="auto"/>
            <w:left w:val="none" w:sz="0" w:space="0" w:color="auto"/>
            <w:bottom w:val="none" w:sz="0" w:space="0" w:color="auto"/>
            <w:right w:val="none" w:sz="0" w:space="0" w:color="auto"/>
          </w:divBdr>
        </w:div>
        <w:div w:id="1860459975">
          <w:marLeft w:val="0"/>
          <w:marRight w:val="0"/>
          <w:marTop w:val="0"/>
          <w:marBottom w:val="0"/>
          <w:divBdr>
            <w:top w:val="none" w:sz="0" w:space="0" w:color="auto"/>
            <w:left w:val="none" w:sz="0" w:space="0" w:color="auto"/>
            <w:bottom w:val="none" w:sz="0" w:space="0" w:color="auto"/>
            <w:right w:val="none" w:sz="0" w:space="0" w:color="auto"/>
          </w:divBdr>
        </w:div>
        <w:div w:id="1864855604">
          <w:marLeft w:val="0"/>
          <w:marRight w:val="0"/>
          <w:marTop w:val="0"/>
          <w:marBottom w:val="0"/>
          <w:divBdr>
            <w:top w:val="none" w:sz="0" w:space="0" w:color="auto"/>
            <w:left w:val="none" w:sz="0" w:space="0" w:color="auto"/>
            <w:bottom w:val="none" w:sz="0" w:space="0" w:color="auto"/>
            <w:right w:val="none" w:sz="0" w:space="0" w:color="auto"/>
          </w:divBdr>
        </w:div>
        <w:div w:id="1915620901">
          <w:marLeft w:val="0"/>
          <w:marRight w:val="0"/>
          <w:marTop w:val="0"/>
          <w:marBottom w:val="0"/>
          <w:divBdr>
            <w:top w:val="none" w:sz="0" w:space="0" w:color="auto"/>
            <w:left w:val="none" w:sz="0" w:space="0" w:color="auto"/>
            <w:bottom w:val="none" w:sz="0" w:space="0" w:color="auto"/>
            <w:right w:val="none" w:sz="0" w:space="0" w:color="auto"/>
          </w:divBdr>
        </w:div>
        <w:div w:id="1931500065">
          <w:marLeft w:val="0"/>
          <w:marRight w:val="0"/>
          <w:marTop w:val="0"/>
          <w:marBottom w:val="0"/>
          <w:divBdr>
            <w:top w:val="none" w:sz="0" w:space="0" w:color="auto"/>
            <w:left w:val="none" w:sz="0" w:space="0" w:color="auto"/>
            <w:bottom w:val="none" w:sz="0" w:space="0" w:color="auto"/>
            <w:right w:val="none" w:sz="0" w:space="0" w:color="auto"/>
          </w:divBdr>
        </w:div>
        <w:div w:id="2004698153">
          <w:marLeft w:val="0"/>
          <w:marRight w:val="0"/>
          <w:marTop w:val="0"/>
          <w:marBottom w:val="0"/>
          <w:divBdr>
            <w:top w:val="none" w:sz="0" w:space="0" w:color="auto"/>
            <w:left w:val="none" w:sz="0" w:space="0" w:color="auto"/>
            <w:bottom w:val="none" w:sz="0" w:space="0" w:color="auto"/>
            <w:right w:val="none" w:sz="0" w:space="0" w:color="auto"/>
          </w:divBdr>
        </w:div>
        <w:div w:id="2006469880">
          <w:marLeft w:val="0"/>
          <w:marRight w:val="0"/>
          <w:marTop w:val="0"/>
          <w:marBottom w:val="0"/>
          <w:divBdr>
            <w:top w:val="none" w:sz="0" w:space="0" w:color="auto"/>
            <w:left w:val="none" w:sz="0" w:space="0" w:color="auto"/>
            <w:bottom w:val="none" w:sz="0" w:space="0" w:color="auto"/>
            <w:right w:val="none" w:sz="0" w:space="0" w:color="auto"/>
          </w:divBdr>
        </w:div>
        <w:div w:id="2037997775">
          <w:marLeft w:val="0"/>
          <w:marRight w:val="0"/>
          <w:marTop w:val="0"/>
          <w:marBottom w:val="0"/>
          <w:divBdr>
            <w:top w:val="none" w:sz="0" w:space="0" w:color="auto"/>
            <w:left w:val="none" w:sz="0" w:space="0" w:color="auto"/>
            <w:bottom w:val="none" w:sz="0" w:space="0" w:color="auto"/>
            <w:right w:val="none" w:sz="0" w:space="0" w:color="auto"/>
          </w:divBdr>
        </w:div>
        <w:div w:id="2082635426">
          <w:marLeft w:val="0"/>
          <w:marRight w:val="0"/>
          <w:marTop w:val="0"/>
          <w:marBottom w:val="0"/>
          <w:divBdr>
            <w:top w:val="none" w:sz="0" w:space="0" w:color="auto"/>
            <w:left w:val="none" w:sz="0" w:space="0" w:color="auto"/>
            <w:bottom w:val="none" w:sz="0" w:space="0" w:color="auto"/>
            <w:right w:val="none" w:sz="0" w:space="0" w:color="auto"/>
          </w:divBdr>
        </w:div>
        <w:div w:id="2113159635">
          <w:marLeft w:val="0"/>
          <w:marRight w:val="0"/>
          <w:marTop w:val="0"/>
          <w:marBottom w:val="0"/>
          <w:divBdr>
            <w:top w:val="none" w:sz="0" w:space="0" w:color="auto"/>
            <w:left w:val="none" w:sz="0" w:space="0" w:color="auto"/>
            <w:bottom w:val="none" w:sz="0" w:space="0" w:color="auto"/>
            <w:right w:val="none" w:sz="0" w:space="0" w:color="auto"/>
          </w:divBdr>
        </w:div>
        <w:div w:id="2139448737">
          <w:marLeft w:val="0"/>
          <w:marRight w:val="0"/>
          <w:marTop w:val="0"/>
          <w:marBottom w:val="0"/>
          <w:divBdr>
            <w:top w:val="none" w:sz="0" w:space="0" w:color="auto"/>
            <w:left w:val="none" w:sz="0" w:space="0" w:color="auto"/>
            <w:bottom w:val="none" w:sz="0" w:space="0" w:color="auto"/>
            <w:right w:val="none" w:sz="0" w:space="0" w:color="auto"/>
          </w:divBdr>
        </w:div>
      </w:divsChild>
    </w:div>
    <w:div w:id="1390616297">
      <w:bodyDiv w:val="1"/>
      <w:marLeft w:val="0"/>
      <w:marRight w:val="0"/>
      <w:marTop w:val="0"/>
      <w:marBottom w:val="0"/>
      <w:divBdr>
        <w:top w:val="none" w:sz="0" w:space="0" w:color="auto"/>
        <w:left w:val="none" w:sz="0" w:space="0" w:color="auto"/>
        <w:bottom w:val="none" w:sz="0" w:space="0" w:color="auto"/>
        <w:right w:val="none" w:sz="0" w:space="0" w:color="auto"/>
      </w:divBdr>
    </w:div>
    <w:div w:id="1400516683">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539928560">
      <w:bodyDiv w:val="1"/>
      <w:marLeft w:val="0"/>
      <w:marRight w:val="0"/>
      <w:marTop w:val="0"/>
      <w:marBottom w:val="0"/>
      <w:divBdr>
        <w:top w:val="none" w:sz="0" w:space="0" w:color="auto"/>
        <w:left w:val="none" w:sz="0" w:space="0" w:color="auto"/>
        <w:bottom w:val="none" w:sz="0" w:space="0" w:color="auto"/>
        <w:right w:val="none" w:sz="0" w:space="0" w:color="auto"/>
      </w:divBdr>
    </w:div>
    <w:div w:id="1567571768">
      <w:bodyDiv w:val="1"/>
      <w:marLeft w:val="0"/>
      <w:marRight w:val="0"/>
      <w:marTop w:val="0"/>
      <w:marBottom w:val="0"/>
      <w:divBdr>
        <w:top w:val="none" w:sz="0" w:space="0" w:color="auto"/>
        <w:left w:val="none" w:sz="0" w:space="0" w:color="auto"/>
        <w:bottom w:val="none" w:sz="0" w:space="0" w:color="auto"/>
        <w:right w:val="none" w:sz="0" w:space="0" w:color="auto"/>
      </w:divBdr>
      <w:divsChild>
        <w:div w:id="2634821">
          <w:marLeft w:val="0"/>
          <w:marRight w:val="0"/>
          <w:marTop w:val="0"/>
          <w:marBottom w:val="0"/>
          <w:divBdr>
            <w:top w:val="none" w:sz="0" w:space="0" w:color="auto"/>
            <w:left w:val="none" w:sz="0" w:space="0" w:color="auto"/>
            <w:bottom w:val="none" w:sz="0" w:space="0" w:color="auto"/>
            <w:right w:val="none" w:sz="0" w:space="0" w:color="auto"/>
          </w:divBdr>
        </w:div>
        <w:div w:id="32727801">
          <w:marLeft w:val="0"/>
          <w:marRight w:val="0"/>
          <w:marTop w:val="0"/>
          <w:marBottom w:val="0"/>
          <w:divBdr>
            <w:top w:val="none" w:sz="0" w:space="0" w:color="auto"/>
            <w:left w:val="none" w:sz="0" w:space="0" w:color="auto"/>
            <w:bottom w:val="none" w:sz="0" w:space="0" w:color="auto"/>
            <w:right w:val="none" w:sz="0" w:space="0" w:color="auto"/>
          </w:divBdr>
        </w:div>
        <w:div w:id="44061312">
          <w:marLeft w:val="0"/>
          <w:marRight w:val="0"/>
          <w:marTop w:val="0"/>
          <w:marBottom w:val="0"/>
          <w:divBdr>
            <w:top w:val="none" w:sz="0" w:space="0" w:color="auto"/>
            <w:left w:val="none" w:sz="0" w:space="0" w:color="auto"/>
            <w:bottom w:val="none" w:sz="0" w:space="0" w:color="auto"/>
            <w:right w:val="none" w:sz="0" w:space="0" w:color="auto"/>
          </w:divBdr>
        </w:div>
        <w:div w:id="44525850">
          <w:marLeft w:val="0"/>
          <w:marRight w:val="0"/>
          <w:marTop w:val="0"/>
          <w:marBottom w:val="0"/>
          <w:divBdr>
            <w:top w:val="none" w:sz="0" w:space="0" w:color="auto"/>
            <w:left w:val="none" w:sz="0" w:space="0" w:color="auto"/>
            <w:bottom w:val="none" w:sz="0" w:space="0" w:color="auto"/>
            <w:right w:val="none" w:sz="0" w:space="0" w:color="auto"/>
          </w:divBdr>
        </w:div>
        <w:div w:id="96758954">
          <w:marLeft w:val="0"/>
          <w:marRight w:val="0"/>
          <w:marTop w:val="0"/>
          <w:marBottom w:val="0"/>
          <w:divBdr>
            <w:top w:val="none" w:sz="0" w:space="0" w:color="auto"/>
            <w:left w:val="none" w:sz="0" w:space="0" w:color="auto"/>
            <w:bottom w:val="none" w:sz="0" w:space="0" w:color="auto"/>
            <w:right w:val="none" w:sz="0" w:space="0" w:color="auto"/>
          </w:divBdr>
        </w:div>
        <w:div w:id="115026095">
          <w:marLeft w:val="0"/>
          <w:marRight w:val="0"/>
          <w:marTop w:val="0"/>
          <w:marBottom w:val="0"/>
          <w:divBdr>
            <w:top w:val="none" w:sz="0" w:space="0" w:color="auto"/>
            <w:left w:val="none" w:sz="0" w:space="0" w:color="auto"/>
            <w:bottom w:val="none" w:sz="0" w:space="0" w:color="auto"/>
            <w:right w:val="none" w:sz="0" w:space="0" w:color="auto"/>
          </w:divBdr>
        </w:div>
        <w:div w:id="147090056">
          <w:marLeft w:val="0"/>
          <w:marRight w:val="0"/>
          <w:marTop w:val="0"/>
          <w:marBottom w:val="0"/>
          <w:divBdr>
            <w:top w:val="none" w:sz="0" w:space="0" w:color="auto"/>
            <w:left w:val="none" w:sz="0" w:space="0" w:color="auto"/>
            <w:bottom w:val="none" w:sz="0" w:space="0" w:color="auto"/>
            <w:right w:val="none" w:sz="0" w:space="0" w:color="auto"/>
          </w:divBdr>
        </w:div>
        <w:div w:id="169412588">
          <w:marLeft w:val="0"/>
          <w:marRight w:val="0"/>
          <w:marTop w:val="0"/>
          <w:marBottom w:val="0"/>
          <w:divBdr>
            <w:top w:val="none" w:sz="0" w:space="0" w:color="auto"/>
            <w:left w:val="none" w:sz="0" w:space="0" w:color="auto"/>
            <w:bottom w:val="none" w:sz="0" w:space="0" w:color="auto"/>
            <w:right w:val="none" w:sz="0" w:space="0" w:color="auto"/>
          </w:divBdr>
        </w:div>
        <w:div w:id="185098052">
          <w:marLeft w:val="0"/>
          <w:marRight w:val="0"/>
          <w:marTop w:val="0"/>
          <w:marBottom w:val="0"/>
          <w:divBdr>
            <w:top w:val="none" w:sz="0" w:space="0" w:color="auto"/>
            <w:left w:val="none" w:sz="0" w:space="0" w:color="auto"/>
            <w:bottom w:val="none" w:sz="0" w:space="0" w:color="auto"/>
            <w:right w:val="none" w:sz="0" w:space="0" w:color="auto"/>
          </w:divBdr>
        </w:div>
        <w:div w:id="260454282">
          <w:marLeft w:val="0"/>
          <w:marRight w:val="0"/>
          <w:marTop w:val="0"/>
          <w:marBottom w:val="0"/>
          <w:divBdr>
            <w:top w:val="none" w:sz="0" w:space="0" w:color="auto"/>
            <w:left w:val="none" w:sz="0" w:space="0" w:color="auto"/>
            <w:bottom w:val="none" w:sz="0" w:space="0" w:color="auto"/>
            <w:right w:val="none" w:sz="0" w:space="0" w:color="auto"/>
          </w:divBdr>
        </w:div>
        <w:div w:id="262611663">
          <w:marLeft w:val="0"/>
          <w:marRight w:val="0"/>
          <w:marTop w:val="0"/>
          <w:marBottom w:val="0"/>
          <w:divBdr>
            <w:top w:val="none" w:sz="0" w:space="0" w:color="auto"/>
            <w:left w:val="none" w:sz="0" w:space="0" w:color="auto"/>
            <w:bottom w:val="none" w:sz="0" w:space="0" w:color="auto"/>
            <w:right w:val="none" w:sz="0" w:space="0" w:color="auto"/>
          </w:divBdr>
        </w:div>
        <w:div w:id="273100297">
          <w:marLeft w:val="0"/>
          <w:marRight w:val="0"/>
          <w:marTop w:val="0"/>
          <w:marBottom w:val="0"/>
          <w:divBdr>
            <w:top w:val="none" w:sz="0" w:space="0" w:color="auto"/>
            <w:left w:val="none" w:sz="0" w:space="0" w:color="auto"/>
            <w:bottom w:val="none" w:sz="0" w:space="0" w:color="auto"/>
            <w:right w:val="none" w:sz="0" w:space="0" w:color="auto"/>
          </w:divBdr>
        </w:div>
        <w:div w:id="276327393">
          <w:marLeft w:val="0"/>
          <w:marRight w:val="0"/>
          <w:marTop w:val="0"/>
          <w:marBottom w:val="0"/>
          <w:divBdr>
            <w:top w:val="none" w:sz="0" w:space="0" w:color="auto"/>
            <w:left w:val="none" w:sz="0" w:space="0" w:color="auto"/>
            <w:bottom w:val="none" w:sz="0" w:space="0" w:color="auto"/>
            <w:right w:val="none" w:sz="0" w:space="0" w:color="auto"/>
          </w:divBdr>
        </w:div>
        <w:div w:id="293484747">
          <w:marLeft w:val="0"/>
          <w:marRight w:val="0"/>
          <w:marTop w:val="0"/>
          <w:marBottom w:val="0"/>
          <w:divBdr>
            <w:top w:val="none" w:sz="0" w:space="0" w:color="auto"/>
            <w:left w:val="none" w:sz="0" w:space="0" w:color="auto"/>
            <w:bottom w:val="none" w:sz="0" w:space="0" w:color="auto"/>
            <w:right w:val="none" w:sz="0" w:space="0" w:color="auto"/>
          </w:divBdr>
        </w:div>
        <w:div w:id="319239200">
          <w:marLeft w:val="0"/>
          <w:marRight w:val="0"/>
          <w:marTop w:val="0"/>
          <w:marBottom w:val="0"/>
          <w:divBdr>
            <w:top w:val="none" w:sz="0" w:space="0" w:color="auto"/>
            <w:left w:val="none" w:sz="0" w:space="0" w:color="auto"/>
            <w:bottom w:val="none" w:sz="0" w:space="0" w:color="auto"/>
            <w:right w:val="none" w:sz="0" w:space="0" w:color="auto"/>
          </w:divBdr>
        </w:div>
        <w:div w:id="359283535">
          <w:marLeft w:val="0"/>
          <w:marRight w:val="0"/>
          <w:marTop w:val="0"/>
          <w:marBottom w:val="0"/>
          <w:divBdr>
            <w:top w:val="none" w:sz="0" w:space="0" w:color="auto"/>
            <w:left w:val="none" w:sz="0" w:space="0" w:color="auto"/>
            <w:bottom w:val="none" w:sz="0" w:space="0" w:color="auto"/>
            <w:right w:val="none" w:sz="0" w:space="0" w:color="auto"/>
          </w:divBdr>
        </w:div>
        <w:div w:id="368342391">
          <w:marLeft w:val="0"/>
          <w:marRight w:val="0"/>
          <w:marTop w:val="0"/>
          <w:marBottom w:val="0"/>
          <w:divBdr>
            <w:top w:val="none" w:sz="0" w:space="0" w:color="auto"/>
            <w:left w:val="none" w:sz="0" w:space="0" w:color="auto"/>
            <w:bottom w:val="none" w:sz="0" w:space="0" w:color="auto"/>
            <w:right w:val="none" w:sz="0" w:space="0" w:color="auto"/>
          </w:divBdr>
        </w:div>
        <w:div w:id="381175381">
          <w:marLeft w:val="0"/>
          <w:marRight w:val="0"/>
          <w:marTop w:val="0"/>
          <w:marBottom w:val="0"/>
          <w:divBdr>
            <w:top w:val="none" w:sz="0" w:space="0" w:color="auto"/>
            <w:left w:val="none" w:sz="0" w:space="0" w:color="auto"/>
            <w:bottom w:val="none" w:sz="0" w:space="0" w:color="auto"/>
            <w:right w:val="none" w:sz="0" w:space="0" w:color="auto"/>
          </w:divBdr>
        </w:div>
        <w:div w:id="388694718">
          <w:marLeft w:val="0"/>
          <w:marRight w:val="0"/>
          <w:marTop w:val="0"/>
          <w:marBottom w:val="0"/>
          <w:divBdr>
            <w:top w:val="none" w:sz="0" w:space="0" w:color="auto"/>
            <w:left w:val="none" w:sz="0" w:space="0" w:color="auto"/>
            <w:bottom w:val="none" w:sz="0" w:space="0" w:color="auto"/>
            <w:right w:val="none" w:sz="0" w:space="0" w:color="auto"/>
          </w:divBdr>
        </w:div>
        <w:div w:id="397750950">
          <w:marLeft w:val="0"/>
          <w:marRight w:val="0"/>
          <w:marTop w:val="0"/>
          <w:marBottom w:val="0"/>
          <w:divBdr>
            <w:top w:val="none" w:sz="0" w:space="0" w:color="auto"/>
            <w:left w:val="none" w:sz="0" w:space="0" w:color="auto"/>
            <w:bottom w:val="none" w:sz="0" w:space="0" w:color="auto"/>
            <w:right w:val="none" w:sz="0" w:space="0" w:color="auto"/>
          </w:divBdr>
        </w:div>
        <w:div w:id="441340270">
          <w:marLeft w:val="0"/>
          <w:marRight w:val="0"/>
          <w:marTop w:val="0"/>
          <w:marBottom w:val="0"/>
          <w:divBdr>
            <w:top w:val="none" w:sz="0" w:space="0" w:color="auto"/>
            <w:left w:val="none" w:sz="0" w:space="0" w:color="auto"/>
            <w:bottom w:val="none" w:sz="0" w:space="0" w:color="auto"/>
            <w:right w:val="none" w:sz="0" w:space="0" w:color="auto"/>
          </w:divBdr>
        </w:div>
        <w:div w:id="493649788">
          <w:marLeft w:val="0"/>
          <w:marRight w:val="0"/>
          <w:marTop w:val="0"/>
          <w:marBottom w:val="0"/>
          <w:divBdr>
            <w:top w:val="none" w:sz="0" w:space="0" w:color="auto"/>
            <w:left w:val="none" w:sz="0" w:space="0" w:color="auto"/>
            <w:bottom w:val="none" w:sz="0" w:space="0" w:color="auto"/>
            <w:right w:val="none" w:sz="0" w:space="0" w:color="auto"/>
          </w:divBdr>
        </w:div>
        <w:div w:id="502017024">
          <w:marLeft w:val="0"/>
          <w:marRight w:val="0"/>
          <w:marTop w:val="0"/>
          <w:marBottom w:val="0"/>
          <w:divBdr>
            <w:top w:val="none" w:sz="0" w:space="0" w:color="auto"/>
            <w:left w:val="none" w:sz="0" w:space="0" w:color="auto"/>
            <w:bottom w:val="none" w:sz="0" w:space="0" w:color="auto"/>
            <w:right w:val="none" w:sz="0" w:space="0" w:color="auto"/>
          </w:divBdr>
        </w:div>
        <w:div w:id="506360491">
          <w:marLeft w:val="0"/>
          <w:marRight w:val="0"/>
          <w:marTop w:val="0"/>
          <w:marBottom w:val="0"/>
          <w:divBdr>
            <w:top w:val="none" w:sz="0" w:space="0" w:color="auto"/>
            <w:left w:val="none" w:sz="0" w:space="0" w:color="auto"/>
            <w:bottom w:val="none" w:sz="0" w:space="0" w:color="auto"/>
            <w:right w:val="none" w:sz="0" w:space="0" w:color="auto"/>
          </w:divBdr>
        </w:div>
        <w:div w:id="509219232">
          <w:marLeft w:val="0"/>
          <w:marRight w:val="0"/>
          <w:marTop w:val="0"/>
          <w:marBottom w:val="0"/>
          <w:divBdr>
            <w:top w:val="none" w:sz="0" w:space="0" w:color="auto"/>
            <w:left w:val="none" w:sz="0" w:space="0" w:color="auto"/>
            <w:bottom w:val="none" w:sz="0" w:space="0" w:color="auto"/>
            <w:right w:val="none" w:sz="0" w:space="0" w:color="auto"/>
          </w:divBdr>
        </w:div>
        <w:div w:id="581987931">
          <w:marLeft w:val="0"/>
          <w:marRight w:val="0"/>
          <w:marTop w:val="0"/>
          <w:marBottom w:val="0"/>
          <w:divBdr>
            <w:top w:val="none" w:sz="0" w:space="0" w:color="auto"/>
            <w:left w:val="none" w:sz="0" w:space="0" w:color="auto"/>
            <w:bottom w:val="none" w:sz="0" w:space="0" w:color="auto"/>
            <w:right w:val="none" w:sz="0" w:space="0" w:color="auto"/>
          </w:divBdr>
        </w:div>
        <w:div w:id="609315789">
          <w:marLeft w:val="0"/>
          <w:marRight w:val="0"/>
          <w:marTop w:val="0"/>
          <w:marBottom w:val="0"/>
          <w:divBdr>
            <w:top w:val="none" w:sz="0" w:space="0" w:color="auto"/>
            <w:left w:val="none" w:sz="0" w:space="0" w:color="auto"/>
            <w:bottom w:val="none" w:sz="0" w:space="0" w:color="auto"/>
            <w:right w:val="none" w:sz="0" w:space="0" w:color="auto"/>
          </w:divBdr>
        </w:div>
        <w:div w:id="634799947">
          <w:marLeft w:val="0"/>
          <w:marRight w:val="0"/>
          <w:marTop w:val="0"/>
          <w:marBottom w:val="0"/>
          <w:divBdr>
            <w:top w:val="none" w:sz="0" w:space="0" w:color="auto"/>
            <w:left w:val="none" w:sz="0" w:space="0" w:color="auto"/>
            <w:bottom w:val="none" w:sz="0" w:space="0" w:color="auto"/>
            <w:right w:val="none" w:sz="0" w:space="0" w:color="auto"/>
          </w:divBdr>
        </w:div>
        <w:div w:id="645013829">
          <w:marLeft w:val="0"/>
          <w:marRight w:val="0"/>
          <w:marTop w:val="0"/>
          <w:marBottom w:val="0"/>
          <w:divBdr>
            <w:top w:val="none" w:sz="0" w:space="0" w:color="auto"/>
            <w:left w:val="none" w:sz="0" w:space="0" w:color="auto"/>
            <w:bottom w:val="none" w:sz="0" w:space="0" w:color="auto"/>
            <w:right w:val="none" w:sz="0" w:space="0" w:color="auto"/>
          </w:divBdr>
        </w:div>
        <w:div w:id="724569071">
          <w:marLeft w:val="0"/>
          <w:marRight w:val="0"/>
          <w:marTop w:val="0"/>
          <w:marBottom w:val="0"/>
          <w:divBdr>
            <w:top w:val="none" w:sz="0" w:space="0" w:color="auto"/>
            <w:left w:val="none" w:sz="0" w:space="0" w:color="auto"/>
            <w:bottom w:val="none" w:sz="0" w:space="0" w:color="auto"/>
            <w:right w:val="none" w:sz="0" w:space="0" w:color="auto"/>
          </w:divBdr>
        </w:div>
        <w:div w:id="734861337">
          <w:marLeft w:val="0"/>
          <w:marRight w:val="0"/>
          <w:marTop w:val="0"/>
          <w:marBottom w:val="0"/>
          <w:divBdr>
            <w:top w:val="none" w:sz="0" w:space="0" w:color="auto"/>
            <w:left w:val="none" w:sz="0" w:space="0" w:color="auto"/>
            <w:bottom w:val="none" w:sz="0" w:space="0" w:color="auto"/>
            <w:right w:val="none" w:sz="0" w:space="0" w:color="auto"/>
          </w:divBdr>
        </w:div>
        <w:div w:id="799616489">
          <w:marLeft w:val="0"/>
          <w:marRight w:val="0"/>
          <w:marTop w:val="0"/>
          <w:marBottom w:val="0"/>
          <w:divBdr>
            <w:top w:val="none" w:sz="0" w:space="0" w:color="auto"/>
            <w:left w:val="none" w:sz="0" w:space="0" w:color="auto"/>
            <w:bottom w:val="none" w:sz="0" w:space="0" w:color="auto"/>
            <w:right w:val="none" w:sz="0" w:space="0" w:color="auto"/>
          </w:divBdr>
        </w:div>
        <w:div w:id="804007880">
          <w:marLeft w:val="0"/>
          <w:marRight w:val="0"/>
          <w:marTop w:val="0"/>
          <w:marBottom w:val="0"/>
          <w:divBdr>
            <w:top w:val="none" w:sz="0" w:space="0" w:color="auto"/>
            <w:left w:val="none" w:sz="0" w:space="0" w:color="auto"/>
            <w:bottom w:val="none" w:sz="0" w:space="0" w:color="auto"/>
            <w:right w:val="none" w:sz="0" w:space="0" w:color="auto"/>
          </w:divBdr>
        </w:div>
        <w:div w:id="817107968">
          <w:marLeft w:val="0"/>
          <w:marRight w:val="0"/>
          <w:marTop w:val="0"/>
          <w:marBottom w:val="0"/>
          <w:divBdr>
            <w:top w:val="none" w:sz="0" w:space="0" w:color="auto"/>
            <w:left w:val="none" w:sz="0" w:space="0" w:color="auto"/>
            <w:bottom w:val="none" w:sz="0" w:space="0" w:color="auto"/>
            <w:right w:val="none" w:sz="0" w:space="0" w:color="auto"/>
          </w:divBdr>
        </w:div>
        <w:div w:id="818498543">
          <w:marLeft w:val="0"/>
          <w:marRight w:val="0"/>
          <w:marTop w:val="0"/>
          <w:marBottom w:val="0"/>
          <w:divBdr>
            <w:top w:val="none" w:sz="0" w:space="0" w:color="auto"/>
            <w:left w:val="none" w:sz="0" w:space="0" w:color="auto"/>
            <w:bottom w:val="none" w:sz="0" w:space="0" w:color="auto"/>
            <w:right w:val="none" w:sz="0" w:space="0" w:color="auto"/>
          </w:divBdr>
        </w:div>
        <w:div w:id="823476591">
          <w:marLeft w:val="0"/>
          <w:marRight w:val="0"/>
          <w:marTop w:val="0"/>
          <w:marBottom w:val="0"/>
          <w:divBdr>
            <w:top w:val="none" w:sz="0" w:space="0" w:color="auto"/>
            <w:left w:val="none" w:sz="0" w:space="0" w:color="auto"/>
            <w:bottom w:val="none" w:sz="0" w:space="0" w:color="auto"/>
            <w:right w:val="none" w:sz="0" w:space="0" w:color="auto"/>
          </w:divBdr>
        </w:div>
        <w:div w:id="824006050">
          <w:marLeft w:val="0"/>
          <w:marRight w:val="0"/>
          <w:marTop w:val="0"/>
          <w:marBottom w:val="0"/>
          <w:divBdr>
            <w:top w:val="none" w:sz="0" w:space="0" w:color="auto"/>
            <w:left w:val="none" w:sz="0" w:space="0" w:color="auto"/>
            <w:bottom w:val="none" w:sz="0" w:space="0" w:color="auto"/>
            <w:right w:val="none" w:sz="0" w:space="0" w:color="auto"/>
          </w:divBdr>
        </w:div>
        <w:div w:id="863133732">
          <w:marLeft w:val="0"/>
          <w:marRight w:val="0"/>
          <w:marTop w:val="0"/>
          <w:marBottom w:val="0"/>
          <w:divBdr>
            <w:top w:val="none" w:sz="0" w:space="0" w:color="auto"/>
            <w:left w:val="none" w:sz="0" w:space="0" w:color="auto"/>
            <w:bottom w:val="none" w:sz="0" w:space="0" w:color="auto"/>
            <w:right w:val="none" w:sz="0" w:space="0" w:color="auto"/>
          </w:divBdr>
        </w:div>
        <w:div w:id="866869269">
          <w:marLeft w:val="0"/>
          <w:marRight w:val="0"/>
          <w:marTop w:val="0"/>
          <w:marBottom w:val="0"/>
          <w:divBdr>
            <w:top w:val="none" w:sz="0" w:space="0" w:color="auto"/>
            <w:left w:val="none" w:sz="0" w:space="0" w:color="auto"/>
            <w:bottom w:val="none" w:sz="0" w:space="0" w:color="auto"/>
            <w:right w:val="none" w:sz="0" w:space="0" w:color="auto"/>
          </w:divBdr>
        </w:div>
        <w:div w:id="885340287">
          <w:marLeft w:val="0"/>
          <w:marRight w:val="0"/>
          <w:marTop w:val="0"/>
          <w:marBottom w:val="0"/>
          <w:divBdr>
            <w:top w:val="none" w:sz="0" w:space="0" w:color="auto"/>
            <w:left w:val="none" w:sz="0" w:space="0" w:color="auto"/>
            <w:bottom w:val="none" w:sz="0" w:space="0" w:color="auto"/>
            <w:right w:val="none" w:sz="0" w:space="0" w:color="auto"/>
          </w:divBdr>
        </w:div>
        <w:div w:id="967903563">
          <w:marLeft w:val="0"/>
          <w:marRight w:val="0"/>
          <w:marTop w:val="0"/>
          <w:marBottom w:val="0"/>
          <w:divBdr>
            <w:top w:val="none" w:sz="0" w:space="0" w:color="auto"/>
            <w:left w:val="none" w:sz="0" w:space="0" w:color="auto"/>
            <w:bottom w:val="none" w:sz="0" w:space="0" w:color="auto"/>
            <w:right w:val="none" w:sz="0" w:space="0" w:color="auto"/>
          </w:divBdr>
        </w:div>
        <w:div w:id="1017273763">
          <w:marLeft w:val="0"/>
          <w:marRight w:val="0"/>
          <w:marTop w:val="0"/>
          <w:marBottom w:val="0"/>
          <w:divBdr>
            <w:top w:val="none" w:sz="0" w:space="0" w:color="auto"/>
            <w:left w:val="none" w:sz="0" w:space="0" w:color="auto"/>
            <w:bottom w:val="none" w:sz="0" w:space="0" w:color="auto"/>
            <w:right w:val="none" w:sz="0" w:space="0" w:color="auto"/>
          </w:divBdr>
        </w:div>
        <w:div w:id="1018966641">
          <w:marLeft w:val="0"/>
          <w:marRight w:val="0"/>
          <w:marTop w:val="0"/>
          <w:marBottom w:val="0"/>
          <w:divBdr>
            <w:top w:val="none" w:sz="0" w:space="0" w:color="auto"/>
            <w:left w:val="none" w:sz="0" w:space="0" w:color="auto"/>
            <w:bottom w:val="none" w:sz="0" w:space="0" w:color="auto"/>
            <w:right w:val="none" w:sz="0" w:space="0" w:color="auto"/>
          </w:divBdr>
        </w:div>
        <w:div w:id="1035426606">
          <w:marLeft w:val="0"/>
          <w:marRight w:val="0"/>
          <w:marTop w:val="0"/>
          <w:marBottom w:val="0"/>
          <w:divBdr>
            <w:top w:val="none" w:sz="0" w:space="0" w:color="auto"/>
            <w:left w:val="none" w:sz="0" w:space="0" w:color="auto"/>
            <w:bottom w:val="none" w:sz="0" w:space="0" w:color="auto"/>
            <w:right w:val="none" w:sz="0" w:space="0" w:color="auto"/>
          </w:divBdr>
        </w:div>
        <w:div w:id="1042484335">
          <w:marLeft w:val="0"/>
          <w:marRight w:val="0"/>
          <w:marTop w:val="0"/>
          <w:marBottom w:val="0"/>
          <w:divBdr>
            <w:top w:val="none" w:sz="0" w:space="0" w:color="auto"/>
            <w:left w:val="none" w:sz="0" w:space="0" w:color="auto"/>
            <w:bottom w:val="none" w:sz="0" w:space="0" w:color="auto"/>
            <w:right w:val="none" w:sz="0" w:space="0" w:color="auto"/>
          </w:divBdr>
        </w:div>
        <w:div w:id="1070233977">
          <w:marLeft w:val="0"/>
          <w:marRight w:val="0"/>
          <w:marTop w:val="0"/>
          <w:marBottom w:val="0"/>
          <w:divBdr>
            <w:top w:val="none" w:sz="0" w:space="0" w:color="auto"/>
            <w:left w:val="none" w:sz="0" w:space="0" w:color="auto"/>
            <w:bottom w:val="none" w:sz="0" w:space="0" w:color="auto"/>
            <w:right w:val="none" w:sz="0" w:space="0" w:color="auto"/>
          </w:divBdr>
        </w:div>
        <w:div w:id="1087505772">
          <w:marLeft w:val="0"/>
          <w:marRight w:val="0"/>
          <w:marTop w:val="0"/>
          <w:marBottom w:val="0"/>
          <w:divBdr>
            <w:top w:val="none" w:sz="0" w:space="0" w:color="auto"/>
            <w:left w:val="none" w:sz="0" w:space="0" w:color="auto"/>
            <w:bottom w:val="none" w:sz="0" w:space="0" w:color="auto"/>
            <w:right w:val="none" w:sz="0" w:space="0" w:color="auto"/>
          </w:divBdr>
        </w:div>
        <w:div w:id="1108307969">
          <w:marLeft w:val="0"/>
          <w:marRight w:val="0"/>
          <w:marTop w:val="0"/>
          <w:marBottom w:val="0"/>
          <w:divBdr>
            <w:top w:val="none" w:sz="0" w:space="0" w:color="auto"/>
            <w:left w:val="none" w:sz="0" w:space="0" w:color="auto"/>
            <w:bottom w:val="none" w:sz="0" w:space="0" w:color="auto"/>
            <w:right w:val="none" w:sz="0" w:space="0" w:color="auto"/>
          </w:divBdr>
        </w:div>
        <w:div w:id="1117722698">
          <w:marLeft w:val="0"/>
          <w:marRight w:val="0"/>
          <w:marTop w:val="0"/>
          <w:marBottom w:val="0"/>
          <w:divBdr>
            <w:top w:val="none" w:sz="0" w:space="0" w:color="auto"/>
            <w:left w:val="none" w:sz="0" w:space="0" w:color="auto"/>
            <w:bottom w:val="none" w:sz="0" w:space="0" w:color="auto"/>
            <w:right w:val="none" w:sz="0" w:space="0" w:color="auto"/>
          </w:divBdr>
        </w:div>
        <w:div w:id="1123309234">
          <w:marLeft w:val="0"/>
          <w:marRight w:val="0"/>
          <w:marTop w:val="0"/>
          <w:marBottom w:val="0"/>
          <w:divBdr>
            <w:top w:val="none" w:sz="0" w:space="0" w:color="auto"/>
            <w:left w:val="none" w:sz="0" w:space="0" w:color="auto"/>
            <w:bottom w:val="none" w:sz="0" w:space="0" w:color="auto"/>
            <w:right w:val="none" w:sz="0" w:space="0" w:color="auto"/>
          </w:divBdr>
        </w:div>
        <w:div w:id="1153256546">
          <w:marLeft w:val="0"/>
          <w:marRight w:val="0"/>
          <w:marTop w:val="0"/>
          <w:marBottom w:val="0"/>
          <w:divBdr>
            <w:top w:val="none" w:sz="0" w:space="0" w:color="auto"/>
            <w:left w:val="none" w:sz="0" w:space="0" w:color="auto"/>
            <w:bottom w:val="none" w:sz="0" w:space="0" w:color="auto"/>
            <w:right w:val="none" w:sz="0" w:space="0" w:color="auto"/>
          </w:divBdr>
        </w:div>
        <w:div w:id="1178422586">
          <w:marLeft w:val="0"/>
          <w:marRight w:val="0"/>
          <w:marTop w:val="0"/>
          <w:marBottom w:val="0"/>
          <w:divBdr>
            <w:top w:val="none" w:sz="0" w:space="0" w:color="auto"/>
            <w:left w:val="none" w:sz="0" w:space="0" w:color="auto"/>
            <w:bottom w:val="none" w:sz="0" w:space="0" w:color="auto"/>
            <w:right w:val="none" w:sz="0" w:space="0" w:color="auto"/>
          </w:divBdr>
        </w:div>
        <w:div w:id="1208689386">
          <w:marLeft w:val="0"/>
          <w:marRight w:val="0"/>
          <w:marTop w:val="0"/>
          <w:marBottom w:val="0"/>
          <w:divBdr>
            <w:top w:val="none" w:sz="0" w:space="0" w:color="auto"/>
            <w:left w:val="none" w:sz="0" w:space="0" w:color="auto"/>
            <w:bottom w:val="none" w:sz="0" w:space="0" w:color="auto"/>
            <w:right w:val="none" w:sz="0" w:space="0" w:color="auto"/>
          </w:divBdr>
        </w:div>
        <w:div w:id="1282343228">
          <w:marLeft w:val="0"/>
          <w:marRight w:val="0"/>
          <w:marTop w:val="0"/>
          <w:marBottom w:val="0"/>
          <w:divBdr>
            <w:top w:val="none" w:sz="0" w:space="0" w:color="auto"/>
            <w:left w:val="none" w:sz="0" w:space="0" w:color="auto"/>
            <w:bottom w:val="none" w:sz="0" w:space="0" w:color="auto"/>
            <w:right w:val="none" w:sz="0" w:space="0" w:color="auto"/>
          </w:divBdr>
        </w:div>
        <w:div w:id="1288315484">
          <w:marLeft w:val="0"/>
          <w:marRight w:val="0"/>
          <w:marTop w:val="0"/>
          <w:marBottom w:val="0"/>
          <w:divBdr>
            <w:top w:val="none" w:sz="0" w:space="0" w:color="auto"/>
            <w:left w:val="none" w:sz="0" w:space="0" w:color="auto"/>
            <w:bottom w:val="none" w:sz="0" w:space="0" w:color="auto"/>
            <w:right w:val="none" w:sz="0" w:space="0" w:color="auto"/>
          </w:divBdr>
        </w:div>
        <w:div w:id="1293251493">
          <w:marLeft w:val="0"/>
          <w:marRight w:val="0"/>
          <w:marTop w:val="0"/>
          <w:marBottom w:val="0"/>
          <w:divBdr>
            <w:top w:val="none" w:sz="0" w:space="0" w:color="auto"/>
            <w:left w:val="none" w:sz="0" w:space="0" w:color="auto"/>
            <w:bottom w:val="none" w:sz="0" w:space="0" w:color="auto"/>
            <w:right w:val="none" w:sz="0" w:space="0" w:color="auto"/>
          </w:divBdr>
        </w:div>
        <w:div w:id="1338463593">
          <w:marLeft w:val="0"/>
          <w:marRight w:val="0"/>
          <w:marTop w:val="0"/>
          <w:marBottom w:val="0"/>
          <w:divBdr>
            <w:top w:val="none" w:sz="0" w:space="0" w:color="auto"/>
            <w:left w:val="none" w:sz="0" w:space="0" w:color="auto"/>
            <w:bottom w:val="none" w:sz="0" w:space="0" w:color="auto"/>
            <w:right w:val="none" w:sz="0" w:space="0" w:color="auto"/>
          </w:divBdr>
        </w:div>
        <w:div w:id="1342047600">
          <w:marLeft w:val="0"/>
          <w:marRight w:val="0"/>
          <w:marTop w:val="0"/>
          <w:marBottom w:val="0"/>
          <w:divBdr>
            <w:top w:val="none" w:sz="0" w:space="0" w:color="auto"/>
            <w:left w:val="none" w:sz="0" w:space="0" w:color="auto"/>
            <w:bottom w:val="none" w:sz="0" w:space="0" w:color="auto"/>
            <w:right w:val="none" w:sz="0" w:space="0" w:color="auto"/>
          </w:divBdr>
        </w:div>
        <w:div w:id="1342469630">
          <w:marLeft w:val="0"/>
          <w:marRight w:val="0"/>
          <w:marTop w:val="0"/>
          <w:marBottom w:val="0"/>
          <w:divBdr>
            <w:top w:val="none" w:sz="0" w:space="0" w:color="auto"/>
            <w:left w:val="none" w:sz="0" w:space="0" w:color="auto"/>
            <w:bottom w:val="none" w:sz="0" w:space="0" w:color="auto"/>
            <w:right w:val="none" w:sz="0" w:space="0" w:color="auto"/>
          </w:divBdr>
        </w:div>
        <w:div w:id="1361004527">
          <w:marLeft w:val="0"/>
          <w:marRight w:val="0"/>
          <w:marTop w:val="0"/>
          <w:marBottom w:val="0"/>
          <w:divBdr>
            <w:top w:val="none" w:sz="0" w:space="0" w:color="auto"/>
            <w:left w:val="none" w:sz="0" w:space="0" w:color="auto"/>
            <w:bottom w:val="none" w:sz="0" w:space="0" w:color="auto"/>
            <w:right w:val="none" w:sz="0" w:space="0" w:color="auto"/>
          </w:divBdr>
        </w:div>
        <w:div w:id="1377122712">
          <w:marLeft w:val="0"/>
          <w:marRight w:val="0"/>
          <w:marTop w:val="0"/>
          <w:marBottom w:val="0"/>
          <w:divBdr>
            <w:top w:val="none" w:sz="0" w:space="0" w:color="auto"/>
            <w:left w:val="none" w:sz="0" w:space="0" w:color="auto"/>
            <w:bottom w:val="none" w:sz="0" w:space="0" w:color="auto"/>
            <w:right w:val="none" w:sz="0" w:space="0" w:color="auto"/>
          </w:divBdr>
        </w:div>
        <w:div w:id="1381202941">
          <w:marLeft w:val="0"/>
          <w:marRight w:val="0"/>
          <w:marTop w:val="0"/>
          <w:marBottom w:val="0"/>
          <w:divBdr>
            <w:top w:val="none" w:sz="0" w:space="0" w:color="auto"/>
            <w:left w:val="none" w:sz="0" w:space="0" w:color="auto"/>
            <w:bottom w:val="none" w:sz="0" w:space="0" w:color="auto"/>
            <w:right w:val="none" w:sz="0" w:space="0" w:color="auto"/>
          </w:divBdr>
        </w:div>
        <w:div w:id="1388453795">
          <w:marLeft w:val="0"/>
          <w:marRight w:val="0"/>
          <w:marTop w:val="0"/>
          <w:marBottom w:val="0"/>
          <w:divBdr>
            <w:top w:val="none" w:sz="0" w:space="0" w:color="auto"/>
            <w:left w:val="none" w:sz="0" w:space="0" w:color="auto"/>
            <w:bottom w:val="none" w:sz="0" w:space="0" w:color="auto"/>
            <w:right w:val="none" w:sz="0" w:space="0" w:color="auto"/>
          </w:divBdr>
        </w:div>
        <w:div w:id="1402217331">
          <w:marLeft w:val="0"/>
          <w:marRight w:val="0"/>
          <w:marTop w:val="0"/>
          <w:marBottom w:val="0"/>
          <w:divBdr>
            <w:top w:val="none" w:sz="0" w:space="0" w:color="auto"/>
            <w:left w:val="none" w:sz="0" w:space="0" w:color="auto"/>
            <w:bottom w:val="none" w:sz="0" w:space="0" w:color="auto"/>
            <w:right w:val="none" w:sz="0" w:space="0" w:color="auto"/>
          </w:divBdr>
        </w:div>
        <w:div w:id="1406337271">
          <w:marLeft w:val="0"/>
          <w:marRight w:val="0"/>
          <w:marTop w:val="0"/>
          <w:marBottom w:val="0"/>
          <w:divBdr>
            <w:top w:val="none" w:sz="0" w:space="0" w:color="auto"/>
            <w:left w:val="none" w:sz="0" w:space="0" w:color="auto"/>
            <w:bottom w:val="none" w:sz="0" w:space="0" w:color="auto"/>
            <w:right w:val="none" w:sz="0" w:space="0" w:color="auto"/>
          </w:divBdr>
        </w:div>
        <w:div w:id="1437208638">
          <w:marLeft w:val="0"/>
          <w:marRight w:val="0"/>
          <w:marTop w:val="0"/>
          <w:marBottom w:val="0"/>
          <w:divBdr>
            <w:top w:val="none" w:sz="0" w:space="0" w:color="auto"/>
            <w:left w:val="none" w:sz="0" w:space="0" w:color="auto"/>
            <w:bottom w:val="none" w:sz="0" w:space="0" w:color="auto"/>
            <w:right w:val="none" w:sz="0" w:space="0" w:color="auto"/>
          </w:divBdr>
        </w:div>
        <w:div w:id="1462069664">
          <w:marLeft w:val="0"/>
          <w:marRight w:val="0"/>
          <w:marTop w:val="0"/>
          <w:marBottom w:val="0"/>
          <w:divBdr>
            <w:top w:val="none" w:sz="0" w:space="0" w:color="auto"/>
            <w:left w:val="none" w:sz="0" w:space="0" w:color="auto"/>
            <w:bottom w:val="none" w:sz="0" w:space="0" w:color="auto"/>
            <w:right w:val="none" w:sz="0" w:space="0" w:color="auto"/>
          </w:divBdr>
        </w:div>
        <w:div w:id="1495144742">
          <w:marLeft w:val="0"/>
          <w:marRight w:val="0"/>
          <w:marTop w:val="0"/>
          <w:marBottom w:val="0"/>
          <w:divBdr>
            <w:top w:val="none" w:sz="0" w:space="0" w:color="auto"/>
            <w:left w:val="none" w:sz="0" w:space="0" w:color="auto"/>
            <w:bottom w:val="none" w:sz="0" w:space="0" w:color="auto"/>
            <w:right w:val="none" w:sz="0" w:space="0" w:color="auto"/>
          </w:divBdr>
        </w:div>
        <w:div w:id="1510481117">
          <w:marLeft w:val="0"/>
          <w:marRight w:val="0"/>
          <w:marTop w:val="0"/>
          <w:marBottom w:val="0"/>
          <w:divBdr>
            <w:top w:val="none" w:sz="0" w:space="0" w:color="auto"/>
            <w:left w:val="none" w:sz="0" w:space="0" w:color="auto"/>
            <w:bottom w:val="none" w:sz="0" w:space="0" w:color="auto"/>
            <w:right w:val="none" w:sz="0" w:space="0" w:color="auto"/>
          </w:divBdr>
        </w:div>
        <w:div w:id="1516529828">
          <w:marLeft w:val="0"/>
          <w:marRight w:val="0"/>
          <w:marTop w:val="0"/>
          <w:marBottom w:val="0"/>
          <w:divBdr>
            <w:top w:val="none" w:sz="0" w:space="0" w:color="auto"/>
            <w:left w:val="none" w:sz="0" w:space="0" w:color="auto"/>
            <w:bottom w:val="none" w:sz="0" w:space="0" w:color="auto"/>
            <w:right w:val="none" w:sz="0" w:space="0" w:color="auto"/>
          </w:divBdr>
        </w:div>
        <w:div w:id="1535267869">
          <w:marLeft w:val="0"/>
          <w:marRight w:val="0"/>
          <w:marTop w:val="0"/>
          <w:marBottom w:val="0"/>
          <w:divBdr>
            <w:top w:val="none" w:sz="0" w:space="0" w:color="auto"/>
            <w:left w:val="none" w:sz="0" w:space="0" w:color="auto"/>
            <w:bottom w:val="none" w:sz="0" w:space="0" w:color="auto"/>
            <w:right w:val="none" w:sz="0" w:space="0" w:color="auto"/>
          </w:divBdr>
        </w:div>
        <w:div w:id="1541237963">
          <w:marLeft w:val="0"/>
          <w:marRight w:val="0"/>
          <w:marTop w:val="0"/>
          <w:marBottom w:val="0"/>
          <w:divBdr>
            <w:top w:val="none" w:sz="0" w:space="0" w:color="auto"/>
            <w:left w:val="none" w:sz="0" w:space="0" w:color="auto"/>
            <w:bottom w:val="none" w:sz="0" w:space="0" w:color="auto"/>
            <w:right w:val="none" w:sz="0" w:space="0" w:color="auto"/>
          </w:divBdr>
        </w:div>
        <w:div w:id="1566186199">
          <w:marLeft w:val="0"/>
          <w:marRight w:val="0"/>
          <w:marTop w:val="0"/>
          <w:marBottom w:val="0"/>
          <w:divBdr>
            <w:top w:val="none" w:sz="0" w:space="0" w:color="auto"/>
            <w:left w:val="none" w:sz="0" w:space="0" w:color="auto"/>
            <w:bottom w:val="none" w:sz="0" w:space="0" w:color="auto"/>
            <w:right w:val="none" w:sz="0" w:space="0" w:color="auto"/>
          </w:divBdr>
        </w:div>
        <w:div w:id="1590195581">
          <w:marLeft w:val="0"/>
          <w:marRight w:val="0"/>
          <w:marTop w:val="0"/>
          <w:marBottom w:val="0"/>
          <w:divBdr>
            <w:top w:val="none" w:sz="0" w:space="0" w:color="auto"/>
            <w:left w:val="none" w:sz="0" w:space="0" w:color="auto"/>
            <w:bottom w:val="none" w:sz="0" w:space="0" w:color="auto"/>
            <w:right w:val="none" w:sz="0" w:space="0" w:color="auto"/>
          </w:divBdr>
        </w:div>
        <w:div w:id="1608654804">
          <w:marLeft w:val="0"/>
          <w:marRight w:val="0"/>
          <w:marTop w:val="0"/>
          <w:marBottom w:val="0"/>
          <w:divBdr>
            <w:top w:val="none" w:sz="0" w:space="0" w:color="auto"/>
            <w:left w:val="none" w:sz="0" w:space="0" w:color="auto"/>
            <w:bottom w:val="none" w:sz="0" w:space="0" w:color="auto"/>
            <w:right w:val="none" w:sz="0" w:space="0" w:color="auto"/>
          </w:divBdr>
        </w:div>
        <w:div w:id="1619945034">
          <w:marLeft w:val="0"/>
          <w:marRight w:val="0"/>
          <w:marTop w:val="0"/>
          <w:marBottom w:val="0"/>
          <w:divBdr>
            <w:top w:val="none" w:sz="0" w:space="0" w:color="auto"/>
            <w:left w:val="none" w:sz="0" w:space="0" w:color="auto"/>
            <w:bottom w:val="none" w:sz="0" w:space="0" w:color="auto"/>
            <w:right w:val="none" w:sz="0" w:space="0" w:color="auto"/>
          </w:divBdr>
        </w:div>
        <w:div w:id="1654487609">
          <w:marLeft w:val="0"/>
          <w:marRight w:val="0"/>
          <w:marTop w:val="0"/>
          <w:marBottom w:val="0"/>
          <w:divBdr>
            <w:top w:val="none" w:sz="0" w:space="0" w:color="auto"/>
            <w:left w:val="none" w:sz="0" w:space="0" w:color="auto"/>
            <w:bottom w:val="none" w:sz="0" w:space="0" w:color="auto"/>
            <w:right w:val="none" w:sz="0" w:space="0" w:color="auto"/>
          </w:divBdr>
        </w:div>
        <w:div w:id="1658681483">
          <w:marLeft w:val="0"/>
          <w:marRight w:val="0"/>
          <w:marTop w:val="0"/>
          <w:marBottom w:val="0"/>
          <w:divBdr>
            <w:top w:val="none" w:sz="0" w:space="0" w:color="auto"/>
            <w:left w:val="none" w:sz="0" w:space="0" w:color="auto"/>
            <w:bottom w:val="none" w:sz="0" w:space="0" w:color="auto"/>
            <w:right w:val="none" w:sz="0" w:space="0" w:color="auto"/>
          </w:divBdr>
        </w:div>
        <w:div w:id="1702051441">
          <w:marLeft w:val="0"/>
          <w:marRight w:val="0"/>
          <w:marTop w:val="0"/>
          <w:marBottom w:val="0"/>
          <w:divBdr>
            <w:top w:val="none" w:sz="0" w:space="0" w:color="auto"/>
            <w:left w:val="none" w:sz="0" w:space="0" w:color="auto"/>
            <w:bottom w:val="none" w:sz="0" w:space="0" w:color="auto"/>
            <w:right w:val="none" w:sz="0" w:space="0" w:color="auto"/>
          </w:divBdr>
        </w:div>
        <w:div w:id="1821118331">
          <w:marLeft w:val="0"/>
          <w:marRight w:val="0"/>
          <w:marTop w:val="0"/>
          <w:marBottom w:val="0"/>
          <w:divBdr>
            <w:top w:val="none" w:sz="0" w:space="0" w:color="auto"/>
            <w:left w:val="none" w:sz="0" w:space="0" w:color="auto"/>
            <w:bottom w:val="none" w:sz="0" w:space="0" w:color="auto"/>
            <w:right w:val="none" w:sz="0" w:space="0" w:color="auto"/>
          </w:divBdr>
        </w:div>
        <w:div w:id="1867787300">
          <w:marLeft w:val="0"/>
          <w:marRight w:val="0"/>
          <w:marTop w:val="0"/>
          <w:marBottom w:val="0"/>
          <w:divBdr>
            <w:top w:val="none" w:sz="0" w:space="0" w:color="auto"/>
            <w:left w:val="none" w:sz="0" w:space="0" w:color="auto"/>
            <w:bottom w:val="none" w:sz="0" w:space="0" w:color="auto"/>
            <w:right w:val="none" w:sz="0" w:space="0" w:color="auto"/>
          </w:divBdr>
        </w:div>
        <w:div w:id="1888714225">
          <w:marLeft w:val="0"/>
          <w:marRight w:val="0"/>
          <w:marTop w:val="0"/>
          <w:marBottom w:val="0"/>
          <w:divBdr>
            <w:top w:val="none" w:sz="0" w:space="0" w:color="auto"/>
            <w:left w:val="none" w:sz="0" w:space="0" w:color="auto"/>
            <w:bottom w:val="none" w:sz="0" w:space="0" w:color="auto"/>
            <w:right w:val="none" w:sz="0" w:space="0" w:color="auto"/>
          </w:divBdr>
        </w:div>
        <w:div w:id="1892032338">
          <w:marLeft w:val="0"/>
          <w:marRight w:val="0"/>
          <w:marTop w:val="0"/>
          <w:marBottom w:val="0"/>
          <w:divBdr>
            <w:top w:val="none" w:sz="0" w:space="0" w:color="auto"/>
            <w:left w:val="none" w:sz="0" w:space="0" w:color="auto"/>
            <w:bottom w:val="none" w:sz="0" w:space="0" w:color="auto"/>
            <w:right w:val="none" w:sz="0" w:space="0" w:color="auto"/>
          </w:divBdr>
        </w:div>
        <w:div w:id="2083872808">
          <w:marLeft w:val="0"/>
          <w:marRight w:val="0"/>
          <w:marTop w:val="0"/>
          <w:marBottom w:val="0"/>
          <w:divBdr>
            <w:top w:val="none" w:sz="0" w:space="0" w:color="auto"/>
            <w:left w:val="none" w:sz="0" w:space="0" w:color="auto"/>
            <w:bottom w:val="none" w:sz="0" w:space="0" w:color="auto"/>
            <w:right w:val="none" w:sz="0" w:space="0" w:color="auto"/>
          </w:divBdr>
        </w:div>
        <w:div w:id="2085450465">
          <w:marLeft w:val="0"/>
          <w:marRight w:val="0"/>
          <w:marTop w:val="0"/>
          <w:marBottom w:val="0"/>
          <w:divBdr>
            <w:top w:val="none" w:sz="0" w:space="0" w:color="auto"/>
            <w:left w:val="none" w:sz="0" w:space="0" w:color="auto"/>
            <w:bottom w:val="none" w:sz="0" w:space="0" w:color="auto"/>
            <w:right w:val="none" w:sz="0" w:space="0" w:color="auto"/>
          </w:divBdr>
        </w:div>
        <w:div w:id="2133284692">
          <w:marLeft w:val="0"/>
          <w:marRight w:val="0"/>
          <w:marTop w:val="0"/>
          <w:marBottom w:val="0"/>
          <w:divBdr>
            <w:top w:val="none" w:sz="0" w:space="0" w:color="auto"/>
            <w:left w:val="none" w:sz="0" w:space="0" w:color="auto"/>
            <w:bottom w:val="none" w:sz="0" w:space="0" w:color="auto"/>
            <w:right w:val="none" w:sz="0" w:space="0" w:color="auto"/>
          </w:divBdr>
        </w:div>
        <w:div w:id="2138522947">
          <w:marLeft w:val="0"/>
          <w:marRight w:val="0"/>
          <w:marTop w:val="0"/>
          <w:marBottom w:val="0"/>
          <w:divBdr>
            <w:top w:val="none" w:sz="0" w:space="0" w:color="auto"/>
            <w:left w:val="none" w:sz="0" w:space="0" w:color="auto"/>
            <w:bottom w:val="none" w:sz="0" w:space="0" w:color="auto"/>
            <w:right w:val="none" w:sz="0" w:space="0" w:color="auto"/>
          </w:divBdr>
        </w:div>
      </w:divsChild>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586187659">
      <w:bodyDiv w:val="1"/>
      <w:marLeft w:val="0"/>
      <w:marRight w:val="0"/>
      <w:marTop w:val="0"/>
      <w:marBottom w:val="0"/>
      <w:divBdr>
        <w:top w:val="none" w:sz="0" w:space="0" w:color="auto"/>
        <w:left w:val="none" w:sz="0" w:space="0" w:color="auto"/>
        <w:bottom w:val="none" w:sz="0" w:space="0" w:color="auto"/>
        <w:right w:val="none" w:sz="0" w:space="0" w:color="auto"/>
      </w:divBdr>
    </w:div>
    <w:div w:id="1628462557">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61421485">
      <w:bodyDiv w:val="1"/>
      <w:marLeft w:val="0"/>
      <w:marRight w:val="0"/>
      <w:marTop w:val="0"/>
      <w:marBottom w:val="0"/>
      <w:divBdr>
        <w:top w:val="none" w:sz="0" w:space="0" w:color="auto"/>
        <w:left w:val="none" w:sz="0" w:space="0" w:color="auto"/>
        <w:bottom w:val="none" w:sz="0" w:space="0" w:color="auto"/>
        <w:right w:val="none" w:sz="0" w:space="0" w:color="auto"/>
      </w:divBdr>
      <w:divsChild>
        <w:div w:id="96870256">
          <w:marLeft w:val="0"/>
          <w:marRight w:val="0"/>
          <w:marTop w:val="0"/>
          <w:marBottom w:val="0"/>
          <w:divBdr>
            <w:top w:val="none" w:sz="0" w:space="0" w:color="auto"/>
            <w:left w:val="none" w:sz="0" w:space="0" w:color="auto"/>
            <w:bottom w:val="none" w:sz="0" w:space="0" w:color="auto"/>
            <w:right w:val="none" w:sz="0" w:space="0" w:color="auto"/>
          </w:divBdr>
        </w:div>
        <w:div w:id="98180850">
          <w:marLeft w:val="0"/>
          <w:marRight w:val="0"/>
          <w:marTop w:val="0"/>
          <w:marBottom w:val="0"/>
          <w:divBdr>
            <w:top w:val="none" w:sz="0" w:space="0" w:color="auto"/>
            <w:left w:val="none" w:sz="0" w:space="0" w:color="auto"/>
            <w:bottom w:val="none" w:sz="0" w:space="0" w:color="auto"/>
            <w:right w:val="none" w:sz="0" w:space="0" w:color="auto"/>
          </w:divBdr>
        </w:div>
        <w:div w:id="169031351">
          <w:marLeft w:val="0"/>
          <w:marRight w:val="0"/>
          <w:marTop w:val="0"/>
          <w:marBottom w:val="0"/>
          <w:divBdr>
            <w:top w:val="none" w:sz="0" w:space="0" w:color="auto"/>
            <w:left w:val="none" w:sz="0" w:space="0" w:color="auto"/>
            <w:bottom w:val="none" w:sz="0" w:space="0" w:color="auto"/>
            <w:right w:val="none" w:sz="0" w:space="0" w:color="auto"/>
          </w:divBdr>
        </w:div>
        <w:div w:id="264578481">
          <w:marLeft w:val="0"/>
          <w:marRight w:val="0"/>
          <w:marTop w:val="0"/>
          <w:marBottom w:val="0"/>
          <w:divBdr>
            <w:top w:val="none" w:sz="0" w:space="0" w:color="auto"/>
            <w:left w:val="none" w:sz="0" w:space="0" w:color="auto"/>
            <w:bottom w:val="none" w:sz="0" w:space="0" w:color="auto"/>
            <w:right w:val="none" w:sz="0" w:space="0" w:color="auto"/>
          </w:divBdr>
        </w:div>
        <w:div w:id="318733082">
          <w:marLeft w:val="0"/>
          <w:marRight w:val="0"/>
          <w:marTop w:val="0"/>
          <w:marBottom w:val="0"/>
          <w:divBdr>
            <w:top w:val="none" w:sz="0" w:space="0" w:color="auto"/>
            <w:left w:val="none" w:sz="0" w:space="0" w:color="auto"/>
            <w:bottom w:val="none" w:sz="0" w:space="0" w:color="auto"/>
            <w:right w:val="none" w:sz="0" w:space="0" w:color="auto"/>
          </w:divBdr>
        </w:div>
        <w:div w:id="325328987">
          <w:marLeft w:val="0"/>
          <w:marRight w:val="0"/>
          <w:marTop w:val="0"/>
          <w:marBottom w:val="0"/>
          <w:divBdr>
            <w:top w:val="none" w:sz="0" w:space="0" w:color="auto"/>
            <w:left w:val="none" w:sz="0" w:space="0" w:color="auto"/>
            <w:bottom w:val="none" w:sz="0" w:space="0" w:color="auto"/>
            <w:right w:val="none" w:sz="0" w:space="0" w:color="auto"/>
          </w:divBdr>
        </w:div>
        <w:div w:id="450824317">
          <w:marLeft w:val="0"/>
          <w:marRight w:val="0"/>
          <w:marTop w:val="0"/>
          <w:marBottom w:val="0"/>
          <w:divBdr>
            <w:top w:val="none" w:sz="0" w:space="0" w:color="auto"/>
            <w:left w:val="none" w:sz="0" w:space="0" w:color="auto"/>
            <w:bottom w:val="none" w:sz="0" w:space="0" w:color="auto"/>
            <w:right w:val="none" w:sz="0" w:space="0" w:color="auto"/>
          </w:divBdr>
        </w:div>
        <w:div w:id="511382979">
          <w:marLeft w:val="0"/>
          <w:marRight w:val="0"/>
          <w:marTop w:val="0"/>
          <w:marBottom w:val="0"/>
          <w:divBdr>
            <w:top w:val="none" w:sz="0" w:space="0" w:color="auto"/>
            <w:left w:val="none" w:sz="0" w:space="0" w:color="auto"/>
            <w:bottom w:val="none" w:sz="0" w:space="0" w:color="auto"/>
            <w:right w:val="none" w:sz="0" w:space="0" w:color="auto"/>
          </w:divBdr>
        </w:div>
        <w:div w:id="568735011">
          <w:marLeft w:val="0"/>
          <w:marRight w:val="0"/>
          <w:marTop w:val="0"/>
          <w:marBottom w:val="0"/>
          <w:divBdr>
            <w:top w:val="none" w:sz="0" w:space="0" w:color="auto"/>
            <w:left w:val="none" w:sz="0" w:space="0" w:color="auto"/>
            <w:bottom w:val="none" w:sz="0" w:space="0" w:color="auto"/>
            <w:right w:val="none" w:sz="0" w:space="0" w:color="auto"/>
          </w:divBdr>
        </w:div>
        <w:div w:id="617222839">
          <w:marLeft w:val="0"/>
          <w:marRight w:val="0"/>
          <w:marTop w:val="0"/>
          <w:marBottom w:val="0"/>
          <w:divBdr>
            <w:top w:val="none" w:sz="0" w:space="0" w:color="auto"/>
            <w:left w:val="none" w:sz="0" w:space="0" w:color="auto"/>
            <w:bottom w:val="none" w:sz="0" w:space="0" w:color="auto"/>
            <w:right w:val="none" w:sz="0" w:space="0" w:color="auto"/>
          </w:divBdr>
        </w:div>
        <w:div w:id="624581299">
          <w:marLeft w:val="0"/>
          <w:marRight w:val="0"/>
          <w:marTop w:val="0"/>
          <w:marBottom w:val="0"/>
          <w:divBdr>
            <w:top w:val="none" w:sz="0" w:space="0" w:color="auto"/>
            <w:left w:val="none" w:sz="0" w:space="0" w:color="auto"/>
            <w:bottom w:val="none" w:sz="0" w:space="0" w:color="auto"/>
            <w:right w:val="none" w:sz="0" w:space="0" w:color="auto"/>
          </w:divBdr>
        </w:div>
        <w:div w:id="647823480">
          <w:marLeft w:val="0"/>
          <w:marRight w:val="0"/>
          <w:marTop w:val="0"/>
          <w:marBottom w:val="0"/>
          <w:divBdr>
            <w:top w:val="none" w:sz="0" w:space="0" w:color="auto"/>
            <w:left w:val="none" w:sz="0" w:space="0" w:color="auto"/>
            <w:bottom w:val="none" w:sz="0" w:space="0" w:color="auto"/>
            <w:right w:val="none" w:sz="0" w:space="0" w:color="auto"/>
          </w:divBdr>
        </w:div>
        <w:div w:id="650983403">
          <w:marLeft w:val="0"/>
          <w:marRight w:val="0"/>
          <w:marTop w:val="0"/>
          <w:marBottom w:val="0"/>
          <w:divBdr>
            <w:top w:val="none" w:sz="0" w:space="0" w:color="auto"/>
            <w:left w:val="none" w:sz="0" w:space="0" w:color="auto"/>
            <w:bottom w:val="none" w:sz="0" w:space="0" w:color="auto"/>
            <w:right w:val="none" w:sz="0" w:space="0" w:color="auto"/>
          </w:divBdr>
        </w:div>
        <w:div w:id="673725138">
          <w:marLeft w:val="0"/>
          <w:marRight w:val="0"/>
          <w:marTop w:val="0"/>
          <w:marBottom w:val="0"/>
          <w:divBdr>
            <w:top w:val="none" w:sz="0" w:space="0" w:color="auto"/>
            <w:left w:val="none" w:sz="0" w:space="0" w:color="auto"/>
            <w:bottom w:val="none" w:sz="0" w:space="0" w:color="auto"/>
            <w:right w:val="none" w:sz="0" w:space="0" w:color="auto"/>
          </w:divBdr>
        </w:div>
        <w:div w:id="947784118">
          <w:marLeft w:val="0"/>
          <w:marRight w:val="0"/>
          <w:marTop w:val="0"/>
          <w:marBottom w:val="0"/>
          <w:divBdr>
            <w:top w:val="none" w:sz="0" w:space="0" w:color="auto"/>
            <w:left w:val="none" w:sz="0" w:space="0" w:color="auto"/>
            <w:bottom w:val="none" w:sz="0" w:space="0" w:color="auto"/>
            <w:right w:val="none" w:sz="0" w:space="0" w:color="auto"/>
          </w:divBdr>
        </w:div>
        <w:div w:id="952441556">
          <w:marLeft w:val="0"/>
          <w:marRight w:val="0"/>
          <w:marTop w:val="0"/>
          <w:marBottom w:val="0"/>
          <w:divBdr>
            <w:top w:val="none" w:sz="0" w:space="0" w:color="auto"/>
            <w:left w:val="none" w:sz="0" w:space="0" w:color="auto"/>
            <w:bottom w:val="none" w:sz="0" w:space="0" w:color="auto"/>
            <w:right w:val="none" w:sz="0" w:space="0" w:color="auto"/>
          </w:divBdr>
        </w:div>
        <w:div w:id="1010066976">
          <w:marLeft w:val="0"/>
          <w:marRight w:val="0"/>
          <w:marTop w:val="0"/>
          <w:marBottom w:val="0"/>
          <w:divBdr>
            <w:top w:val="none" w:sz="0" w:space="0" w:color="auto"/>
            <w:left w:val="none" w:sz="0" w:space="0" w:color="auto"/>
            <w:bottom w:val="none" w:sz="0" w:space="0" w:color="auto"/>
            <w:right w:val="none" w:sz="0" w:space="0" w:color="auto"/>
          </w:divBdr>
        </w:div>
        <w:div w:id="1096369800">
          <w:marLeft w:val="0"/>
          <w:marRight w:val="0"/>
          <w:marTop w:val="0"/>
          <w:marBottom w:val="0"/>
          <w:divBdr>
            <w:top w:val="none" w:sz="0" w:space="0" w:color="auto"/>
            <w:left w:val="none" w:sz="0" w:space="0" w:color="auto"/>
            <w:bottom w:val="none" w:sz="0" w:space="0" w:color="auto"/>
            <w:right w:val="none" w:sz="0" w:space="0" w:color="auto"/>
          </w:divBdr>
        </w:div>
        <w:div w:id="1214654273">
          <w:marLeft w:val="0"/>
          <w:marRight w:val="0"/>
          <w:marTop w:val="0"/>
          <w:marBottom w:val="0"/>
          <w:divBdr>
            <w:top w:val="none" w:sz="0" w:space="0" w:color="auto"/>
            <w:left w:val="none" w:sz="0" w:space="0" w:color="auto"/>
            <w:bottom w:val="none" w:sz="0" w:space="0" w:color="auto"/>
            <w:right w:val="none" w:sz="0" w:space="0" w:color="auto"/>
          </w:divBdr>
        </w:div>
        <w:div w:id="1418399673">
          <w:marLeft w:val="0"/>
          <w:marRight w:val="0"/>
          <w:marTop w:val="0"/>
          <w:marBottom w:val="0"/>
          <w:divBdr>
            <w:top w:val="none" w:sz="0" w:space="0" w:color="auto"/>
            <w:left w:val="none" w:sz="0" w:space="0" w:color="auto"/>
            <w:bottom w:val="none" w:sz="0" w:space="0" w:color="auto"/>
            <w:right w:val="none" w:sz="0" w:space="0" w:color="auto"/>
          </w:divBdr>
        </w:div>
        <w:div w:id="1479835114">
          <w:marLeft w:val="0"/>
          <w:marRight w:val="0"/>
          <w:marTop w:val="0"/>
          <w:marBottom w:val="0"/>
          <w:divBdr>
            <w:top w:val="none" w:sz="0" w:space="0" w:color="auto"/>
            <w:left w:val="none" w:sz="0" w:space="0" w:color="auto"/>
            <w:bottom w:val="none" w:sz="0" w:space="0" w:color="auto"/>
            <w:right w:val="none" w:sz="0" w:space="0" w:color="auto"/>
          </w:divBdr>
        </w:div>
        <w:div w:id="1639646224">
          <w:marLeft w:val="0"/>
          <w:marRight w:val="0"/>
          <w:marTop w:val="0"/>
          <w:marBottom w:val="0"/>
          <w:divBdr>
            <w:top w:val="none" w:sz="0" w:space="0" w:color="auto"/>
            <w:left w:val="none" w:sz="0" w:space="0" w:color="auto"/>
            <w:bottom w:val="none" w:sz="0" w:space="0" w:color="auto"/>
            <w:right w:val="none" w:sz="0" w:space="0" w:color="auto"/>
          </w:divBdr>
        </w:div>
        <w:div w:id="1659919925">
          <w:marLeft w:val="0"/>
          <w:marRight w:val="0"/>
          <w:marTop w:val="0"/>
          <w:marBottom w:val="0"/>
          <w:divBdr>
            <w:top w:val="none" w:sz="0" w:space="0" w:color="auto"/>
            <w:left w:val="none" w:sz="0" w:space="0" w:color="auto"/>
            <w:bottom w:val="none" w:sz="0" w:space="0" w:color="auto"/>
            <w:right w:val="none" w:sz="0" w:space="0" w:color="auto"/>
          </w:divBdr>
        </w:div>
        <w:div w:id="1817138158">
          <w:marLeft w:val="0"/>
          <w:marRight w:val="0"/>
          <w:marTop w:val="0"/>
          <w:marBottom w:val="0"/>
          <w:divBdr>
            <w:top w:val="none" w:sz="0" w:space="0" w:color="auto"/>
            <w:left w:val="none" w:sz="0" w:space="0" w:color="auto"/>
            <w:bottom w:val="none" w:sz="0" w:space="0" w:color="auto"/>
            <w:right w:val="none" w:sz="0" w:space="0" w:color="auto"/>
          </w:divBdr>
        </w:div>
        <w:div w:id="1855726922">
          <w:marLeft w:val="0"/>
          <w:marRight w:val="0"/>
          <w:marTop w:val="0"/>
          <w:marBottom w:val="0"/>
          <w:divBdr>
            <w:top w:val="none" w:sz="0" w:space="0" w:color="auto"/>
            <w:left w:val="none" w:sz="0" w:space="0" w:color="auto"/>
            <w:bottom w:val="none" w:sz="0" w:space="0" w:color="auto"/>
            <w:right w:val="none" w:sz="0" w:space="0" w:color="auto"/>
          </w:divBdr>
        </w:div>
        <w:div w:id="1856380649">
          <w:marLeft w:val="0"/>
          <w:marRight w:val="0"/>
          <w:marTop w:val="0"/>
          <w:marBottom w:val="0"/>
          <w:divBdr>
            <w:top w:val="none" w:sz="0" w:space="0" w:color="auto"/>
            <w:left w:val="none" w:sz="0" w:space="0" w:color="auto"/>
            <w:bottom w:val="none" w:sz="0" w:space="0" w:color="auto"/>
            <w:right w:val="none" w:sz="0" w:space="0" w:color="auto"/>
          </w:divBdr>
        </w:div>
        <w:div w:id="1961452814">
          <w:marLeft w:val="0"/>
          <w:marRight w:val="0"/>
          <w:marTop w:val="0"/>
          <w:marBottom w:val="0"/>
          <w:divBdr>
            <w:top w:val="none" w:sz="0" w:space="0" w:color="auto"/>
            <w:left w:val="none" w:sz="0" w:space="0" w:color="auto"/>
            <w:bottom w:val="none" w:sz="0" w:space="0" w:color="auto"/>
            <w:right w:val="none" w:sz="0" w:space="0" w:color="auto"/>
          </w:divBdr>
        </w:div>
        <w:div w:id="1978073661">
          <w:marLeft w:val="0"/>
          <w:marRight w:val="0"/>
          <w:marTop w:val="0"/>
          <w:marBottom w:val="0"/>
          <w:divBdr>
            <w:top w:val="none" w:sz="0" w:space="0" w:color="auto"/>
            <w:left w:val="none" w:sz="0" w:space="0" w:color="auto"/>
            <w:bottom w:val="none" w:sz="0" w:space="0" w:color="auto"/>
            <w:right w:val="none" w:sz="0" w:space="0" w:color="auto"/>
          </w:divBdr>
        </w:div>
        <w:div w:id="1981377080">
          <w:marLeft w:val="0"/>
          <w:marRight w:val="0"/>
          <w:marTop w:val="0"/>
          <w:marBottom w:val="0"/>
          <w:divBdr>
            <w:top w:val="none" w:sz="0" w:space="0" w:color="auto"/>
            <w:left w:val="none" w:sz="0" w:space="0" w:color="auto"/>
            <w:bottom w:val="none" w:sz="0" w:space="0" w:color="auto"/>
            <w:right w:val="none" w:sz="0" w:space="0" w:color="auto"/>
          </w:divBdr>
        </w:div>
        <w:div w:id="2032536566">
          <w:marLeft w:val="0"/>
          <w:marRight w:val="0"/>
          <w:marTop w:val="0"/>
          <w:marBottom w:val="0"/>
          <w:divBdr>
            <w:top w:val="none" w:sz="0" w:space="0" w:color="auto"/>
            <w:left w:val="none" w:sz="0" w:space="0" w:color="auto"/>
            <w:bottom w:val="none" w:sz="0" w:space="0" w:color="auto"/>
            <w:right w:val="none" w:sz="0" w:space="0" w:color="auto"/>
          </w:divBdr>
        </w:div>
        <w:div w:id="2087720681">
          <w:marLeft w:val="0"/>
          <w:marRight w:val="0"/>
          <w:marTop w:val="0"/>
          <w:marBottom w:val="0"/>
          <w:divBdr>
            <w:top w:val="none" w:sz="0" w:space="0" w:color="auto"/>
            <w:left w:val="none" w:sz="0" w:space="0" w:color="auto"/>
            <w:bottom w:val="none" w:sz="0" w:space="0" w:color="auto"/>
            <w:right w:val="none" w:sz="0" w:space="0" w:color="auto"/>
          </w:divBdr>
        </w:div>
        <w:div w:id="2109963887">
          <w:marLeft w:val="0"/>
          <w:marRight w:val="0"/>
          <w:marTop w:val="0"/>
          <w:marBottom w:val="0"/>
          <w:divBdr>
            <w:top w:val="none" w:sz="0" w:space="0" w:color="auto"/>
            <w:left w:val="none" w:sz="0" w:space="0" w:color="auto"/>
            <w:bottom w:val="none" w:sz="0" w:space="0" w:color="auto"/>
            <w:right w:val="none" w:sz="0" w:space="0" w:color="auto"/>
          </w:divBdr>
        </w:div>
      </w:divsChild>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25085833">
      <w:bodyDiv w:val="1"/>
      <w:marLeft w:val="0"/>
      <w:marRight w:val="0"/>
      <w:marTop w:val="0"/>
      <w:marBottom w:val="0"/>
      <w:divBdr>
        <w:top w:val="none" w:sz="0" w:space="0" w:color="auto"/>
        <w:left w:val="none" w:sz="0" w:space="0" w:color="auto"/>
        <w:bottom w:val="none" w:sz="0" w:space="0" w:color="auto"/>
        <w:right w:val="none" w:sz="0" w:space="0" w:color="auto"/>
      </w:divBdr>
      <w:divsChild>
        <w:div w:id="1437554427">
          <w:marLeft w:val="0"/>
          <w:marRight w:val="0"/>
          <w:marTop w:val="0"/>
          <w:marBottom w:val="0"/>
          <w:divBdr>
            <w:top w:val="none" w:sz="0" w:space="0" w:color="auto"/>
            <w:left w:val="none" w:sz="0" w:space="0" w:color="auto"/>
            <w:bottom w:val="none" w:sz="0" w:space="0" w:color="auto"/>
            <w:right w:val="none" w:sz="0" w:space="0" w:color="auto"/>
          </w:divBdr>
        </w:div>
      </w:divsChild>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14007675">
      <w:bodyDiv w:val="1"/>
      <w:marLeft w:val="0"/>
      <w:marRight w:val="0"/>
      <w:marTop w:val="0"/>
      <w:marBottom w:val="0"/>
      <w:divBdr>
        <w:top w:val="none" w:sz="0" w:space="0" w:color="auto"/>
        <w:left w:val="none" w:sz="0" w:space="0" w:color="auto"/>
        <w:bottom w:val="none" w:sz="0" w:space="0" w:color="auto"/>
        <w:right w:val="none" w:sz="0" w:space="0" w:color="auto"/>
      </w:divBdr>
      <w:divsChild>
        <w:div w:id="1045910976">
          <w:marLeft w:val="0"/>
          <w:marRight w:val="0"/>
          <w:marTop w:val="0"/>
          <w:marBottom w:val="0"/>
          <w:divBdr>
            <w:top w:val="none" w:sz="0" w:space="0" w:color="auto"/>
            <w:left w:val="none" w:sz="0" w:space="0" w:color="auto"/>
            <w:bottom w:val="none" w:sz="0" w:space="0" w:color="auto"/>
            <w:right w:val="none" w:sz="0" w:space="0" w:color="auto"/>
          </w:divBdr>
        </w:div>
        <w:div w:id="1357195143">
          <w:marLeft w:val="0"/>
          <w:marRight w:val="0"/>
          <w:marTop w:val="0"/>
          <w:marBottom w:val="0"/>
          <w:divBdr>
            <w:top w:val="none" w:sz="0" w:space="0" w:color="auto"/>
            <w:left w:val="none" w:sz="0" w:space="0" w:color="auto"/>
            <w:bottom w:val="none" w:sz="0" w:space="0" w:color="auto"/>
            <w:right w:val="none" w:sz="0" w:space="0" w:color="auto"/>
          </w:divBdr>
        </w:div>
      </w:divsChild>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9D6ED92-C5AA-4549-80BA-7CDB8481B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116</Pages>
  <Words>51579</Words>
  <Characters>313425</Characters>
  <Application>Microsoft Office Word</Application>
  <DocSecurity>0</DocSecurity>
  <Lines>2611</Lines>
  <Paragraphs>728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364276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test</dc:creator>
  <cp:keywords/>
  <cp:lastModifiedBy>Lidija Vidergar</cp:lastModifiedBy>
  <cp:revision>4</cp:revision>
  <cp:lastPrinted>2020-09-03T10:21:00Z</cp:lastPrinted>
  <dcterms:created xsi:type="dcterms:W3CDTF">2020-09-11T06:12:00Z</dcterms:created>
  <dcterms:modified xsi:type="dcterms:W3CDTF">2020-09-11T06:14:00Z</dcterms:modified>
</cp:coreProperties>
</file>